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65A34" w14:textId="77777777" w:rsidR="00CB59CE" w:rsidRPr="0031405D" w:rsidRDefault="00CB59CE" w:rsidP="00A23D8E">
      <w:pPr>
        <w:spacing w:line="360" w:lineRule="auto"/>
        <w:rPr>
          <w:rFonts w:ascii="Arial" w:hAnsi="Arial" w:cs="Arial"/>
          <w:b/>
          <w:bCs/>
          <w:sz w:val="48"/>
          <w:szCs w:val="48"/>
          <w:lang w:val="fr-FR"/>
        </w:rPr>
      </w:pPr>
    </w:p>
    <w:p w14:paraId="15EA6BC7" w14:textId="50B5775B" w:rsidR="00CB59CE" w:rsidRPr="0031405D" w:rsidRDefault="00F22A91" w:rsidP="00A23D8E">
      <w:pPr>
        <w:spacing w:line="360" w:lineRule="auto"/>
        <w:rPr>
          <w:rFonts w:ascii="Arial" w:hAnsi="Arial" w:cs="Arial"/>
          <w:sz w:val="48"/>
          <w:szCs w:val="48"/>
        </w:rPr>
      </w:pPr>
      <w:r w:rsidRPr="0031405D">
        <w:rPr>
          <w:rFonts w:ascii="Arial" w:hAnsi="Arial" w:cs="Arial"/>
          <w:sz w:val="48"/>
          <w:szCs w:val="48"/>
        </w:rPr>
        <w:t xml:space="preserve"> Name -</w:t>
      </w:r>
      <w:r w:rsidR="0031405D">
        <w:rPr>
          <w:rFonts w:ascii="Arial" w:hAnsi="Arial" w:cs="Arial"/>
          <w:sz w:val="48"/>
          <w:szCs w:val="48"/>
        </w:rPr>
        <w:t xml:space="preserve"> </w:t>
      </w:r>
      <w:r w:rsidRPr="0031405D">
        <w:rPr>
          <w:rFonts w:ascii="Arial" w:hAnsi="Arial" w:cs="Arial"/>
          <w:sz w:val="48"/>
          <w:szCs w:val="48"/>
        </w:rPr>
        <w:t xml:space="preserve">Nazia </w:t>
      </w:r>
      <w:r w:rsidR="003806F0" w:rsidRPr="0031405D">
        <w:rPr>
          <w:rFonts w:ascii="Arial" w:hAnsi="Arial" w:cs="Arial"/>
          <w:sz w:val="48"/>
          <w:szCs w:val="48"/>
        </w:rPr>
        <w:t>S</w:t>
      </w:r>
      <w:r w:rsidRPr="0031405D">
        <w:rPr>
          <w:rFonts w:ascii="Arial" w:hAnsi="Arial" w:cs="Arial"/>
          <w:sz w:val="48"/>
          <w:szCs w:val="48"/>
        </w:rPr>
        <w:t xml:space="preserve">harif </w:t>
      </w:r>
    </w:p>
    <w:p w14:paraId="681680D1" w14:textId="60981032" w:rsidR="00CB59CE" w:rsidRPr="0031405D" w:rsidRDefault="00F22A91" w:rsidP="00A23D8E">
      <w:pPr>
        <w:spacing w:line="360" w:lineRule="auto"/>
        <w:rPr>
          <w:rFonts w:ascii="Arial" w:hAnsi="Arial" w:cs="Arial"/>
          <w:sz w:val="48"/>
          <w:szCs w:val="48"/>
        </w:rPr>
      </w:pPr>
      <w:r w:rsidRPr="0031405D">
        <w:rPr>
          <w:rFonts w:ascii="Arial" w:hAnsi="Arial" w:cs="Arial"/>
          <w:sz w:val="48"/>
          <w:szCs w:val="48"/>
        </w:rPr>
        <w:t>Student Number – 1907313</w:t>
      </w:r>
    </w:p>
    <w:p w14:paraId="3EBDD684" w14:textId="40070AF2" w:rsidR="00F22A91" w:rsidRPr="00745FE4" w:rsidRDefault="00F22A91" w:rsidP="00A23D8E">
      <w:pPr>
        <w:spacing w:line="360" w:lineRule="auto"/>
        <w:rPr>
          <w:rFonts w:ascii="Arial" w:hAnsi="Arial" w:cs="Arial"/>
          <w:sz w:val="48"/>
          <w:szCs w:val="48"/>
          <w:lang w:val="fr-FR"/>
        </w:rPr>
      </w:pPr>
      <w:r w:rsidRPr="00745FE4">
        <w:rPr>
          <w:rFonts w:ascii="Arial" w:hAnsi="Arial" w:cs="Arial"/>
          <w:sz w:val="48"/>
          <w:szCs w:val="48"/>
          <w:lang w:val="fr-FR"/>
        </w:rPr>
        <w:t xml:space="preserve">Lecturer- Tomy </w:t>
      </w:r>
      <w:r w:rsidR="00ED671B" w:rsidRPr="00745FE4">
        <w:rPr>
          <w:rFonts w:ascii="Arial" w:hAnsi="Arial" w:cs="Arial"/>
          <w:sz w:val="48"/>
          <w:szCs w:val="48"/>
          <w:lang w:val="fr-FR"/>
        </w:rPr>
        <w:t>Add</w:t>
      </w:r>
      <w:r w:rsidR="00177193" w:rsidRPr="00745FE4">
        <w:rPr>
          <w:rFonts w:ascii="Arial" w:hAnsi="Arial" w:cs="Arial"/>
          <w:sz w:val="48"/>
          <w:szCs w:val="48"/>
          <w:lang w:val="fr-FR"/>
        </w:rPr>
        <w:t>atu Chacko</w:t>
      </w:r>
    </w:p>
    <w:p w14:paraId="111F03F9" w14:textId="1FC94284" w:rsidR="007107D1" w:rsidRPr="00745FE4" w:rsidRDefault="00375AF6" w:rsidP="00A23D8E">
      <w:pPr>
        <w:spacing w:before="120" w:after="120" w:line="360" w:lineRule="auto"/>
        <w:rPr>
          <w:rFonts w:ascii="Arial" w:hAnsi="Arial" w:cs="Arial"/>
          <w:sz w:val="48"/>
          <w:szCs w:val="48"/>
          <w:lang w:val="fr-FR"/>
        </w:rPr>
      </w:pPr>
      <w:r w:rsidRPr="00745FE4">
        <w:rPr>
          <w:rFonts w:ascii="Arial" w:hAnsi="Arial" w:cs="Arial"/>
          <w:sz w:val="48"/>
          <w:szCs w:val="48"/>
          <w:lang w:val="fr-FR"/>
        </w:rPr>
        <w:t xml:space="preserve">Module- </w:t>
      </w:r>
      <w:r w:rsidR="007107D1" w:rsidRPr="00745FE4">
        <w:rPr>
          <w:rFonts w:ascii="Arial" w:hAnsi="Arial" w:cs="Arial"/>
          <w:sz w:val="48"/>
          <w:szCs w:val="48"/>
          <w:lang w:val="fr-FR"/>
        </w:rPr>
        <w:t>Psychological Classifications and Provisions</w:t>
      </w:r>
    </w:p>
    <w:p w14:paraId="629FE034" w14:textId="00E2575F" w:rsidR="00A23D8E" w:rsidRPr="00745FE4" w:rsidRDefault="00C71993" w:rsidP="00A23D8E">
      <w:pPr>
        <w:spacing w:before="120" w:after="120" w:line="360" w:lineRule="auto"/>
        <w:rPr>
          <w:rFonts w:ascii="Arial" w:hAnsi="Arial" w:cs="Arial"/>
          <w:bCs/>
          <w:sz w:val="48"/>
          <w:szCs w:val="48"/>
          <w:lang w:val="fr-FR"/>
        </w:rPr>
      </w:pPr>
      <w:r w:rsidRPr="00745FE4">
        <w:rPr>
          <w:rFonts w:ascii="Arial" w:hAnsi="Arial" w:cs="Arial"/>
          <w:bCs/>
          <w:sz w:val="48"/>
          <w:szCs w:val="48"/>
          <w:lang w:val="fr-FR"/>
        </w:rPr>
        <w:t xml:space="preserve">Module </w:t>
      </w:r>
      <w:r w:rsidR="0031405D" w:rsidRPr="00745FE4">
        <w:rPr>
          <w:rFonts w:ascii="Arial" w:hAnsi="Arial" w:cs="Arial"/>
          <w:bCs/>
          <w:sz w:val="48"/>
          <w:szCs w:val="48"/>
          <w:lang w:val="fr-FR"/>
        </w:rPr>
        <w:t>C</w:t>
      </w:r>
      <w:r w:rsidRPr="00745FE4">
        <w:rPr>
          <w:rFonts w:ascii="Arial" w:hAnsi="Arial" w:cs="Arial"/>
          <w:bCs/>
          <w:sz w:val="48"/>
          <w:szCs w:val="48"/>
          <w:lang w:val="fr-FR"/>
        </w:rPr>
        <w:t xml:space="preserve">ode- </w:t>
      </w:r>
      <w:r w:rsidR="00A23D8E" w:rsidRPr="00745FE4">
        <w:rPr>
          <w:rFonts w:ascii="Arial" w:hAnsi="Arial" w:cs="Arial"/>
          <w:bCs/>
          <w:sz w:val="48"/>
          <w:szCs w:val="48"/>
          <w:lang w:val="fr-FR"/>
        </w:rPr>
        <w:t>BMHP6029</w:t>
      </w:r>
    </w:p>
    <w:p w14:paraId="0C8DDE0E" w14:textId="764E4CEE" w:rsidR="00C71993" w:rsidRPr="00745FE4" w:rsidRDefault="00D06565" w:rsidP="00C71993">
      <w:pPr>
        <w:spacing w:before="120" w:after="120"/>
        <w:rPr>
          <w:rFonts w:ascii="Arial" w:hAnsi="Arial" w:cs="Arial"/>
          <w:sz w:val="48"/>
          <w:szCs w:val="48"/>
          <w:lang w:val="fr-FR"/>
        </w:rPr>
      </w:pPr>
      <w:r w:rsidRPr="00745FE4">
        <w:rPr>
          <w:rFonts w:ascii="Arial" w:hAnsi="Arial" w:cs="Arial"/>
          <w:sz w:val="48"/>
          <w:szCs w:val="48"/>
          <w:lang w:val="fr-FR"/>
        </w:rPr>
        <w:t xml:space="preserve">Component 2- Written </w:t>
      </w:r>
      <w:r w:rsidRPr="00C74DC1">
        <w:rPr>
          <w:rFonts w:ascii="Arial" w:hAnsi="Arial" w:cs="Arial"/>
          <w:sz w:val="48"/>
          <w:szCs w:val="48"/>
        </w:rPr>
        <w:t>Assignment</w:t>
      </w:r>
      <w:r w:rsidRPr="00745FE4">
        <w:rPr>
          <w:rFonts w:ascii="Arial" w:hAnsi="Arial" w:cs="Arial"/>
          <w:sz w:val="48"/>
          <w:szCs w:val="48"/>
          <w:lang w:val="fr-FR"/>
        </w:rPr>
        <w:t xml:space="preserve"> (Report)</w:t>
      </w:r>
    </w:p>
    <w:p w14:paraId="7533FA12" w14:textId="77777777" w:rsidR="003806F0" w:rsidRPr="00745FE4" w:rsidRDefault="003806F0" w:rsidP="00C71993">
      <w:pPr>
        <w:spacing w:before="120" w:after="120"/>
        <w:rPr>
          <w:rFonts w:ascii="Arial" w:hAnsi="Arial" w:cs="Arial"/>
          <w:sz w:val="22"/>
          <w:szCs w:val="22"/>
          <w:lang w:val="fr-FR"/>
        </w:rPr>
      </w:pPr>
    </w:p>
    <w:p w14:paraId="1FDCA8B9" w14:textId="4BAFE8F2" w:rsidR="0081089E" w:rsidRPr="00745FE4" w:rsidRDefault="0081089E" w:rsidP="0081089E">
      <w:pPr>
        <w:spacing w:before="120" w:after="120"/>
        <w:jc w:val="center"/>
        <w:rPr>
          <w:rFonts w:ascii="Arial" w:hAnsi="Arial" w:cs="Arial"/>
          <w:sz w:val="48"/>
          <w:szCs w:val="48"/>
          <w:lang w:val="fr-FR"/>
        </w:rPr>
      </w:pPr>
    </w:p>
    <w:p w14:paraId="4B2E878D" w14:textId="77777777" w:rsidR="00C71993" w:rsidRPr="00745FE4" w:rsidRDefault="00C71993" w:rsidP="007107D1">
      <w:pPr>
        <w:spacing w:before="120" w:after="120"/>
        <w:rPr>
          <w:rFonts w:ascii="Arial" w:hAnsi="Arial" w:cs="Arial"/>
          <w:sz w:val="22"/>
          <w:szCs w:val="22"/>
          <w:lang w:val="fr-FR"/>
        </w:rPr>
      </w:pPr>
    </w:p>
    <w:p w14:paraId="55E54593" w14:textId="77777777" w:rsidR="00177193" w:rsidRPr="00745FE4" w:rsidRDefault="00177193" w:rsidP="00567DC6">
      <w:pPr>
        <w:spacing w:line="360" w:lineRule="auto"/>
        <w:rPr>
          <w:rFonts w:ascii="Arial" w:hAnsi="Arial" w:cs="Arial"/>
          <w:sz w:val="22"/>
          <w:szCs w:val="22"/>
          <w:lang w:val="fr-FR"/>
        </w:rPr>
      </w:pPr>
    </w:p>
    <w:p w14:paraId="329FF327" w14:textId="77777777" w:rsidR="00177193" w:rsidRPr="00745FE4" w:rsidRDefault="00177193" w:rsidP="00567DC6">
      <w:pPr>
        <w:spacing w:line="360" w:lineRule="auto"/>
        <w:rPr>
          <w:rFonts w:ascii="Arial" w:hAnsi="Arial" w:cs="Arial"/>
          <w:sz w:val="22"/>
          <w:szCs w:val="22"/>
          <w:lang w:val="fr-FR"/>
        </w:rPr>
      </w:pPr>
    </w:p>
    <w:p w14:paraId="6317DDF4" w14:textId="77777777" w:rsidR="00CB59CE" w:rsidRPr="00745FE4" w:rsidRDefault="00CB59CE" w:rsidP="00567DC6">
      <w:pPr>
        <w:spacing w:line="360" w:lineRule="auto"/>
        <w:rPr>
          <w:rFonts w:ascii="Arial" w:hAnsi="Arial" w:cs="Arial"/>
          <w:b/>
          <w:bCs/>
          <w:sz w:val="22"/>
          <w:szCs w:val="22"/>
          <w:lang w:val="fr-FR"/>
        </w:rPr>
      </w:pPr>
    </w:p>
    <w:p w14:paraId="23B6A4B3" w14:textId="77777777" w:rsidR="00CB59CE" w:rsidRPr="00745FE4" w:rsidRDefault="00CB59CE" w:rsidP="00567DC6">
      <w:pPr>
        <w:spacing w:line="360" w:lineRule="auto"/>
        <w:rPr>
          <w:rFonts w:ascii="Arial" w:hAnsi="Arial" w:cs="Arial"/>
          <w:b/>
          <w:bCs/>
          <w:sz w:val="22"/>
          <w:szCs w:val="22"/>
          <w:lang w:val="fr-FR"/>
        </w:rPr>
      </w:pPr>
    </w:p>
    <w:p w14:paraId="14FFCB59" w14:textId="77777777" w:rsidR="00CB59CE" w:rsidRPr="00745FE4" w:rsidRDefault="00CB59CE" w:rsidP="00567DC6">
      <w:pPr>
        <w:spacing w:line="360" w:lineRule="auto"/>
        <w:rPr>
          <w:rFonts w:ascii="Arial" w:hAnsi="Arial" w:cs="Arial"/>
          <w:b/>
          <w:bCs/>
          <w:sz w:val="22"/>
          <w:szCs w:val="22"/>
          <w:lang w:val="fr-FR"/>
        </w:rPr>
      </w:pPr>
    </w:p>
    <w:p w14:paraId="1BDA7CCE" w14:textId="77777777" w:rsidR="00CB59CE" w:rsidRPr="00745FE4" w:rsidRDefault="00CB59CE" w:rsidP="00567DC6">
      <w:pPr>
        <w:spacing w:line="360" w:lineRule="auto"/>
        <w:rPr>
          <w:rFonts w:ascii="Arial" w:hAnsi="Arial" w:cs="Arial"/>
          <w:b/>
          <w:bCs/>
          <w:sz w:val="22"/>
          <w:szCs w:val="22"/>
          <w:lang w:val="fr-FR"/>
        </w:rPr>
      </w:pPr>
    </w:p>
    <w:p w14:paraId="233CE2E4" w14:textId="77777777" w:rsidR="00CB59CE" w:rsidRPr="00745FE4" w:rsidRDefault="00CB59CE" w:rsidP="00567DC6">
      <w:pPr>
        <w:spacing w:line="360" w:lineRule="auto"/>
        <w:rPr>
          <w:rFonts w:ascii="Arial" w:hAnsi="Arial" w:cs="Arial"/>
          <w:b/>
          <w:bCs/>
          <w:sz w:val="22"/>
          <w:szCs w:val="22"/>
          <w:lang w:val="fr-FR"/>
        </w:rPr>
      </w:pPr>
    </w:p>
    <w:p w14:paraId="2CAC0F25" w14:textId="77777777" w:rsidR="00CB59CE" w:rsidRPr="00745FE4" w:rsidRDefault="00CB59CE" w:rsidP="00567DC6">
      <w:pPr>
        <w:spacing w:line="360" w:lineRule="auto"/>
        <w:rPr>
          <w:rFonts w:ascii="Arial" w:hAnsi="Arial" w:cs="Arial"/>
          <w:b/>
          <w:bCs/>
          <w:sz w:val="22"/>
          <w:szCs w:val="22"/>
          <w:lang w:val="fr-FR"/>
        </w:rPr>
      </w:pPr>
    </w:p>
    <w:p w14:paraId="76D2AA7C" w14:textId="77777777" w:rsidR="003806F0" w:rsidRPr="00745FE4" w:rsidRDefault="003806F0" w:rsidP="00567DC6">
      <w:pPr>
        <w:spacing w:line="360" w:lineRule="auto"/>
        <w:rPr>
          <w:rFonts w:ascii="Arial" w:hAnsi="Arial" w:cs="Arial"/>
          <w:b/>
          <w:bCs/>
          <w:sz w:val="22"/>
          <w:szCs w:val="22"/>
          <w:lang w:val="fr-FR"/>
        </w:rPr>
      </w:pPr>
    </w:p>
    <w:p w14:paraId="748936F5" w14:textId="79741EE8" w:rsidR="00567DC6" w:rsidRPr="00745FE4" w:rsidRDefault="00567DC6" w:rsidP="00567DC6">
      <w:pPr>
        <w:spacing w:line="360" w:lineRule="auto"/>
        <w:rPr>
          <w:rFonts w:ascii="Arial" w:hAnsi="Arial" w:cs="Arial"/>
          <w:b/>
          <w:bCs/>
          <w:sz w:val="32"/>
          <w:szCs w:val="32"/>
          <w:lang w:val="fr-FR"/>
        </w:rPr>
      </w:pPr>
      <w:r w:rsidRPr="00745FE4">
        <w:rPr>
          <w:rFonts w:ascii="Arial" w:hAnsi="Arial" w:cs="Arial"/>
          <w:b/>
          <w:bCs/>
          <w:sz w:val="32"/>
          <w:szCs w:val="32"/>
          <w:lang w:val="fr-FR"/>
        </w:rPr>
        <w:t xml:space="preserve">Contents Page </w:t>
      </w:r>
    </w:p>
    <w:p w14:paraId="4F0E4698" w14:textId="77381B10" w:rsidR="00567DC6" w:rsidRPr="00303C8B" w:rsidRDefault="00567DC6" w:rsidP="00567DC6">
      <w:pPr>
        <w:spacing w:line="360" w:lineRule="auto"/>
        <w:rPr>
          <w:rFonts w:ascii="Arial" w:hAnsi="Arial" w:cs="Arial"/>
          <w:sz w:val="22"/>
          <w:szCs w:val="22"/>
          <w:lang w:val="fr-FR"/>
        </w:rPr>
      </w:pPr>
      <w:r w:rsidRPr="00303C8B">
        <w:rPr>
          <w:rFonts w:ascii="Arial" w:hAnsi="Arial" w:cs="Arial"/>
          <w:sz w:val="22"/>
          <w:szCs w:val="22"/>
          <w:lang w:val="fr-FR"/>
        </w:rPr>
        <w:t xml:space="preserve">Introduction Page……………………………………………………………………….Page </w:t>
      </w:r>
      <w:r w:rsidR="001C30EE">
        <w:rPr>
          <w:rFonts w:ascii="Arial" w:hAnsi="Arial" w:cs="Arial"/>
          <w:sz w:val="22"/>
          <w:szCs w:val="22"/>
          <w:lang w:val="fr-FR"/>
        </w:rPr>
        <w:t>2</w:t>
      </w:r>
    </w:p>
    <w:p w14:paraId="71B71D24" w14:textId="09A27595"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ICD-11 Classification and Diagnostic Overview……………………………………..Page </w:t>
      </w:r>
      <w:r w:rsidR="001C30EE">
        <w:rPr>
          <w:rFonts w:ascii="Arial" w:hAnsi="Arial" w:cs="Arial"/>
          <w:sz w:val="22"/>
          <w:szCs w:val="22"/>
        </w:rPr>
        <w:t>3</w:t>
      </w:r>
    </w:p>
    <w:p w14:paraId="18E5EBCF" w14:textId="593C8B79"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Current Debates: Classification, Neurodivergence, and Reclassification………...Page </w:t>
      </w:r>
      <w:r w:rsidR="001C30EE">
        <w:rPr>
          <w:rFonts w:ascii="Arial" w:hAnsi="Arial" w:cs="Arial"/>
          <w:sz w:val="22"/>
          <w:szCs w:val="22"/>
        </w:rPr>
        <w:t>4</w:t>
      </w:r>
    </w:p>
    <w:p w14:paraId="4794363F" w14:textId="031EFC1F"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Treatment and Rehabilitation Approaches……………………………………………Page </w:t>
      </w:r>
      <w:r w:rsidR="001C30EE">
        <w:rPr>
          <w:rFonts w:ascii="Arial" w:hAnsi="Arial" w:cs="Arial"/>
          <w:sz w:val="22"/>
          <w:szCs w:val="22"/>
        </w:rPr>
        <w:t>5</w:t>
      </w:r>
    </w:p>
    <w:p w14:paraId="1BF1E4C2" w14:textId="2FC09A8A"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Current Debates and Emerging Issues………………………………………………..Page </w:t>
      </w:r>
      <w:r w:rsidR="001C30EE">
        <w:rPr>
          <w:rFonts w:ascii="Arial" w:hAnsi="Arial" w:cs="Arial"/>
          <w:sz w:val="22"/>
          <w:szCs w:val="22"/>
        </w:rPr>
        <w:t>6</w:t>
      </w:r>
    </w:p>
    <w:p w14:paraId="29E1A019" w14:textId="6FF04B73"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Recommendations……………………………………………………………………….Page </w:t>
      </w:r>
      <w:r w:rsidR="001C30EE">
        <w:rPr>
          <w:rFonts w:ascii="Arial" w:hAnsi="Arial" w:cs="Arial"/>
          <w:sz w:val="22"/>
          <w:szCs w:val="22"/>
        </w:rPr>
        <w:t>7</w:t>
      </w:r>
    </w:p>
    <w:p w14:paraId="4FC7ACB5" w14:textId="7D8F42B2" w:rsidR="00567DC6" w:rsidRPr="00745FE4" w:rsidRDefault="00567DC6" w:rsidP="00567DC6">
      <w:pPr>
        <w:spacing w:line="360" w:lineRule="auto"/>
        <w:jc w:val="both"/>
        <w:rPr>
          <w:rFonts w:ascii="Arial" w:hAnsi="Arial" w:cs="Arial"/>
          <w:sz w:val="22"/>
          <w:szCs w:val="22"/>
          <w:lang w:val="fr-FR"/>
        </w:rPr>
      </w:pPr>
      <w:r w:rsidRPr="00745FE4">
        <w:rPr>
          <w:rFonts w:ascii="Arial" w:hAnsi="Arial" w:cs="Arial"/>
          <w:sz w:val="22"/>
          <w:szCs w:val="22"/>
          <w:lang w:val="fr-FR"/>
        </w:rPr>
        <w:t xml:space="preserve">Conclusion…………………………………………………………………………………Page </w:t>
      </w:r>
      <w:r w:rsidR="001C30EE">
        <w:rPr>
          <w:rFonts w:ascii="Arial" w:hAnsi="Arial" w:cs="Arial"/>
          <w:sz w:val="22"/>
          <w:szCs w:val="22"/>
          <w:lang w:val="fr-FR"/>
        </w:rPr>
        <w:t>8</w:t>
      </w:r>
    </w:p>
    <w:p w14:paraId="53F15A25" w14:textId="32C331B3" w:rsidR="00F523B7" w:rsidRPr="00745FE4" w:rsidRDefault="00F523B7" w:rsidP="00567DC6">
      <w:pPr>
        <w:spacing w:line="360" w:lineRule="auto"/>
        <w:jc w:val="both"/>
        <w:rPr>
          <w:rFonts w:ascii="Arial" w:hAnsi="Arial" w:cs="Arial"/>
          <w:sz w:val="22"/>
          <w:szCs w:val="22"/>
          <w:lang w:val="fr-FR"/>
        </w:rPr>
      </w:pPr>
      <w:r w:rsidRPr="00745FE4">
        <w:rPr>
          <w:rFonts w:ascii="Arial" w:hAnsi="Arial" w:cs="Arial"/>
          <w:sz w:val="22"/>
          <w:szCs w:val="22"/>
          <w:lang w:val="fr-FR"/>
        </w:rPr>
        <w:t>Reference</w:t>
      </w:r>
      <w:r w:rsidR="00A00468">
        <w:rPr>
          <w:rFonts w:ascii="Arial" w:hAnsi="Arial" w:cs="Arial"/>
          <w:sz w:val="22"/>
          <w:szCs w:val="22"/>
          <w:lang w:val="fr-FR"/>
        </w:rPr>
        <w:t xml:space="preserve"> </w:t>
      </w:r>
      <w:r w:rsidRPr="00745FE4">
        <w:rPr>
          <w:rFonts w:ascii="Arial" w:hAnsi="Arial" w:cs="Arial"/>
          <w:sz w:val="22"/>
          <w:szCs w:val="22"/>
          <w:lang w:val="fr-FR"/>
        </w:rPr>
        <w:t>Page……………………………………………………………………</w:t>
      </w:r>
      <w:r w:rsidR="006F021E" w:rsidRPr="00745FE4">
        <w:rPr>
          <w:rFonts w:ascii="Arial" w:hAnsi="Arial" w:cs="Arial"/>
          <w:sz w:val="22"/>
          <w:szCs w:val="22"/>
          <w:lang w:val="fr-FR"/>
        </w:rPr>
        <w:t>…….. Page</w:t>
      </w:r>
      <w:r w:rsidRPr="00745FE4">
        <w:rPr>
          <w:rFonts w:ascii="Arial" w:hAnsi="Arial" w:cs="Arial"/>
          <w:sz w:val="22"/>
          <w:szCs w:val="22"/>
          <w:lang w:val="fr-FR"/>
        </w:rPr>
        <w:t xml:space="preserve"> </w:t>
      </w:r>
      <w:r w:rsidR="001C30EE">
        <w:rPr>
          <w:rFonts w:ascii="Arial" w:hAnsi="Arial" w:cs="Arial"/>
          <w:sz w:val="22"/>
          <w:szCs w:val="22"/>
          <w:lang w:val="fr-FR"/>
        </w:rPr>
        <w:t>9</w:t>
      </w:r>
    </w:p>
    <w:p w14:paraId="3A397C7D" w14:textId="77777777" w:rsidR="00567DC6" w:rsidRPr="00745FE4" w:rsidRDefault="00567DC6" w:rsidP="00567DC6">
      <w:pPr>
        <w:spacing w:line="360" w:lineRule="auto"/>
        <w:jc w:val="both"/>
        <w:rPr>
          <w:rFonts w:ascii="Arial" w:hAnsi="Arial" w:cs="Arial"/>
          <w:sz w:val="22"/>
          <w:szCs w:val="22"/>
          <w:lang w:val="fr-FR"/>
        </w:rPr>
      </w:pPr>
    </w:p>
    <w:p w14:paraId="32E75B02" w14:textId="77777777" w:rsidR="00A70F30" w:rsidRPr="00745FE4" w:rsidRDefault="00A70F30" w:rsidP="009E798C">
      <w:pPr>
        <w:jc w:val="both"/>
        <w:rPr>
          <w:rFonts w:ascii="Arial" w:hAnsi="Arial" w:cs="Arial"/>
          <w:sz w:val="32"/>
          <w:szCs w:val="32"/>
          <w:lang w:val="fr-FR"/>
        </w:rPr>
      </w:pPr>
    </w:p>
    <w:p w14:paraId="7C9A1660" w14:textId="77777777" w:rsidR="00567DC6" w:rsidRPr="00745FE4" w:rsidRDefault="00567DC6" w:rsidP="00735D24">
      <w:pPr>
        <w:spacing w:line="360" w:lineRule="auto"/>
        <w:jc w:val="both"/>
        <w:rPr>
          <w:rFonts w:ascii="Arial" w:hAnsi="Arial" w:cs="Arial"/>
          <w:sz w:val="32"/>
          <w:szCs w:val="32"/>
          <w:lang w:val="fr-FR"/>
        </w:rPr>
      </w:pPr>
    </w:p>
    <w:p w14:paraId="02E8D0E1" w14:textId="77777777" w:rsidR="00567DC6" w:rsidRPr="00745FE4" w:rsidRDefault="00567DC6" w:rsidP="00735D24">
      <w:pPr>
        <w:spacing w:line="360" w:lineRule="auto"/>
        <w:jc w:val="both"/>
        <w:rPr>
          <w:rFonts w:ascii="Arial" w:hAnsi="Arial" w:cs="Arial"/>
          <w:sz w:val="32"/>
          <w:szCs w:val="32"/>
          <w:lang w:val="fr-FR"/>
        </w:rPr>
      </w:pPr>
    </w:p>
    <w:p w14:paraId="3A9C4E3B" w14:textId="77777777" w:rsidR="00567DC6" w:rsidRPr="004D2DFF" w:rsidRDefault="00567DC6" w:rsidP="00976024">
      <w:pPr>
        <w:spacing w:line="360" w:lineRule="auto"/>
        <w:jc w:val="both"/>
        <w:rPr>
          <w:rFonts w:ascii="Arial" w:hAnsi="Arial" w:cs="Arial"/>
          <w:sz w:val="22"/>
          <w:szCs w:val="22"/>
          <w:lang w:val="fr-FR"/>
        </w:rPr>
      </w:pPr>
    </w:p>
    <w:p w14:paraId="463D5DB9" w14:textId="77777777" w:rsidR="00567DC6" w:rsidRPr="004D2DFF" w:rsidRDefault="00567DC6" w:rsidP="00976024">
      <w:pPr>
        <w:spacing w:line="360" w:lineRule="auto"/>
        <w:jc w:val="both"/>
        <w:rPr>
          <w:rFonts w:ascii="Arial" w:hAnsi="Arial" w:cs="Arial"/>
          <w:sz w:val="22"/>
          <w:szCs w:val="22"/>
          <w:lang w:val="fr-FR"/>
        </w:rPr>
      </w:pPr>
    </w:p>
    <w:p w14:paraId="556F4A4A" w14:textId="77777777" w:rsidR="00567DC6" w:rsidRPr="004D2DFF" w:rsidRDefault="00567DC6" w:rsidP="00976024">
      <w:pPr>
        <w:spacing w:line="360" w:lineRule="auto"/>
        <w:jc w:val="both"/>
        <w:rPr>
          <w:rFonts w:ascii="Arial" w:hAnsi="Arial" w:cs="Arial"/>
          <w:sz w:val="22"/>
          <w:szCs w:val="22"/>
          <w:lang w:val="fr-FR"/>
        </w:rPr>
      </w:pPr>
    </w:p>
    <w:p w14:paraId="75A8C76D" w14:textId="77777777" w:rsidR="00567DC6" w:rsidRPr="004D2DFF" w:rsidRDefault="00567DC6" w:rsidP="00976024">
      <w:pPr>
        <w:spacing w:line="360" w:lineRule="auto"/>
        <w:jc w:val="both"/>
        <w:rPr>
          <w:rFonts w:ascii="Arial" w:hAnsi="Arial" w:cs="Arial"/>
          <w:sz w:val="22"/>
          <w:szCs w:val="22"/>
          <w:lang w:val="fr-FR"/>
        </w:rPr>
      </w:pPr>
    </w:p>
    <w:p w14:paraId="43D27660" w14:textId="77777777" w:rsidR="00567DC6" w:rsidRPr="004D2DFF" w:rsidRDefault="00567DC6" w:rsidP="00976024">
      <w:pPr>
        <w:spacing w:line="360" w:lineRule="auto"/>
        <w:jc w:val="both"/>
        <w:rPr>
          <w:rFonts w:ascii="Arial" w:hAnsi="Arial" w:cs="Arial"/>
          <w:sz w:val="22"/>
          <w:szCs w:val="22"/>
          <w:lang w:val="fr-FR"/>
        </w:rPr>
      </w:pPr>
    </w:p>
    <w:p w14:paraId="398BEFA8" w14:textId="77777777" w:rsidR="003D5792" w:rsidRPr="00A03DD1" w:rsidRDefault="003D5792" w:rsidP="00976024">
      <w:pPr>
        <w:spacing w:line="360" w:lineRule="auto"/>
        <w:jc w:val="both"/>
        <w:rPr>
          <w:rFonts w:ascii="Arial" w:hAnsi="Arial" w:cs="Arial"/>
          <w:b/>
          <w:bCs/>
          <w:sz w:val="22"/>
          <w:szCs w:val="22"/>
          <w:u w:val="single"/>
          <w:lang w:val="fr-FR"/>
        </w:rPr>
      </w:pPr>
    </w:p>
    <w:p w14:paraId="3833371D" w14:textId="77777777" w:rsidR="00A03DD1" w:rsidRPr="00A129D7" w:rsidRDefault="00A03DD1" w:rsidP="00976024">
      <w:pPr>
        <w:spacing w:line="360" w:lineRule="auto"/>
        <w:jc w:val="both"/>
        <w:rPr>
          <w:rFonts w:ascii="Arial" w:hAnsi="Arial" w:cs="Arial"/>
          <w:b/>
          <w:bCs/>
          <w:sz w:val="22"/>
          <w:szCs w:val="22"/>
          <w:u w:val="single"/>
          <w:lang w:val="fr-FR"/>
        </w:rPr>
      </w:pPr>
    </w:p>
    <w:p w14:paraId="3077882F" w14:textId="77777777" w:rsidR="001C30EE" w:rsidRDefault="001C30EE" w:rsidP="00976024">
      <w:pPr>
        <w:spacing w:line="360" w:lineRule="auto"/>
        <w:jc w:val="both"/>
        <w:rPr>
          <w:rFonts w:ascii="Arial" w:hAnsi="Arial" w:cs="Arial"/>
          <w:b/>
          <w:bCs/>
          <w:sz w:val="22"/>
          <w:szCs w:val="22"/>
          <w:u w:val="single"/>
          <w:lang w:val="fr-FR"/>
        </w:rPr>
      </w:pPr>
    </w:p>
    <w:p w14:paraId="4E3B39C6" w14:textId="69244BA9" w:rsidR="009A182D" w:rsidRPr="001C30EE" w:rsidRDefault="00B21B6F" w:rsidP="00976024">
      <w:pPr>
        <w:spacing w:line="360" w:lineRule="auto"/>
        <w:jc w:val="both"/>
        <w:rPr>
          <w:rFonts w:ascii="Arial" w:hAnsi="Arial" w:cs="Arial"/>
          <w:b/>
          <w:bCs/>
          <w:sz w:val="22"/>
          <w:szCs w:val="22"/>
          <w:u w:val="single"/>
          <w:lang w:val="fr-FR"/>
        </w:rPr>
      </w:pPr>
      <w:r w:rsidRPr="001C30EE">
        <w:rPr>
          <w:rFonts w:ascii="Arial" w:hAnsi="Arial" w:cs="Arial"/>
          <w:b/>
          <w:bCs/>
          <w:sz w:val="22"/>
          <w:szCs w:val="22"/>
          <w:u w:val="single"/>
          <w:lang w:val="fr-FR"/>
        </w:rPr>
        <w:lastRenderedPageBreak/>
        <w:t>Introduction</w:t>
      </w:r>
      <w:r w:rsidR="00B9421F" w:rsidRPr="001C30EE">
        <w:rPr>
          <w:rFonts w:ascii="Arial" w:hAnsi="Arial" w:cs="Arial"/>
          <w:b/>
          <w:bCs/>
          <w:sz w:val="22"/>
          <w:szCs w:val="22"/>
          <w:u w:val="single"/>
          <w:lang w:val="fr-FR"/>
        </w:rPr>
        <w:t xml:space="preserve"> </w:t>
      </w:r>
    </w:p>
    <w:p w14:paraId="4DE0B31A" w14:textId="4F0E3678"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Anorexia nervosa (AN) is a severe mental illness </w:t>
      </w:r>
      <w:r w:rsidR="00D749AC" w:rsidRPr="004D2DFF">
        <w:rPr>
          <w:rFonts w:ascii="Arial" w:hAnsi="Arial" w:cs="Arial"/>
          <w:sz w:val="22"/>
          <w:szCs w:val="22"/>
        </w:rPr>
        <w:t xml:space="preserve">Identified </w:t>
      </w:r>
      <w:r w:rsidRPr="004D2DFF">
        <w:rPr>
          <w:rFonts w:ascii="Arial" w:hAnsi="Arial" w:cs="Arial"/>
          <w:sz w:val="22"/>
          <w:szCs w:val="22"/>
        </w:rPr>
        <w:t xml:space="preserve">by an intense fear of gaining weight, persistent restriction of caloric intake, and significant distortions in self-perceived weight or shape. The condition carries considerable psychological, physiological, and social consequences and is associated with one of the highest mortality rates among mental disorders. According to the ICD-11 classification system, AN is </w:t>
      </w:r>
      <w:r w:rsidR="00982245" w:rsidRPr="004D2DFF">
        <w:rPr>
          <w:rFonts w:ascii="Arial" w:hAnsi="Arial" w:cs="Arial"/>
          <w:sz w:val="22"/>
          <w:szCs w:val="22"/>
        </w:rPr>
        <w:t xml:space="preserve">Identified by </w:t>
      </w:r>
      <w:r w:rsidRPr="004D2DFF">
        <w:rPr>
          <w:rFonts w:ascii="Arial" w:hAnsi="Arial" w:cs="Arial"/>
          <w:sz w:val="22"/>
          <w:szCs w:val="22"/>
        </w:rPr>
        <w:t xml:space="preserve">under code 6B80 as a complex disorder influenced by biological, psychological, and social factors (World Health </w:t>
      </w:r>
      <w:r w:rsidR="001A38D9" w:rsidRPr="004D2DFF">
        <w:rPr>
          <w:rFonts w:ascii="Arial" w:hAnsi="Arial" w:cs="Arial"/>
          <w:sz w:val="22"/>
          <w:szCs w:val="22"/>
        </w:rPr>
        <w:t>Organization</w:t>
      </w:r>
      <w:r w:rsidRPr="004D2DFF">
        <w:rPr>
          <w:rFonts w:ascii="Arial" w:hAnsi="Arial" w:cs="Arial"/>
          <w:sz w:val="22"/>
          <w:szCs w:val="22"/>
        </w:rPr>
        <w:t>, 2019). Unlike ICD-10, ICD-11 removes amenorrhea as a diagnostic criterion and</w:t>
      </w:r>
      <w:r w:rsidR="00396761" w:rsidRPr="004D2DFF">
        <w:rPr>
          <w:rFonts w:ascii="Arial" w:hAnsi="Arial" w:cs="Arial"/>
          <w:sz w:val="22"/>
          <w:szCs w:val="22"/>
        </w:rPr>
        <w:t xml:space="preserve"> focuses on</w:t>
      </w:r>
      <w:r w:rsidRPr="004D2DFF">
        <w:rPr>
          <w:rFonts w:ascii="Arial" w:hAnsi="Arial" w:cs="Arial"/>
          <w:sz w:val="22"/>
          <w:szCs w:val="22"/>
        </w:rPr>
        <w:t xml:space="preserve"> clinical judgement over rigid body mass index thresholds, aligning more closely with DSM-5 recommendations. This flexibility promotes inclusivity across genders, developmental stages, and neurodivergent populations but has prompted debate regarding reliability and comparability in research and clinical practice.</w:t>
      </w:r>
    </w:p>
    <w:p w14:paraId="4043DDAA" w14:textId="27A81490"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Beyond diagnostic considerations, AN presents substantial challenges in clinical management. Individuals often struggle with cognitive rigidity, emotional dysregulation, and entrenched </w:t>
      </w:r>
      <w:r w:rsidR="002234BF" w:rsidRPr="004D2DFF">
        <w:rPr>
          <w:rFonts w:ascii="Arial" w:hAnsi="Arial" w:cs="Arial"/>
          <w:sz w:val="22"/>
          <w:szCs w:val="22"/>
        </w:rPr>
        <w:t>behavioural</w:t>
      </w:r>
      <w:r w:rsidRPr="004D2DFF">
        <w:rPr>
          <w:rFonts w:ascii="Arial" w:hAnsi="Arial" w:cs="Arial"/>
          <w:sz w:val="22"/>
          <w:szCs w:val="22"/>
        </w:rPr>
        <w:t xml:space="preserve"> patterns, which can limit the effectiveness of conventional interventions. Families, carers, and wider support systems are similarly affected, facing significant emotional and practical demands </w:t>
      </w:r>
      <w:r w:rsidR="00A03574" w:rsidRPr="004D2DFF">
        <w:rPr>
          <w:rFonts w:ascii="Arial" w:hAnsi="Arial" w:cs="Arial"/>
          <w:sz w:val="22"/>
          <w:szCs w:val="22"/>
        </w:rPr>
        <w:t xml:space="preserve">Cogodi </w:t>
      </w:r>
      <w:r w:rsidR="00A03574" w:rsidRPr="004D2DFF">
        <w:rPr>
          <w:rFonts w:ascii="Arial" w:hAnsi="Arial" w:cs="Arial"/>
          <w:i/>
          <w:iCs/>
          <w:sz w:val="22"/>
          <w:szCs w:val="22"/>
        </w:rPr>
        <w:t>et al.</w:t>
      </w:r>
      <w:r w:rsidR="00B75140">
        <w:rPr>
          <w:rFonts w:ascii="Arial" w:hAnsi="Arial" w:cs="Arial"/>
          <w:i/>
          <w:iCs/>
          <w:sz w:val="22"/>
          <w:szCs w:val="22"/>
        </w:rPr>
        <w:t>,</w:t>
      </w:r>
      <w:r w:rsidR="00A03574" w:rsidRPr="004D2DFF">
        <w:rPr>
          <w:rFonts w:ascii="Arial" w:hAnsi="Arial" w:cs="Arial"/>
          <w:sz w:val="22"/>
          <w:szCs w:val="22"/>
        </w:rPr>
        <w:t xml:space="preserve"> (2024)</w:t>
      </w:r>
      <w:r w:rsidR="00FB262D" w:rsidRPr="004D2DFF">
        <w:rPr>
          <w:rFonts w:ascii="Arial" w:hAnsi="Arial" w:cs="Arial"/>
          <w:sz w:val="22"/>
          <w:szCs w:val="22"/>
        </w:rPr>
        <w:t xml:space="preserve">. </w:t>
      </w:r>
      <w:r w:rsidRPr="004D2DFF">
        <w:rPr>
          <w:rFonts w:ascii="Arial" w:hAnsi="Arial" w:cs="Arial"/>
          <w:sz w:val="22"/>
          <w:szCs w:val="22"/>
        </w:rPr>
        <w:t>Disparities in timely access to treatment, lengthy waiting lists, and regional variations further complicate care (Ayton et al., 2022). This report critically examines AN within the ICD-11 framework, compares it to DSM-5, evaluates treatment and rehabilitation approaches, and explores emerging debates, including neurodivergence and reclassification, to inform evidence-based clinical practice.</w:t>
      </w:r>
    </w:p>
    <w:p w14:paraId="598C5CDB" w14:textId="1AEA0166"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21229258" w14:textId="34FD76E8" w:rsidR="00736CB2" w:rsidRPr="001C30EE" w:rsidRDefault="009A182D" w:rsidP="00976024">
      <w:pPr>
        <w:spacing w:line="360" w:lineRule="auto"/>
        <w:jc w:val="both"/>
        <w:rPr>
          <w:rFonts w:ascii="Arial" w:hAnsi="Arial" w:cs="Arial"/>
          <w:sz w:val="22"/>
          <w:szCs w:val="22"/>
        </w:rPr>
      </w:pPr>
      <w:r w:rsidRPr="004D2DFF">
        <w:rPr>
          <w:rFonts w:ascii="Arial" w:hAnsi="Arial" w:cs="Arial"/>
          <w:sz w:val="22"/>
          <w:szCs w:val="22"/>
        </w:rPr>
        <w:t xml:space="preserve"> </w:t>
      </w:r>
      <w:r w:rsidR="00736CB2" w:rsidRPr="00A03DD1">
        <w:rPr>
          <w:rFonts w:ascii="Arial" w:hAnsi="Arial" w:cs="Arial"/>
          <w:b/>
          <w:bCs/>
          <w:sz w:val="22"/>
          <w:szCs w:val="22"/>
          <w:u w:val="single"/>
        </w:rPr>
        <w:t>Overview of ICD-11 Classification and Diagnosis</w:t>
      </w:r>
    </w:p>
    <w:p w14:paraId="4654F28A" w14:textId="398431A2"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t xml:space="preserve">According to the ICD-11, anorexia nervosa (AN) is </w:t>
      </w:r>
      <w:r w:rsidR="00DD6DC8" w:rsidRPr="004D2DFF">
        <w:rPr>
          <w:rFonts w:ascii="Arial" w:hAnsi="Arial" w:cs="Arial"/>
          <w:sz w:val="22"/>
          <w:szCs w:val="22"/>
        </w:rPr>
        <w:t>Identified by</w:t>
      </w:r>
      <w:r w:rsidRPr="004D2DFF">
        <w:rPr>
          <w:rFonts w:ascii="Arial" w:hAnsi="Arial" w:cs="Arial"/>
          <w:sz w:val="22"/>
          <w:szCs w:val="22"/>
        </w:rPr>
        <w:t xml:space="preserve"> persistent </w:t>
      </w:r>
      <w:r w:rsidR="002234BF" w:rsidRPr="004D2DFF">
        <w:rPr>
          <w:rFonts w:ascii="Arial" w:hAnsi="Arial" w:cs="Arial"/>
          <w:sz w:val="22"/>
          <w:szCs w:val="22"/>
        </w:rPr>
        <w:t>behaviours</w:t>
      </w:r>
      <w:r w:rsidRPr="004D2DFF">
        <w:rPr>
          <w:rFonts w:ascii="Arial" w:hAnsi="Arial" w:cs="Arial"/>
          <w:sz w:val="22"/>
          <w:szCs w:val="22"/>
        </w:rPr>
        <w:t xml:space="preserve"> that significantly restrict weight gain, an intense fear of gaining weight or becoming fat, and an extremely low body weight relative to an individual’s age, developmental trajectory, and prior weight history (World Health </w:t>
      </w:r>
      <w:r w:rsidRPr="00526977">
        <w:rPr>
          <w:rFonts w:ascii="Arial" w:hAnsi="Arial" w:cs="Arial"/>
          <w:sz w:val="22"/>
          <w:szCs w:val="22"/>
        </w:rPr>
        <w:t>Organisation</w:t>
      </w:r>
      <w:r w:rsidRPr="004D2DFF">
        <w:rPr>
          <w:rFonts w:ascii="Arial" w:hAnsi="Arial" w:cs="Arial"/>
          <w:sz w:val="22"/>
          <w:szCs w:val="22"/>
        </w:rPr>
        <w:t>, 2019). Importantly, amenorrhea is no longer required as a diagnostic criterion, which represents a departure from ICD-10 definitions and aligns the ICD-11 more closely with DSM-5 recommendations (American Psychiatric Association, 2013). This change facilitates the diagnosis of individuals across different genders and developmental stages, thereby promoting inclusivity in clinical practice.</w:t>
      </w:r>
    </w:p>
    <w:p w14:paraId="43E9774B" w14:textId="52ECDA6B"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lastRenderedPageBreak/>
        <w:t xml:space="preserve">The ICD-11 </w:t>
      </w:r>
      <w:r w:rsidR="00201DDE" w:rsidRPr="004D2DFF">
        <w:rPr>
          <w:rFonts w:ascii="Arial" w:hAnsi="Arial" w:cs="Arial"/>
          <w:sz w:val="22"/>
          <w:szCs w:val="22"/>
        </w:rPr>
        <w:t>Highlights</w:t>
      </w:r>
      <w:r w:rsidRPr="004D2DFF">
        <w:rPr>
          <w:rFonts w:ascii="Arial" w:hAnsi="Arial" w:cs="Arial"/>
          <w:sz w:val="22"/>
          <w:szCs w:val="22"/>
        </w:rPr>
        <w:t xml:space="preserve"> clinical judgement over strict reliance on numerical thresholds such as body mass index (BMI). Practitioners are encouraged to consider weight in the context of age, height, and previous growth patterns, rather than applying rigid cut-offs (Bul</w:t>
      </w:r>
      <w:r w:rsidR="002F2D2F" w:rsidRPr="004D2DFF">
        <w:rPr>
          <w:rFonts w:ascii="Arial" w:hAnsi="Arial" w:cs="Arial"/>
          <w:sz w:val="22"/>
          <w:szCs w:val="22"/>
        </w:rPr>
        <w:t>i</w:t>
      </w:r>
      <w:r w:rsidRPr="004D2DFF">
        <w:rPr>
          <w:rFonts w:ascii="Arial" w:hAnsi="Arial" w:cs="Arial"/>
          <w:sz w:val="22"/>
          <w:szCs w:val="22"/>
        </w:rPr>
        <w:t xml:space="preserve">k et al., 2019). This flexible approach aims to accommodate individual variations in physical development and provide a more </w:t>
      </w:r>
      <w:r w:rsidR="0087055F" w:rsidRPr="004D2DFF">
        <w:rPr>
          <w:rFonts w:ascii="Arial" w:hAnsi="Arial" w:cs="Arial"/>
          <w:sz w:val="22"/>
          <w:szCs w:val="22"/>
        </w:rPr>
        <w:t>Patient-</w:t>
      </w:r>
      <w:r w:rsidR="002E1123" w:rsidRPr="004D2DFF">
        <w:rPr>
          <w:rFonts w:ascii="Arial" w:hAnsi="Arial" w:cs="Arial"/>
          <w:sz w:val="22"/>
          <w:szCs w:val="22"/>
        </w:rPr>
        <w:t>centred</w:t>
      </w:r>
      <w:r w:rsidR="0087055F" w:rsidRPr="004D2DFF">
        <w:rPr>
          <w:rFonts w:ascii="Arial" w:hAnsi="Arial" w:cs="Arial"/>
          <w:sz w:val="22"/>
          <w:szCs w:val="22"/>
        </w:rPr>
        <w:t xml:space="preserve"> </w:t>
      </w:r>
      <w:r w:rsidRPr="004D2DFF">
        <w:rPr>
          <w:rFonts w:ascii="Arial" w:hAnsi="Arial" w:cs="Arial"/>
          <w:sz w:val="22"/>
          <w:szCs w:val="22"/>
        </w:rPr>
        <w:t>assessment of health risk and severity of symptoms.</w:t>
      </w:r>
    </w:p>
    <w:p w14:paraId="6E9245F2" w14:textId="77777777"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t>Nevertheless, this flexibility has generated debate within the clinical and research communities. Critics argue that the absence of strict diagnostic thresholds may lead to inter-rater variability, potentially reducing reliability in clinical practice and complicating epidemiological research. This could impact service provision, treatment planning, and the comparability of prevalence data across different countries and cultures (Department of Health and Social Care, 2015). Overall, while the ICD-11 offers a more nuanced and inclusive framework for diagnosing AN, it requires careful clinical judgement to balance flexibility with diagnostic accuracy, ensuring consistent and effective patient care.</w:t>
      </w:r>
    </w:p>
    <w:p w14:paraId="57645478" w14:textId="77777777" w:rsidR="00736CB2" w:rsidRPr="004D2DFF" w:rsidRDefault="00736CB2" w:rsidP="00976024">
      <w:pPr>
        <w:spacing w:line="360" w:lineRule="auto"/>
        <w:jc w:val="both"/>
        <w:rPr>
          <w:rFonts w:ascii="Arial" w:hAnsi="Arial" w:cs="Arial"/>
          <w:sz w:val="22"/>
          <w:szCs w:val="22"/>
        </w:rPr>
      </w:pPr>
    </w:p>
    <w:p w14:paraId="692F1A81" w14:textId="77777777" w:rsidR="00DA7207" w:rsidRPr="001C30EE" w:rsidRDefault="00DA7207" w:rsidP="00976024">
      <w:pPr>
        <w:spacing w:line="360" w:lineRule="auto"/>
        <w:jc w:val="both"/>
        <w:rPr>
          <w:rFonts w:ascii="Arial" w:hAnsi="Arial" w:cs="Arial"/>
          <w:b/>
          <w:bCs/>
          <w:sz w:val="22"/>
          <w:szCs w:val="22"/>
          <w:u w:val="single"/>
        </w:rPr>
      </w:pPr>
      <w:r w:rsidRPr="001C30EE">
        <w:rPr>
          <w:rFonts w:ascii="Arial" w:hAnsi="Arial" w:cs="Arial"/>
          <w:b/>
          <w:bCs/>
          <w:sz w:val="22"/>
          <w:szCs w:val="22"/>
          <w:u w:val="single"/>
        </w:rPr>
        <w:t>Current Debates: Classification, Neurodivergence, and Reclassification</w:t>
      </w:r>
    </w:p>
    <w:p w14:paraId="1557BC9E" w14:textId="629548AE" w:rsidR="002A4204" w:rsidRPr="004D2DFF" w:rsidRDefault="002A4204" w:rsidP="00976024">
      <w:pPr>
        <w:spacing w:line="360" w:lineRule="auto"/>
        <w:jc w:val="both"/>
        <w:rPr>
          <w:rFonts w:ascii="Arial" w:hAnsi="Arial" w:cs="Arial"/>
          <w:sz w:val="22"/>
          <w:szCs w:val="22"/>
        </w:rPr>
      </w:pPr>
      <w:r w:rsidRPr="004D2DFF">
        <w:rPr>
          <w:rFonts w:ascii="Arial" w:hAnsi="Arial" w:cs="Arial"/>
          <w:sz w:val="22"/>
          <w:szCs w:val="22"/>
        </w:rPr>
        <w:t xml:space="preserve">A comprehensive assessment of anorexia nervosa (AN) requires evaluation of </w:t>
      </w:r>
      <w:r w:rsidR="002E1123" w:rsidRPr="004D2DFF">
        <w:rPr>
          <w:rFonts w:ascii="Arial" w:hAnsi="Arial" w:cs="Arial"/>
          <w:sz w:val="22"/>
          <w:szCs w:val="22"/>
        </w:rPr>
        <w:t>behavioural</w:t>
      </w:r>
      <w:r w:rsidRPr="004D2DFF">
        <w:rPr>
          <w:rFonts w:ascii="Arial" w:hAnsi="Arial" w:cs="Arial"/>
          <w:sz w:val="22"/>
          <w:szCs w:val="22"/>
        </w:rPr>
        <w:t xml:space="preserve">, psychological, and physical criteria. According to ICD-11, AN is classified as a “mental disorder” in Chapter 6B, with core diagnostic features including persistent restriction of energy intake, intense fear of gaining weight, and disturbance in self-perceived weight or shape, and severity coded as mild, moderate, or severe depending on health impact and functional impairment (World Health Organisation, 2019). Clinicians assess </w:t>
      </w:r>
      <w:r w:rsidR="002E1123" w:rsidRPr="004D2DFF">
        <w:rPr>
          <w:rFonts w:ascii="Arial" w:hAnsi="Arial" w:cs="Arial"/>
          <w:sz w:val="22"/>
          <w:szCs w:val="22"/>
        </w:rPr>
        <w:t>behavioural</w:t>
      </w:r>
      <w:r w:rsidRPr="004D2DFF">
        <w:rPr>
          <w:rFonts w:ascii="Arial" w:hAnsi="Arial" w:cs="Arial"/>
          <w:sz w:val="22"/>
          <w:szCs w:val="22"/>
        </w:rPr>
        <w:t xml:space="preserve"> indicators such as restrictive eating, excessive physical activity, low body weight, and distorted self-perception. Medical evaluation is crucial due to physiological complications, including hormonal imbalances, electrolyte disturbances, bone density loss, and cardiovascular abnormalities, which often require urgent attention prior to psychiatric interventions (</w:t>
      </w:r>
      <w:r w:rsidR="00201DDE" w:rsidRPr="004D2DFF">
        <w:rPr>
          <w:rFonts w:ascii="Arial" w:hAnsi="Arial" w:cs="Arial"/>
          <w:sz w:val="22"/>
          <w:szCs w:val="22"/>
        </w:rPr>
        <w:t>Baena’s</w:t>
      </w:r>
      <w:r w:rsidRPr="004D2DFF">
        <w:rPr>
          <w:rFonts w:ascii="Arial" w:hAnsi="Arial" w:cs="Arial"/>
          <w:sz w:val="22"/>
          <w:szCs w:val="22"/>
        </w:rPr>
        <w:t xml:space="preserve"> et al., 2024).</w:t>
      </w:r>
    </w:p>
    <w:p w14:paraId="61EBC5F9" w14:textId="51876DE0" w:rsidR="002A4204" w:rsidRPr="004D2DFF" w:rsidRDefault="002A4204" w:rsidP="00976024">
      <w:pPr>
        <w:spacing w:line="360" w:lineRule="auto"/>
        <w:jc w:val="both"/>
        <w:rPr>
          <w:rFonts w:ascii="Arial" w:hAnsi="Arial" w:cs="Arial"/>
          <w:sz w:val="22"/>
          <w:szCs w:val="22"/>
        </w:rPr>
      </w:pPr>
      <w:r w:rsidRPr="004D2DFF">
        <w:rPr>
          <w:rFonts w:ascii="Arial" w:hAnsi="Arial" w:cs="Arial"/>
          <w:sz w:val="22"/>
          <w:szCs w:val="22"/>
        </w:rPr>
        <w:t xml:space="preserve">Epidemiological research indicates that AN </w:t>
      </w:r>
      <w:r w:rsidR="00DD6DC8" w:rsidRPr="004D2DFF">
        <w:rPr>
          <w:rFonts w:ascii="Arial" w:hAnsi="Arial" w:cs="Arial"/>
          <w:sz w:val="22"/>
          <w:szCs w:val="22"/>
        </w:rPr>
        <w:t>carry</w:t>
      </w:r>
      <w:r w:rsidRPr="004D2DFF">
        <w:rPr>
          <w:rFonts w:ascii="Arial" w:hAnsi="Arial" w:cs="Arial"/>
          <w:sz w:val="22"/>
          <w:szCs w:val="22"/>
        </w:rPr>
        <w:t xml:space="preserve"> a high mortality risk despite being relatively uncommon compared to other eating disorders. Males and minority populations are frequently underdiagnosed, which may distort prevalence data and hinder equitable service provision (</w:t>
      </w:r>
      <w:r w:rsidR="00201DDE" w:rsidRPr="004D2DFF">
        <w:rPr>
          <w:rFonts w:ascii="Arial" w:hAnsi="Arial" w:cs="Arial"/>
          <w:sz w:val="22"/>
          <w:szCs w:val="22"/>
        </w:rPr>
        <w:t>Mical</w:t>
      </w:r>
      <w:r w:rsidR="0054227B" w:rsidRPr="004D2DFF">
        <w:rPr>
          <w:rFonts w:ascii="Arial" w:hAnsi="Arial" w:cs="Arial"/>
          <w:sz w:val="22"/>
          <w:szCs w:val="22"/>
        </w:rPr>
        <w:t>i</w:t>
      </w:r>
      <w:r w:rsidR="002F7D87" w:rsidRPr="004D2DFF">
        <w:rPr>
          <w:rFonts w:ascii="Arial" w:hAnsi="Arial" w:cs="Arial"/>
          <w:sz w:val="22"/>
          <w:szCs w:val="22"/>
        </w:rPr>
        <w:t xml:space="preserve"> et</w:t>
      </w:r>
      <w:r w:rsidR="00871D5B" w:rsidRPr="004D2DFF">
        <w:rPr>
          <w:rFonts w:ascii="Arial" w:hAnsi="Arial" w:cs="Arial"/>
          <w:sz w:val="22"/>
          <w:szCs w:val="22"/>
        </w:rPr>
        <w:t xml:space="preserve"> al,.</w:t>
      </w:r>
      <w:r w:rsidRPr="004D2DFF">
        <w:rPr>
          <w:rFonts w:ascii="Arial" w:hAnsi="Arial" w:cs="Arial"/>
          <w:sz w:val="22"/>
          <w:szCs w:val="22"/>
        </w:rPr>
        <w:t xml:space="preserve"> 2013). Current debates increasingly focus on AN’s classification and its intersection with neurodiversity. Individuals with AN often display cognitive rigidity, impaired social cognition, and heightened attention to detail—traits observed in neurodevelopmental conditions such as autism spectrum disorder (ASD) (Westwood </w:t>
      </w:r>
      <w:r w:rsidR="00871D5B" w:rsidRPr="004D2DFF">
        <w:rPr>
          <w:rFonts w:ascii="Arial" w:hAnsi="Arial" w:cs="Arial"/>
          <w:sz w:val="22"/>
          <w:szCs w:val="22"/>
        </w:rPr>
        <w:t>and</w:t>
      </w:r>
      <w:r w:rsidRPr="004D2DFF">
        <w:rPr>
          <w:rFonts w:ascii="Arial" w:hAnsi="Arial" w:cs="Arial"/>
          <w:sz w:val="22"/>
          <w:szCs w:val="22"/>
        </w:rPr>
        <w:t xml:space="preserve"> </w:t>
      </w:r>
      <w:r w:rsidR="004303B6" w:rsidRPr="004D2DFF">
        <w:rPr>
          <w:rFonts w:ascii="Arial" w:hAnsi="Arial" w:cs="Arial"/>
          <w:sz w:val="22"/>
          <w:szCs w:val="22"/>
        </w:rPr>
        <w:t>Chanteria</w:t>
      </w:r>
      <w:r w:rsidRPr="004D2DFF">
        <w:rPr>
          <w:rFonts w:ascii="Arial" w:hAnsi="Arial" w:cs="Arial"/>
          <w:sz w:val="22"/>
          <w:szCs w:val="22"/>
        </w:rPr>
        <w:t xml:space="preserve">, 2022). </w:t>
      </w:r>
      <w:r w:rsidR="004303B6" w:rsidRPr="004D2DFF">
        <w:rPr>
          <w:rFonts w:ascii="Arial" w:hAnsi="Arial" w:cs="Arial"/>
          <w:sz w:val="22"/>
          <w:szCs w:val="22"/>
        </w:rPr>
        <w:t xml:space="preserve">Identifying </w:t>
      </w:r>
      <w:r w:rsidRPr="004D2DFF">
        <w:rPr>
          <w:rFonts w:ascii="Arial" w:hAnsi="Arial" w:cs="Arial"/>
          <w:sz w:val="22"/>
          <w:szCs w:val="22"/>
        </w:rPr>
        <w:t xml:space="preserve">these neurodivergent </w:t>
      </w:r>
      <w:r w:rsidRPr="004D2DFF">
        <w:rPr>
          <w:rFonts w:ascii="Arial" w:hAnsi="Arial" w:cs="Arial"/>
          <w:sz w:val="22"/>
          <w:szCs w:val="22"/>
        </w:rPr>
        <w:lastRenderedPageBreak/>
        <w:t>characteristics has significant implications for diagnosis and treatment, necessitating adaptations in assessment protocols, sensory-sensitive interventions, and tailored therapeutic approaches. Integrating ICD-11’s severity coding alongside neurodiversity-informed care can guide</w:t>
      </w:r>
      <w:r w:rsidR="009D0FA5" w:rsidRPr="004D2DFF">
        <w:rPr>
          <w:rFonts w:ascii="Arial" w:hAnsi="Arial" w:cs="Arial"/>
          <w:sz w:val="22"/>
          <w:szCs w:val="22"/>
        </w:rPr>
        <w:t xml:space="preserve"> patient</w:t>
      </w:r>
      <w:r w:rsidR="002E1123">
        <w:rPr>
          <w:rFonts w:ascii="Arial" w:hAnsi="Arial" w:cs="Arial"/>
          <w:sz w:val="22"/>
          <w:szCs w:val="22"/>
        </w:rPr>
        <w:t xml:space="preserve"> </w:t>
      </w:r>
      <w:r w:rsidR="002E1123" w:rsidRPr="004D2DFF">
        <w:rPr>
          <w:rFonts w:ascii="Arial" w:hAnsi="Arial" w:cs="Arial"/>
          <w:sz w:val="22"/>
          <w:szCs w:val="22"/>
        </w:rPr>
        <w:t>centred</w:t>
      </w:r>
      <w:r w:rsidRPr="004D2DFF">
        <w:rPr>
          <w:rFonts w:ascii="Arial" w:hAnsi="Arial" w:cs="Arial"/>
          <w:sz w:val="22"/>
          <w:szCs w:val="22"/>
        </w:rPr>
        <w:t xml:space="preserve"> treatment, improve clinical outcomes, and inform policy development to enhance equitable access to services for all individuals affected by AN.</w:t>
      </w:r>
    </w:p>
    <w:p w14:paraId="46782998" w14:textId="77777777" w:rsidR="002A4204" w:rsidRPr="004D2DFF" w:rsidRDefault="002A4204" w:rsidP="00976024">
      <w:pPr>
        <w:spacing w:line="360" w:lineRule="auto"/>
        <w:jc w:val="both"/>
        <w:rPr>
          <w:rFonts w:ascii="Arial" w:hAnsi="Arial" w:cs="Arial"/>
          <w:sz w:val="22"/>
          <w:szCs w:val="22"/>
        </w:rPr>
      </w:pPr>
    </w:p>
    <w:p w14:paraId="5D04A7ED" w14:textId="5D08DFC1" w:rsidR="00A30BAF" w:rsidRPr="001C30EE" w:rsidRDefault="00A30BAF" w:rsidP="00976024">
      <w:pPr>
        <w:spacing w:line="360" w:lineRule="auto"/>
        <w:jc w:val="both"/>
        <w:rPr>
          <w:rFonts w:ascii="Arial" w:hAnsi="Arial" w:cs="Arial"/>
          <w:sz w:val="22"/>
          <w:szCs w:val="22"/>
        </w:rPr>
      </w:pPr>
      <w:r w:rsidRPr="00A03DD1">
        <w:rPr>
          <w:rFonts w:ascii="Arial" w:hAnsi="Arial" w:cs="Arial"/>
          <w:b/>
          <w:bCs/>
          <w:sz w:val="22"/>
          <w:szCs w:val="22"/>
          <w:u w:val="single"/>
        </w:rPr>
        <w:t>Treatment and Rehabilitation Approaches</w:t>
      </w:r>
    </w:p>
    <w:p w14:paraId="7BA57E44" w14:textId="1262D96D" w:rsidR="003E2677"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t xml:space="preserve">Debates continue regarding the ICD-11’s flexible, culturally sensitive diagnostic criteria compared to the more </w:t>
      </w:r>
      <w:r w:rsidR="00871D5B" w:rsidRPr="004D2DFF">
        <w:rPr>
          <w:rFonts w:ascii="Arial" w:hAnsi="Arial" w:cs="Arial"/>
          <w:sz w:val="22"/>
          <w:szCs w:val="22"/>
        </w:rPr>
        <w:t>standardi</w:t>
      </w:r>
      <w:r w:rsidR="00777454" w:rsidRPr="004D2DFF">
        <w:rPr>
          <w:rFonts w:ascii="Arial" w:hAnsi="Arial" w:cs="Arial"/>
          <w:sz w:val="22"/>
          <w:szCs w:val="22"/>
        </w:rPr>
        <w:t>s</w:t>
      </w:r>
      <w:r w:rsidR="00871D5B" w:rsidRPr="004D2DFF">
        <w:rPr>
          <w:rFonts w:ascii="Arial" w:hAnsi="Arial" w:cs="Arial"/>
          <w:sz w:val="22"/>
          <w:szCs w:val="22"/>
        </w:rPr>
        <w:t>ed</w:t>
      </w:r>
      <w:r w:rsidRPr="004D2DFF">
        <w:rPr>
          <w:rFonts w:ascii="Arial" w:hAnsi="Arial" w:cs="Arial"/>
          <w:sz w:val="22"/>
          <w:szCs w:val="22"/>
        </w:rPr>
        <w:t xml:space="preserve"> DSM-5 framework. While ICD-11 allows</w:t>
      </w:r>
      <w:r w:rsidR="001C2E14" w:rsidRPr="004D2DFF">
        <w:rPr>
          <w:rFonts w:ascii="Arial" w:hAnsi="Arial" w:cs="Arial"/>
          <w:sz w:val="22"/>
          <w:szCs w:val="22"/>
        </w:rPr>
        <w:t xml:space="preserve"> Patient-</w:t>
      </w:r>
      <w:r w:rsidR="00353F7B" w:rsidRPr="004D2DFF">
        <w:rPr>
          <w:rFonts w:ascii="Arial" w:hAnsi="Arial" w:cs="Arial"/>
          <w:sz w:val="22"/>
          <w:szCs w:val="22"/>
        </w:rPr>
        <w:t>centred</w:t>
      </w:r>
      <w:r w:rsidRPr="004D2DFF">
        <w:rPr>
          <w:rFonts w:ascii="Arial" w:hAnsi="Arial" w:cs="Arial"/>
          <w:sz w:val="22"/>
          <w:szCs w:val="22"/>
        </w:rPr>
        <w:t xml:space="preserve"> diagnosis, this flexibility may result in variability in clinical assessment and research reporting. Hybrid diagnostic models have been proposed to preserve inclusivity while maintaining reliability and comparability, as classification frameworks influence funding, service eligibility, and access to</w:t>
      </w:r>
      <w:r w:rsidR="00B043E1" w:rsidRPr="004D2DFF">
        <w:rPr>
          <w:rFonts w:ascii="Arial" w:hAnsi="Arial" w:cs="Arial"/>
          <w:sz w:val="22"/>
          <w:szCs w:val="22"/>
        </w:rPr>
        <w:t xml:space="preserve"> focused</w:t>
      </w:r>
      <w:r w:rsidRPr="004D2DFF">
        <w:rPr>
          <w:rFonts w:ascii="Arial" w:hAnsi="Arial" w:cs="Arial"/>
          <w:sz w:val="22"/>
          <w:szCs w:val="22"/>
        </w:rPr>
        <w:t xml:space="preserve"> care (</w:t>
      </w:r>
      <w:r w:rsidR="00B043E1" w:rsidRPr="004D2DFF">
        <w:rPr>
          <w:rFonts w:ascii="Arial" w:hAnsi="Arial" w:cs="Arial"/>
          <w:sz w:val="22"/>
          <w:szCs w:val="22"/>
        </w:rPr>
        <w:t>Bul</w:t>
      </w:r>
      <w:r w:rsidR="002F2D2F" w:rsidRPr="004D2DFF">
        <w:rPr>
          <w:rFonts w:ascii="Arial" w:hAnsi="Arial" w:cs="Arial"/>
          <w:sz w:val="22"/>
          <w:szCs w:val="22"/>
        </w:rPr>
        <w:t>i</w:t>
      </w:r>
      <w:r w:rsidR="00B043E1" w:rsidRPr="004D2DFF">
        <w:rPr>
          <w:rFonts w:ascii="Arial" w:hAnsi="Arial" w:cs="Arial"/>
          <w:sz w:val="22"/>
          <w:szCs w:val="22"/>
        </w:rPr>
        <w:t>k</w:t>
      </w:r>
      <w:r w:rsidRPr="004D2DFF">
        <w:rPr>
          <w:rFonts w:ascii="Arial" w:hAnsi="Arial" w:cs="Arial"/>
          <w:sz w:val="22"/>
          <w:szCs w:val="22"/>
        </w:rPr>
        <w:t xml:space="preserve"> et al., 2023).</w:t>
      </w:r>
    </w:p>
    <w:p w14:paraId="16E9E9B9" w14:textId="140CD0E9" w:rsidR="003E2677" w:rsidRPr="004D2DFF" w:rsidRDefault="00235D08" w:rsidP="00976024">
      <w:pPr>
        <w:spacing w:line="360" w:lineRule="auto"/>
        <w:jc w:val="both"/>
        <w:rPr>
          <w:rFonts w:ascii="Arial" w:hAnsi="Arial" w:cs="Arial"/>
          <w:sz w:val="22"/>
          <w:szCs w:val="22"/>
        </w:rPr>
      </w:pPr>
      <w:r w:rsidRPr="004D2DFF">
        <w:rPr>
          <w:rFonts w:ascii="Arial" w:hAnsi="Arial" w:cs="Arial"/>
          <w:sz w:val="22"/>
          <w:szCs w:val="22"/>
        </w:rPr>
        <w:t>According</w:t>
      </w:r>
      <w:r w:rsidR="000D40EB" w:rsidRPr="004D2DFF">
        <w:rPr>
          <w:rFonts w:ascii="Arial" w:hAnsi="Arial" w:cs="Arial"/>
          <w:sz w:val="22"/>
          <w:szCs w:val="22"/>
        </w:rPr>
        <w:t xml:space="preserve"> to </w:t>
      </w:r>
      <w:r w:rsidR="00C31F8D" w:rsidRPr="004D2DFF">
        <w:rPr>
          <w:rFonts w:ascii="Arial" w:eastAsia="Times New Roman" w:hAnsi="Arial" w:cs="Arial"/>
          <w:kern w:val="0"/>
          <w:sz w:val="22"/>
          <w:szCs w:val="22"/>
          <w14:ligatures w14:val="none"/>
        </w:rPr>
        <w:t xml:space="preserve">Spiliadis (2025) </w:t>
      </w:r>
      <w:r w:rsidR="003E2677" w:rsidRPr="004D2DFF">
        <w:rPr>
          <w:rFonts w:ascii="Arial" w:hAnsi="Arial" w:cs="Arial"/>
          <w:sz w:val="22"/>
          <w:szCs w:val="22"/>
        </w:rPr>
        <w:t>Treatment of anorexia nervosa (AN) requires a multifaceted approach, encompassing psychological, nutritional, and pharmacological interventions. Family-based therapy (FBT) is considered the most effective first-line treatment for adolescents, demonstrating improvements in family functioning, reductions in eating disorder psychopathology, and support for weight restoration (</w:t>
      </w:r>
      <w:r w:rsidR="00DD6DC8" w:rsidRPr="004D2DFF">
        <w:rPr>
          <w:rFonts w:ascii="Arial" w:hAnsi="Arial" w:cs="Arial"/>
          <w:sz w:val="22"/>
          <w:szCs w:val="22"/>
        </w:rPr>
        <w:t>Boudinot</w:t>
      </w:r>
      <w:r w:rsidR="003E2677" w:rsidRPr="004D2DFF">
        <w:rPr>
          <w:rFonts w:ascii="Arial" w:hAnsi="Arial" w:cs="Arial"/>
          <w:sz w:val="22"/>
          <w:szCs w:val="22"/>
        </w:rPr>
        <w:t xml:space="preserve"> et al., 2024). In adults, psychological interventions such as the Maudsley Model of Anorexia Nervosa Treatment for Adults (MANTRA), Cognitive </w:t>
      </w:r>
      <w:r w:rsidR="00353F7B" w:rsidRPr="004D2DFF">
        <w:rPr>
          <w:rFonts w:ascii="Arial" w:hAnsi="Arial" w:cs="Arial"/>
          <w:sz w:val="22"/>
          <w:szCs w:val="22"/>
        </w:rPr>
        <w:t>Behavioural</w:t>
      </w:r>
      <w:r w:rsidR="003E2677" w:rsidRPr="004D2DFF">
        <w:rPr>
          <w:rFonts w:ascii="Arial" w:hAnsi="Arial" w:cs="Arial"/>
          <w:sz w:val="22"/>
          <w:szCs w:val="22"/>
        </w:rPr>
        <w:t xml:space="preserve"> Therapy for Eating Disorders (CBT-E), and Specialist Supportive Clinical Management (SSCM) are commonly employed. However, outcomes remain variable, with relapse rates reported in up to 50% of adults and incomplete recovery common (Monteleone et al., 2022). Pharmacological treatments, including olanzapine, may facilitate modest weight gain but do not target core </w:t>
      </w:r>
      <w:r w:rsidR="00CF76E5" w:rsidRPr="004D2DFF">
        <w:rPr>
          <w:rFonts w:ascii="Arial" w:hAnsi="Arial" w:cs="Arial"/>
          <w:sz w:val="22"/>
          <w:szCs w:val="22"/>
        </w:rPr>
        <w:t>behavioural</w:t>
      </w:r>
      <w:r w:rsidR="003E2677" w:rsidRPr="004D2DFF">
        <w:rPr>
          <w:rFonts w:ascii="Arial" w:hAnsi="Arial" w:cs="Arial"/>
          <w:sz w:val="22"/>
          <w:szCs w:val="22"/>
        </w:rPr>
        <w:t xml:space="preserve"> or cognitive symptoms (Nagy, 2022).</w:t>
      </w:r>
    </w:p>
    <w:p w14:paraId="26B80ACB" w14:textId="43D9E5B9" w:rsidR="003E2677"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t xml:space="preserve">Nutritional therapy is central to AN management, requiring structured refeeding, medical supervision, and gradual weight restoration (Cass, 2020). Intensive interventions, including day </w:t>
      </w:r>
      <w:r w:rsidR="000D68FE" w:rsidRPr="004D2DFF">
        <w:rPr>
          <w:rFonts w:ascii="Arial" w:hAnsi="Arial" w:cs="Arial"/>
          <w:sz w:val="22"/>
          <w:szCs w:val="22"/>
        </w:rPr>
        <w:t xml:space="preserve">services </w:t>
      </w:r>
      <w:r w:rsidRPr="004D2DFF">
        <w:rPr>
          <w:rFonts w:ascii="Arial" w:hAnsi="Arial" w:cs="Arial"/>
          <w:sz w:val="22"/>
          <w:szCs w:val="22"/>
        </w:rPr>
        <w:t xml:space="preserve">and inpatient care, are recommended for severe or treatment-resistant cases, though availability is often regionally inconsistent (Knight et al., 2025). Long-term rehabilitation should </w:t>
      </w:r>
      <w:r w:rsidR="009D0DD0" w:rsidRPr="004D2DFF">
        <w:rPr>
          <w:rFonts w:ascii="Arial" w:hAnsi="Arial" w:cs="Arial"/>
          <w:sz w:val="22"/>
          <w:szCs w:val="22"/>
        </w:rPr>
        <w:t xml:space="preserve">Focus on </w:t>
      </w:r>
      <w:r w:rsidRPr="004D2DFF">
        <w:rPr>
          <w:rFonts w:ascii="Arial" w:hAnsi="Arial" w:cs="Arial"/>
          <w:sz w:val="22"/>
          <w:szCs w:val="22"/>
        </w:rPr>
        <w:t>psychosocial support, vocational reintegration, and peer-led interventions, which enhance engagement, adherence, and functional outcomes (</w:t>
      </w:r>
      <w:r w:rsidR="000F6DE2" w:rsidRPr="004D2DFF">
        <w:rPr>
          <w:rFonts w:ascii="Arial" w:hAnsi="Arial" w:cs="Arial"/>
          <w:sz w:val="22"/>
          <w:szCs w:val="22"/>
        </w:rPr>
        <w:t>Baena</w:t>
      </w:r>
      <w:r w:rsidR="009269FE" w:rsidRPr="004D2DFF">
        <w:rPr>
          <w:rFonts w:ascii="Arial" w:hAnsi="Arial" w:cs="Arial"/>
          <w:sz w:val="22"/>
          <w:szCs w:val="22"/>
        </w:rPr>
        <w:t>s</w:t>
      </w:r>
      <w:r w:rsidRPr="004D2DFF">
        <w:rPr>
          <w:rFonts w:ascii="Arial" w:hAnsi="Arial" w:cs="Arial"/>
          <w:sz w:val="22"/>
          <w:szCs w:val="22"/>
        </w:rPr>
        <w:t xml:space="preserve"> et al., 2024</w:t>
      </w:r>
      <w:r w:rsidR="00D34A93" w:rsidRPr="004D2DFF">
        <w:rPr>
          <w:rFonts w:ascii="Arial" w:hAnsi="Arial" w:cs="Arial"/>
          <w:sz w:val="22"/>
          <w:szCs w:val="22"/>
        </w:rPr>
        <w:t>).</w:t>
      </w:r>
    </w:p>
    <w:p w14:paraId="09F25C77" w14:textId="3112A14A" w:rsidR="00A92278"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lastRenderedPageBreak/>
        <w:t>Current debates</w:t>
      </w:r>
      <w:r w:rsidR="00247A80" w:rsidRPr="004D2DFF">
        <w:rPr>
          <w:rFonts w:ascii="Arial" w:hAnsi="Arial" w:cs="Arial"/>
          <w:sz w:val="22"/>
          <w:szCs w:val="22"/>
        </w:rPr>
        <w:t xml:space="preserve"> Highlights</w:t>
      </w:r>
      <w:r w:rsidRPr="004D2DFF">
        <w:rPr>
          <w:rFonts w:ascii="Arial" w:hAnsi="Arial" w:cs="Arial"/>
          <w:sz w:val="22"/>
          <w:szCs w:val="22"/>
        </w:rPr>
        <w:t xml:space="preserve"> the need to accommodate diverse cognitive and social profiles, </w:t>
      </w:r>
      <w:r w:rsidR="000F6DE2" w:rsidRPr="004D2DFF">
        <w:rPr>
          <w:rFonts w:ascii="Arial" w:hAnsi="Arial" w:cs="Arial"/>
          <w:sz w:val="22"/>
          <w:szCs w:val="22"/>
        </w:rPr>
        <w:t xml:space="preserve">identifying </w:t>
      </w:r>
      <w:r w:rsidRPr="004D2DFF">
        <w:rPr>
          <w:rFonts w:ascii="Arial" w:hAnsi="Arial" w:cs="Arial"/>
          <w:sz w:val="22"/>
          <w:szCs w:val="22"/>
        </w:rPr>
        <w:t>neurodivergent traits, and implementing tailored, sensory-sensitive interventions alongside enhanced staff training (</w:t>
      </w:r>
      <w:r w:rsidR="00921652" w:rsidRPr="004D2DFF">
        <w:rPr>
          <w:rFonts w:ascii="Arial" w:hAnsi="Arial" w:cs="Arial"/>
          <w:sz w:val="22"/>
          <w:szCs w:val="22"/>
        </w:rPr>
        <w:t>Westwood</w:t>
      </w:r>
      <w:r w:rsidR="0061601F" w:rsidRPr="004D2DFF">
        <w:rPr>
          <w:rFonts w:ascii="Arial" w:hAnsi="Arial" w:cs="Arial"/>
          <w:sz w:val="22"/>
          <w:szCs w:val="22"/>
        </w:rPr>
        <w:t xml:space="preserve"> and </w:t>
      </w:r>
      <w:r w:rsidR="00AB2F68" w:rsidRPr="004D2DFF">
        <w:rPr>
          <w:rFonts w:ascii="Arial" w:hAnsi="Arial" w:cs="Arial"/>
          <w:sz w:val="22"/>
          <w:szCs w:val="22"/>
        </w:rPr>
        <w:t>Chanteria</w:t>
      </w:r>
      <w:r w:rsidRPr="004D2DFF">
        <w:rPr>
          <w:rFonts w:ascii="Arial" w:hAnsi="Arial" w:cs="Arial"/>
          <w:sz w:val="22"/>
          <w:szCs w:val="22"/>
        </w:rPr>
        <w:t xml:space="preserve">  202</w:t>
      </w:r>
      <w:r w:rsidR="0061601F" w:rsidRPr="004D2DFF">
        <w:rPr>
          <w:rFonts w:ascii="Arial" w:hAnsi="Arial" w:cs="Arial"/>
          <w:sz w:val="22"/>
          <w:szCs w:val="22"/>
        </w:rPr>
        <w:t>2</w:t>
      </w:r>
      <w:r w:rsidRPr="004D2DFF">
        <w:rPr>
          <w:rFonts w:ascii="Arial" w:hAnsi="Arial" w:cs="Arial"/>
          <w:sz w:val="22"/>
          <w:szCs w:val="22"/>
        </w:rPr>
        <w:t xml:space="preserve">). Discrepancies between ICD-11 and DSM-5 continue to challenge international research, service provision, and policy </w:t>
      </w:r>
      <w:r w:rsidR="00AB2F68" w:rsidRPr="004D2DFF">
        <w:rPr>
          <w:rFonts w:ascii="Arial" w:hAnsi="Arial" w:cs="Arial"/>
          <w:sz w:val="22"/>
          <w:szCs w:val="22"/>
        </w:rPr>
        <w:t xml:space="preserve">Coordination </w:t>
      </w:r>
      <w:r w:rsidRPr="004D2DFF">
        <w:rPr>
          <w:rFonts w:ascii="Arial" w:hAnsi="Arial" w:cs="Arial"/>
          <w:sz w:val="22"/>
          <w:szCs w:val="22"/>
        </w:rPr>
        <w:t>Despite NHS initiatives, gaps in adult services persist, highlighting the need for equitable access and consistent, multidisciplinary delivery of evidence-based interventions that address the complex clinical, psychological, and social dimensions of AN (Knight et al., 2025).</w:t>
      </w:r>
    </w:p>
    <w:p w14:paraId="02858F06" w14:textId="77777777" w:rsidR="003E2677" w:rsidRPr="00A03DD1" w:rsidRDefault="003E2677" w:rsidP="00976024">
      <w:pPr>
        <w:spacing w:line="360" w:lineRule="auto"/>
        <w:jc w:val="both"/>
        <w:rPr>
          <w:rFonts w:ascii="Arial" w:hAnsi="Arial" w:cs="Arial"/>
          <w:b/>
          <w:bCs/>
          <w:sz w:val="22"/>
          <w:szCs w:val="22"/>
          <w:u w:val="single"/>
        </w:rPr>
      </w:pPr>
    </w:p>
    <w:p w14:paraId="0CE76B3A" w14:textId="77777777" w:rsidR="00A92278" w:rsidRPr="00A03DD1" w:rsidRDefault="00A92278" w:rsidP="00976024">
      <w:pPr>
        <w:spacing w:line="360" w:lineRule="auto"/>
        <w:jc w:val="both"/>
        <w:rPr>
          <w:rFonts w:ascii="Arial" w:hAnsi="Arial" w:cs="Arial"/>
          <w:b/>
          <w:bCs/>
          <w:sz w:val="22"/>
          <w:szCs w:val="22"/>
          <w:u w:val="single"/>
        </w:rPr>
      </w:pPr>
      <w:r w:rsidRPr="00A03DD1">
        <w:rPr>
          <w:rFonts w:ascii="Arial" w:hAnsi="Arial" w:cs="Arial"/>
          <w:b/>
          <w:bCs/>
          <w:sz w:val="22"/>
          <w:szCs w:val="22"/>
          <w:u w:val="single"/>
        </w:rPr>
        <w:t>Current Debates and Emerging Issues</w:t>
      </w:r>
    </w:p>
    <w:p w14:paraId="6219C071" w14:textId="1670DF35"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The ICD-11 diagnostic framework </w:t>
      </w:r>
      <w:r w:rsidR="00211983" w:rsidRPr="004D2DFF">
        <w:rPr>
          <w:rFonts w:ascii="Arial" w:hAnsi="Arial" w:cs="Arial"/>
          <w:sz w:val="22"/>
          <w:szCs w:val="22"/>
        </w:rPr>
        <w:t xml:space="preserve">focuses on </w:t>
      </w:r>
      <w:r w:rsidRPr="004D2DFF">
        <w:rPr>
          <w:rFonts w:ascii="Arial" w:hAnsi="Arial" w:cs="Arial"/>
          <w:sz w:val="22"/>
          <w:szCs w:val="22"/>
        </w:rPr>
        <w:t xml:space="preserve">psychological characteristics over rigid weight thresholds, generating ongoing discussion regarding the diagnosis and management of anorexia nervosa (AN). This reclassification has prompted debate over whether AN should be </w:t>
      </w:r>
      <w:r w:rsidR="00DD6DC8" w:rsidRPr="004D2DFF">
        <w:rPr>
          <w:rFonts w:ascii="Arial" w:hAnsi="Arial" w:cs="Arial"/>
          <w:sz w:val="22"/>
          <w:szCs w:val="22"/>
        </w:rPr>
        <w:t xml:space="preserve">Identified </w:t>
      </w:r>
      <w:r w:rsidR="002D752A" w:rsidRPr="004D2DFF">
        <w:rPr>
          <w:rFonts w:ascii="Arial" w:hAnsi="Arial" w:cs="Arial"/>
          <w:sz w:val="22"/>
          <w:szCs w:val="22"/>
        </w:rPr>
        <w:t>by solely</w:t>
      </w:r>
      <w:r w:rsidRPr="004D2DFF">
        <w:rPr>
          <w:rFonts w:ascii="Arial" w:hAnsi="Arial" w:cs="Arial"/>
          <w:sz w:val="22"/>
          <w:szCs w:val="22"/>
        </w:rPr>
        <w:t xml:space="preserve"> as a feeding and eating disorder or whether neurodevelopmental characteristics</w:t>
      </w:r>
      <w:r w:rsidR="002D752A" w:rsidRPr="004D2DFF">
        <w:rPr>
          <w:rFonts w:ascii="Arial" w:hAnsi="Arial" w:cs="Arial"/>
          <w:sz w:val="22"/>
          <w:szCs w:val="22"/>
        </w:rPr>
        <w:t xml:space="preserve"> </w:t>
      </w:r>
      <w:r w:rsidRPr="004D2DFF">
        <w:rPr>
          <w:rFonts w:ascii="Arial" w:hAnsi="Arial" w:cs="Arial"/>
          <w:sz w:val="22"/>
          <w:szCs w:val="22"/>
        </w:rPr>
        <w:t>such as cognitive rigidity, heightened attention to detail, and differences in social cognition</w:t>
      </w:r>
      <w:r w:rsidR="002D752A" w:rsidRPr="004D2DFF">
        <w:rPr>
          <w:rFonts w:ascii="Arial" w:hAnsi="Arial" w:cs="Arial"/>
          <w:sz w:val="22"/>
          <w:szCs w:val="22"/>
        </w:rPr>
        <w:t xml:space="preserve"> </w:t>
      </w:r>
      <w:r w:rsidRPr="004D2DFF">
        <w:rPr>
          <w:rFonts w:ascii="Arial" w:hAnsi="Arial" w:cs="Arial"/>
          <w:sz w:val="22"/>
          <w:szCs w:val="22"/>
        </w:rPr>
        <w:t xml:space="preserve">suggest overlap with neurodevelopmental conditions, including autism spectrum disorder (Westwood &amp; </w:t>
      </w:r>
      <w:r w:rsidR="00211983" w:rsidRPr="004D2DFF">
        <w:rPr>
          <w:rFonts w:ascii="Arial" w:hAnsi="Arial" w:cs="Arial"/>
          <w:sz w:val="22"/>
          <w:szCs w:val="22"/>
        </w:rPr>
        <w:t>Chanteria</w:t>
      </w:r>
      <w:r w:rsidRPr="004D2DFF">
        <w:rPr>
          <w:rFonts w:ascii="Arial" w:hAnsi="Arial" w:cs="Arial"/>
          <w:sz w:val="22"/>
          <w:szCs w:val="22"/>
        </w:rPr>
        <w:t xml:space="preserve">, 2022). </w:t>
      </w:r>
      <w:r w:rsidR="00F700F8" w:rsidRPr="004D2DFF">
        <w:rPr>
          <w:rFonts w:ascii="Arial" w:hAnsi="Arial" w:cs="Arial"/>
          <w:sz w:val="22"/>
          <w:szCs w:val="22"/>
        </w:rPr>
        <w:t xml:space="preserve">Identifying </w:t>
      </w:r>
      <w:r w:rsidRPr="004D2DFF">
        <w:rPr>
          <w:rFonts w:ascii="Arial" w:hAnsi="Arial" w:cs="Arial"/>
          <w:sz w:val="22"/>
          <w:szCs w:val="22"/>
        </w:rPr>
        <w:t>these traits is essential, as failure to account for neurodivergence may reduce the effectiveness of standardised interventions and necessitate tailored treatment strategies.</w:t>
      </w:r>
    </w:p>
    <w:p w14:paraId="10F88E4A" w14:textId="73C9C664"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Changes in diagnostic criteria directly influence healthcare delivery, affecting eligibility for care under NHS guidelines, NICE </w:t>
      </w:r>
      <w:r w:rsidR="005A1149" w:rsidRPr="004D2DFF">
        <w:rPr>
          <w:rFonts w:ascii="Arial" w:hAnsi="Arial" w:cs="Arial"/>
          <w:sz w:val="22"/>
          <w:szCs w:val="22"/>
        </w:rPr>
        <w:t>(2020)</w:t>
      </w:r>
      <w:r w:rsidR="00616EF6" w:rsidRPr="004D2DFF">
        <w:rPr>
          <w:rFonts w:ascii="Arial" w:hAnsi="Arial" w:cs="Arial"/>
          <w:sz w:val="22"/>
          <w:szCs w:val="22"/>
        </w:rPr>
        <w:t xml:space="preserve"> </w:t>
      </w:r>
      <w:r w:rsidRPr="004D2DFF">
        <w:rPr>
          <w:rFonts w:ascii="Arial" w:hAnsi="Arial" w:cs="Arial"/>
          <w:sz w:val="22"/>
          <w:szCs w:val="22"/>
        </w:rPr>
        <w:t>recommendations, and access to</w:t>
      </w:r>
      <w:r w:rsidR="00435113" w:rsidRPr="004D2DFF">
        <w:rPr>
          <w:rFonts w:ascii="Arial" w:hAnsi="Arial" w:cs="Arial"/>
          <w:sz w:val="22"/>
          <w:szCs w:val="22"/>
        </w:rPr>
        <w:t xml:space="preserve"> focused</w:t>
      </w:r>
      <w:r w:rsidRPr="004D2DFF">
        <w:rPr>
          <w:rFonts w:ascii="Arial" w:hAnsi="Arial" w:cs="Arial"/>
          <w:sz w:val="22"/>
          <w:szCs w:val="22"/>
        </w:rPr>
        <w:t xml:space="preserve"> services. ICD-11’s flexible thresholds allow for </w:t>
      </w:r>
      <w:r w:rsidR="00435113" w:rsidRPr="004D2DFF">
        <w:rPr>
          <w:rFonts w:ascii="Arial" w:hAnsi="Arial" w:cs="Arial"/>
          <w:sz w:val="22"/>
          <w:szCs w:val="22"/>
        </w:rPr>
        <w:t>patient</w:t>
      </w:r>
      <w:r w:rsidR="008A2FBF" w:rsidRPr="004D2DFF">
        <w:rPr>
          <w:rFonts w:ascii="Arial" w:hAnsi="Arial" w:cs="Arial"/>
          <w:sz w:val="22"/>
          <w:szCs w:val="22"/>
        </w:rPr>
        <w:t>-</w:t>
      </w:r>
      <w:r w:rsidR="00CF76E5" w:rsidRPr="004D2DFF">
        <w:rPr>
          <w:rFonts w:ascii="Arial" w:hAnsi="Arial" w:cs="Arial"/>
          <w:sz w:val="22"/>
          <w:szCs w:val="22"/>
        </w:rPr>
        <w:t>centred</w:t>
      </w:r>
      <w:r w:rsidR="008A2FBF" w:rsidRPr="004D2DFF">
        <w:rPr>
          <w:rFonts w:ascii="Arial" w:hAnsi="Arial" w:cs="Arial"/>
          <w:sz w:val="22"/>
          <w:szCs w:val="22"/>
        </w:rPr>
        <w:t xml:space="preserve"> </w:t>
      </w:r>
      <w:r w:rsidRPr="004D2DFF">
        <w:rPr>
          <w:rFonts w:ascii="Arial" w:hAnsi="Arial" w:cs="Arial"/>
          <w:sz w:val="22"/>
          <w:szCs w:val="22"/>
        </w:rPr>
        <w:t>assessment, accommodating diverse developmental trajectories and neurodivergent populations. However, critics argue that this flexibility may reduce diagnostic reliability, complicate international comparisons of prevalence, and hinder consistency in research and service planning.</w:t>
      </w:r>
    </w:p>
    <w:p w14:paraId="2A775B31" w14:textId="77777777"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Societal, cultural, and political factors further shape perceptions of AN and the allocation of resources. Legislative frameworks such as the Equality Act (2010) ensure equitable treatment, while the Mental Health Act (1983) and Mental Capacity Act (2005) guide ethical decision-making regarding compulsory treatment. Disparities in service availability, long waiting lists, and limited specialist provision exacerbate clinical outcomes and contribute to inequities in care (Ayton et al., 2022).</w:t>
      </w:r>
    </w:p>
    <w:p w14:paraId="24272C4A" w14:textId="35B81DF5" w:rsidR="00EC2CF8"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Recent UK research </w:t>
      </w:r>
      <w:r w:rsidR="00C60660" w:rsidRPr="004D2DFF">
        <w:rPr>
          <w:rFonts w:ascii="Arial" w:hAnsi="Arial" w:cs="Arial"/>
          <w:sz w:val="22"/>
          <w:szCs w:val="22"/>
        </w:rPr>
        <w:t xml:space="preserve">Highlights </w:t>
      </w:r>
      <w:r w:rsidRPr="004D2DFF">
        <w:rPr>
          <w:rFonts w:ascii="Arial" w:hAnsi="Arial" w:cs="Arial"/>
          <w:sz w:val="22"/>
          <w:szCs w:val="22"/>
        </w:rPr>
        <w:t xml:space="preserve">the importance of neurodiversity-informed, culturally sensitive approaches that integrate biological, psychological, and social considerations. Incorporating </w:t>
      </w:r>
      <w:r w:rsidRPr="004D2DFF">
        <w:rPr>
          <w:rFonts w:ascii="Arial" w:hAnsi="Arial" w:cs="Arial"/>
          <w:sz w:val="22"/>
          <w:szCs w:val="22"/>
        </w:rPr>
        <w:lastRenderedPageBreak/>
        <w:t>enhanced staff training, sensory-sensitive interventions, and assessment methods that capture cognitive and</w:t>
      </w:r>
      <w:r w:rsidR="00220E2F" w:rsidRPr="004D2DFF">
        <w:rPr>
          <w:rFonts w:ascii="Arial" w:hAnsi="Arial" w:cs="Arial"/>
          <w:sz w:val="22"/>
          <w:szCs w:val="22"/>
        </w:rPr>
        <w:t xml:space="preserve"> Action-based</w:t>
      </w:r>
      <w:r w:rsidRPr="004D2DFF">
        <w:rPr>
          <w:rFonts w:ascii="Arial" w:hAnsi="Arial" w:cs="Arial"/>
          <w:sz w:val="22"/>
          <w:szCs w:val="22"/>
        </w:rPr>
        <w:t xml:space="preserve"> diversity improves patient engagement, adherence, and long-term recovery outcomes. Embedding these principles into policy and service design supports equitable, consistent access to care across regions and reduces the risk of </w:t>
      </w:r>
      <w:r w:rsidR="00220E2F" w:rsidRPr="004D2DFF">
        <w:rPr>
          <w:rFonts w:ascii="Arial" w:hAnsi="Arial" w:cs="Arial"/>
          <w:sz w:val="22"/>
          <w:szCs w:val="22"/>
        </w:rPr>
        <w:t>social</w:t>
      </w:r>
      <w:r w:rsidR="0046512D" w:rsidRPr="004D2DFF">
        <w:rPr>
          <w:rFonts w:ascii="Arial" w:hAnsi="Arial" w:cs="Arial"/>
          <w:sz w:val="22"/>
          <w:szCs w:val="22"/>
        </w:rPr>
        <w:t xml:space="preserve"> isolation </w:t>
      </w:r>
      <w:r w:rsidRPr="004D2DFF">
        <w:rPr>
          <w:rFonts w:ascii="Arial" w:hAnsi="Arial" w:cs="Arial"/>
          <w:sz w:val="22"/>
          <w:szCs w:val="22"/>
        </w:rPr>
        <w:t>of neurodivergent or minority populations (Department of Health and Social Care, 2015).</w:t>
      </w:r>
    </w:p>
    <w:p w14:paraId="047399D7" w14:textId="77777777" w:rsidR="00444B1D" w:rsidRPr="004D2DFF" w:rsidRDefault="00444B1D" w:rsidP="00976024">
      <w:pPr>
        <w:spacing w:line="360" w:lineRule="auto"/>
        <w:jc w:val="both"/>
        <w:rPr>
          <w:rFonts w:ascii="Arial" w:hAnsi="Arial" w:cs="Arial"/>
          <w:sz w:val="22"/>
          <w:szCs w:val="22"/>
        </w:rPr>
      </w:pPr>
    </w:p>
    <w:p w14:paraId="586A0EDE" w14:textId="63767559" w:rsidR="007A0357" w:rsidRPr="002215F5" w:rsidRDefault="007A0357" w:rsidP="00976024">
      <w:pPr>
        <w:spacing w:line="360" w:lineRule="auto"/>
        <w:jc w:val="both"/>
        <w:rPr>
          <w:rFonts w:ascii="Arial" w:hAnsi="Arial" w:cs="Arial"/>
          <w:b/>
          <w:bCs/>
          <w:sz w:val="22"/>
          <w:szCs w:val="22"/>
          <w:u w:val="single"/>
        </w:rPr>
      </w:pPr>
      <w:r w:rsidRPr="002215F5">
        <w:rPr>
          <w:rFonts w:ascii="Arial" w:hAnsi="Arial" w:cs="Arial"/>
          <w:b/>
          <w:bCs/>
          <w:sz w:val="22"/>
          <w:szCs w:val="22"/>
          <w:u w:val="single"/>
        </w:rPr>
        <w:t>Recommendations</w:t>
      </w:r>
    </w:p>
    <w:p w14:paraId="4C2DEA8A" w14:textId="362BB6B5"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 xml:space="preserve">Early intervention and community-based </w:t>
      </w:r>
      <w:r w:rsidR="00D464A3" w:rsidRPr="004D2DFF">
        <w:rPr>
          <w:rFonts w:ascii="Arial" w:hAnsi="Arial" w:cs="Arial"/>
          <w:sz w:val="22"/>
          <w:szCs w:val="22"/>
        </w:rPr>
        <w:t>services</w:t>
      </w:r>
      <w:r w:rsidRPr="004D2DFF">
        <w:rPr>
          <w:rFonts w:ascii="Arial" w:hAnsi="Arial" w:cs="Arial"/>
          <w:sz w:val="22"/>
          <w:szCs w:val="22"/>
        </w:rPr>
        <w:t xml:space="preserve"> should be expanded to ensure timely access to care and continuity across developmental stages, addressing regional disparities, long waiting lists, and limited </w:t>
      </w:r>
      <w:r w:rsidR="00D464A3" w:rsidRPr="004D2DFF">
        <w:rPr>
          <w:rFonts w:ascii="Arial" w:hAnsi="Arial" w:cs="Arial"/>
          <w:sz w:val="22"/>
          <w:szCs w:val="22"/>
        </w:rPr>
        <w:t xml:space="preserve">Focused </w:t>
      </w:r>
      <w:r w:rsidRPr="004D2DFF">
        <w:rPr>
          <w:rFonts w:ascii="Arial" w:hAnsi="Arial" w:cs="Arial"/>
          <w:sz w:val="22"/>
          <w:szCs w:val="22"/>
        </w:rPr>
        <w:t>provision (Ayton et al., 2022). Recovery frameworks should move beyond reliance on body mass index (BMI), incorporating psychological, social, and functional outcomes, including autonomy, quality of life, and social reintegration (</w:t>
      </w:r>
      <w:r w:rsidR="00CA25D3" w:rsidRPr="004D2DFF">
        <w:rPr>
          <w:rFonts w:ascii="Arial" w:hAnsi="Arial" w:cs="Arial"/>
          <w:sz w:val="22"/>
          <w:szCs w:val="22"/>
        </w:rPr>
        <w:t>Baena’s</w:t>
      </w:r>
      <w:r w:rsidRPr="004D2DFF">
        <w:rPr>
          <w:rFonts w:ascii="Arial" w:hAnsi="Arial" w:cs="Arial"/>
          <w:sz w:val="22"/>
          <w:szCs w:val="22"/>
        </w:rPr>
        <w:t xml:space="preserve"> et al.,</w:t>
      </w:r>
      <w:r w:rsidR="00025284">
        <w:rPr>
          <w:rFonts w:ascii="Arial" w:hAnsi="Arial" w:cs="Arial"/>
          <w:sz w:val="22"/>
          <w:szCs w:val="22"/>
        </w:rPr>
        <w:t xml:space="preserve"> </w:t>
      </w:r>
      <w:r w:rsidRPr="004D2DFF">
        <w:rPr>
          <w:rFonts w:ascii="Arial" w:hAnsi="Arial" w:cs="Arial"/>
          <w:sz w:val="22"/>
          <w:szCs w:val="22"/>
        </w:rPr>
        <w:t>2024). Interdisciplinary collaboration between medical, psychological, and social services is essential, ensuring integrated, person-</w:t>
      </w:r>
      <w:r w:rsidR="00CF76E5" w:rsidRPr="004D2DFF">
        <w:rPr>
          <w:rFonts w:ascii="Arial" w:hAnsi="Arial" w:cs="Arial"/>
          <w:sz w:val="22"/>
          <w:szCs w:val="22"/>
        </w:rPr>
        <w:t>centred</w:t>
      </w:r>
      <w:r w:rsidRPr="004D2DFF">
        <w:rPr>
          <w:rFonts w:ascii="Arial" w:hAnsi="Arial" w:cs="Arial"/>
          <w:sz w:val="22"/>
          <w:szCs w:val="22"/>
        </w:rPr>
        <w:t xml:space="preserve"> care. Semi-structured assessment methods could improve ICD-11 diagnostic reliability and consistency, supporting accurate identification across diverse populations and clinical settings (</w:t>
      </w:r>
      <w:r w:rsidR="00CA25D3" w:rsidRPr="004D2DFF">
        <w:rPr>
          <w:rFonts w:ascii="Arial" w:hAnsi="Arial" w:cs="Arial"/>
          <w:sz w:val="22"/>
          <w:szCs w:val="22"/>
        </w:rPr>
        <w:t>Bul</w:t>
      </w:r>
      <w:r w:rsidR="00F8263E" w:rsidRPr="004D2DFF">
        <w:rPr>
          <w:rFonts w:ascii="Arial" w:hAnsi="Arial" w:cs="Arial"/>
          <w:sz w:val="22"/>
          <w:szCs w:val="22"/>
        </w:rPr>
        <w:t>i</w:t>
      </w:r>
      <w:r w:rsidR="00CA25D3" w:rsidRPr="004D2DFF">
        <w:rPr>
          <w:rFonts w:ascii="Arial" w:hAnsi="Arial" w:cs="Arial"/>
          <w:sz w:val="22"/>
          <w:szCs w:val="22"/>
        </w:rPr>
        <w:t>k</w:t>
      </w:r>
      <w:r w:rsidRPr="004D2DFF">
        <w:rPr>
          <w:rFonts w:ascii="Arial" w:hAnsi="Arial" w:cs="Arial"/>
          <w:sz w:val="22"/>
          <w:szCs w:val="22"/>
        </w:rPr>
        <w:t xml:space="preserve"> et al., 2023). Greater investment in long-term rehabilitation and relapse-prevention </w:t>
      </w:r>
      <w:r w:rsidR="00CA25D3" w:rsidRPr="004D2DFF">
        <w:rPr>
          <w:rFonts w:ascii="Arial" w:hAnsi="Arial" w:cs="Arial"/>
          <w:sz w:val="22"/>
          <w:szCs w:val="22"/>
        </w:rPr>
        <w:t xml:space="preserve">Services </w:t>
      </w:r>
      <w:r w:rsidRPr="004D2DFF">
        <w:rPr>
          <w:rFonts w:ascii="Arial" w:hAnsi="Arial" w:cs="Arial"/>
          <w:sz w:val="22"/>
          <w:szCs w:val="22"/>
        </w:rPr>
        <w:t>is particularly necessary for adults, given variable recovery outcomes.</w:t>
      </w:r>
    </w:p>
    <w:p w14:paraId="32BED677" w14:textId="77777777" w:rsidR="0005544B" w:rsidRPr="004D2DFF" w:rsidRDefault="0005544B" w:rsidP="00976024">
      <w:pPr>
        <w:spacing w:line="360" w:lineRule="auto"/>
        <w:jc w:val="both"/>
        <w:rPr>
          <w:rFonts w:ascii="Arial" w:hAnsi="Arial" w:cs="Arial"/>
          <w:sz w:val="22"/>
          <w:szCs w:val="22"/>
        </w:rPr>
      </w:pPr>
    </w:p>
    <w:p w14:paraId="188B846E" w14:textId="7C32B7B6"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Clinical practice should integrate neurodiversity-informed approaches,</w:t>
      </w:r>
      <w:r w:rsidR="00447433" w:rsidRPr="004D2DFF">
        <w:rPr>
          <w:rFonts w:ascii="Arial" w:hAnsi="Arial" w:cs="Arial"/>
          <w:sz w:val="22"/>
          <w:szCs w:val="22"/>
        </w:rPr>
        <w:t xml:space="preserve"> identifying</w:t>
      </w:r>
      <w:r w:rsidRPr="004D2DFF">
        <w:rPr>
          <w:rFonts w:ascii="Arial" w:hAnsi="Arial" w:cs="Arial"/>
          <w:sz w:val="22"/>
          <w:szCs w:val="22"/>
        </w:rPr>
        <w:t xml:space="preserve"> cognitive rigidity, sensory differences, and autistic traits to prevent the pathologisation of neurodivergent individuals and support </w:t>
      </w:r>
      <w:r w:rsidR="000106DC" w:rsidRPr="004D2DFF">
        <w:rPr>
          <w:rFonts w:ascii="Arial" w:hAnsi="Arial" w:cs="Arial"/>
          <w:sz w:val="22"/>
          <w:szCs w:val="22"/>
        </w:rPr>
        <w:t>Patient-</w:t>
      </w:r>
      <w:r w:rsidR="00CF76E5" w:rsidRPr="004D2DFF">
        <w:rPr>
          <w:rFonts w:ascii="Arial" w:hAnsi="Arial" w:cs="Arial"/>
          <w:sz w:val="22"/>
          <w:szCs w:val="22"/>
        </w:rPr>
        <w:t>centred</w:t>
      </w:r>
      <w:r w:rsidR="000106DC" w:rsidRPr="004D2DFF">
        <w:rPr>
          <w:rFonts w:ascii="Arial" w:hAnsi="Arial" w:cs="Arial"/>
          <w:sz w:val="22"/>
          <w:szCs w:val="22"/>
        </w:rPr>
        <w:t xml:space="preserve"> </w:t>
      </w:r>
      <w:r w:rsidRPr="004D2DFF">
        <w:rPr>
          <w:rFonts w:ascii="Arial" w:hAnsi="Arial" w:cs="Arial"/>
          <w:sz w:val="22"/>
          <w:szCs w:val="22"/>
        </w:rPr>
        <w:t>care (Kerr-Gaffney et al., 2020). Rehabilitation</w:t>
      </w:r>
      <w:r w:rsidR="0027668D" w:rsidRPr="004D2DFF">
        <w:rPr>
          <w:rFonts w:ascii="Arial" w:hAnsi="Arial" w:cs="Arial"/>
          <w:sz w:val="22"/>
          <w:szCs w:val="22"/>
        </w:rPr>
        <w:t xml:space="preserve"> Initiatives</w:t>
      </w:r>
      <w:r w:rsidRPr="004D2DFF">
        <w:rPr>
          <w:rFonts w:ascii="Arial" w:hAnsi="Arial" w:cs="Arial"/>
          <w:sz w:val="22"/>
          <w:szCs w:val="22"/>
        </w:rPr>
        <w:t xml:space="preserve"> should</w:t>
      </w:r>
      <w:r w:rsidR="00B12826" w:rsidRPr="004D2DFF">
        <w:rPr>
          <w:rFonts w:ascii="Arial" w:hAnsi="Arial" w:cs="Arial"/>
          <w:sz w:val="22"/>
          <w:szCs w:val="22"/>
        </w:rPr>
        <w:t xml:space="preserve"> Focus on</w:t>
      </w:r>
      <w:r w:rsidRPr="004D2DFF">
        <w:rPr>
          <w:rFonts w:ascii="Arial" w:hAnsi="Arial" w:cs="Arial"/>
          <w:sz w:val="22"/>
          <w:szCs w:val="22"/>
        </w:rPr>
        <w:t xml:space="preserve"> social and occupational reintegration, peer support, and community engagement, enhancing functional recovery and promoting sustainable, equitable outcomes for individuals with anorexia nervosa.</w:t>
      </w:r>
    </w:p>
    <w:p w14:paraId="3B6430B3" w14:textId="6F92A966"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Finally, research should adopt</w:t>
      </w:r>
      <w:r w:rsidR="009B00B8" w:rsidRPr="004D2DFF">
        <w:rPr>
          <w:rFonts w:ascii="Arial" w:hAnsi="Arial" w:cs="Arial"/>
          <w:sz w:val="22"/>
          <w:szCs w:val="22"/>
        </w:rPr>
        <w:t xml:space="preserve"> Regulated</w:t>
      </w:r>
      <w:r w:rsidRPr="004D2DFF">
        <w:rPr>
          <w:rFonts w:ascii="Arial" w:hAnsi="Arial" w:cs="Arial"/>
          <w:sz w:val="22"/>
          <w:szCs w:val="22"/>
        </w:rPr>
        <w:t xml:space="preserve"> diagnostic measures, longitudinal designs, and large, diverse samples to strengthen the evidence base, improve international comparability, and guide policy and clinical practice. By combining these strategies, healthcare services can deliver more inclusive, evidence-based, and person-</w:t>
      </w:r>
      <w:r w:rsidR="00CF76E5" w:rsidRPr="004D2DFF">
        <w:rPr>
          <w:rFonts w:ascii="Arial" w:hAnsi="Arial" w:cs="Arial"/>
          <w:sz w:val="22"/>
          <w:szCs w:val="22"/>
        </w:rPr>
        <w:t>centred</w:t>
      </w:r>
      <w:r w:rsidRPr="004D2DFF">
        <w:rPr>
          <w:rFonts w:ascii="Arial" w:hAnsi="Arial" w:cs="Arial"/>
          <w:sz w:val="22"/>
          <w:szCs w:val="22"/>
        </w:rPr>
        <w:t xml:space="preserve"> care, addressing both clinical and social dimensions of recovery and supporting long-term wellbeing for those affected by anorexia nervosa (</w:t>
      </w:r>
      <w:r w:rsidR="00323DEB" w:rsidRPr="004D2DFF">
        <w:rPr>
          <w:rFonts w:ascii="Arial" w:hAnsi="Arial" w:cs="Arial"/>
          <w:sz w:val="22"/>
          <w:szCs w:val="22"/>
        </w:rPr>
        <w:t>Baena’s</w:t>
      </w:r>
      <w:r w:rsidRPr="004D2DFF">
        <w:rPr>
          <w:rFonts w:ascii="Arial" w:hAnsi="Arial" w:cs="Arial"/>
          <w:sz w:val="22"/>
          <w:szCs w:val="22"/>
        </w:rPr>
        <w:t xml:space="preserve"> et al., 2024).</w:t>
      </w:r>
    </w:p>
    <w:p w14:paraId="01AB92E8" w14:textId="7986F516" w:rsidR="001825EE" w:rsidRPr="001C30EE" w:rsidRDefault="001825EE" w:rsidP="00976024">
      <w:pPr>
        <w:spacing w:line="360" w:lineRule="auto"/>
        <w:jc w:val="both"/>
        <w:rPr>
          <w:rFonts w:ascii="Arial" w:hAnsi="Arial" w:cs="Arial"/>
          <w:sz w:val="22"/>
          <w:szCs w:val="22"/>
        </w:rPr>
      </w:pPr>
      <w:r w:rsidRPr="002215F5">
        <w:rPr>
          <w:rFonts w:ascii="Arial" w:hAnsi="Arial" w:cs="Arial"/>
          <w:b/>
          <w:bCs/>
          <w:sz w:val="22"/>
          <w:szCs w:val="22"/>
          <w:u w:val="single"/>
        </w:rPr>
        <w:lastRenderedPageBreak/>
        <w:t>Conclusion</w:t>
      </w:r>
    </w:p>
    <w:p w14:paraId="3942AB74" w14:textId="1F7807CB" w:rsidR="00B37ACA"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Anorexia nervosa (AN) is a complex and multifaceted disorder with profound psychological, physiological, and social consequences. The ICD-11’s flexible diagnostic framework allows for culturally sensitive,</w:t>
      </w:r>
      <w:r w:rsidR="000A01C4" w:rsidRPr="004D2DFF">
        <w:rPr>
          <w:rFonts w:ascii="Arial" w:hAnsi="Arial" w:cs="Arial"/>
          <w:sz w:val="22"/>
          <w:szCs w:val="22"/>
        </w:rPr>
        <w:t xml:space="preserve"> Patient-</w:t>
      </w:r>
      <w:r w:rsidR="00CF76E5" w:rsidRPr="004D2DFF">
        <w:rPr>
          <w:rFonts w:ascii="Arial" w:hAnsi="Arial" w:cs="Arial"/>
          <w:sz w:val="22"/>
          <w:szCs w:val="22"/>
        </w:rPr>
        <w:t>centred</w:t>
      </w:r>
      <w:r w:rsidRPr="004D2DFF">
        <w:rPr>
          <w:rFonts w:ascii="Arial" w:hAnsi="Arial" w:cs="Arial"/>
          <w:sz w:val="22"/>
          <w:szCs w:val="22"/>
        </w:rPr>
        <w:t xml:space="preserve"> assessment, representing an advance over rigid, threshold-based models. However, this flexibility may introduce variability in clinical practice and research reporting, </w:t>
      </w:r>
      <w:r w:rsidR="00C60660" w:rsidRPr="004D2DFF">
        <w:rPr>
          <w:rFonts w:ascii="Arial" w:hAnsi="Arial" w:cs="Arial"/>
          <w:sz w:val="22"/>
          <w:szCs w:val="22"/>
        </w:rPr>
        <w:t xml:space="preserve">Highlights </w:t>
      </w:r>
      <w:r w:rsidRPr="004D2DFF">
        <w:rPr>
          <w:rFonts w:ascii="Arial" w:hAnsi="Arial" w:cs="Arial"/>
          <w:sz w:val="22"/>
          <w:szCs w:val="22"/>
        </w:rPr>
        <w:t>the need for careful clinical judgement and semi-structured assessment methods to improve diagnostic reliability and consistency (</w:t>
      </w:r>
      <w:r w:rsidR="00323DEB" w:rsidRPr="004D2DFF">
        <w:rPr>
          <w:rFonts w:ascii="Arial" w:hAnsi="Arial" w:cs="Arial"/>
          <w:sz w:val="22"/>
          <w:szCs w:val="22"/>
        </w:rPr>
        <w:t>Bul</w:t>
      </w:r>
      <w:r w:rsidR="002F2D2F" w:rsidRPr="004D2DFF">
        <w:rPr>
          <w:rFonts w:ascii="Arial" w:hAnsi="Arial" w:cs="Arial"/>
          <w:sz w:val="22"/>
          <w:szCs w:val="22"/>
        </w:rPr>
        <w:t>i</w:t>
      </w:r>
      <w:r w:rsidR="00323DEB" w:rsidRPr="004D2DFF">
        <w:rPr>
          <w:rFonts w:ascii="Arial" w:hAnsi="Arial" w:cs="Arial"/>
          <w:sz w:val="22"/>
          <w:szCs w:val="22"/>
        </w:rPr>
        <w:t>k</w:t>
      </w:r>
      <w:r w:rsidRPr="004D2DFF">
        <w:rPr>
          <w:rFonts w:ascii="Arial" w:hAnsi="Arial" w:cs="Arial"/>
          <w:sz w:val="22"/>
          <w:szCs w:val="22"/>
        </w:rPr>
        <w:t xml:space="preserve"> et al., 2023).</w:t>
      </w:r>
    </w:p>
    <w:p w14:paraId="691E3BD0" w14:textId="767A88F1" w:rsidR="000734F7"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Effective treatment and rehabilitation require a multidisciplinary approach, including psychological therapies, nutritional support, pharmacological interventions, and family-based strategies. Evidence highlights the efficacy of family-based therapy for adolescents and tailored</w:t>
      </w:r>
      <w:r w:rsidR="00A14A29" w:rsidRPr="004D2DFF">
        <w:rPr>
          <w:rFonts w:ascii="Arial" w:hAnsi="Arial" w:cs="Arial"/>
          <w:sz w:val="22"/>
          <w:szCs w:val="22"/>
        </w:rPr>
        <w:t xml:space="preserve"> Services</w:t>
      </w:r>
      <w:r w:rsidRPr="004D2DFF">
        <w:rPr>
          <w:rFonts w:ascii="Arial" w:hAnsi="Arial" w:cs="Arial"/>
          <w:sz w:val="22"/>
          <w:szCs w:val="22"/>
        </w:rPr>
        <w:t xml:space="preserve"> such as the Maudsley Model of AN Treatment for Adults (MANTRA), Cognitive </w:t>
      </w:r>
      <w:r w:rsidR="00CF76E5" w:rsidRPr="004D2DFF">
        <w:rPr>
          <w:rFonts w:ascii="Arial" w:hAnsi="Arial" w:cs="Arial"/>
          <w:sz w:val="22"/>
          <w:szCs w:val="22"/>
        </w:rPr>
        <w:t>Behavioural</w:t>
      </w:r>
      <w:r w:rsidRPr="004D2DFF">
        <w:rPr>
          <w:rFonts w:ascii="Arial" w:hAnsi="Arial" w:cs="Arial"/>
          <w:sz w:val="22"/>
          <w:szCs w:val="22"/>
        </w:rPr>
        <w:t xml:space="preserve"> Therapy for Eating Disorders (CBT-E), and Specialist Supportive Clinical Management (SSCM) for adults, although adult outcomes remain variable</w:t>
      </w:r>
      <w:r w:rsidR="00F231E4" w:rsidRPr="004D2DFF">
        <w:rPr>
          <w:rFonts w:ascii="Arial" w:hAnsi="Arial" w:cs="Arial"/>
          <w:sz w:val="22"/>
          <w:szCs w:val="22"/>
        </w:rPr>
        <w:t xml:space="preserve"> Gorrell</w:t>
      </w:r>
      <w:r w:rsidR="00335BE6" w:rsidRPr="004D2DFF">
        <w:rPr>
          <w:rFonts w:ascii="Arial" w:hAnsi="Arial" w:cs="Arial"/>
          <w:sz w:val="22"/>
          <w:szCs w:val="22"/>
        </w:rPr>
        <w:t xml:space="preserve"> et</w:t>
      </w:r>
      <w:r w:rsidR="00717433" w:rsidRPr="004D2DFF">
        <w:rPr>
          <w:rFonts w:ascii="Arial" w:hAnsi="Arial" w:cs="Arial"/>
          <w:sz w:val="22"/>
          <w:szCs w:val="22"/>
        </w:rPr>
        <w:t xml:space="preserve"> </w:t>
      </w:r>
      <w:r w:rsidR="00335BE6" w:rsidRPr="004D2DFF">
        <w:rPr>
          <w:rFonts w:ascii="Arial" w:hAnsi="Arial" w:cs="Arial"/>
          <w:sz w:val="22"/>
          <w:szCs w:val="22"/>
        </w:rPr>
        <w:t>al., (2019).</w:t>
      </w:r>
      <w:r w:rsidR="00086BF7" w:rsidRPr="004D2DFF">
        <w:rPr>
          <w:rFonts w:ascii="Arial" w:hAnsi="Arial" w:cs="Arial"/>
          <w:sz w:val="22"/>
          <w:szCs w:val="22"/>
        </w:rPr>
        <w:t xml:space="preserve"> </w:t>
      </w:r>
    </w:p>
    <w:p w14:paraId="3350AED3" w14:textId="3639FD05" w:rsidR="00B37ACA"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Emerging research</w:t>
      </w:r>
      <w:r w:rsidR="00E5447D" w:rsidRPr="004D2DFF">
        <w:rPr>
          <w:rFonts w:ascii="Arial" w:hAnsi="Arial" w:cs="Arial"/>
          <w:sz w:val="22"/>
          <w:szCs w:val="22"/>
        </w:rPr>
        <w:t xml:space="preserve"> Highlights</w:t>
      </w:r>
      <w:r w:rsidRPr="004D2DFF">
        <w:rPr>
          <w:rFonts w:ascii="Arial" w:hAnsi="Arial" w:cs="Arial"/>
          <w:sz w:val="22"/>
          <w:szCs w:val="22"/>
        </w:rPr>
        <w:t xml:space="preserve"> the importance of neurodiversity-informed care,</w:t>
      </w:r>
      <w:r w:rsidR="000A0FBD" w:rsidRPr="004D2DFF">
        <w:rPr>
          <w:rFonts w:ascii="Arial" w:hAnsi="Arial" w:cs="Arial"/>
          <w:sz w:val="22"/>
          <w:szCs w:val="22"/>
        </w:rPr>
        <w:t xml:space="preserve"> </w:t>
      </w:r>
      <w:r w:rsidR="00323DEB" w:rsidRPr="004D2DFF">
        <w:rPr>
          <w:rFonts w:ascii="Arial" w:hAnsi="Arial" w:cs="Arial"/>
          <w:sz w:val="22"/>
          <w:szCs w:val="22"/>
        </w:rPr>
        <w:t>identifying</w:t>
      </w:r>
      <w:r w:rsidRPr="004D2DFF">
        <w:rPr>
          <w:rFonts w:ascii="Arial" w:hAnsi="Arial" w:cs="Arial"/>
          <w:sz w:val="22"/>
          <w:szCs w:val="22"/>
        </w:rPr>
        <w:t xml:space="preserve"> that cognitive rigidity, sensory sensitivities, and autistic traits can influence the onset, presentation, and persistence of AN. Inclusive,</w:t>
      </w:r>
      <w:r w:rsidR="000201F3" w:rsidRPr="004D2DFF">
        <w:rPr>
          <w:rFonts w:ascii="Arial" w:hAnsi="Arial" w:cs="Arial"/>
          <w:sz w:val="22"/>
          <w:szCs w:val="22"/>
        </w:rPr>
        <w:t xml:space="preserve"> Patient-</w:t>
      </w:r>
      <w:r w:rsidR="00CF76E5" w:rsidRPr="004D2DFF">
        <w:rPr>
          <w:rFonts w:ascii="Arial" w:hAnsi="Arial" w:cs="Arial"/>
          <w:sz w:val="22"/>
          <w:szCs w:val="22"/>
        </w:rPr>
        <w:t>centred</w:t>
      </w:r>
      <w:r w:rsidRPr="004D2DFF">
        <w:rPr>
          <w:rFonts w:ascii="Arial" w:hAnsi="Arial" w:cs="Arial"/>
          <w:sz w:val="22"/>
          <w:szCs w:val="22"/>
        </w:rPr>
        <w:t xml:space="preserve"> interventions, alongside enhanced staff training and sensory-sensitive strategies, improve patient engagement and long-term recovery (Westwood &amp; </w:t>
      </w:r>
      <w:r w:rsidR="0052302D" w:rsidRPr="004D2DFF">
        <w:rPr>
          <w:rFonts w:ascii="Arial" w:hAnsi="Arial" w:cs="Arial"/>
          <w:sz w:val="22"/>
          <w:szCs w:val="22"/>
        </w:rPr>
        <w:t>Chanteria</w:t>
      </w:r>
      <w:r w:rsidRPr="004D2DFF">
        <w:rPr>
          <w:rFonts w:ascii="Arial" w:hAnsi="Arial" w:cs="Arial"/>
          <w:sz w:val="22"/>
          <w:szCs w:val="22"/>
        </w:rPr>
        <w:t xml:space="preserve">, 2022). Despite NHS initiatives, disparities in service provision and access persist, underscoring the need for equitable, evidence-based care Integrating holistic recovery frameworks, interdisciplinary collaboration, and policies that support </w:t>
      </w:r>
      <w:r w:rsidR="000423A5" w:rsidRPr="004D2DFF">
        <w:rPr>
          <w:rFonts w:ascii="Arial" w:hAnsi="Arial" w:cs="Arial"/>
          <w:sz w:val="22"/>
          <w:szCs w:val="22"/>
        </w:rPr>
        <w:t>neurodiversity,</w:t>
      </w:r>
      <w:r w:rsidRPr="004D2DFF">
        <w:rPr>
          <w:rFonts w:ascii="Arial" w:hAnsi="Arial" w:cs="Arial"/>
          <w:sz w:val="22"/>
          <w:szCs w:val="22"/>
        </w:rPr>
        <w:t xml:space="preserve"> and social reintegration is essential to </w:t>
      </w:r>
      <w:r w:rsidR="0052302D" w:rsidRPr="004D2DFF">
        <w:rPr>
          <w:rFonts w:ascii="Arial" w:hAnsi="Arial" w:cs="Arial"/>
          <w:sz w:val="22"/>
          <w:szCs w:val="22"/>
        </w:rPr>
        <w:t xml:space="preserve">Improve </w:t>
      </w:r>
      <w:r w:rsidRPr="004D2DFF">
        <w:rPr>
          <w:rFonts w:ascii="Arial" w:hAnsi="Arial" w:cs="Arial"/>
          <w:sz w:val="22"/>
          <w:szCs w:val="22"/>
        </w:rPr>
        <w:t>outcomes, reduce relapse, and provide sustainable, person-</w:t>
      </w:r>
      <w:r w:rsidR="00CF76E5" w:rsidRPr="004D2DFF">
        <w:rPr>
          <w:rFonts w:ascii="Arial" w:hAnsi="Arial" w:cs="Arial"/>
          <w:sz w:val="22"/>
          <w:szCs w:val="22"/>
        </w:rPr>
        <w:t>centred</w:t>
      </w:r>
      <w:r w:rsidRPr="004D2DFF">
        <w:rPr>
          <w:rFonts w:ascii="Arial" w:hAnsi="Arial" w:cs="Arial"/>
          <w:sz w:val="22"/>
          <w:szCs w:val="22"/>
        </w:rPr>
        <w:t xml:space="preserve"> care for all individuals affected by anorexia nervosa (</w:t>
      </w:r>
      <w:r w:rsidR="00F256B1" w:rsidRPr="004D2DFF">
        <w:rPr>
          <w:rFonts w:ascii="Arial" w:hAnsi="Arial" w:cs="Arial"/>
          <w:sz w:val="22"/>
          <w:szCs w:val="22"/>
        </w:rPr>
        <w:t>Baena’s</w:t>
      </w:r>
      <w:r w:rsidRPr="004D2DFF">
        <w:rPr>
          <w:rFonts w:ascii="Arial" w:hAnsi="Arial" w:cs="Arial"/>
          <w:sz w:val="22"/>
          <w:szCs w:val="22"/>
        </w:rPr>
        <w:t xml:space="preserve"> et al., 2024</w:t>
      </w:r>
      <w:r w:rsidR="00704788" w:rsidRPr="004D2DFF">
        <w:rPr>
          <w:rFonts w:ascii="Arial" w:hAnsi="Arial" w:cs="Arial"/>
          <w:sz w:val="22"/>
          <w:szCs w:val="22"/>
        </w:rPr>
        <w:t>)</w:t>
      </w:r>
      <w:r w:rsidR="00433EC2" w:rsidRPr="004D2DFF">
        <w:rPr>
          <w:rFonts w:ascii="Arial" w:hAnsi="Arial" w:cs="Arial"/>
          <w:sz w:val="22"/>
          <w:szCs w:val="22"/>
        </w:rPr>
        <w:t>.</w:t>
      </w:r>
    </w:p>
    <w:p w14:paraId="297A6749" w14:textId="6BC6EC8D" w:rsidR="00B37ACA" w:rsidRPr="001825EE" w:rsidRDefault="00B37ACA" w:rsidP="00EC2CF8">
      <w:pPr>
        <w:spacing w:line="360" w:lineRule="auto"/>
        <w:jc w:val="both"/>
        <w:rPr>
          <w:rFonts w:ascii="Arial" w:hAnsi="Arial" w:cs="Arial"/>
          <w:sz w:val="22"/>
          <w:szCs w:val="22"/>
        </w:rPr>
      </w:pPr>
      <w:r>
        <w:rPr>
          <w:rFonts w:ascii="Arial" w:hAnsi="Arial" w:cs="Arial"/>
          <w:sz w:val="22"/>
          <w:szCs w:val="22"/>
        </w:rPr>
        <w:t xml:space="preserve"> </w:t>
      </w:r>
    </w:p>
    <w:p w14:paraId="2E08632F" w14:textId="7F435C07" w:rsidR="001825EE" w:rsidRDefault="002F5091" w:rsidP="00EC2CF8">
      <w:pPr>
        <w:spacing w:line="360" w:lineRule="auto"/>
        <w:jc w:val="both"/>
        <w:rPr>
          <w:rFonts w:ascii="Arial" w:hAnsi="Arial" w:cs="Arial"/>
          <w:sz w:val="22"/>
          <w:szCs w:val="22"/>
        </w:rPr>
      </w:pPr>
      <w:r w:rsidRPr="00EC2CF8">
        <w:rPr>
          <w:rFonts w:ascii="Arial" w:hAnsi="Arial" w:cs="Arial"/>
          <w:sz w:val="22"/>
          <w:szCs w:val="22"/>
        </w:rPr>
        <w:t xml:space="preserve"> </w:t>
      </w:r>
    </w:p>
    <w:p w14:paraId="14093773" w14:textId="77777777" w:rsidR="00E150AE" w:rsidRDefault="00E150AE" w:rsidP="00EC2CF8">
      <w:pPr>
        <w:spacing w:line="360" w:lineRule="auto"/>
        <w:jc w:val="both"/>
        <w:rPr>
          <w:rFonts w:ascii="Arial" w:hAnsi="Arial" w:cs="Arial"/>
          <w:sz w:val="22"/>
          <w:szCs w:val="22"/>
        </w:rPr>
      </w:pPr>
    </w:p>
    <w:p w14:paraId="7A5B595B" w14:textId="77777777" w:rsidR="00E150AE" w:rsidRDefault="00E150AE" w:rsidP="00EC2CF8">
      <w:pPr>
        <w:spacing w:line="360" w:lineRule="auto"/>
        <w:jc w:val="both"/>
        <w:rPr>
          <w:rFonts w:ascii="Arial" w:hAnsi="Arial" w:cs="Arial"/>
          <w:sz w:val="22"/>
          <w:szCs w:val="22"/>
        </w:rPr>
      </w:pPr>
    </w:p>
    <w:p w14:paraId="520D8C88" w14:textId="77777777" w:rsidR="00E150AE" w:rsidRDefault="00E150AE" w:rsidP="00EC2CF8">
      <w:pPr>
        <w:spacing w:line="360" w:lineRule="auto"/>
        <w:jc w:val="both"/>
        <w:rPr>
          <w:rFonts w:ascii="Arial" w:hAnsi="Arial" w:cs="Arial"/>
          <w:sz w:val="22"/>
          <w:szCs w:val="22"/>
        </w:rPr>
      </w:pPr>
    </w:p>
    <w:p w14:paraId="58652293" w14:textId="77777777" w:rsidR="00C41E21" w:rsidRDefault="00C41E21" w:rsidP="00EC2CF8">
      <w:pPr>
        <w:spacing w:line="360" w:lineRule="auto"/>
        <w:jc w:val="both"/>
        <w:rPr>
          <w:rFonts w:ascii="Arial" w:hAnsi="Arial" w:cs="Arial"/>
          <w:sz w:val="22"/>
          <w:szCs w:val="22"/>
        </w:rPr>
      </w:pPr>
    </w:p>
    <w:p w14:paraId="040F9D95" w14:textId="77777777" w:rsidR="00F22A91" w:rsidRDefault="00F22A91" w:rsidP="00E150AE">
      <w:pPr>
        <w:shd w:val="clear" w:color="auto" w:fill="FFFFFF"/>
        <w:spacing w:after="150" w:line="240" w:lineRule="auto"/>
        <w:rPr>
          <w:rFonts w:ascii="Arial" w:eastAsia="Times New Roman" w:hAnsi="Arial" w:cs="Arial"/>
          <w:color w:val="323130"/>
          <w:kern w:val="0"/>
          <w:sz w:val="28"/>
          <w:szCs w:val="28"/>
          <w14:ligatures w14:val="none"/>
        </w:rPr>
      </w:pPr>
    </w:p>
    <w:p w14:paraId="08DCD132" w14:textId="06E46BFE" w:rsidR="009F168D" w:rsidRPr="00CD2F17" w:rsidRDefault="00E150AE" w:rsidP="00E150AE">
      <w:pPr>
        <w:shd w:val="clear" w:color="auto" w:fill="FFFFFF"/>
        <w:spacing w:after="150" w:line="240" w:lineRule="auto"/>
        <w:rPr>
          <w:rFonts w:ascii="Arial" w:eastAsia="Times New Roman" w:hAnsi="Arial" w:cs="Arial"/>
          <w:b/>
          <w:bCs/>
          <w:color w:val="323130"/>
          <w:kern w:val="0"/>
          <w:sz w:val="28"/>
          <w:szCs w:val="28"/>
          <w:u w:val="single"/>
          <w14:ligatures w14:val="none"/>
        </w:rPr>
      </w:pPr>
      <w:r w:rsidRPr="00CD2F17">
        <w:rPr>
          <w:rFonts w:ascii="Arial" w:eastAsia="Times New Roman" w:hAnsi="Arial" w:cs="Arial"/>
          <w:b/>
          <w:bCs/>
          <w:color w:val="323130"/>
          <w:kern w:val="0"/>
          <w:sz w:val="28"/>
          <w:szCs w:val="28"/>
          <w:u w:val="single"/>
          <w14:ligatures w14:val="none"/>
        </w:rPr>
        <w:lastRenderedPageBreak/>
        <w:t>References</w:t>
      </w:r>
    </w:p>
    <w:p w14:paraId="36B0F103" w14:textId="0D23E66F" w:rsidR="003E6CFF" w:rsidRPr="00CD2F17" w:rsidRDefault="001D7D4B" w:rsidP="00ED2A9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American Psychiatric Association, DSM-5 Task Force</w:t>
      </w:r>
      <w:r w:rsidR="00E845D0" w:rsidRPr="00CD2F17">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(2013). </w:t>
      </w:r>
      <w:r w:rsidRPr="00CD2F17">
        <w:rPr>
          <w:rFonts w:ascii="Arial" w:eastAsia="Times New Roman" w:hAnsi="Arial" w:cs="Arial"/>
          <w:i/>
          <w:iCs/>
          <w:color w:val="323130"/>
          <w:kern w:val="0"/>
          <w:sz w:val="22"/>
          <w:szCs w:val="22"/>
          <w14:ligatures w14:val="none"/>
        </w:rPr>
        <w:t>Diagnostic and statistical manual of mental disorders</w:t>
      </w:r>
      <w:r w:rsidR="005A09A7" w:rsidRPr="00CD2F17">
        <w:rPr>
          <w:rFonts w:ascii="Arial" w:eastAsia="Times New Roman" w:hAnsi="Arial" w:cs="Arial"/>
          <w:i/>
          <w:iCs/>
          <w:color w:val="323130"/>
          <w:kern w:val="0"/>
          <w:sz w:val="22"/>
          <w:szCs w:val="22"/>
          <w14:ligatures w14:val="none"/>
        </w:rPr>
        <w:t>.</w:t>
      </w:r>
      <w:r w:rsidR="00725655" w:rsidRPr="00CD2F17">
        <w:rPr>
          <w:rFonts w:ascii="Arial" w:eastAsia="Times New Roman" w:hAnsi="Arial" w:cs="Arial"/>
          <w:color w:val="323130"/>
          <w:kern w:val="0"/>
          <w:sz w:val="22"/>
          <w:szCs w:val="22"/>
          <w14:ligatures w14:val="none"/>
        </w:rPr>
        <w:t xml:space="preserve"> Available at:</w:t>
      </w:r>
      <w:r w:rsidRPr="00CD2F17">
        <w:rPr>
          <w:rFonts w:ascii="Arial" w:eastAsia="Times New Roman" w:hAnsi="Arial" w:cs="Arial"/>
          <w:color w:val="323130"/>
          <w:kern w:val="0"/>
          <w:sz w:val="22"/>
          <w:szCs w:val="22"/>
          <w14:ligatures w14:val="none"/>
        </w:rPr>
        <w:t> </w:t>
      </w:r>
      <w:hyperlink r:id="rId10" w:tgtFrame="_blank" w:history="1">
        <w:r w:rsidRPr="00CD2F17">
          <w:rPr>
            <w:rStyle w:val="Hyperlink"/>
            <w:rFonts w:ascii="Arial" w:eastAsia="Times New Roman" w:hAnsi="Arial" w:cs="Arial"/>
            <w:kern w:val="0"/>
            <w:sz w:val="22"/>
            <w:szCs w:val="22"/>
            <w14:ligatures w14:val="none"/>
          </w:rPr>
          <w:t>https://doi.org/10.1176/appi.books.9780890425596</w:t>
        </w:r>
      </w:hyperlink>
      <w:r w:rsidR="00725655" w:rsidRPr="00CD2F17">
        <w:rPr>
          <w:rFonts w:ascii="Arial" w:eastAsia="Times New Roman" w:hAnsi="Arial" w:cs="Arial"/>
          <w:color w:val="323130"/>
          <w:kern w:val="0"/>
          <w:sz w:val="22"/>
          <w:szCs w:val="22"/>
          <w14:ligatures w14:val="none"/>
        </w:rPr>
        <w:t xml:space="preserve"> (</w:t>
      </w:r>
      <w:r w:rsidR="005931AE" w:rsidRPr="00CD2F17">
        <w:rPr>
          <w:rFonts w:ascii="Arial" w:eastAsia="Times New Roman" w:hAnsi="Arial" w:cs="Arial"/>
          <w:color w:val="323130"/>
          <w:kern w:val="0"/>
          <w:sz w:val="22"/>
          <w:szCs w:val="22"/>
          <w14:ligatures w14:val="none"/>
        </w:rPr>
        <w:t>Accessed</w:t>
      </w:r>
      <w:r w:rsidR="00725655" w:rsidRPr="00CD2F17">
        <w:rPr>
          <w:rFonts w:ascii="Arial" w:eastAsia="Times New Roman" w:hAnsi="Arial" w:cs="Arial"/>
          <w:color w:val="323130"/>
          <w:kern w:val="0"/>
          <w:sz w:val="22"/>
          <w:szCs w:val="22"/>
          <w14:ligatures w14:val="none"/>
        </w:rPr>
        <w:t xml:space="preserve"> on </w:t>
      </w:r>
      <w:r w:rsidR="005931AE" w:rsidRPr="00CD2F17">
        <w:rPr>
          <w:rFonts w:ascii="Arial" w:eastAsia="Times New Roman" w:hAnsi="Arial" w:cs="Arial"/>
          <w:color w:val="323130"/>
          <w:kern w:val="0"/>
          <w:sz w:val="22"/>
          <w:szCs w:val="22"/>
          <w14:ligatures w14:val="none"/>
        </w:rPr>
        <w:t>16 November 16, 2025)</w:t>
      </w:r>
    </w:p>
    <w:p w14:paraId="6D507403" w14:textId="77777777" w:rsidR="00980628" w:rsidRPr="00CD2F17" w:rsidRDefault="00980628" w:rsidP="00ED2A90">
      <w:pPr>
        <w:shd w:val="clear" w:color="auto" w:fill="FFFFFF"/>
        <w:spacing w:after="150" w:line="240" w:lineRule="auto"/>
        <w:rPr>
          <w:rFonts w:ascii="Arial" w:eastAsia="Times New Roman" w:hAnsi="Arial" w:cs="Arial"/>
          <w:color w:val="323130"/>
          <w:kern w:val="0"/>
          <w:sz w:val="22"/>
          <w:szCs w:val="22"/>
          <w14:ligatures w14:val="none"/>
        </w:rPr>
      </w:pPr>
    </w:p>
    <w:p w14:paraId="2AABABC6" w14:textId="26F79C31" w:rsidR="009D0393" w:rsidRPr="00CD2F17" w:rsidRDefault="00E150AE" w:rsidP="00ED2A9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Ayton, A., Viljoen, D., Ryan, S., Ibrahim, A. &amp; Ford, D. (2022) ‘Risk, demand,</w:t>
      </w:r>
      <w:r w:rsidRPr="00CD2F17">
        <w:rPr>
          <w:rFonts w:ascii="Arial" w:eastAsia="Times New Roman" w:hAnsi="Arial" w:cs="Arial"/>
          <w:color w:val="323130"/>
          <w:kern w:val="0"/>
          <w:sz w:val="22"/>
          <w:szCs w:val="22"/>
          <w14:ligatures w14:val="none"/>
        </w:rPr>
        <w:br/>
        <w:t>capacity and outcomes in adult specialist eating disorder services in South-East of</w:t>
      </w:r>
      <w:r w:rsidRPr="00CD2F17">
        <w:rPr>
          <w:rFonts w:ascii="Arial" w:eastAsia="Times New Roman" w:hAnsi="Arial" w:cs="Arial"/>
          <w:color w:val="323130"/>
          <w:kern w:val="0"/>
          <w:sz w:val="22"/>
          <w:szCs w:val="22"/>
          <w14:ligatures w14:val="none"/>
        </w:rPr>
        <w:br/>
        <w:t>England before and since COVID-19’, BJPsych Bulletin, 46(2), pp. 89–95.</w:t>
      </w:r>
    </w:p>
    <w:p w14:paraId="42BEC511" w14:textId="77777777" w:rsidR="00BD3314" w:rsidRPr="00CD2F17" w:rsidRDefault="00BD3314" w:rsidP="00ED2A90">
      <w:pPr>
        <w:pStyle w:val="ListParagraph"/>
        <w:rPr>
          <w:rFonts w:ascii="Arial" w:eastAsia="Times New Roman" w:hAnsi="Arial" w:cs="Arial"/>
          <w:color w:val="323130"/>
          <w:kern w:val="0"/>
          <w:sz w:val="22"/>
          <w:szCs w:val="22"/>
          <w14:ligatures w14:val="none"/>
        </w:rPr>
      </w:pPr>
    </w:p>
    <w:p w14:paraId="7D991605" w14:textId="1B1E320B" w:rsidR="00E150AE" w:rsidRPr="00CD2F17" w:rsidRDefault="00E150AE" w:rsidP="00ED2A9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Baenas, I., Ramirez, S., Patel, A., Gonzalez, F., Thompson, H. and Cooper, L. (2024)</w:t>
      </w:r>
      <w:r w:rsidRPr="00CD2F17">
        <w:rPr>
          <w:rFonts w:ascii="Arial" w:eastAsia="Times New Roman" w:hAnsi="Arial" w:cs="Arial"/>
          <w:color w:val="323130"/>
          <w:kern w:val="0"/>
          <w:sz w:val="22"/>
          <w:szCs w:val="22"/>
          <w14:ligatures w14:val="none"/>
        </w:rPr>
        <w:br/>
        <w:t>‘Quality of life and recovery definitions in anorexia nervosa: A systematic review’,</w:t>
      </w:r>
      <w:r w:rsidRPr="00CD2F17">
        <w:rPr>
          <w:rFonts w:ascii="Arial" w:eastAsia="Times New Roman" w:hAnsi="Arial" w:cs="Arial"/>
          <w:color w:val="323130"/>
          <w:kern w:val="0"/>
          <w:sz w:val="22"/>
          <w:szCs w:val="22"/>
          <w14:ligatures w14:val="none"/>
        </w:rPr>
        <w:br/>
        <w:t>Eating and Weight Disorders, 29(2), pp. 223–239.</w:t>
      </w:r>
      <w:r w:rsidR="00812944" w:rsidRPr="00CD2F17">
        <w:rPr>
          <w:rFonts w:ascii="Arial" w:eastAsia="Times New Roman" w:hAnsi="Arial" w:cs="Arial"/>
          <w:color w:val="323130"/>
          <w:kern w:val="0"/>
          <w:sz w:val="22"/>
          <w:szCs w:val="22"/>
          <w14:ligatures w14:val="none"/>
        </w:rPr>
        <w:t xml:space="preserve"> </w:t>
      </w:r>
    </w:p>
    <w:p w14:paraId="3D4DFB30" w14:textId="77777777" w:rsidR="00BD3314" w:rsidRPr="00CD2F17" w:rsidRDefault="00BD3314" w:rsidP="00ED2A90">
      <w:pPr>
        <w:pStyle w:val="ListParagraph"/>
        <w:rPr>
          <w:rFonts w:ascii="Arial" w:eastAsia="Times New Roman" w:hAnsi="Arial" w:cs="Arial"/>
          <w:color w:val="323130"/>
          <w:kern w:val="0"/>
          <w:sz w:val="22"/>
          <w:szCs w:val="22"/>
          <w14:ligatures w14:val="none"/>
        </w:rPr>
      </w:pPr>
    </w:p>
    <w:p w14:paraId="21ACFF08" w14:textId="1FD06425"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Bulik, C. M., Reba, L., Siega-Riz, A., von Holle, A., Hamer, R. and Berrettini, W.</w:t>
      </w:r>
      <w:r w:rsidRPr="00CD2F17">
        <w:rPr>
          <w:rFonts w:ascii="Arial" w:eastAsia="Times New Roman" w:hAnsi="Arial" w:cs="Arial"/>
          <w:color w:val="323130"/>
          <w:kern w:val="0"/>
          <w:sz w:val="22"/>
          <w:szCs w:val="22"/>
          <w14:ligatures w14:val="none"/>
        </w:rPr>
        <w:br/>
        <w:t>(2019) ‘The classification of feeding and eating disorders in ICD-11’, BMC Medicine,</w:t>
      </w:r>
      <w:r w:rsidRPr="00CD2F17">
        <w:rPr>
          <w:rFonts w:ascii="Arial" w:eastAsia="Times New Roman" w:hAnsi="Arial" w:cs="Arial"/>
          <w:color w:val="323130"/>
          <w:kern w:val="0"/>
          <w:sz w:val="22"/>
          <w:szCs w:val="22"/>
          <w14:ligatures w14:val="none"/>
        </w:rPr>
        <w:br/>
        <w:t>17(1), p. 23.</w:t>
      </w:r>
      <w:r w:rsidR="007E195F" w:rsidRPr="00CD2F17">
        <w:rPr>
          <w:rFonts w:ascii="Arial" w:eastAsia="Times New Roman" w:hAnsi="Arial" w:cs="Arial"/>
          <w:color w:val="323130"/>
          <w:kern w:val="0"/>
          <w:sz w:val="22"/>
          <w:szCs w:val="22"/>
          <w14:ligatures w14:val="none"/>
        </w:rPr>
        <w:t xml:space="preserve"> </w:t>
      </w:r>
    </w:p>
    <w:p w14:paraId="1E17E617" w14:textId="77777777" w:rsidR="00A474F1" w:rsidRPr="00CD2F17"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6A6BBA60" w14:textId="3C21C761"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Bulik, C. M., Thornton, L., Root, T., Pisetsky, E., Lichtenstein, P. and Pedersen, N. L.</w:t>
      </w:r>
      <w:r w:rsidRPr="00CD2F17">
        <w:rPr>
          <w:rFonts w:ascii="Arial" w:eastAsia="Times New Roman" w:hAnsi="Arial" w:cs="Arial"/>
          <w:color w:val="323130"/>
          <w:kern w:val="0"/>
          <w:sz w:val="22"/>
          <w:szCs w:val="22"/>
          <w14:ligatures w14:val="none"/>
        </w:rPr>
        <w:br/>
        <w:t>(2023) ‘Reconsidering diagnostic thresholds in anorexia nervosa’, The Lancet</w:t>
      </w:r>
      <w:r w:rsidRPr="00CD2F17">
        <w:rPr>
          <w:rFonts w:ascii="Arial" w:eastAsia="Times New Roman" w:hAnsi="Arial" w:cs="Arial"/>
          <w:color w:val="323130"/>
          <w:kern w:val="0"/>
          <w:sz w:val="22"/>
          <w:szCs w:val="22"/>
          <w14:ligatures w14:val="none"/>
        </w:rPr>
        <w:br/>
        <w:t>Psychiatry, 10(3), pp. 190–198.</w:t>
      </w:r>
      <w:r w:rsidR="007E195F" w:rsidRPr="00CD2F17">
        <w:rPr>
          <w:rFonts w:ascii="Arial" w:eastAsia="Times New Roman" w:hAnsi="Arial" w:cs="Arial"/>
          <w:color w:val="323130"/>
          <w:kern w:val="0"/>
          <w:sz w:val="22"/>
          <w:szCs w:val="22"/>
          <w14:ligatures w14:val="none"/>
        </w:rPr>
        <w:t xml:space="preserve"> </w:t>
      </w:r>
    </w:p>
    <w:p w14:paraId="06707251" w14:textId="77777777" w:rsidR="00AB73FF" w:rsidRDefault="00AB73FF" w:rsidP="00E845D0">
      <w:pPr>
        <w:shd w:val="clear" w:color="auto" w:fill="FFFFFF"/>
        <w:spacing w:after="150" w:line="240" w:lineRule="auto"/>
        <w:rPr>
          <w:rFonts w:ascii="Arial" w:eastAsia="Times New Roman" w:hAnsi="Arial" w:cs="Arial"/>
          <w:color w:val="323130"/>
          <w:kern w:val="0"/>
          <w:sz w:val="22"/>
          <w:szCs w:val="22"/>
          <w14:ligatures w14:val="none"/>
        </w:rPr>
      </w:pPr>
    </w:p>
    <w:p w14:paraId="5C774D2B" w14:textId="15F8D783"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Cass, K. (2020) ‘Medical complications of anorexia nervosa’, Pediatrics, 145(3),</w:t>
      </w:r>
      <w:r w:rsidRPr="00CD2F17">
        <w:rPr>
          <w:rFonts w:ascii="Arial" w:eastAsia="Times New Roman" w:hAnsi="Arial" w:cs="Arial"/>
          <w:color w:val="323130"/>
          <w:kern w:val="0"/>
          <w:sz w:val="22"/>
          <w:szCs w:val="22"/>
          <w14:ligatures w14:val="none"/>
        </w:rPr>
        <w:br/>
        <w:t>e202007004.</w:t>
      </w:r>
    </w:p>
    <w:p w14:paraId="38EF98FE" w14:textId="77777777" w:rsidR="00A474F1" w:rsidRPr="00CD2F17"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6FDB281F" w14:textId="29F693ED" w:rsidR="009D0393" w:rsidRPr="00CD2F17" w:rsidRDefault="00E150AE" w:rsidP="00696C11">
      <w:pPr>
        <w:shd w:val="clear" w:color="auto" w:fill="FFFFFF"/>
        <w:spacing w:after="150" w:line="240" w:lineRule="auto"/>
        <w:rPr>
          <w:rFonts w:ascii="Arial" w:eastAsia="Times New Roman" w:hAnsi="Arial" w:cs="Arial"/>
          <w:color w:val="323130"/>
          <w:kern w:val="0"/>
          <w:sz w:val="22"/>
          <w:szCs w:val="22"/>
          <w:lang w:val="en-US"/>
          <w14:ligatures w14:val="none"/>
        </w:rPr>
      </w:pPr>
      <w:r w:rsidRPr="00CD2F17">
        <w:rPr>
          <w:rFonts w:ascii="Arial" w:eastAsia="Times New Roman" w:hAnsi="Arial" w:cs="Arial"/>
          <w:color w:val="323130"/>
          <w:kern w:val="0"/>
          <w:sz w:val="22"/>
          <w:szCs w:val="22"/>
          <w:lang w:val="en-US"/>
          <w14:ligatures w14:val="none"/>
        </w:rPr>
        <w:t>Cogodi, E., Ranieri, J., Martelli, A. &amp; Di Giacomo, D. (2024) ‘Emotional dysregulation</w:t>
      </w:r>
      <w:r w:rsidRPr="00CD2F17">
        <w:rPr>
          <w:rFonts w:ascii="Arial" w:eastAsia="Times New Roman" w:hAnsi="Arial" w:cs="Arial"/>
          <w:color w:val="323130"/>
          <w:kern w:val="0"/>
          <w:sz w:val="22"/>
          <w:szCs w:val="22"/>
          <w:lang w:val="en-US"/>
          <w14:ligatures w14:val="none"/>
        </w:rPr>
        <w:br/>
        <w:t>in anorexia nervosa: scoping review of psychological treatments’, Healthcare, 12(14),</w:t>
      </w:r>
      <w:r w:rsidRPr="00CD2F17">
        <w:rPr>
          <w:rFonts w:ascii="Arial" w:eastAsia="Times New Roman" w:hAnsi="Arial" w:cs="Arial"/>
          <w:color w:val="323130"/>
          <w:kern w:val="0"/>
          <w:sz w:val="22"/>
          <w:szCs w:val="22"/>
          <w:lang w:val="en-US"/>
          <w14:ligatures w14:val="none"/>
        </w:rPr>
        <w:br/>
        <w:t>1388</w:t>
      </w:r>
      <w:r w:rsidR="00A474F1" w:rsidRPr="00CD2F17">
        <w:rPr>
          <w:rFonts w:ascii="Arial" w:eastAsia="Times New Roman" w:hAnsi="Arial" w:cs="Arial"/>
          <w:color w:val="323130"/>
          <w:kern w:val="0"/>
          <w:sz w:val="22"/>
          <w:szCs w:val="22"/>
          <w:lang w:val="en-US"/>
          <w14:ligatures w14:val="none"/>
        </w:rPr>
        <w:t xml:space="preserve">. </w:t>
      </w:r>
    </w:p>
    <w:p w14:paraId="505B4345" w14:textId="77777777" w:rsidR="00A474F1" w:rsidRPr="00CD2F17" w:rsidRDefault="00A474F1" w:rsidP="00696C11">
      <w:pPr>
        <w:shd w:val="clear" w:color="auto" w:fill="FFFFFF"/>
        <w:spacing w:after="150" w:line="240" w:lineRule="auto"/>
        <w:rPr>
          <w:rFonts w:ascii="Arial" w:eastAsia="Times New Roman" w:hAnsi="Arial" w:cs="Arial"/>
          <w:color w:val="323130"/>
          <w:kern w:val="0"/>
          <w:sz w:val="22"/>
          <w:szCs w:val="22"/>
          <w:lang w:val="en-US"/>
          <w14:ligatures w14:val="none"/>
        </w:rPr>
      </w:pPr>
    </w:p>
    <w:p w14:paraId="65AD7F27" w14:textId="206F4069"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Department of Health and Social Care</w:t>
      </w:r>
      <w:r w:rsidR="0034636A" w:rsidRPr="00CD2F17">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(2015) Code of Practice: Mental</w:t>
      </w:r>
      <w:r w:rsidRPr="00CD2F17">
        <w:rPr>
          <w:rFonts w:ascii="Arial" w:eastAsia="Times New Roman" w:hAnsi="Arial" w:cs="Arial"/>
          <w:color w:val="323130"/>
          <w:kern w:val="0"/>
          <w:sz w:val="22"/>
          <w:szCs w:val="22"/>
          <w14:ligatures w14:val="none"/>
        </w:rPr>
        <w:br/>
        <w:t>Health Act 1983. London: DHSC.</w:t>
      </w:r>
    </w:p>
    <w:p w14:paraId="4CDA928A" w14:textId="77777777" w:rsidR="00AB73FF" w:rsidRDefault="00AB73FF" w:rsidP="00E845D0">
      <w:pPr>
        <w:shd w:val="clear" w:color="auto" w:fill="FFFFFF"/>
        <w:spacing w:after="150" w:line="240" w:lineRule="auto"/>
        <w:rPr>
          <w:rFonts w:ascii="Arial" w:eastAsia="Times New Roman" w:hAnsi="Arial" w:cs="Arial"/>
          <w:color w:val="323130"/>
          <w:kern w:val="0"/>
          <w:sz w:val="22"/>
          <w:szCs w:val="22"/>
          <w14:ligatures w14:val="none"/>
        </w:rPr>
      </w:pPr>
    </w:p>
    <w:p w14:paraId="4AA0FD48" w14:textId="77777777" w:rsidR="00AB73FF" w:rsidRPr="00CD2F17" w:rsidRDefault="00AB73FF" w:rsidP="00AB73FF">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br/>
        <w:t>Equality Act</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2010</w:t>
      </w:r>
      <w:r>
        <w:rPr>
          <w:rFonts w:ascii="Arial" w:eastAsia="Times New Roman" w:hAnsi="Arial" w:cs="Arial"/>
          <w:color w:val="323130"/>
          <w:kern w:val="0"/>
          <w:sz w:val="22"/>
          <w:szCs w:val="22"/>
          <w14:ligatures w14:val="none"/>
        </w:rPr>
        <w:t xml:space="preserve">) Legislation Available at: </w:t>
      </w:r>
      <w:hyperlink r:id="rId11" w:history="1">
        <w:r w:rsidRPr="00EE2E2A">
          <w:rPr>
            <w:rStyle w:val="Hyperlink"/>
            <w:rFonts w:ascii="Arial" w:eastAsia="Times New Roman" w:hAnsi="Arial" w:cs="Arial"/>
            <w:kern w:val="0"/>
            <w:sz w:val="22"/>
            <w:szCs w:val="22"/>
            <w14:ligatures w14:val="none"/>
          </w:rPr>
          <w:t>Equality Act 2010</w:t>
        </w:r>
      </w:hyperlink>
      <w:r>
        <w:rPr>
          <w:rFonts w:ascii="Arial" w:eastAsia="Times New Roman" w:hAnsi="Arial" w:cs="Arial"/>
          <w:color w:val="323130"/>
          <w:kern w:val="0"/>
          <w:sz w:val="22"/>
          <w:szCs w:val="22"/>
          <w14:ligatures w14:val="none"/>
        </w:rPr>
        <w:t xml:space="preserve"> (Accessed on:16 November 2025).</w:t>
      </w:r>
      <w:r w:rsidRPr="00CD2F17">
        <w:rPr>
          <w:rFonts w:ascii="Arial" w:eastAsia="Times New Roman" w:hAnsi="Arial" w:cs="Arial"/>
          <w:color w:val="323130"/>
          <w:kern w:val="0"/>
          <w:sz w:val="22"/>
          <w:szCs w:val="22"/>
          <w14:ligatures w14:val="none"/>
        </w:rPr>
        <w:t xml:space="preserve"> </w:t>
      </w:r>
    </w:p>
    <w:p w14:paraId="14242B62" w14:textId="77777777" w:rsidR="00AB73FF" w:rsidRPr="00CD2F17" w:rsidRDefault="00AB73FF" w:rsidP="00E845D0">
      <w:pPr>
        <w:shd w:val="clear" w:color="auto" w:fill="FFFFFF"/>
        <w:spacing w:after="150" w:line="240" w:lineRule="auto"/>
        <w:rPr>
          <w:rFonts w:ascii="Arial" w:eastAsia="Times New Roman" w:hAnsi="Arial" w:cs="Arial"/>
          <w:color w:val="323130"/>
          <w:kern w:val="0"/>
          <w:sz w:val="22"/>
          <w:szCs w:val="22"/>
          <w14:ligatures w14:val="none"/>
        </w:rPr>
      </w:pPr>
    </w:p>
    <w:p w14:paraId="694FE512" w14:textId="44B87E97"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Kerr-Gaffney, J., Harrison, A., Tchanturia, K., Treasure, J., Hatch, K. and Schmidt, U.</w:t>
      </w:r>
      <w:r w:rsidRPr="00CD2F17">
        <w:rPr>
          <w:rFonts w:ascii="Arial" w:eastAsia="Times New Roman" w:hAnsi="Arial" w:cs="Arial"/>
          <w:color w:val="323130"/>
          <w:kern w:val="0"/>
          <w:sz w:val="22"/>
          <w:szCs w:val="22"/>
          <w14:ligatures w14:val="none"/>
        </w:rPr>
        <w:br/>
        <w:t>(2020) ‘</w:t>
      </w:r>
      <w:r w:rsidR="009D0393" w:rsidRPr="00CD2F17">
        <w:rPr>
          <w:rFonts w:ascii="Arial" w:eastAsia="Times New Roman" w:hAnsi="Arial" w:cs="Arial"/>
          <w:color w:val="323130"/>
          <w:kern w:val="0"/>
          <w:sz w:val="22"/>
          <w:szCs w:val="22"/>
          <w14:ligatures w14:val="none"/>
        </w:rPr>
        <w:t>autism spectrum disorder</w:t>
      </w:r>
      <w:r w:rsidRPr="00CD2F17">
        <w:rPr>
          <w:rFonts w:ascii="Arial" w:eastAsia="Times New Roman" w:hAnsi="Arial" w:cs="Arial"/>
          <w:color w:val="323130"/>
          <w:kern w:val="0"/>
          <w:sz w:val="22"/>
          <w:szCs w:val="22"/>
          <w14:ligatures w14:val="none"/>
        </w:rPr>
        <w:t xml:space="preserve"> traits in anorexia nervosa: Neurobiological</w:t>
      </w:r>
      <w:r w:rsidRPr="00CD2F17">
        <w:rPr>
          <w:rFonts w:ascii="Arial" w:eastAsia="Times New Roman" w:hAnsi="Arial" w:cs="Arial"/>
          <w:color w:val="323130"/>
          <w:kern w:val="0"/>
          <w:sz w:val="22"/>
          <w:szCs w:val="22"/>
          <w14:ligatures w14:val="none"/>
        </w:rPr>
        <w:br/>
        <w:t>overlaps’, European Eating Disorders Review, 28(5), pp. 527–541.</w:t>
      </w:r>
    </w:p>
    <w:p w14:paraId="06E36AA2" w14:textId="77777777" w:rsidR="00A129D7" w:rsidRPr="00CD2F17" w:rsidRDefault="00A129D7" w:rsidP="00E845D0">
      <w:pPr>
        <w:shd w:val="clear" w:color="auto" w:fill="FFFFFF"/>
        <w:spacing w:after="150" w:line="240" w:lineRule="auto"/>
        <w:rPr>
          <w:rFonts w:ascii="Arial" w:eastAsia="Times New Roman" w:hAnsi="Arial" w:cs="Arial"/>
          <w:color w:val="323130"/>
          <w:kern w:val="0"/>
          <w:sz w:val="22"/>
          <w:szCs w:val="22"/>
          <w14:ligatures w14:val="none"/>
        </w:rPr>
      </w:pPr>
    </w:p>
    <w:p w14:paraId="14097EAA" w14:textId="5A070FB5"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Knight, R., Waller, G., Treasure, J., Tchanturia, K., Brown, A. and Murphy, C. (2025)</w:t>
      </w:r>
      <w:r w:rsidRPr="00CD2F17">
        <w:rPr>
          <w:rFonts w:ascii="Arial" w:eastAsia="Times New Roman" w:hAnsi="Arial" w:cs="Arial"/>
          <w:color w:val="323130"/>
          <w:kern w:val="0"/>
          <w:sz w:val="22"/>
          <w:szCs w:val="22"/>
          <w14:ligatures w14:val="none"/>
        </w:rPr>
        <w:br/>
        <w:t>‘Rehabilitation outcomes in chronic anorexia nervosa: Community-based</w:t>
      </w:r>
      <w:r w:rsidRPr="00CD2F17">
        <w:rPr>
          <w:rFonts w:ascii="Arial" w:eastAsia="Times New Roman" w:hAnsi="Arial" w:cs="Arial"/>
          <w:color w:val="323130"/>
          <w:kern w:val="0"/>
          <w:sz w:val="22"/>
          <w:szCs w:val="22"/>
          <w14:ligatures w14:val="none"/>
        </w:rPr>
        <w:br/>
        <w:t>approaches’, British Journal of Psychiatry, 227(2), pp. 89–102.</w:t>
      </w:r>
    </w:p>
    <w:p w14:paraId="534D86E9" w14:textId="77777777" w:rsidR="00BE6806" w:rsidRPr="00CD2F17" w:rsidRDefault="00BE6806" w:rsidP="00BE6806">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Mental Health Act</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1983</w:t>
      </w:r>
      <w:r>
        <w:rPr>
          <w:rFonts w:ascii="Arial" w:eastAsia="Times New Roman" w:hAnsi="Arial" w:cs="Arial"/>
          <w:color w:val="323130"/>
          <w:kern w:val="0"/>
          <w:sz w:val="22"/>
          <w:szCs w:val="22"/>
          <w14:ligatures w14:val="none"/>
        </w:rPr>
        <w:t>) Legislation Available at:</w:t>
      </w:r>
      <w:r w:rsidRPr="00A0400E">
        <w:t xml:space="preserve"> </w:t>
      </w:r>
      <w:hyperlink r:id="rId12" w:history="1">
        <w:r w:rsidRPr="00A0400E">
          <w:rPr>
            <w:rStyle w:val="Hyperlink"/>
            <w:rFonts w:ascii="Arial" w:eastAsia="Times New Roman" w:hAnsi="Arial" w:cs="Arial"/>
            <w:kern w:val="0"/>
            <w:sz w:val="22"/>
            <w:szCs w:val="22"/>
            <w14:ligatures w14:val="none"/>
          </w:rPr>
          <w:t>Mental Health Act 1983</w:t>
        </w:r>
      </w:hyperlink>
      <w:r>
        <w:rPr>
          <w:rFonts w:ascii="Arial" w:eastAsia="Times New Roman" w:hAnsi="Arial" w:cs="Arial"/>
          <w:color w:val="323130"/>
          <w:kern w:val="0"/>
          <w:sz w:val="22"/>
          <w:szCs w:val="22"/>
          <w14:ligatures w14:val="none"/>
        </w:rPr>
        <w:t xml:space="preserve"> (Accessed on 16 November 2025).</w:t>
      </w:r>
    </w:p>
    <w:p w14:paraId="603D8570" w14:textId="77777777" w:rsidR="00BE6806" w:rsidRPr="00CD2F17" w:rsidRDefault="00BE6806" w:rsidP="00BE6806">
      <w:pPr>
        <w:shd w:val="clear" w:color="auto" w:fill="FFFFFF"/>
        <w:spacing w:after="150" w:line="240" w:lineRule="auto"/>
        <w:rPr>
          <w:rFonts w:ascii="Arial" w:eastAsia="Times New Roman" w:hAnsi="Arial" w:cs="Arial"/>
          <w:color w:val="323130"/>
          <w:kern w:val="0"/>
          <w:sz w:val="22"/>
          <w:szCs w:val="22"/>
          <w14:ligatures w14:val="none"/>
        </w:rPr>
      </w:pPr>
    </w:p>
    <w:p w14:paraId="33351000" w14:textId="77777777" w:rsidR="00BE6806" w:rsidRPr="00CD2F17" w:rsidRDefault="00BE6806" w:rsidP="00BE6806">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Mental Capacity Act</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2005</w:t>
      </w:r>
      <w:r>
        <w:rPr>
          <w:rFonts w:ascii="Arial" w:eastAsia="Times New Roman" w:hAnsi="Arial" w:cs="Arial"/>
          <w:color w:val="323130"/>
          <w:kern w:val="0"/>
          <w:sz w:val="22"/>
          <w:szCs w:val="22"/>
          <w14:ligatures w14:val="none"/>
        </w:rPr>
        <w:t>)</w:t>
      </w:r>
      <w:r w:rsidRPr="00CD2F17">
        <w:rPr>
          <w:rFonts w:ascii="Arial" w:eastAsia="Times New Roman" w:hAnsi="Arial" w:cs="Arial"/>
          <w:color w:val="323130"/>
          <w:kern w:val="0"/>
          <w:sz w:val="22"/>
          <w:szCs w:val="22"/>
          <w14:ligatures w14:val="none"/>
        </w:rPr>
        <w:t xml:space="preserve"> </w:t>
      </w:r>
      <w:r>
        <w:rPr>
          <w:rFonts w:ascii="Arial" w:eastAsia="Times New Roman" w:hAnsi="Arial" w:cs="Arial"/>
          <w:color w:val="323130"/>
          <w:kern w:val="0"/>
          <w:sz w:val="22"/>
          <w:szCs w:val="22"/>
          <w14:ligatures w14:val="none"/>
        </w:rPr>
        <w:t xml:space="preserve">Legislation Available at: </w:t>
      </w:r>
      <w:hyperlink r:id="rId13" w:history="1">
        <w:r w:rsidRPr="005C29C0">
          <w:rPr>
            <w:rStyle w:val="Hyperlink"/>
            <w:rFonts w:ascii="Arial" w:eastAsia="Times New Roman" w:hAnsi="Arial" w:cs="Arial"/>
            <w:kern w:val="0"/>
            <w:sz w:val="22"/>
            <w:szCs w:val="22"/>
            <w14:ligatures w14:val="none"/>
          </w:rPr>
          <w:t>Mental Capacity Act 2005</w:t>
        </w:r>
      </w:hyperlink>
      <w:r>
        <w:rPr>
          <w:rFonts w:ascii="Arial" w:eastAsia="Times New Roman" w:hAnsi="Arial" w:cs="Arial"/>
          <w:color w:val="323130"/>
          <w:kern w:val="0"/>
          <w:sz w:val="22"/>
          <w:szCs w:val="22"/>
          <w14:ligatures w14:val="none"/>
        </w:rPr>
        <w:t xml:space="preserve"> (Accessed on 16 November 2025).</w:t>
      </w:r>
    </w:p>
    <w:p w14:paraId="420A1C0B" w14:textId="52CF4C6A" w:rsidR="0054227B" w:rsidRPr="00BE6806" w:rsidRDefault="00E150AE" w:rsidP="00BE6806">
      <w:pPr>
        <w:shd w:val="clear" w:color="auto" w:fill="FFFFFF"/>
        <w:spacing w:after="150" w:line="240" w:lineRule="auto"/>
        <w:rPr>
          <w:rFonts w:ascii="Arial" w:eastAsia="Times New Roman" w:hAnsi="Arial" w:cs="Arial"/>
          <w:color w:val="323130"/>
          <w:kern w:val="0"/>
          <w:sz w:val="22"/>
          <w:szCs w:val="22"/>
          <w14:ligatures w14:val="none"/>
        </w:rPr>
      </w:pPr>
      <w:r w:rsidRPr="00BE6806">
        <w:rPr>
          <w:rFonts w:ascii="Arial" w:eastAsia="Times New Roman" w:hAnsi="Arial" w:cs="Arial"/>
          <w:color w:val="323130"/>
          <w:kern w:val="0"/>
          <w:sz w:val="22"/>
          <w:szCs w:val="22"/>
          <w14:ligatures w14:val="none"/>
        </w:rPr>
        <w:br/>
      </w:r>
    </w:p>
    <w:p w14:paraId="76E707D1" w14:textId="0DC7B8D3"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Monteleone, A. M., Cascino, G., Ricca, V., Pellegrino, F., Maj, M. and Monteleone, P.</w:t>
      </w:r>
      <w:r w:rsidRPr="00CD2F17">
        <w:rPr>
          <w:rFonts w:ascii="Arial" w:eastAsia="Times New Roman" w:hAnsi="Arial" w:cs="Arial"/>
          <w:color w:val="323130"/>
          <w:kern w:val="0"/>
          <w:sz w:val="22"/>
          <w:szCs w:val="22"/>
          <w14:ligatures w14:val="none"/>
        </w:rPr>
        <w:br/>
        <w:t>(2022) ‘Treatment of eating disorders: A systematic meta-review’, Neuroscience &amp;</w:t>
      </w:r>
      <w:r w:rsidRPr="00CD2F17">
        <w:rPr>
          <w:rFonts w:ascii="Arial" w:eastAsia="Times New Roman" w:hAnsi="Arial" w:cs="Arial"/>
          <w:color w:val="323130"/>
          <w:kern w:val="0"/>
          <w:sz w:val="22"/>
          <w:szCs w:val="22"/>
          <w14:ligatures w14:val="none"/>
        </w:rPr>
        <w:br/>
        <w:t>Biobehavioral Reviews, 140, 104998.</w:t>
      </w:r>
    </w:p>
    <w:p w14:paraId="2B6C382F" w14:textId="77777777" w:rsidR="00A474F1" w:rsidRPr="00CD2F17"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34655B76" w14:textId="3C244590"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Nagy, H. (2022) ‘Pharmacological management of anorexia nervosa: Current</w:t>
      </w:r>
      <w:r w:rsidRPr="00CD2F17">
        <w:rPr>
          <w:rFonts w:ascii="Arial" w:eastAsia="Times New Roman" w:hAnsi="Arial" w:cs="Arial"/>
          <w:color w:val="323130"/>
          <w:kern w:val="0"/>
          <w:sz w:val="22"/>
          <w:szCs w:val="22"/>
          <w14:ligatures w14:val="none"/>
        </w:rPr>
        <w:br/>
        <w:t>evidence and challenges’, Journal of Clinical Medicine, 11(15), p</w:t>
      </w:r>
      <w:r w:rsidR="00A474F1" w:rsidRPr="00CD2F17">
        <w:rPr>
          <w:rFonts w:ascii="Arial" w:eastAsia="Times New Roman" w:hAnsi="Arial" w:cs="Arial"/>
          <w:color w:val="323130"/>
          <w:kern w:val="0"/>
          <w:sz w:val="22"/>
          <w:szCs w:val="22"/>
          <w14:ligatures w14:val="none"/>
        </w:rPr>
        <w:t>p</w:t>
      </w:r>
      <w:r w:rsidRPr="00CD2F17">
        <w:rPr>
          <w:rFonts w:ascii="Arial" w:eastAsia="Times New Roman" w:hAnsi="Arial" w:cs="Arial"/>
          <w:color w:val="323130"/>
          <w:kern w:val="0"/>
          <w:sz w:val="22"/>
          <w:szCs w:val="22"/>
          <w14:ligatures w14:val="none"/>
        </w:rPr>
        <w:t>. 4509.</w:t>
      </w:r>
    </w:p>
    <w:p w14:paraId="7B6F50D7" w14:textId="77777777" w:rsidR="00EC07CF" w:rsidRPr="00CD2F17" w:rsidRDefault="00EC07CF" w:rsidP="00EC07CF">
      <w:pPr>
        <w:pStyle w:val="ListParagraph"/>
        <w:shd w:val="clear" w:color="auto" w:fill="FFFFFF"/>
        <w:spacing w:after="150" w:line="240" w:lineRule="auto"/>
        <w:ind w:left="785"/>
        <w:rPr>
          <w:rFonts w:ascii="Arial" w:eastAsia="Times New Roman" w:hAnsi="Arial" w:cs="Arial"/>
          <w:color w:val="323130"/>
          <w:kern w:val="0"/>
          <w:sz w:val="22"/>
          <w:szCs w:val="22"/>
          <w14:ligatures w14:val="none"/>
        </w:rPr>
      </w:pPr>
    </w:p>
    <w:p w14:paraId="787D2FBA" w14:textId="77777777" w:rsidR="00EC07CF" w:rsidRPr="00CD2F17" w:rsidRDefault="00EC07CF" w:rsidP="00EC07CF">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National Institute for Health and Care Excellence (NICE) (2020) Eating</w:t>
      </w:r>
      <w:r w:rsidRPr="00CD2F17">
        <w:rPr>
          <w:rFonts w:ascii="Arial" w:eastAsia="Times New Roman" w:hAnsi="Arial" w:cs="Arial"/>
          <w:color w:val="323130"/>
          <w:kern w:val="0"/>
          <w:sz w:val="22"/>
          <w:szCs w:val="22"/>
          <w14:ligatures w14:val="none"/>
        </w:rPr>
        <w:br/>
        <w:t>Disorders: Recognition and Treatment (NG69). London: NICE. Available at:</w:t>
      </w:r>
      <w:r w:rsidRPr="00CD2F17">
        <w:rPr>
          <w:rFonts w:ascii="Arial" w:eastAsia="Times New Roman" w:hAnsi="Arial" w:cs="Arial"/>
          <w:color w:val="323130"/>
          <w:kern w:val="0"/>
          <w:sz w:val="22"/>
          <w:szCs w:val="22"/>
          <w14:ligatures w14:val="none"/>
        </w:rPr>
        <w:br/>
      </w:r>
      <w:hyperlink r:id="rId14" w:history="1">
        <w:r w:rsidRPr="00CD2F17">
          <w:rPr>
            <w:rStyle w:val="Hyperlink"/>
            <w:rFonts w:ascii="Arial" w:eastAsia="Times New Roman" w:hAnsi="Arial" w:cs="Arial"/>
            <w:kern w:val="0"/>
            <w:sz w:val="22"/>
            <w:szCs w:val="22"/>
            <w14:ligatures w14:val="none"/>
          </w:rPr>
          <w:t>https://www.nice.org.uk/guidance/ng69</w:t>
        </w:r>
      </w:hyperlink>
      <w:r w:rsidRPr="00CD2F17">
        <w:rPr>
          <w:rFonts w:ascii="Arial" w:eastAsia="Times New Roman" w:hAnsi="Arial" w:cs="Arial"/>
          <w:color w:val="323130"/>
          <w:kern w:val="0"/>
          <w:sz w:val="22"/>
          <w:szCs w:val="22"/>
          <w14:ligatures w14:val="none"/>
        </w:rPr>
        <w:t xml:space="preserve"> (Accessed: 12 November 2025).</w:t>
      </w:r>
    </w:p>
    <w:p w14:paraId="71CDB395" w14:textId="77777777" w:rsidR="00EC07CF" w:rsidRPr="00CD2F17" w:rsidRDefault="00EC07CF" w:rsidP="00E845D0">
      <w:pPr>
        <w:shd w:val="clear" w:color="auto" w:fill="FFFFFF"/>
        <w:spacing w:after="150" w:line="240" w:lineRule="auto"/>
        <w:rPr>
          <w:rFonts w:ascii="Arial" w:eastAsia="Times New Roman" w:hAnsi="Arial" w:cs="Arial"/>
          <w:color w:val="323130"/>
          <w:kern w:val="0"/>
          <w:sz w:val="22"/>
          <w:szCs w:val="22"/>
          <w14:ligatures w14:val="none"/>
        </w:rPr>
      </w:pPr>
    </w:p>
    <w:p w14:paraId="283609D7" w14:textId="77777777" w:rsidR="00A474F1" w:rsidRPr="00CD2F17"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587B0036" w14:textId="55FC08D9" w:rsidR="009D0393" w:rsidRPr="00CD2F17"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NHS Digital, (2023) Mental health services monthly statistics. Available at:</w:t>
      </w:r>
      <w:r w:rsidRPr="00CD2F17">
        <w:rPr>
          <w:rFonts w:ascii="Arial" w:eastAsia="Times New Roman" w:hAnsi="Arial" w:cs="Arial"/>
          <w:color w:val="323130"/>
          <w:kern w:val="0"/>
          <w:sz w:val="22"/>
          <w:szCs w:val="22"/>
          <w14:ligatures w14:val="none"/>
        </w:rPr>
        <w:br/>
      </w:r>
      <w:hyperlink r:id="rId15" w:history="1">
        <w:r w:rsidR="00A06B04" w:rsidRPr="00CD2F17">
          <w:rPr>
            <w:rStyle w:val="Hyperlink"/>
            <w:rFonts w:ascii="Arial" w:eastAsia="Times New Roman" w:hAnsi="Arial" w:cs="Arial"/>
            <w:kern w:val="0"/>
            <w:sz w:val="22"/>
            <w:szCs w:val="22"/>
            <w14:ligatures w14:val="none"/>
          </w:rPr>
          <w:t>https://digital.nhs.uk</w:t>
        </w:r>
      </w:hyperlink>
      <w:r w:rsidR="00A06B04" w:rsidRPr="00CD2F17">
        <w:rPr>
          <w:rFonts w:ascii="Arial" w:eastAsia="Times New Roman" w:hAnsi="Arial" w:cs="Arial"/>
          <w:color w:val="323130"/>
          <w:kern w:val="0"/>
          <w:sz w:val="22"/>
          <w:szCs w:val="22"/>
          <w14:ligatures w14:val="none"/>
        </w:rPr>
        <w:t xml:space="preserve"> </w:t>
      </w:r>
      <w:r w:rsidRPr="00CD2F17">
        <w:rPr>
          <w:rFonts w:ascii="Arial" w:eastAsia="Times New Roman" w:hAnsi="Arial" w:cs="Arial"/>
          <w:color w:val="323130"/>
          <w:kern w:val="0"/>
          <w:sz w:val="22"/>
          <w:szCs w:val="22"/>
          <w14:ligatures w14:val="none"/>
        </w:rPr>
        <w:t xml:space="preserve"> (Accessed: 5 October 2025).</w:t>
      </w:r>
    </w:p>
    <w:p w14:paraId="66E3BF5C" w14:textId="77777777" w:rsidR="004A3F24" w:rsidRPr="00CD2F17" w:rsidRDefault="004A3F24" w:rsidP="00E845D0">
      <w:pPr>
        <w:shd w:val="clear" w:color="auto" w:fill="FFFFFF"/>
        <w:spacing w:after="150" w:line="240" w:lineRule="auto"/>
        <w:rPr>
          <w:rFonts w:ascii="Arial" w:eastAsia="Times New Roman" w:hAnsi="Arial" w:cs="Arial"/>
          <w:color w:val="323130"/>
          <w:kern w:val="0"/>
          <w:sz w:val="22"/>
          <w:szCs w:val="22"/>
          <w14:ligatures w14:val="none"/>
        </w:rPr>
      </w:pPr>
    </w:p>
    <w:p w14:paraId="5782AB1C" w14:textId="40EC4061"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 xml:space="preserve">NICE (2020) </w:t>
      </w:r>
      <w:r w:rsidR="0086483D" w:rsidRPr="00CD2F17">
        <w:rPr>
          <w:rFonts w:ascii="Arial" w:eastAsia="Times New Roman" w:hAnsi="Arial" w:cs="Arial"/>
          <w:color w:val="323130"/>
          <w:kern w:val="0"/>
          <w:sz w:val="22"/>
          <w:szCs w:val="22"/>
          <w14:ligatures w14:val="none"/>
        </w:rPr>
        <w:t>eating disorders</w:t>
      </w:r>
      <w:r w:rsidRPr="00CD2F17">
        <w:rPr>
          <w:rFonts w:ascii="Arial" w:eastAsia="Times New Roman" w:hAnsi="Arial" w:cs="Arial"/>
          <w:color w:val="323130"/>
          <w:kern w:val="0"/>
          <w:sz w:val="22"/>
          <w:szCs w:val="22"/>
          <w14:ligatures w14:val="none"/>
        </w:rPr>
        <w:t>: recognition and treatment. NICE guideline [NG69].</w:t>
      </w:r>
      <w:r w:rsidRPr="00CD2F17">
        <w:rPr>
          <w:rFonts w:ascii="Arial" w:eastAsia="Times New Roman" w:hAnsi="Arial" w:cs="Arial"/>
          <w:color w:val="323130"/>
          <w:kern w:val="0"/>
          <w:sz w:val="22"/>
          <w:szCs w:val="22"/>
          <w14:ligatures w14:val="none"/>
        </w:rPr>
        <w:br/>
        <w:t>London: National Institute for Health and Care Excellence.</w:t>
      </w:r>
    </w:p>
    <w:p w14:paraId="7603C987" w14:textId="77777777" w:rsidR="00EC07CF" w:rsidRPr="00CD2F17" w:rsidRDefault="00EC07CF" w:rsidP="00E845D0">
      <w:pPr>
        <w:shd w:val="clear" w:color="auto" w:fill="FFFFFF"/>
        <w:spacing w:after="150" w:line="240" w:lineRule="auto"/>
        <w:rPr>
          <w:rFonts w:ascii="Arial" w:eastAsia="Times New Roman" w:hAnsi="Arial" w:cs="Arial"/>
          <w:color w:val="323130"/>
          <w:kern w:val="0"/>
          <w:sz w:val="22"/>
          <w:szCs w:val="22"/>
          <w14:ligatures w14:val="none"/>
        </w:rPr>
      </w:pPr>
    </w:p>
    <w:p w14:paraId="35A426B8" w14:textId="77777777" w:rsidR="00C31F8D" w:rsidRPr="00CD2F17" w:rsidRDefault="00C31F8D" w:rsidP="00ED2A90">
      <w:pPr>
        <w:shd w:val="clear" w:color="auto" w:fill="FFFFFF"/>
        <w:spacing w:after="150" w:line="240" w:lineRule="auto"/>
        <w:rPr>
          <w:rFonts w:ascii="Arial" w:eastAsia="Times New Roman" w:hAnsi="Arial" w:cs="Arial"/>
          <w:color w:val="323130"/>
          <w:kern w:val="0"/>
          <w:sz w:val="22"/>
          <w:szCs w:val="22"/>
          <w14:ligatures w14:val="none"/>
        </w:rPr>
      </w:pPr>
    </w:p>
    <w:p w14:paraId="1D95225D" w14:textId="50EF976D" w:rsidR="00C31F8D" w:rsidRPr="00CD2F17" w:rsidRDefault="00C31F8D" w:rsidP="00E845D0">
      <w:pPr>
        <w:shd w:val="clear" w:color="auto" w:fill="FFFFFF"/>
        <w:spacing w:after="150" w:line="240" w:lineRule="auto"/>
        <w:rPr>
          <w:rFonts w:ascii="Arial" w:eastAsia="Times New Roman" w:hAnsi="Arial" w:cs="Arial"/>
          <w:color w:val="323130"/>
          <w:kern w:val="0"/>
          <w:sz w:val="22"/>
          <w:szCs w:val="22"/>
          <w14:ligatures w14:val="none"/>
        </w:rPr>
      </w:pPr>
      <w:r w:rsidRPr="00CD2F17">
        <w:rPr>
          <w:rFonts w:ascii="Arial" w:eastAsia="Times New Roman" w:hAnsi="Arial" w:cs="Arial"/>
          <w:color w:val="323130"/>
          <w:kern w:val="0"/>
          <w:sz w:val="22"/>
          <w:szCs w:val="22"/>
          <w14:ligatures w14:val="none"/>
        </w:rPr>
        <w:t>Spiliadis, A. (2025) ‘Adolescent bodies and brains in flux: exploring therapeutic pathways for co-occurring anorexia nervosa and gender distress’, </w:t>
      </w:r>
      <w:r w:rsidRPr="00CD2F17">
        <w:rPr>
          <w:rFonts w:ascii="Arial" w:eastAsia="Times New Roman" w:hAnsi="Arial" w:cs="Arial"/>
          <w:i/>
          <w:iCs/>
          <w:color w:val="323130"/>
          <w:kern w:val="0"/>
          <w:sz w:val="22"/>
          <w:szCs w:val="22"/>
          <w14:ligatures w14:val="none"/>
        </w:rPr>
        <w:t>European Journal of Developmental Psychology</w:t>
      </w:r>
      <w:r w:rsidRPr="00CD2F17">
        <w:rPr>
          <w:rFonts w:ascii="Arial" w:eastAsia="Times New Roman" w:hAnsi="Arial" w:cs="Arial"/>
          <w:color w:val="323130"/>
          <w:kern w:val="0"/>
          <w:sz w:val="22"/>
          <w:szCs w:val="22"/>
          <w14:ligatures w14:val="none"/>
        </w:rPr>
        <w:t>, pp. 1–21.</w:t>
      </w:r>
    </w:p>
    <w:p w14:paraId="58A9E8E7" w14:textId="77777777" w:rsidR="004A3F24" w:rsidRPr="00CD2F17" w:rsidRDefault="004A3F24" w:rsidP="00E845D0">
      <w:pPr>
        <w:shd w:val="clear" w:color="auto" w:fill="FFFFFF"/>
        <w:spacing w:after="150" w:line="240" w:lineRule="auto"/>
        <w:rPr>
          <w:rFonts w:ascii="Arial" w:eastAsia="Times New Roman" w:hAnsi="Arial" w:cs="Arial"/>
          <w:color w:val="323130"/>
          <w:kern w:val="0"/>
          <w:sz w:val="22"/>
          <w:szCs w:val="22"/>
          <w14:ligatures w14:val="none"/>
        </w:rPr>
      </w:pPr>
    </w:p>
    <w:p w14:paraId="4B02EAD5" w14:textId="305D2BDF" w:rsidR="008062A2" w:rsidRPr="00CD2F17" w:rsidRDefault="00E150AE" w:rsidP="00E845D0">
      <w:pPr>
        <w:shd w:val="clear" w:color="auto" w:fill="FFFFFF"/>
        <w:spacing w:after="150" w:line="240" w:lineRule="auto"/>
        <w:rPr>
          <w:rFonts w:ascii="Arial" w:eastAsia="Times New Roman" w:hAnsi="Arial" w:cs="Arial"/>
          <w:color w:val="EE0000"/>
          <w:kern w:val="0"/>
          <w:sz w:val="22"/>
          <w:szCs w:val="22"/>
          <w14:ligatures w14:val="none"/>
        </w:rPr>
      </w:pPr>
      <w:r w:rsidRPr="00CD2F17">
        <w:rPr>
          <w:rFonts w:ascii="Arial" w:eastAsia="Times New Roman" w:hAnsi="Arial" w:cs="Arial"/>
          <w:color w:val="323130"/>
          <w:kern w:val="0"/>
          <w:sz w:val="22"/>
          <w:szCs w:val="22"/>
          <w14:ligatures w14:val="none"/>
        </w:rPr>
        <w:t>World Health Organization. (2019) ICD-11: International Classification of Diseases</w:t>
      </w:r>
      <w:r w:rsidRPr="00CD2F17">
        <w:rPr>
          <w:rFonts w:ascii="Arial" w:eastAsia="Times New Roman" w:hAnsi="Arial" w:cs="Arial"/>
          <w:color w:val="323130"/>
          <w:kern w:val="0"/>
          <w:sz w:val="22"/>
          <w:szCs w:val="22"/>
          <w14:ligatures w14:val="none"/>
        </w:rPr>
        <w:br/>
        <w:t>11th Revision. Geneva: WHO.</w:t>
      </w:r>
      <w:r w:rsidRPr="00CD2F17">
        <w:rPr>
          <w:rFonts w:ascii="Arial" w:eastAsia="Times New Roman" w:hAnsi="Arial" w:cs="Arial"/>
          <w:color w:val="323130"/>
          <w:kern w:val="0"/>
          <w:sz w:val="22"/>
          <w:szCs w:val="22"/>
          <w14:ligatures w14:val="none"/>
        </w:rPr>
        <w:br/>
      </w:r>
      <w:r w:rsidRPr="00CD2F17">
        <w:rPr>
          <w:rFonts w:ascii="Arial" w:eastAsia="Times New Roman" w:hAnsi="Arial" w:cs="Arial"/>
          <w:color w:val="323130"/>
          <w:kern w:val="0"/>
          <w:sz w:val="22"/>
          <w:szCs w:val="22"/>
          <w14:ligatures w14:val="none"/>
        </w:rPr>
        <w:br/>
        <w:t>Westwood, H. and Tchanturia, K. (2017) ‘</w:t>
      </w:r>
      <w:r w:rsidR="007F016B" w:rsidRPr="00CD2F17">
        <w:rPr>
          <w:rFonts w:ascii="Arial" w:eastAsia="Times New Roman" w:hAnsi="Arial" w:cs="Arial"/>
          <w:color w:val="323130"/>
          <w:kern w:val="0"/>
          <w:sz w:val="22"/>
          <w:szCs w:val="22"/>
          <w14:ligatures w14:val="none"/>
        </w:rPr>
        <w:t>autism spectrum disorder</w:t>
      </w:r>
      <w:r w:rsidRPr="00CD2F17">
        <w:rPr>
          <w:rFonts w:ascii="Arial" w:eastAsia="Times New Roman" w:hAnsi="Arial" w:cs="Arial"/>
          <w:color w:val="323130"/>
          <w:kern w:val="0"/>
          <w:sz w:val="22"/>
          <w:szCs w:val="22"/>
          <w14:ligatures w14:val="none"/>
        </w:rPr>
        <w:t xml:space="preserve"> in</w:t>
      </w:r>
      <w:r w:rsidRPr="00CD2F17">
        <w:rPr>
          <w:rFonts w:ascii="Arial" w:eastAsia="Times New Roman" w:hAnsi="Arial" w:cs="Arial"/>
          <w:color w:val="323130"/>
          <w:kern w:val="0"/>
          <w:sz w:val="22"/>
          <w:szCs w:val="22"/>
          <w14:ligatures w14:val="none"/>
        </w:rPr>
        <w:br/>
      </w:r>
      <w:r w:rsidRPr="00CD2F17">
        <w:rPr>
          <w:rFonts w:ascii="Arial" w:eastAsia="Times New Roman" w:hAnsi="Arial" w:cs="Arial"/>
          <w:color w:val="323130"/>
          <w:kern w:val="0"/>
          <w:sz w:val="22"/>
          <w:szCs w:val="22"/>
          <w14:ligatures w14:val="none"/>
        </w:rPr>
        <w:lastRenderedPageBreak/>
        <w:t>anorexia nervosa</w:t>
      </w:r>
      <w:r w:rsidR="0005544B" w:rsidRPr="00CD2F17">
        <w:rPr>
          <w:rFonts w:ascii="Arial" w:eastAsia="Times New Roman" w:hAnsi="Arial" w:cs="Arial"/>
          <w:color w:val="323130"/>
          <w:kern w:val="0"/>
          <w:sz w:val="22"/>
          <w:szCs w:val="22"/>
          <w14:ligatures w14:val="none"/>
        </w:rPr>
        <w:t xml:space="preserve"> Available at</w:t>
      </w:r>
      <w:r w:rsidR="00AB50B8" w:rsidRPr="00CD2F17">
        <w:rPr>
          <w:rFonts w:ascii="Arial" w:eastAsia="Times New Roman" w:hAnsi="Arial" w:cs="Arial"/>
          <w:color w:val="323130"/>
          <w:kern w:val="0"/>
          <w:sz w:val="22"/>
          <w:szCs w:val="22"/>
          <w14:ligatures w14:val="none"/>
        </w:rPr>
        <w:t>:</w:t>
      </w:r>
      <w:r w:rsidR="0005544B" w:rsidRPr="00CD2F17">
        <w:rPr>
          <w:rFonts w:ascii="Arial" w:eastAsia="Times New Roman" w:hAnsi="Arial" w:cs="Arial"/>
          <w:color w:val="323130"/>
          <w:kern w:val="0"/>
          <w:sz w:val="22"/>
          <w:szCs w:val="22"/>
          <w14:ligatures w14:val="none"/>
        </w:rPr>
        <w:t xml:space="preserve"> </w:t>
      </w:r>
      <w:hyperlink r:id="rId16" w:history="1">
        <w:r w:rsidR="008062A2" w:rsidRPr="00CD2F17">
          <w:rPr>
            <w:rStyle w:val="Hyperlink"/>
            <w:rFonts w:ascii="Arial" w:eastAsia="Times New Roman" w:hAnsi="Arial" w:cs="Arial"/>
            <w:kern w:val="0"/>
            <w:sz w:val="22"/>
            <w:szCs w:val="22"/>
            <w14:ligatures w14:val="none"/>
          </w:rPr>
          <w:t>https://doi.org/10.1007/s11920-017-0791-9</w:t>
        </w:r>
      </w:hyperlink>
      <w:r w:rsidR="00AB50B8" w:rsidRPr="00CD2F17">
        <w:rPr>
          <w:rFonts w:ascii="Arial" w:hAnsi="Arial" w:cs="Arial"/>
          <w:sz w:val="22"/>
          <w:szCs w:val="22"/>
        </w:rPr>
        <w:t xml:space="preserve"> (</w:t>
      </w:r>
      <w:r w:rsidR="00310F9F" w:rsidRPr="00CD2F17">
        <w:rPr>
          <w:rFonts w:ascii="Arial" w:hAnsi="Arial" w:cs="Arial"/>
          <w:sz w:val="22"/>
          <w:szCs w:val="22"/>
        </w:rPr>
        <w:t>Accessed</w:t>
      </w:r>
      <w:r w:rsidR="00AB50B8" w:rsidRPr="00CD2F17">
        <w:rPr>
          <w:rFonts w:ascii="Arial" w:hAnsi="Arial" w:cs="Arial"/>
          <w:sz w:val="22"/>
          <w:szCs w:val="22"/>
        </w:rPr>
        <w:t xml:space="preserve"> on: 16 </w:t>
      </w:r>
      <w:r w:rsidR="00EA0FCE" w:rsidRPr="00CD2F17">
        <w:rPr>
          <w:rFonts w:ascii="Arial" w:hAnsi="Arial" w:cs="Arial"/>
          <w:sz w:val="22"/>
          <w:szCs w:val="22"/>
        </w:rPr>
        <w:t>November 16, 2025)</w:t>
      </w:r>
    </w:p>
    <w:p w14:paraId="268DA26E" w14:textId="77777777" w:rsidR="00E845D0" w:rsidRPr="00CD2F17" w:rsidRDefault="00E845D0" w:rsidP="00E845D0">
      <w:pPr>
        <w:shd w:val="clear" w:color="auto" w:fill="FFFFFF"/>
        <w:spacing w:after="150" w:line="240" w:lineRule="auto"/>
        <w:rPr>
          <w:rFonts w:ascii="Arial" w:eastAsia="Times New Roman" w:hAnsi="Arial" w:cs="Arial"/>
          <w:color w:val="323130"/>
          <w:kern w:val="0"/>
          <w:sz w:val="22"/>
          <w:szCs w:val="22"/>
          <w14:ligatures w14:val="none"/>
        </w:rPr>
      </w:pPr>
    </w:p>
    <w:p w14:paraId="524860BF" w14:textId="54E0446E" w:rsidR="008062A2" w:rsidRPr="00CD2F17" w:rsidRDefault="008062A2" w:rsidP="00ED2A90">
      <w:pPr>
        <w:shd w:val="clear" w:color="auto" w:fill="FFFFFF"/>
        <w:spacing w:after="150" w:line="240" w:lineRule="auto"/>
        <w:rPr>
          <w:rFonts w:ascii="Arial" w:eastAsia="Times New Roman" w:hAnsi="Arial" w:cs="Arial"/>
          <w:color w:val="323130"/>
          <w:kern w:val="0"/>
          <w:sz w:val="22"/>
          <w:szCs w:val="22"/>
          <w14:ligatures w14:val="none"/>
        </w:rPr>
      </w:pPr>
    </w:p>
    <w:p w14:paraId="142245C4" w14:textId="77777777" w:rsidR="00C41E21" w:rsidRPr="00CD2F17" w:rsidRDefault="00C41E21" w:rsidP="00ED2A90">
      <w:pPr>
        <w:spacing w:line="360" w:lineRule="auto"/>
        <w:rPr>
          <w:rFonts w:ascii="Arial" w:hAnsi="Arial" w:cs="Arial"/>
          <w:sz w:val="22"/>
          <w:szCs w:val="22"/>
        </w:rPr>
      </w:pPr>
    </w:p>
    <w:sectPr w:rsidR="00C41E21" w:rsidRPr="00CD2F1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C5D69" w14:textId="77777777" w:rsidR="00432B23" w:rsidRDefault="00432B23" w:rsidP="00567DC6">
      <w:pPr>
        <w:spacing w:after="0" w:line="240" w:lineRule="auto"/>
      </w:pPr>
      <w:r>
        <w:separator/>
      </w:r>
    </w:p>
  </w:endnote>
  <w:endnote w:type="continuationSeparator" w:id="0">
    <w:p w14:paraId="66D12D31" w14:textId="77777777" w:rsidR="00432B23" w:rsidRDefault="00432B23" w:rsidP="0056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619528"/>
      <w:docPartObj>
        <w:docPartGallery w:val="Page Numbers (Bottom of Page)"/>
        <w:docPartUnique/>
      </w:docPartObj>
    </w:sdtPr>
    <w:sdtContent>
      <w:p w14:paraId="24857A1D" w14:textId="51DD2B69" w:rsidR="00567DC6" w:rsidRDefault="00567DC6">
        <w:pPr>
          <w:pStyle w:val="Footer"/>
        </w:pPr>
        <w:r>
          <w:fldChar w:fldCharType="begin"/>
        </w:r>
        <w:r>
          <w:instrText>PAGE   \* MERGEFORMAT</w:instrText>
        </w:r>
        <w:r>
          <w:fldChar w:fldCharType="separate"/>
        </w:r>
        <w:r>
          <w:t>2</w:t>
        </w:r>
        <w:r>
          <w:fldChar w:fldCharType="end"/>
        </w:r>
      </w:p>
    </w:sdtContent>
  </w:sdt>
  <w:p w14:paraId="25FBA369" w14:textId="77777777" w:rsidR="00567DC6" w:rsidRDefault="0056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D923F" w14:textId="77777777" w:rsidR="00432B23" w:rsidRDefault="00432B23" w:rsidP="00567DC6">
      <w:pPr>
        <w:spacing w:after="0" w:line="240" w:lineRule="auto"/>
      </w:pPr>
      <w:r>
        <w:separator/>
      </w:r>
    </w:p>
  </w:footnote>
  <w:footnote w:type="continuationSeparator" w:id="0">
    <w:p w14:paraId="7FE8C335" w14:textId="77777777" w:rsidR="00432B23" w:rsidRDefault="00432B23" w:rsidP="00567D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6813"/>
    <w:multiLevelType w:val="hybridMultilevel"/>
    <w:tmpl w:val="F0E41176"/>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E0E4F"/>
    <w:multiLevelType w:val="multilevel"/>
    <w:tmpl w:val="273C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110DA"/>
    <w:multiLevelType w:val="multilevel"/>
    <w:tmpl w:val="48AE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651440"/>
    <w:multiLevelType w:val="multilevel"/>
    <w:tmpl w:val="287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15813"/>
    <w:multiLevelType w:val="multilevel"/>
    <w:tmpl w:val="1FC8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1C3816"/>
    <w:multiLevelType w:val="multilevel"/>
    <w:tmpl w:val="C39C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BF4340"/>
    <w:multiLevelType w:val="hybridMultilevel"/>
    <w:tmpl w:val="452AD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976007">
    <w:abstractNumId w:val="5"/>
  </w:num>
  <w:num w:numId="2" w16cid:durableId="1257205368">
    <w:abstractNumId w:val="4"/>
  </w:num>
  <w:num w:numId="3" w16cid:durableId="1339845836">
    <w:abstractNumId w:val="3"/>
  </w:num>
  <w:num w:numId="4" w16cid:durableId="1193304381">
    <w:abstractNumId w:val="1"/>
  </w:num>
  <w:num w:numId="5" w16cid:durableId="1858618234">
    <w:abstractNumId w:val="2"/>
  </w:num>
  <w:num w:numId="6" w16cid:durableId="1135871876">
    <w:abstractNumId w:val="6"/>
  </w:num>
  <w:num w:numId="7" w16cid:durableId="48779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B6F"/>
    <w:rsid w:val="000106DC"/>
    <w:rsid w:val="00014C1F"/>
    <w:rsid w:val="000201F3"/>
    <w:rsid w:val="00024C82"/>
    <w:rsid w:val="00025284"/>
    <w:rsid w:val="000423A5"/>
    <w:rsid w:val="0005544B"/>
    <w:rsid w:val="00057B46"/>
    <w:rsid w:val="000734F7"/>
    <w:rsid w:val="00086BF7"/>
    <w:rsid w:val="000A01C4"/>
    <w:rsid w:val="000A0FBD"/>
    <w:rsid w:val="000B5F00"/>
    <w:rsid w:val="000B6BFF"/>
    <w:rsid w:val="000B7232"/>
    <w:rsid w:val="000D2D2E"/>
    <w:rsid w:val="000D40EB"/>
    <w:rsid w:val="000D68FE"/>
    <w:rsid w:val="000E4640"/>
    <w:rsid w:val="000F6DE2"/>
    <w:rsid w:val="000F73A8"/>
    <w:rsid w:val="001037D6"/>
    <w:rsid w:val="0011677A"/>
    <w:rsid w:val="00156BCD"/>
    <w:rsid w:val="00161B61"/>
    <w:rsid w:val="00177193"/>
    <w:rsid w:val="00177B2D"/>
    <w:rsid w:val="001825EE"/>
    <w:rsid w:val="001856CF"/>
    <w:rsid w:val="001874AF"/>
    <w:rsid w:val="001A38D9"/>
    <w:rsid w:val="001B6B0F"/>
    <w:rsid w:val="001C2E14"/>
    <w:rsid w:val="001C30EE"/>
    <w:rsid w:val="001D5FE2"/>
    <w:rsid w:val="001D7D4B"/>
    <w:rsid w:val="001E3F04"/>
    <w:rsid w:val="001F257B"/>
    <w:rsid w:val="00201DDE"/>
    <w:rsid w:val="00211983"/>
    <w:rsid w:val="00220E2F"/>
    <w:rsid w:val="002215F5"/>
    <w:rsid w:val="002234BF"/>
    <w:rsid w:val="00235D08"/>
    <w:rsid w:val="0024077C"/>
    <w:rsid w:val="00247A80"/>
    <w:rsid w:val="0027668D"/>
    <w:rsid w:val="002A12C2"/>
    <w:rsid w:val="002A4204"/>
    <w:rsid w:val="002A659F"/>
    <w:rsid w:val="002C6770"/>
    <w:rsid w:val="002D752A"/>
    <w:rsid w:val="002E0E92"/>
    <w:rsid w:val="002E1123"/>
    <w:rsid w:val="002E4880"/>
    <w:rsid w:val="002F2D2F"/>
    <w:rsid w:val="002F5091"/>
    <w:rsid w:val="002F613E"/>
    <w:rsid w:val="002F7D87"/>
    <w:rsid w:val="00302BBE"/>
    <w:rsid w:val="00310F9F"/>
    <w:rsid w:val="0031405D"/>
    <w:rsid w:val="00322228"/>
    <w:rsid w:val="00323DEB"/>
    <w:rsid w:val="00335BE6"/>
    <w:rsid w:val="0034636A"/>
    <w:rsid w:val="0034644D"/>
    <w:rsid w:val="00353F7B"/>
    <w:rsid w:val="00355078"/>
    <w:rsid w:val="003561EC"/>
    <w:rsid w:val="0037163A"/>
    <w:rsid w:val="00375AF6"/>
    <w:rsid w:val="003806F0"/>
    <w:rsid w:val="00387A65"/>
    <w:rsid w:val="00396761"/>
    <w:rsid w:val="003A0747"/>
    <w:rsid w:val="003D5792"/>
    <w:rsid w:val="003E1215"/>
    <w:rsid w:val="003E2677"/>
    <w:rsid w:val="003E6CFF"/>
    <w:rsid w:val="00420B42"/>
    <w:rsid w:val="004303B6"/>
    <w:rsid w:val="00432020"/>
    <w:rsid w:val="00432B23"/>
    <w:rsid w:val="00433EC2"/>
    <w:rsid w:val="00435113"/>
    <w:rsid w:val="00442979"/>
    <w:rsid w:val="00444B1D"/>
    <w:rsid w:val="00447433"/>
    <w:rsid w:val="0046512D"/>
    <w:rsid w:val="00466120"/>
    <w:rsid w:val="00482A78"/>
    <w:rsid w:val="00493F3F"/>
    <w:rsid w:val="004A3F24"/>
    <w:rsid w:val="004D2DFF"/>
    <w:rsid w:val="004F35B2"/>
    <w:rsid w:val="0052302D"/>
    <w:rsid w:val="0052622E"/>
    <w:rsid w:val="00526977"/>
    <w:rsid w:val="0054227B"/>
    <w:rsid w:val="00563803"/>
    <w:rsid w:val="00567DC6"/>
    <w:rsid w:val="00584AD5"/>
    <w:rsid w:val="005931AE"/>
    <w:rsid w:val="005A09A7"/>
    <w:rsid w:val="005A1149"/>
    <w:rsid w:val="005A21ED"/>
    <w:rsid w:val="005C29C0"/>
    <w:rsid w:val="005D4F61"/>
    <w:rsid w:val="005E1E90"/>
    <w:rsid w:val="005F557A"/>
    <w:rsid w:val="006078C1"/>
    <w:rsid w:val="00610438"/>
    <w:rsid w:val="0061601F"/>
    <w:rsid w:val="00616EF6"/>
    <w:rsid w:val="0063688D"/>
    <w:rsid w:val="006474FF"/>
    <w:rsid w:val="0068707C"/>
    <w:rsid w:val="00696C11"/>
    <w:rsid w:val="006A4CF5"/>
    <w:rsid w:val="006B07CF"/>
    <w:rsid w:val="006B18FD"/>
    <w:rsid w:val="006B44E8"/>
    <w:rsid w:val="006B55A4"/>
    <w:rsid w:val="006C4D36"/>
    <w:rsid w:val="006F021E"/>
    <w:rsid w:val="006F224D"/>
    <w:rsid w:val="00704788"/>
    <w:rsid w:val="007107D1"/>
    <w:rsid w:val="00717433"/>
    <w:rsid w:val="00725655"/>
    <w:rsid w:val="00725B16"/>
    <w:rsid w:val="007303F6"/>
    <w:rsid w:val="00735D24"/>
    <w:rsid w:val="00736CB2"/>
    <w:rsid w:val="00745A11"/>
    <w:rsid w:val="00745FE4"/>
    <w:rsid w:val="0076746A"/>
    <w:rsid w:val="00774172"/>
    <w:rsid w:val="00777454"/>
    <w:rsid w:val="007A0357"/>
    <w:rsid w:val="007B70DA"/>
    <w:rsid w:val="007E195F"/>
    <w:rsid w:val="007E28B2"/>
    <w:rsid w:val="007E441B"/>
    <w:rsid w:val="007F016B"/>
    <w:rsid w:val="00805EB7"/>
    <w:rsid w:val="008062A2"/>
    <w:rsid w:val="0081089E"/>
    <w:rsid w:val="008112AD"/>
    <w:rsid w:val="00812944"/>
    <w:rsid w:val="008132EE"/>
    <w:rsid w:val="0084237C"/>
    <w:rsid w:val="0086483D"/>
    <w:rsid w:val="0087055F"/>
    <w:rsid w:val="00871D5B"/>
    <w:rsid w:val="008770DE"/>
    <w:rsid w:val="008A2FBF"/>
    <w:rsid w:val="008C3F3E"/>
    <w:rsid w:val="009070B8"/>
    <w:rsid w:val="00921652"/>
    <w:rsid w:val="009269FE"/>
    <w:rsid w:val="00962B19"/>
    <w:rsid w:val="009646F5"/>
    <w:rsid w:val="0096722D"/>
    <w:rsid w:val="00976024"/>
    <w:rsid w:val="00980628"/>
    <w:rsid w:val="00982245"/>
    <w:rsid w:val="009834E8"/>
    <w:rsid w:val="009853F5"/>
    <w:rsid w:val="009A182D"/>
    <w:rsid w:val="009B00B8"/>
    <w:rsid w:val="009B33A6"/>
    <w:rsid w:val="009D0393"/>
    <w:rsid w:val="009D0DD0"/>
    <w:rsid w:val="009D0FA5"/>
    <w:rsid w:val="009D2051"/>
    <w:rsid w:val="009E798C"/>
    <w:rsid w:val="009F168D"/>
    <w:rsid w:val="00A00468"/>
    <w:rsid w:val="00A03574"/>
    <w:rsid w:val="00A03DD1"/>
    <w:rsid w:val="00A0400E"/>
    <w:rsid w:val="00A05146"/>
    <w:rsid w:val="00A05A8D"/>
    <w:rsid w:val="00A06432"/>
    <w:rsid w:val="00A06B04"/>
    <w:rsid w:val="00A129D7"/>
    <w:rsid w:val="00A14A29"/>
    <w:rsid w:val="00A23D8E"/>
    <w:rsid w:val="00A30BAF"/>
    <w:rsid w:val="00A42267"/>
    <w:rsid w:val="00A42559"/>
    <w:rsid w:val="00A474F1"/>
    <w:rsid w:val="00A579FD"/>
    <w:rsid w:val="00A65C8D"/>
    <w:rsid w:val="00A70F30"/>
    <w:rsid w:val="00A73FA5"/>
    <w:rsid w:val="00A802DC"/>
    <w:rsid w:val="00A92278"/>
    <w:rsid w:val="00AA234A"/>
    <w:rsid w:val="00AB2F68"/>
    <w:rsid w:val="00AB50B8"/>
    <w:rsid w:val="00AB73FF"/>
    <w:rsid w:val="00AC13CB"/>
    <w:rsid w:val="00AE19E0"/>
    <w:rsid w:val="00B043E1"/>
    <w:rsid w:val="00B12826"/>
    <w:rsid w:val="00B21B6F"/>
    <w:rsid w:val="00B36173"/>
    <w:rsid w:val="00B36D01"/>
    <w:rsid w:val="00B37ACA"/>
    <w:rsid w:val="00B40501"/>
    <w:rsid w:val="00B50FA9"/>
    <w:rsid w:val="00B75140"/>
    <w:rsid w:val="00B805E5"/>
    <w:rsid w:val="00B9421F"/>
    <w:rsid w:val="00BD3314"/>
    <w:rsid w:val="00BE6806"/>
    <w:rsid w:val="00C170B0"/>
    <w:rsid w:val="00C26332"/>
    <w:rsid w:val="00C31F8D"/>
    <w:rsid w:val="00C41E21"/>
    <w:rsid w:val="00C60660"/>
    <w:rsid w:val="00C71993"/>
    <w:rsid w:val="00C74DC1"/>
    <w:rsid w:val="00C81338"/>
    <w:rsid w:val="00CA25D3"/>
    <w:rsid w:val="00CB59CE"/>
    <w:rsid w:val="00CD2F17"/>
    <w:rsid w:val="00CF76E5"/>
    <w:rsid w:val="00D0137D"/>
    <w:rsid w:val="00D06565"/>
    <w:rsid w:val="00D34A93"/>
    <w:rsid w:val="00D464A3"/>
    <w:rsid w:val="00D749AC"/>
    <w:rsid w:val="00D93F56"/>
    <w:rsid w:val="00D93FFC"/>
    <w:rsid w:val="00D965FE"/>
    <w:rsid w:val="00DA7207"/>
    <w:rsid w:val="00DD6DC8"/>
    <w:rsid w:val="00E10EA8"/>
    <w:rsid w:val="00E150AE"/>
    <w:rsid w:val="00E16EE8"/>
    <w:rsid w:val="00E434F4"/>
    <w:rsid w:val="00E5447D"/>
    <w:rsid w:val="00E55232"/>
    <w:rsid w:val="00E77E25"/>
    <w:rsid w:val="00E845D0"/>
    <w:rsid w:val="00E862F4"/>
    <w:rsid w:val="00EA01E5"/>
    <w:rsid w:val="00EA0FCE"/>
    <w:rsid w:val="00EC07CF"/>
    <w:rsid w:val="00EC2CF8"/>
    <w:rsid w:val="00ED2A90"/>
    <w:rsid w:val="00ED4EB8"/>
    <w:rsid w:val="00ED671B"/>
    <w:rsid w:val="00EE2E2A"/>
    <w:rsid w:val="00F22A91"/>
    <w:rsid w:val="00F231E4"/>
    <w:rsid w:val="00F2369A"/>
    <w:rsid w:val="00F256B1"/>
    <w:rsid w:val="00F459DC"/>
    <w:rsid w:val="00F523B7"/>
    <w:rsid w:val="00F700F8"/>
    <w:rsid w:val="00F723F5"/>
    <w:rsid w:val="00F73F6B"/>
    <w:rsid w:val="00F8263E"/>
    <w:rsid w:val="00FA420A"/>
    <w:rsid w:val="00FA7FA9"/>
    <w:rsid w:val="00FB262D"/>
    <w:rsid w:val="00FE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BC21"/>
  <w15:chartTrackingRefBased/>
  <w15:docId w15:val="{8DF88779-4369-0143-B69B-3C3A8A03B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1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B6F"/>
    <w:rPr>
      <w:rFonts w:eastAsiaTheme="majorEastAsia" w:cstheme="majorBidi"/>
      <w:color w:val="272727" w:themeColor="text1" w:themeTint="D8"/>
    </w:rPr>
  </w:style>
  <w:style w:type="paragraph" w:styleId="Title">
    <w:name w:val="Title"/>
    <w:basedOn w:val="Normal"/>
    <w:next w:val="Normal"/>
    <w:link w:val="TitleChar"/>
    <w:uiPriority w:val="10"/>
    <w:qFormat/>
    <w:rsid w:val="00B21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B6F"/>
    <w:pPr>
      <w:spacing w:before="160"/>
      <w:jc w:val="center"/>
    </w:pPr>
    <w:rPr>
      <w:i/>
      <w:iCs/>
      <w:color w:val="404040" w:themeColor="text1" w:themeTint="BF"/>
    </w:rPr>
  </w:style>
  <w:style w:type="character" w:customStyle="1" w:styleId="QuoteChar">
    <w:name w:val="Quote Char"/>
    <w:basedOn w:val="DefaultParagraphFont"/>
    <w:link w:val="Quote"/>
    <w:uiPriority w:val="29"/>
    <w:rsid w:val="00B21B6F"/>
    <w:rPr>
      <w:i/>
      <w:iCs/>
      <w:color w:val="404040" w:themeColor="text1" w:themeTint="BF"/>
    </w:rPr>
  </w:style>
  <w:style w:type="paragraph" w:styleId="ListParagraph">
    <w:name w:val="List Paragraph"/>
    <w:basedOn w:val="Normal"/>
    <w:uiPriority w:val="34"/>
    <w:qFormat/>
    <w:rsid w:val="00B21B6F"/>
    <w:pPr>
      <w:ind w:left="720"/>
      <w:contextualSpacing/>
    </w:pPr>
  </w:style>
  <w:style w:type="character" w:styleId="IntenseEmphasis">
    <w:name w:val="Intense Emphasis"/>
    <w:basedOn w:val="DefaultParagraphFont"/>
    <w:uiPriority w:val="21"/>
    <w:qFormat/>
    <w:rsid w:val="00B21B6F"/>
    <w:rPr>
      <w:i/>
      <w:iCs/>
      <w:color w:val="0F4761" w:themeColor="accent1" w:themeShade="BF"/>
    </w:rPr>
  </w:style>
  <w:style w:type="paragraph" w:styleId="IntenseQuote">
    <w:name w:val="Intense Quote"/>
    <w:basedOn w:val="Normal"/>
    <w:next w:val="Normal"/>
    <w:link w:val="IntenseQuoteChar"/>
    <w:uiPriority w:val="30"/>
    <w:qFormat/>
    <w:rsid w:val="00B21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B6F"/>
    <w:rPr>
      <w:i/>
      <w:iCs/>
      <w:color w:val="0F4761" w:themeColor="accent1" w:themeShade="BF"/>
    </w:rPr>
  </w:style>
  <w:style w:type="character" w:styleId="IntenseReference">
    <w:name w:val="Intense Reference"/>
    <w:basedOn w:val="DefaultParagraphFont"/>
    <w:uiPriority w:val="32"/>
    <w:qFormat/>
    <w:rsid w:val="00B21B6F"/>
    <w:rPr>
      <w:b/>
      <w:bCs/>
      <w:smallCaps/>
      <w:color w:val="0F4761" w:themeColor="accent1" w:themeShade="BF"/>
      <w:spacing w:val="5"/>
    </w:rPr>
  </w:style>
  <w:style w:type="paragraph" w:styleId="NormalWeb">
    <w:name w:val="Normal (Web)"/>
    <w:basedOn w:val="Normal"/>
    <w:uiPriority w:val="99"/>
    <w:semiHidden/>
    <w:unhideWhenUsed/>
    <w:rsid w:val="009A182D"/>
    <w:rPr>
      <w:rFonts w:ascii="Times New Roman" w:hAnsi="Times New Roman" w:cs="Times New Roman"/>
    </w:rPr>
  </w:style>
  <w:style w:type="character" w:styleId="Hyperlink">
    <w:name w:val="Hyperlink"/>
    <w:basedOn w:val="DefaultParagraphFont"/>
    <w:uiPriority w:val="99"/>
    <w:unhideWhenUsed/>
    <w:rsid w:val="008062A2"/>
    <w:rPr>
      <w:color w:val="467886" w:themeColor="hyperlink"/>
      <w:u w:val="single"/>
    </w:rPr>
  </w:style>
  <w:style w:type="character" w:styleId="UnresolvedMention">
    <w:name w:val="Unresolved Mention"/>
    <w:basedOn w:val="DefaultParagraphFont"/>
    <w:uiPriority w:val="99"/>
    <w:semiHidden/>
    <w:unhideWhenUsed/>
    <w:rsid w:val="008062A2"/>
    <w:rPr>
      <w:color w:val="605E5C"/>
      <w:shd w:val="clear" w:color="auto" w:fill="E1DFDD"/>
    </w:rPr>
  </w:style>
  <w:style w:type="paragraph" w:styleId="Header">
    <w:name w:val="header"/>
    <w:basedOn w:val="Normal"/>
    <w:link w:val="HeaderChar"/>
    <w:uiPriority w:val="99"/>
    <w:unhideWhenUsed/>
    <w:rsid w:val="00567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DC6"/>
  </w:style>
  <w:style w:type="paragraph" w:styleId="Footer">
    <w:name w:val="footer"/>
    <w:basedOn w:val="Normal"/>
    <w:link w:val="FooterChar"/>
    <w:uiPriority w:val="99"/>
    <w:unhideWhenUsed/>
    <w:rsid w:val="00567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DC6"/>
  </w:style>
  <w:style w:type="character" w:styleId="FollowedHyperlink">
    <w:name w:val="FollowedHyperlink"/>
    <w:basedOn w:val="DefaultParagraphFont"/>
    <w:uiPriority w:val="99"/>
    <w:semiHidden/>
    <w:unhideWhenUsed/>
    <w:rsid w:val="009853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2119">
      <w:bodyDiv w:val="1"/>
      <w:marLeft w:val="0"/>
      <w:marRight w:val="0"/>
      <w:marTop w:val="0"/>
      <w:marBottom w:val="0"/>
      <w:divBdr>
        <w:top w:val="none" w:sz="0" w:space="0" w:color="auto"/>
        <w:left w:val="none" w:sz="0" w:space="0" w:color="auto"/>
        <w:bottom w:val="none" w:sz="0" w:space="0" w:color="auto"/>
        <w:right w:val="none" w:sz="0" w:space="0" w:color="auto"/>
      </w:divBdr>
    </w:div>
    <w:div w:id="43649431">
      <w:bodyDiv w:val="1"/>
      <w:marLeft w:val="0"/>
      <w:marRight w:val="0"/>
      <w:marTop w:val="0"/>
      <w:marBottom w:val="0"/>
      <w:divBdr>
        <w:top w:val="none" w:sz="0" w:space="0" w:color="auto"/>
        <w:left w:val="none" w:sz="0" w:space="0" w:color="auto"/>
        <w:bottom w:val="none" w:sz="0" w:space="0" w:color="auto"/>
        <w:right w:val="none" w:sz="0" w:space="0" w:color="auto"/>
      </w:divBdr>
    </w:div>
    <w:div w:id="79641297">
      <w:bodyDiv w:val="1"/>
      <w:marLeft w:val="0"/>
      <w:marRight w:val="0"/>
      <w:marTop w:val="0"/>
      <w:marBottom w:val="0"/>
      <w:divBdr>
        <w:top w:val="none" w:sz="0" w:space="0" w:color="auto"/>
        <w:left w:val="none" w:sz="0" w:space="0" w:color="auto"/>
        <w:bottom w:val="none" w:sz="0" w:space="0" w:color="auto"/>
        <w:right w:val="none" w:sz="0" w:space="0" w:color="auto"/>
      </w:divBdr>
    </w:div>
    <w:div w:id="105273972">
      <w:bodyDiv w:val="1"/>
      <w:marLeft w:val="0"/>
      <w:marRight w:val="0"/>
      <w:marTop w:val="0"/>
      <w:marBottom w:val="0"/>
      <w:divBdr>
        <w:top w:val="none" w:sz="0" w:space="0" w:color="auto"/>
        <w:left w:val="none" w:sz="0" w:space="0" w:color="auto"/>
        <w:bottom w:val="none" w:sz="0" w:space="0" w:color="auto"/>
        <w:right w:val="none" w:sz="0" w:space="0" w:color="auto"/>
      </w:divBdr>
    </w:div>
    <w:div w:id="249126790">
      <w:bodyDiv w:val="1"/>
      <w:marLeft w:val="0"/>
      <w:marRight w:val="0"/>
      <w:marTop w:val="0"/>
      <w:marBottom w:val="0"/>
      <w:divBdr>
        <w:top w:val="none" w:sz="0" w:space="0" w:color="auto"/>
        <w:left w:val="none" w:sz="0" w:space="0" w:color="auto"/>
        <w:bottom w:val="none" w:sz="0" w:space="0" w:color="auto"/>
        <w:right w:val="none" w:sz="0" w:space="0" w:color="auto"/>
      </w:divBdr>
    </w:div>
    <w:div w:id="338967312">
      <w:bodyDiv w:val="1"/>
      <w:marLeft w:val="0"/>
      <w:marRight w:val="0"/>
      <w:marTop w:val="0"/>
      <w:marBottom w:val="0"/>
      <w:divBdr>
        <w:top w:val="none" w:sz="0" w:space="0" w:color="auto"/>
        <w:left w:val="none" w:sz="0" w:space="0" w:color="auto"/>
        <w:bottom w:val="none" w:sz="0" w:space="0" w:color="auto"/>
        <w:right w:val="none" w:sz="0" w:space="0" w:color="auto"/>
      </w:divBdr>
    </w:div>
    <w:div w:id="444622748">
      <w:bodyDiv w:val="1"/>
      <w:marLeft w:val="0"/>
      <w:marRight w:val="0"/>
      <w:marTop w:val="0"/>
      <w:marBottom w:val="0"/>
      <w:divBdr>
        <w:top w:val="none" w:sz="0" w:space="0" w:color="auto"/>
        <w:left w:val="none" w:sz="0" w:space="0" w:color="auto"/>
        <w:bottom w:val="none" w:sz="0" w:space="0" w:color="auto"/>
        <w:right w:val="none" w:sz="0" w:space="0" w:color="auto"/>
      </w:divBdr>
      <w:divsChild>
        <w:div w:id="1946378782">
          <w:marLeft w:val="0"/>
          <w:marRight w:val="0"/>
          <w:marTop w:val="150"/>
          <w:marBottom w:val="150"/>
          <w:divBdr>
            <w:top w:val="none" w:sz="0" w:space="0" w:color="auto"/>
            <w:left w:val="none" w:sz="0" w:space="0" w:color="auto"/>
            <w:bottom w:val="none" w:sz="0" w:space="0" w:color="auto"/>
            <w:right w:val="none" w:sz="0" w:space="0" w:color="auto"/>
          </w:divBdr>
          <w:divsChild>
            <w:div w:id="1668440054">
              <w:marLeft w:val="0"/>
              <w:marRight w:val="0"/>
              <w:marTop w:val="0"/>
              <w:marBottom w:val="0"/>
              <w:divBdr>
                <w:top w:val="none" w:sz="0" w:space="0" w:color="auto"/>
                <w:left w:val="none" w:sz="0" w:space="0" w:color="auto"/>
                <w:bottom w:val="none" w:sz="0" w:space="0" w:color="auto"/>
                <w:right w:val="none" w:sz="0" w:space="0" w:color="auto"/>
              </w:divBdr>
            </w:div>
          </w:divsChild>
        </w:div>
        <w:div w:id="1749885425">
          <w:marLeft w:val="0"/>
          <w:marRight w:val="0"/>
          <w:marTop w:val="150"/>
          <w:marBottom w:val="150"/>
          <w:divBdr>
            <w:top w:val="none" w:sz="0" w:space="0" w:color="auto"/>
            <w:left w:val="none" w:sz="0" w:space="0" w:color="auto"/>
            <w:bottom w:val="none" w:sz="0" w:space="0" w:color="auto"/>
            <w:right w:val="none" w:sz="0" w:space="0" w:color="auto"/>
          </w:divBdr>
          <w:divsChild>
            <w:div w:id="115561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63834">
      <w:bodyDiv w:val="1"/>
      <w:marLeft w:val="0"/>
      <w:marRight w:val="0"/>
      <w:marTop w:val="0"/>
      <w:marBottom w:val="0"/>
      <w:divBdr>
        <w:top w:val="none" w:sz="0" w:space="0" w:color="auto"/>
        <w:left w:val="none" w:sz="0" w:space="0" w:color="auto"/>
        <w:bottom w:val="none" w:sz="0" w:space="0" w:color="auto"/>
        <w:right w:val="none" w:sz="0" w:space="0" w:color="auto"/>
      </w:divBdr>
    </w:div>
    <w:div w:id="484708422">
      <w:bodyDiv w:val="1"/>
      <w:marLeft w:val="0"/>
      <w:marRight w:val="0"/>
      <w:marTop w:val="0"/>
      <w:marBottom w:val="0"/>
      <w:divBdr>
        <w:top w:val="none" w:sz="0" w:space="0" w:color="auto"/>
        <w:left w:val="none" w:sz="0" w:space="0" w:color="auto"/>
        <w:bottom w:val="none" w:sz="0" w:space="0" w:color="auto"/>
        <w:right w:val="none" w:sz="0" w:space="0" w:color="auto"/>
      </w:divBdr>
    </w:div>
    <w:div w:id="500199911">
      <w:bodyDiv w:val="1"/>
      <w:marLeft w:val="0"/>
      <w:marRight w:val="0"/>
      <w:marTop w:val="0"/>
      <w:marBottom w:val="0"/>
      <w:divBdr>
        <w:top w:val="none" w:sz="0" w:space="0" w:color="auto"/>
        <w:left w:val="none" w:sz="0" w:space="0" w:color="auto"/>
        <w:bottom w:val="none" w:sz="0" w:space="0" w:color="auto"/>
        <w:right w:val="none" w:sz="0" w:space="0" w:color="auto"/>
      </w:divBdr>
    </w:div>
    <w:div w:id="509106936">
      <w:bodyDiv w:val="1"/>
      <w:marLeft w:val="0"/>
      <w:marRight w:val="0"/>
      <w:marTop w:val="0"/>
      <w:marBottom w:val="0"/>
      <w:divBdr>
        <w:top w:val="none" w:sz="0" w:space="0" w:color="auto"/>
        <w:left w:val="none" w:sz="0" w:space="0" w:color="auto"/>
        <w:bottom w:val="none" w:sz="0" w:space="0" w:color="auto"/>
        <w:right w:val="none" w:sz="0" w:space="0" w:color="auto"/>
      </w:divBdr>
    </w:div>
    <w:div w:id="542517984">
      <w:bodyDiv w:val="1"/>
      <w:marLeft w:val="0"/>
      <w:marRight w:val="0"/>
      <w:marTop w:val="0"/>
      <w:marBottom w:val="0"/>
      <w:divBdr>
        <w:top w:val="none" w:sz="0" w:space="0" w:color="auto"/>
        <w:left w:val="none" w:sz="0" w:space="0" w:color="auto"/>
        <w:bottom w:val="none" w:sz="0" w:space="0" w:color="auto"/>
        <w:right w:val="none" w:sz="0" w:space="0" w:color="auto"/>
      </w:divBdr>
    </w:div>
    <w:div w:id="564686688">
      <w:bodyDiv w:val="1"/>
      <w:marLeft w:val="0"/>
      <w:marRight w:val="0"/>
      <w:marTop w:val="0"/>
      <w:marBottom w:val="0"/>
      <w:divBdr>
        <w:top w:val="none" w:sz="0" w:space="0" w:color="auto"/>
        <w:left w:val="none" w:sz="0" w:space="0" w:color="auto"/>
        <w:bottom w:val="none" w:sz="0" w:space="0" w:color="auto"/>
        <w:right w:val="none" w:sz="0" w:space="0" w:color="auto"/>
      </w:divBdr>
      <w:divsChild>
        <w:div w:id="1551767555">
          <w:marLeft w:val="0"/>
          <w:marRight w:val="0"/>
          <w:marTop w:val="150"/>
          <w:marBottom w:val="150"/>
          <w:divBdr>
            <w:top w:val="none" w:sz="0" w:space="0" w:color="auto"/>
            <w:left w:val="none" w:sz="0" w:space="0" w:color="auto"/>
            <w:bottom w:val="none" w:sz="0" w:space="0" w:color="auto"/>
            <w:right w:val="none" w:sz="0" w:space="0" w:color="auto"/>
          </w:divBdr>
          <w:divsChild>
            <w:div w:id="412355887">
              <w:marLeft w:val="0"/>
              <w:marRight w:val="0"/>
              <w:marTop w:val="0"/>
              <w:marBottom w:val="0"/>
              <w:divBdr>
                <w:top w:val="none" w:sz="0" w:space="0" w:color="auto"/>
                <w:left w:val="none" w:sz="0" w:space="0" w:color="auto"/>
                <w:bottom w:val="none" w:sz="0" w:space="0" w:color="auto"/>
                <w:right w:val="none" w:sz="0" w:space="0" w:color="auto"/>
              </w:divBdr>
            </w:div>
          </w:divsChild>
        </w:div>
        <w:div w:id="807431876">
          <w:marLeft w:val="0"/>
          <w:marRight w:val="0"/>
          <w:marTop w:val="150"/>
          <w:marBottom w:val="150"/>
          <w:divBdr>
            <w:top w:val="none" w:sz="0" w:space="0" w:color="auto"/>
            <w:left w:val="none" w:sz="0" w:space="0" w:color="auto"/>
            <w:bottom w:val="none" w:sz="0" w:space="0" w:color="auto"/>
            <w:right w:val="none" w:sz="0" w:space="0" w:color="auto"/>
          </w:divBdr>
          <w:divsChild>
            <w:div w:id="813571892">
              <w:marLeft w:val="0"/>
              <w:marRight w:val="0"/>
              <w:marTop w:val="0"/>
              <w:marBottom w:val="0"/>
              <w:divBdr>
                <w:top w:val="none" w:sz="0" w:space="0" w:color="auto"/>
                <w:left w:val="none" w:sz="0" w:space="0" w:color="auto"/>
                <w:bottom w:val="none" w:sz="0" w:space="0" w:color="auto"/>
                <w:right w:val="none" w:sz="0" w:space="0" w:color="auto"/>
              </w:divBdr>
            </w:div>
          </w:divsChild>
        </w:div>
        <w:div w:id="606273622">
          <w:marLeft w:val="0"/>
          <w:marRight w:val="0"/>
          <w:marTop w:val="150"/>
          <w:marBottom w:val="150"/>
          <w:divBdr>
            <w:top w:val="none" w:sz="0" w:space="0" w:color="auto"/>
            <w:left w:val="none" w:sz="0" w:space="0" w:color="auto"/>
            <w:bottom w:val="none" w:sz="0" w:space="0" w:color="auto"/>
            <w:right w:val="none" w:sz="0" w:space="0" w:color="auto"/>
          </w:divBdr>
          <w:divsChild>
            <w:div w:id="88894112">
              <w:marLeft w:val="0"/>
              <w:marRight w:val="0"/>
              <w:marTop w:val="0"/>
              <w:marBottom w:val="0"/>
              <w:divBdr>
                <w:top w:val="none" w:sz="0" w:space="0" w:color="auto"/>
                <w:left w:val="none" w:sz="0" w:space="0" w:color="auto"/>
                <w:bottom w:val="none" w:sz="0" w:space="0" w:color="auto"/>
                <w:right w:val="none" w:sz="0" w:space="0" w:color="auto"/>
              </w:divBdr>
            </w:div>
          </w:divsChild>
        </w:div>
        <w:div w:id="1946572693">
          <w:marLeft w:val="0"/>
          <w:marRight w:val="0"/>
          <w:marTop w:val="150"/>
          <w:marBottom w:val="150"/>
          <w:divBdr>
            <w:top w:val="none" w:sz="0" w:space="0" w:color="auto"/>
            <w:left w:val="none" w:sz="0" w:space="0" w:color="auto"/>
            <w:bottom w:val="none" w:sz="0" w:space="0" w:color="auto"/>
            <w:right w:val="none" w:sz="0" w:space="0" w:color="auto"/>
          </w:divBdr>
          <w:divsChild>
            <w:div w:id="18291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16602">
      <w:bodyDiv w:val="1"/>
      <w:marLeft w:val="0"/>
      <w:marRight w:val="0"/>
      <w:marTop w:val="0"/>
      <w:marBottom w:val="0"/>
      <w:divBdr>
        <w:top w:val="none" w:sz="0" w:space="0" w:color="auto"/>
        <w:left w:val="none" w:sz="0" w:space="0" w:color="auto"/>
        <w:bottom w:val="none" w:sz="0" w:space="0" w:color="auto"/>
        <w:right w:val="none" w:sz="0" w:space="0" w:color="auto"/>
      </w:divBdr>
    </w:div>
    <w:div w:id="604769346">
      <w:bodyDiv w:val="1"/>
      <w:marLeft w:val="0"/>
      <w:marRight w:val="0"/>
      <w:marTop w:val="0"/>
      <w:marBottom w:val="0"/>
      <w:divBdr>
        <w:top w:val="none" w:sz="0" w:space="0" w:color="auto"/>
        <w:left w:val="none" w:sz="0" w:space="0" w:color="auto"/>
        <w:bottom w:val="none" w:sz="0" w:space="0" w:color="auto"/>
        <w:right w:val="none" w:sz="0" w:space="0" w:color="auto"/>
      </w:divBdr>
    </w:div>
    <w:div w:id="627979395">
      <w:bodyDiv w:val="1"/>
      <w:marLeft w:val="0"/>
      <w:marRight w:val="0"/>
      <w:marTop w:val="0"/>
      <w:marBottom w:val="0"/>
      <w:divBdr>
        <w:top w:val="none" w:sz="0" w:space="0" w:color="auto"/>
        <w:left w:val="none" w:sz="0" w:space="0" w:color="auto"/>
        <w:bottom w:val="none" w:sz="0" w:space="0" w:color="auto"/>
        <w:right w:val="none" w:sz="0" w:space="0" w:color="auto"/>
      </w:divBdr>
      <w:divsChild>
        <w:div w:id="551504298">
          <w:marLeft w:val="0"/>
          <w:marRight w:val="0"/>
          <w:marTop w:val="150"/>
          <w:marBottom w:val="150"/>
          <w:divBdr>
            <w:top w:val="none" w:sz="0" w:space="0" w:color="auto"/>
            <w:left w:val="none" w:sz="0" w:space="0" w:color="auto"/>
            <w:bottom w:val="none" w:sz="0" w:space="0" w:color="auto"/>
            <w:right w:val="none" w:sz="0" w:space="0" w:color="auto"/>
          </w:divBdr>
          <w:divsChild>
            <w:div w:id="2122455776">
              <w:marLeft w:val="0"/>
              <w:marRight w:val="0"/>
              <w:marTop w:val="0"/>
              <w:marBottom w:val="0"/>
              <w:divBdr>
                <w:top w:val="none" w:sz="0" w:space="0" w:color="auto"/>
                <w:left w:val="none" w:sz="0" w:space="0" w:color="auto"/>
                <w:bottom w:val="none" w:sz="0" w:space="0" w:color="auto"/>
                <w:right w:val="none" w:sz="0" w:space="0" w:color="auto"/>
              </w:divBdr>
            </w:div>
          </w:divsChild>
        </w:div>
        <w:div w:id="1727296435">
          <w:marLeft w:val="0"/>
          <w:marRight w:val="0"/>
          <w:marTop w:val="150"/>
          <w:marBottom w:val="150"/>
          <w:divBdr>
            <w:top w:val="none" w:sz="0" w:space="0" w:color="auto"/>
            <w:left w:val="none" w:sz="0" w:space="0" w:color="auto"/>
            <w:bottom w:val="none" w:sz="0" w:space="0" w:color="auto"/>
            <w:right w:val="none" w:sz="0" w:space="0" w:color="auto"/>
          </w:divBdr>
          <w:divsChild>
            <w:div w:id="779255045">
              <w:marLeft w:val="0"/>
              <w:marRight w:val="0"/>
              <w:marTop w:val="0"/>
              <w:marBottom w:val="0"/>
              <w:divBdr>
                <w:top w:val="none" w:sz="0" w:space="0" w:color="auto"/>
                <w:left w:val="none" w:sz="0" w:space="0" w:color="auto"/>
                <w:bottom w:val="none" w:sz="0" w:space="0" w:color="auto"/>
                <w:right w:val="none" w:sz="0" w:space="0" w:color="auto"/>
              </w:divBdr>
            </w:div>
          </w:divsChild>
        </w:div>
        <w:div w:id="1739477180">
          <w:marLeft w:val="0"/>
          <w:marRight w:val="0"/>
          <w:marTop w:val="150"/>
          <w:marBottom w:val="150"/>
          <w:divBdr>
            <w:top w:val="none" w:sz="0" w:space="0" w:color="auto"/>
            <w:left w:val="none" w:sz="0" w:space="0" w:color="auto"/>
            <w:bottom w:val="none" w:sz="0" w:space="0" w:color="auto"/>
            <w:right w:val="none" w:sz="0" w:space="0" w:color="auto"/>
          </w:divBdr>
          <w:divsChild>
            <w:div w:id="1285162357">
              <w:marLeft w:val="0"/>
              <w:marRight w:val="0"/>
              <w:marTop w:val="0"/>
              <w:marBottom w:val="0"/>
              <w:divBdr>
                <w:top w:val="none" w:sz="0" w:space="0" w:color="auto"/>
                <w:left w:val="none" w:sz="0" w:space="0" w:color="auto"/>
                <w:bottom w:val="none" w:sz="0" w:space="0" w:color="auto"/>
                <w:right w:val="none" w:sz="0" w:space="0" w:color="auto"/>
              </w:divBdr>
            </w:div>
          </w:divsChild>
        </w:div>
        <w:div w:id="1600136636">
          <w:marLeft w:val="0"/>
          <w:marRight w:val="0"/>
          <w:marTop w:val="150"/>
          <w:marBottom w:val="150"/>
          <w:divBdr>
            <w:top w:val="none" w:sz="0" w:space="0" w:color="auto"/>
            <w:left w:val="none" w:sz="0" w:space="0" w:color="auto"/>
            <w:bottom w:val="none" w:sz="0" w:space="0" w:color="auto"/>
            <w:right w:val="none" w:sz="0" w:space="0" w:color="auto"/>
          </w:divBdr>
          <w:divsChild>
            <w:div w:id="15443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0065">
      <w:bodyDiv w:val="1"/>
      <w:marLeft w:val="0"/>
      <w:marRight w:val="0"/>
      <w:marTop w:val="0"/>
      <w:marBottom w:val="0"/>
      <w:divBdr>
        <w:top w:val="none" w:sz="0" w:space="0" w:color="auto"/>
        <w:left w:val="none" w:sz="0" w:space="0" w:color="auto"/>
        <w:bottom w:val="none" w:sz="0" w:space="0" w:color="auto"/>
        <w:right w:val="none" w:sz="0" w:space="0" w:color="auto"/>
      </w:divBdr>
    </w:div>
    <w:div w:id="692149410">
      <w:bodyDiv w:val="1"/>
      <w:marLeft w:val="0"/>
      <w:marRight w:val="0"/>
      <w:marTop w:val="0"/>
      <w:marBottom w:val="0"/>
      <w:divBdr>
        <w:top w:val="none" w:sz="0" w:space="0" w:color="auto"/>
        <w:left w:val="none" w:sz="0" w:space="0" w:color="auto"/>
        <w:bottom w:val="none" w:sz="0" w:space="0" w:color="auto"/>
        <w:right w:val="none" w:sz="0" w:space="0" w:color="auto"/>
      </w:divBdr>
    </w:div>
    <w:div w:id="724379809">
      <w:bodyDiv w:val="1"/>
      <w:marLeft w:val="0"/>
      <w:marRight w:val="0"/>
      <w:marTop w:val="0"/>
      <w:marBottom w:val="0"/>
      <w:divBdr>
        <w:top w:val="none" w:sz="0" w:space="0" w:color="auto"/>
        <w:left w:val="none" w:sz="0" w:space="0" w:color="auto"/>
        <w:bottom w:val="none" w:sz="0" w:space="0" w:color="auto"/>
        <w:right w:val="none" w:sz="0" w:space="0" w:color="auto"/>
      </w:divBdr>
    </w:div>
    <w:div w:id="747851813">
      <w:bodyDiv w:val="1"/>
      <w:marLeft w:val="0"/>
      <w:marRight w:val="0"/>
      <w:marTop w:val="0"/>
      <w:marBottom w:val="0"/>
      <w:divBdr>
        <w:top w:val="none" w:sz="0" w:space="0" w:color="auto"/>
        <w:left w:val="none" w:sz="0" w:space="0" w:color="auto"/>
        <w:bottom w:val="none" w:sz="0" w:space="0" w:color="auto"/>
        <w:right w:val="none" w:sz="0" w:space="0" w:color="auto"/>
      </w:divBdr>
    </w:div>
    <w:div w:id="754398243">
      <w:bodyDiv w:val="1"/>
      <w:marLeft w:val="0"/>
      <w:marRight w:val="0"/>
      <w:marTop w:val="0"/>
      <w:marBottom w:val="0"/>
      <w:divBdr>
        <w:top w:val="none" w:sz="0" w:space="0" w:color="auto"/>
        <w:left w:val="none" w:sz="0" w:space="0" w:color="auto"/>
        <w:bottom w:val="none" w:sz="0" w:space="0" w:color="auto"/>
        <w:right w:val="none" w:sz="0" w:space="0" w:color="auto"/>
      </w:divBdr>
    </w:div>
    <w:div w:id="822234285">
      <w:bodyDiv w:val="1"/>
      <w:marLeft w:val="0"/>
      <w:marRight w:val="0"/>
      <w:marTop w:val="0"/>
      <w:marBottom w:val="0"/>
      <w:divBdr>
        <w:top w:val="none" w:sz="0" w:space="0" w:color="auto"/>
        <w:left w:val="none" w:sz="0" w:space="0" w:color="auto"/>
        <w:bottom w:val="none" w:sz="0" w:space="0" w:color="auto"/>
        <w:right w:val="none" w:sz="0" w:space="0" w:color="auto"/>
      </w:divBdr>
    </w:div>
    <w:div w:id="828909058">
      <w:bodyDiv w:val="1"/>
      <w:marLeft w:val="0"/>
      <w:marRight w:val="0"/>
      <w:marTop w:val="0"/>
      <w:marBottom w:val="0"/>
      <w:divBdr>
        <w:top w:val="none" w:sz="0" w:space="0" w:color="auto"/>
        <w:left w:val="none" w:sz="0" w:space="0" w:color="auto"/>
        <w:bottom w:val="none" w:sz="0" w:space="0" w:color="auto"/>
        <w:right w:val="none" w:sz="0" w:space="0" w:color="auto"/>
      </w:divBdr>
    </w:div>
    <w:div w:id="973170956">
      <w:bodyDiv w:val="1"/>
      <w:marLeft w:val="0"/>
      <w:marRight w:val="0"/>
      <w:marTop w:val="0"/>
      <w:marBottom w:val="0"/>
      <w:divBdr>
        <w:top w:val="none" w:sz="0" w:space="0" w:color="auto"/>
        <w:left w:val="none" w:sz="0" w:space="0" w:color="auto"/>
        <w:bottom w:val="none" w:sz="0" w:space="0" w:color="auto"/>
        <w:right w:val="none" w:sz="0" w:space="0" w:color="auto"/>
      </w:divBdr>
    </w:div>
    <w:div w:id="978995386">
      <w:bodyDiv w:val="1"/>
      <w:marLeft w:val="0"/>
      <w:marRight w:val="0"/>
      <w:marTop w:val="0"/>
      <w:marBottom w:val="0"/>
      <w:divBdr>
        <w:top w:val="none" w:sz="0" w:space="0" w:color="auto"/>
        <w:left w:val="none" w:sz="0" w:space="0" w:color="auto"/>
        <w:bottom w:val="none" w:sz="0" w:space="0" w:color="auto"/>
        <w:right w:val="none" w:sz="0" w:space="0" w:color="auto"/>
      </w:divBdr>
    </w:div>
    <w:div w:id="987249177">
      <w:bodyDiv w:val="1"/>
      <w:marLeft w:val="0"/>
      <w:marRight w:val="0"/>
      <w:marTop w:val="0"/>
      <w:marBottom w:val="0"/>
      <w:divBdr>
        <w:top w:val="none" w:sz="0" w:space="0" w:color="auto"/>
        <w:left w:val="none" w:sz="0" w:space="0" w:color="auto"/>
        <w:bottom w:val="none" w:sz="0" w:space="0" w:color="auto"/>
        <w:right w:val="none" w:sz="0" w:space="0" w:color="auto"/>
      </w:divBdr>
    </w:div>
    <w:div w:id="1004476396">
      <w:bodyDiv w:val="1"/>
      <w:marLeft w:val="0"/>
      <w:marRight w:val="0"/>
      <w:marTop w:val="0"/>
      <w:marBottom w:val="0"/>
      <w:divBdr>
        <w:top w:val="none" w:sz="0" w:space="0" w:color="auto"/>
        <w:left w:val="none" w:sz="0" w:space="0" w:color="auto"/>
        <w:bottom w:val="none" w:sz="0" w:space="0" w:color="auto"/>
        <w:right w:val="none" w:sz="0" w:space="0" w:color="auto"/>
      </w:divBdr>
    </w:div>
    <w:div w:id="1008872128">
      <w:bodyDiv w:val="1"/>
      <w:marLeft w:val="0"/>
      <w:marRight w:val="0"/>
      <w:marTop w:val="0"/>
      <w:marBottom w:val="0"/>
      <w:divBdr>
        <w:top w:val="none" w:sz="0" w:space="0" w:color="auto"/>
        <w:left w:val="none" w:sz="0" w:space="0" w:color="auto"/>
        <w:bottom w:val="none" w:sz="0" w:space="0" w:color="auto"/>
        <w:right w:val="none" w:sz="0" w:space="0" w:color="auto"/>
      </w:divBdr>
    </w:div>
    <w:div w:id="1017853399">
      <w:bodyDiv w:val="1"/>
      <w:marLeft w:val="0"/>
      <w:marRight w:val="0"/>
      <w:marTop w:val="0"/>
      <w:marBottom w:val="0"/>
      <w:divBdr>
        <w:top w:val="none" w:sz="0" w:space="0" w:color="auto"/>
        <w:left w:val="none" w:sz="0" w:space="0" w:color="auto"/>
        <w:bottom w:val="none" w:sz="0" w:space="0" w:color="auto"/>
        <w:right w:val="none" w:sz="0" w:space="0" w:color="auto"/>
      </w:divBdr>
    </w:div>
    <w:div w:id="1143811847">
      <w:bodyDiv w:val="1"/>
      <w:marLeft w:val="0"/>
      <w:marRight w:val="0"/>
      <w:marTop w:val="0"/>
      <w:marBottom w:val="0"/>
      <w:divBdr>
        <w:top w:val="none" w:sz="0" w:space="0" w:color="auto"/>
        <w:left w:val="none" w:sz="0" w:space="0" w:color="auto"/>
        <w:bottom w:val="none" w:sz="0" w:space="0" w:color="auto"/>
        <w:right w:val="none" w:sz="0" w:space="0" w:color="auto"/>
      </w:divBdr>
    </w:div>
    <w:div w:id="1145052463">
      <w:bodyDiv w:val="1"/>
      <w:marLeft w:val="0"/>
      <w:marRight w:val="0"/>
      <w:marTop w:val="0"/>
      <w:marBottom w:val="0"/>
      <w:divBdr>
        <w:top w:val="none" w:sz="0" w:space="0" w:color="auto"/>
        <w:left w:val="none" w:sz="0" w:space="0" w:color="auto"/>
        <w:bottom w:val="none" w:sz="0" w:space="0" w:color="auto"/>
        <w:right w:val="none" w:sz="0" w:space="0" w:color="auto"/>
      </w:divBdr>
      <w:divsChild>
        <w:div w:id="2067101071">
          <w:marLeft w:val="0"/>
          <w:marRight w:val="0"/>
          <w:marTop w:val="150"/>
          <w:marBottom w:val="150"/>
          <w:divBdr>
            <w:top w:val="none" w:sz="0" w:space="0" w:color="auto"/>
            <w:left w:val="none" w:sz="0" w:space="0" w:color="auto"/>
            <w:bottom w:val="none" w:sz="0" w:space="0" w:color="auto"/>
            <w:right w:val="none" w:sz="0" w:space="0" w:color="auto"/>
          </w:divBdr>
          <w:divsChild>
            <w:div w:id="1534419788">
              <w:marLeft w:val="0"/>
              <w:marRight w:val="0"/>
              <w:marTop w:val="0"/>
              <w:marBottom w:val="0"/>
              <w:divBdr>
                <w:top w:val="none" w:sz="0" w:space="0" w:color="auto"/>
                <w:left w:val="none" w:sz="0" w:space="0" w:color="auto"/>
                <w:bottom w:val="none" w:sz="0" w:space="0" w:color="auto"/>
                <w:right w:val="none" w:sz="0" w:space="0" w:color="auto"/>
              </w:divBdr>
            </w:div>
          </w:divsChild>
        </w:div>
        <w:div w:id="490947947">
          <w:marLeft w:val="0"/>
          <w:marRight w:val="0"/>
          <w:marTop w:val="150"/>
          <w:marBottom w:val="150"/>
          <w:divBdr>
            <w:top w:val="none" w:sz="0" w:space="0" w:color="auto"/>
            <w:left w:val="none" w:sz="0" w:space="0" w:color="auto"/>
            <w:bottom w:val="none" w:sz="0" w:space="0" w:color="auto"/>
            <w:right w:val="none" w:sz="0" w:space="0" w:color="auto"/>
          </w:divBdr>
          <w:divsChild>
            <w:div w:id="3792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06883">
      <w:bodyDiv w:val="1"/>
      <w:marLeft w:val="0"/>
      <w:marRight w:val="0"/>
      <w:marTop w:val="0"/>
      <w:marBottom w:val="0"/>
      <w:divBdr>
        <w:top w:val="none" w:sz="0" w:space="0" w:color="auto"/>
        <w:left w:val="none" w:sz="0" w:space="0" w:color="auto"/>
        <w:bottom w:val="none" w:sz="0" w:space="0" w:color="auto"/>
        <w:right w:val="none" w:sz="0" w:space="0" w:color="auto"/>
      </w:divBdr>
    </w:div>
    <w:div w:id="1161845496">
      <w:bodyDiv w:val="1"/>
      <w:marLeft w:val="0"/>
      <w:marRight w:val="0"/>
      <w:marTop w:val="0"/>
      <w:marBottom w:val="0"/>
      <w:divBdr>
        <w:top w:val="none" w:sz="0" w:space="0" w:color="auto"/>
        <w:left w:val="none" w:sz="0" w:space="0" w:color="auto"/>
        <w:bottom w:val="none" w:sz="0" w:space="0" w:color="auto"/>
        <w:right w:val="none" w:sz="0" w:space="0" w:color="auto"/>
      </w:divBdr>
    </w:div>
    <w:div w:id="1177694969">
      <w:bodyDiv w:val="1"/>
      <w:marLeft w:val="0"/>
      <w:marRight w:val="0"/>
      <w:marTop w:val="0"/>
      <w:marBottom w:val="0"/>
      <w:divBdr>
        <w:top w:val="none" w:sz="0" w:space="0" w:color="auto"/>
        <w:left w:val="none" w:sz="0" w:space="0" w:color="auto"/>
        <w:bottom w:val="none" w:sz="0" w:space="0" w:color="auto"/>
        <w:right w:val="none" w:sz="0" w:space="0" w:color="auto"/>
      </w:divBdr>
    </w:div>
    <w:div w:id="1197700358">
      <w:bodyDiv w:val="1"/>
      <w:marLeft w:val="0"/>
      <w:marRight w:val="0"/>
      <w:marTop w:val="0"/>
      <w:marBottom w:val="0"/>
      <w:divBdr>
        <w:top w:val="none" w:sz="0" w:space="0" w:color="auto"/>
        <w:left w:val="none" w:sz="0" w:space="0" w:color="auto"/>
        <w:bottom w:val="none" w:sz="0" w:space="0" w:color="auto"/>
        <w:right w:val="none" w:sz="0" w:space="0" w:color="auto"/>
      </w:divBdr>
    </w:div>
    <w:div w:id="1213884838">
      <w:bodyDiv w:val="1"/>
      <w:marLeft w:val="0"/>
      <w:marRight w:val="0"/>
      <w:marTop w:val="0"/>
      <w:marBottom w:val="0"/>
      <w:divBdr>
        <w:top w:val="none" w:sz="0" w:space="0" w:color="auto"/>
        <w:left w:val="none" w:sz="0" w:space="0" w:color="auto"/>
        <w:bottom w:val="none" w:sz="0" w:space="0" w:color="auto"/>
        <w:right w:val="none" w:sz="0" w:space="0" w:color="auto"/>
      </w:divBdr>
    </w:div>
    <w:div w:id="1264652801">
      <w:bodyDiv w:val="1"/>
      <w:marLeft w:val="0"/>
      <w:marRight w:val="0"/>
      <w:marTop w:val="0"/>
      <w:marBottom w:val="0"/>
      <w:divBdr>
        <w:top w:val="none" w:sz="0" w:space="0" w:color="auto"/>
        <w:left w:val="none" w:sz="0" w:space="0" w:color="auto"/>
        <w:bottom w:val="none" w:sz="0" w:space="0" w:color="auto"/>
        <w:right w:val="none" w:sz="0" w:space="0" w:color="auto"/>
      </w:divBdr>
    </w:div>
    <w:div w:id="1297225667">
      <w:bodyDiv w:val="1"/>
      <w:marLeft w:val="0"/>
      <w:marRight w:val="0"/>
      <w:marTop w:val="0"/>
      <w:marBottom w:val="0"/>
      <w:divBdr>
        <w:top w:val="none" w:sz="0" w:space="0" w:color="auto"/>
        <w:left w:val="none" w:sz="0" w:space="0" w:color="auto"/>
        <w:bottom w:val="none" w:sz="0" w:space="0" w:color="auto"/>
        <w:right w:val="none" w:sz="0" w:space="0" w:color="auto"/>
      </w:divBdr>
    </w:div>
    <w:div w:id="1322732599">
      <w:bodyDiv w:val="1"/>
      <w:marLeft w:val="0"/>
      <w:marRight w:val="0"/>
      <w:marTop w:val="0"/>
      <w:marBottom w:val="0"/>
      <w:divBdr>
        <w:top w:val="none" w:sz="0" w:space="0" w:color="auto"/>
        <w:left w:val="none" w:sz="0" w:space="0" w:color="auto"/>
        <w:bottom w:val="none" w:sz="0" w:space="0" w:color="auto"/>
        <w:right w:val="none" w:sz="0" w:space="0" w:color="auto"/>
      </w:divBdr>
    </w:div>
    <w:div w:id="1452092948">
      <w:bodyDiv w:val="1"/>
      <w:marLeft w:val="0"/>
      <w:marRight w:val="0"/>
      <w:marTop w:val="0"/>
      <w:marBottom w:val="0"/>
      <w:divBdr>
        <w:top w:val="none" w:sz="0" w:space="0" w:color="auto"/>
        <w:left w:val="none" w:sz="0" w:space="0" w:color="auto"/>
        <w:bottom w:val="none" w:sz="0" w:space="0" w:color="auto"/>
        <w:right w:val="none" w:sz="0" w:space="0" w:color="auto"/>
      </w:divBdr>
    </w:div>
    <w:div w:id="1514609059">
      <w:bodyDiv w:val="1"/>
      <w:marLeft w:val="0"/>
      <w:marRight w:val="0"/>
      <w:marTop w:val="0"/>
      <w:marBottom w:val="0"/>
      <w:divBdr>
        <w:top w:val="none" w:sz="0" w:space="0" w:color="auto"/>
        <w:left w:val="none" w:sz="0" w:space="0" w:color="auto"/>
        <w:bottom w:val="none" w:sz="0" w:space="0" w:color="auto"/>
        <w:right w:val="none" w:sz="0" w:space="0" w:color="auto"/>
      </w:divBdr>
    </w:div>
    <w:div w:id="1597712065">
      <w:bodyDiv w:val="1"/>
      <w:marLeft w:val="0"/>
      <w:marRight w:val="0"/>
      <w:marTop w:val="0"/>
      <w:marBottom w:val="0"/>
      <w:divBdr>
        <w:top w:val="none" w:sz="0" w:space="0" w:color="auto"/>
        <w:left w:val="none" w:sz="0" w:space="0" w:color="auto"/>
        <w:bottom w:val="none" w:sz="0" w:space="0" w:color="auto"/>
        <w:right w:val="none" w:sz="0" w:space="0" w:color="auto"/>
      </w:divBdr>
    </w:div>
    <w:div w:id="1618831421">
      <w:bodyDiv w:val="1"/>
      <w:marLeft w:val="0"/>
      <w:marRight w:val="0"/>
      <w:marTop w:val="0"/>
      <w:marBottom w:val="0"/>
      <w:divBdr>
        <w:top w:val="none" w:sz="0" w:space="0" w:color="auto"/>
        <w:left w:val="none" w:sz="0" w:space="0" w:color="auto"/>
        <w:bottom w:val="none" w:sz="0" w:space="0" w:color="auto"/>
        <w:right w:val="none" w:sz="0" w:space="0" w:color="auto"/>
      </w:divBdr>
    </w:div>
    <w:div w:id="1712534711">
      <w:bodyDiv w:val="1"/>
      <w:marLeft w:val="0"/>
      <w:marRight w:val="0"/>
      <w:marTop w:val="0"/>
      <w:marBottom w:val="0"/>
      <w:divBdr>
        <w:top w:val="none" w:sz="0" w:space="0" w:color="auto"/>
        <w:left w:val="none" w:sz="0" w:space="0" w:color="auto"/>
        <w:bottom w:val="none" w:sz="0" w:space="0" w:color="auto"/>
        <w:right w:val="none" w:sz="0" w:space="0" w:color="auto"/>
      </w:divBdr>
    </w:div>
    <w:div w:id="1714816354">
      <w:bodyDiv w:val="1"/>
      <w:marLeft w:val="0"/>
      <w:marRight w:val="0"/>
      <w:marTop w:val="0"/>
      <w:marBottom w:val="0"/>
      <w:divBdr>
        <w:top w:val="none" w:sz="0" w:space="0" w:color="auto"/>
        <w:left w:val="none" w:sz="0" w:space="0" w:color="auto"/>
        <w:bottom w:val="none" w:sz="0" w:space="0" w:color="auto"/>
        <w:right w:val="none" w:sz="0" w:space="0" w:color="auto"/>
      </w:divBdr>
    </w:div>
    <w:div w:id="1753819875">
      <w:bodyDiv w:val="1"/>
      <w:marLeft w:val="0"/>
      <w:marRight w:val="0"/>
      <w:marTop w:val="0"/>
      <w:marBottom w:val="0"/>
      <w:divBdr>
        <w:top w:val="none" w:sz="0" w:space="0" w:color="auto"/>
        <w:left w:val="none" w:sz="0" w:space="0" w:color="auto"/>
        <w:bottom w:val="none" w:sz="0" w:space="0" w:color="auto"/>
        <w:right w:val="none" w:sz="0" w:space="0" w:color="auto"/>
      </w:divBdr>
    </w:div>
    <w:div w:id="1756318145">
      <w:bodyDiv w:val="1"/>
      <w:marLeft w:val="0"/>
      <w:marRight w:val="0"/>
      <w:marTop w:val="0"/>
      <w:marBottom w:val="0"/>
      <w:divBdr>
        <w:top w:val="none" w:sz="0" w:space="0" w:color="auto"/>
        <w:left w:val="none" w:sz="0" w:space="0" w:color="auto"/>
        <w:bottom w:val="none" w:sz="0" w:space="0" w:color="auto"/>
        <w:right w:val="none" w:sz="0" w:space="0" w:color="auto"/>
      </w:divBdr>
    </w:div>
    <w:div w:id="1772511822">
      <w:bodyDiv w:val="1"/>
      <w:marLeft w:val="0"/>
      <w:marRight w:val="0"/>
      <w:marTop w:val="0"/>
      <w:marBottom w:val="0"/>
      <w:divBdr>
        <w:top w:val="none" w:sz="0" w:space="0" w:color="auto"/>
        <w:left w:val="none" w:sz="0" w:space="0" w:color="auto"/>
        <w:bottom w:val="none" w:sz="0" w:space="0" w:color="auto"/>
        <w:right w:val="none" w:sz="0" w:space="0" w:color="auto"/>
      </w:divBdr>
      <w:divsChild>
        <w:div w:id="1287854300">
          <w:marLeft w:val="0"/>
          <w:marRight w:val="0"/>
          <w:marTop w:val="150"/>
          <w:marBottom w:val="150"/>
          <w:divBdr>
            <w:top w:val="none" w:sz="0" w:space="0" w:color="auto"/>
            <w:left w:val="none" w:sz="0" w:space="0" w:color="auto"/>
            <w:bottom w:val="none" w:sz="0" w:space="0" w:color="auto"/>
            <w:right w:val="none" w:sz="0" w:space="0" w:color="auto"/>
          </w:divBdr>
          <w:divsChild>
            <w:div w:id="1615210000">
              <w:marLeft w:val="0"/>
              <w:marRight w:val="0"/>
              <w:marTop w:val="0"/>
              <w:marBottom w:val="0"/>
              <w:divBdr>
                <w:top w:val="none" w:sz="0" w:space="0" w:color="auto"/>
                <w:left w:val="none" w:sz="0" w:space="0" w:color="auto"/>
                <w:bottom w:val="none" w:sz="0" w:space="0" w:color="auto"/>
                <w:right w:val="none" w:sz="0" w:space="0" w:color="auto"/>
              </w:divBdr>
            </w:div>
          </w:divsChild>
        </w:div>
        <w:div w:id="1788353277">
          <w:marLeft w:val="0"/>
          <w:marRight w:val="0"/>
          <w:marTop w:val="150"/>
          <w:marBottom w:val="150"/>
          <w:divBdr>
            <w:top w:val="none" w:sz="0" w:space="0" w:color="auto"/>
            <w:left w:val="none" w:sz="0" w:space="0" w:color="auto"/>
            <w:bottom w:val="none" w:sz="0" w:space="0" w:color="auto"/>
            <w:right w:val="none" w:sz="0" w:space="0" w:color="auto"/>
          </w:divBdr>
          <w:divsChild>
            <w:div w:id="124499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3749">
      <w:bodyDiv w:val="1"/>
      <w:marLeft w:val="0"/>
      <w:marRight w:val="0"/>
      <w:marTop w:val="0"/>
      <w:marBottom w:val="0"/>
      <w:divBdr>
        <w:top w:val="none" w:sz="0" w:space="0" w:color="auto"/>
        <w:left w:val="none" w:sz="0" w:space="0" w:color="auto"/>
        <w:bottom w:val="none" w:sz="0" w:space="0" w:color="auto"/>
        <w:right w:val="none" w:sz="0" w:space="0" w:color="auto"/>
      </w:divBdr>
      <w:divsChild>
        <w:div w:id="117140801">
          <w:marLeft w:val="0"/>
          <w:marRight w:val="0"/>
          <w:marTop w:val="150"/>
          <w:marBottom w:val="150"/>
          <w:divBdr>
            <w:top w:val="none" w:sz="0" w:space="0" w:color="auto"/>
            <w:left w:val="none" w:sz="0" w:space="0" w:color="auto"/>
            <w:bottom w:val="none" w:sz="0" w:space="0" w:color="auto"/>
            <w:right w:val="none" w:sz="0" w:space="0" w:color="auto"/>
          </w:divBdr>
          <w:divsChild>
            <w:div w:id="734665106">
              <w:marLeft w:val="0"/>
              <w:marRight w:val="0"/>
              <w:marTop w:val="0"/>
              <w:marBottom w:val="0"/>
              <w:divBdr>
                <w:top w:val="none" w:sz="0" w:space="0" w:color="auto"/>
                <w:left w:val="none" w:sz="0" w:space="0" w:color="auto"/>
                <w:bottom w:val="none" w:sz="0" w:space="0" w:color="auto"/>
                <w:right w:val="none" w:sz="0" w:space="0" w:color="auto"/>
              </w:divBdr>
            </w:div>
          </w:divsChild>
        </w:div>
        <w:div w:id="2049260691">
          <w:marLeft w:val="0"/>
          <w:marRight w:val="0"/>
          <w:marTop w:val="150"/>
          <w:marBottom w:val="150"/>
          <w:divBdr>
            <w:top w:val="none" w:sz="0" w:space="0" w:color="auto"/>
            <w:left w:val="none" w:sz="0" w:space="0" w:color="auto"/>
            <w:bottom w:val="none" w:sz="0" w:space="0" w:color="auto"/>
            <w:right w:val="none" w:sz="0" w:space="0" w:color="auto"/>
          </w:divBdr>
          <w:divsChild>
            <w:div w:id="1120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153551">
      <w:bodyDiv w:val="1"/>
      <w:marLeft w:val="0"/>
      <w:marRight w:val="0"/>
      <w:marTop w:val="0"/>
      <w:marBottom w:val="0"/>
      <w:divBdr>
        <w:top w:val="none" w:sz="0" w:space="0" w:color="auto"/>
        <w:left w:val="none" w:sz="0" w:space="0" w:color="auto"/>
        <w:bottom w:val="none" w:sz="0" w:space="0" w:color="auto"/>
        <w:right w:val="none" w:sz="0" w:space="0" w:color="auto"/>
      </w:divBdr>
      <w:divsChild>
        <w:div w:id="433985136">
          <w:marLeft w:val="0"/>
          <w:marRight w:val="0"/>
          <w:marTop w:val="150"/>
          <w:marBottom w:val="150"/>
          <w:divBdr>
            <w:top w:val="none" w:sz="0" w:space="0" w:color="auto"/>
            <w:left w:val="none" w:sz="0" w:space="0" w:color="auto"/>
            <w:bottom w:val="none" w:sz="0" w:space="0" w:color="auto"/>
            <w:right w:val="none" w:sz="0" w:space="0" w:color="auto"/>
          </w:divBdr>
          <w:divsChild>
            <w:div w:id="529339944">
              <w:marLeft w:val="0"/>
              <w:marRight w:val="0"/>
              <w:marTop w:val="0"/>
              <w:marBottom w:val="0"/>
              <w:divBdr>
                <w:top w:val="none" w:sz="0" w:space="0" w:color="auto"/>
                <w:left w:val="none" w:sz="0" w:space="0" w:color="auto"/>
                <w:bottom w:val="none" w:sz="0" w:space="0" w:color="auto"/>
                <w:right w:val="none" w:sz="0" w:space="0" w:color="auto"/>
              </w:divBdr>
            </w:div>
          </w:divsChild>
        </w:div>
        <w:div w:id="727264996">
          <w:marLeft w:val="0"/>
          <w:marRight w:val="0"/>
          <w:marTop w:val="150"/>
          <w:marBottom w:val="150"/>
          <w:divBdr>
            <w:top w:val="none" w:sz="0" w:space="0" w:color="auto"/>
            <w:left w:val="none" w:sz="0" w:space="0" w:color="auto"/>
            <w:bottom w:val="none" w:sz="0" w:space="0" w:color="auto"/>
            <w:right w:val="none" w:sz="0" w:space="0" w:color="auto"/>
          </w:divBdr>
          <w:divsChild>
            <w:div w:id="11652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27482">
      <w:bodyDiv w:val="1"/>
      <w:marLeft w:val="0"/>
      <w:marRight w:val="0"/>
      <w:marTop w:val="0"/>
      <w:marBottom w:val="0"/>
      <w:divBdr>
        <w:top w:val="none" w:sz="0" w:space="0" w:color="auto"/>
        <w:left w:val="none" w:sz="0" w:space="0" w:color="auto"/>
        <w:bottom w:val="none" w:sz="0" w:space="0" w:color="auto"/>
        <w:right w:val="none" w:sz="0" w:space="0" w:color="auto"/>
      </w:divBdr>
    </w:div>
    <w:div w:id="1874071967">
      <w:bodyDiv w:val="1"/>
      <w:marLeft w:val="0"/>
      <w:marRight w:val="0"/>
      <w:marTop w:val="0"/>
      <w:marBottom w:val="0"/>
      <w:divBdr>
        <w:top w:val="none" w:sz="0" w:space="0" w:color="auto"/>
        <w:left w:val="none" w:sz="0" w:space="0" w:color="auto"/>
        <w:bottom w:val="none" w:sz="0" w:space="0" w:color="auto"/>
        <w:right w:val="none" w:sz="0" w:space="0" w:color="auto"/>
      </w:divBdr>
    </w:div>
    <w:div w:id="1876115429">
      <w:bodyDiv w:val="1"/>
      <w:marLeft w:val="0"/>
      <w:marRight w:val="0"/>
      <w:marTop w:val="0"/>
      <w:marBottom w:val="0"/>
      <w:divBdr>
        <w:top w:val="none" w:sz="0" w:space="0" w:color="auto"/>
        <w:left w:val="none" w:sz="0" w:space="0" w:color="auto"/>
        <w:bottom w:val="none" w:sz="0" w:space="0" w:color="auto"/>
        <w:right w:val="none" w:sz="0" w:space="0" w:color="auto"/>
      </w:divBdr>
      <w:divsChild>
        <w:div w:id="651183058">
          <w:marLeft w:val="0"/>
          <w:marRight w:val="0"/>
          <w:marTop w:val="150"/>
          <w:marBottom w:val="150"/>
          <w:divBdr>
            <w:top w:val="none" w:sz="0" w:space="0" w:color="auto"/>
            <w:left w:val="none" w:sz="0" w:space="0" w:color="auto"/>
            <w:bottom w:val="none" w:sz="0" w:space="0" w:color="auto"/>
            <w:right w:val="none" w:sz="0" w:space="0" w:color="auto"/>
          </w:divBdr>
          <w:divsChild>
            <w:div w:id="1671981731">
              <w:marLeft w:val="0"/>
              <w:marRight w:val="0"/>
              <w:marTop w:val="0"/>
              <w:marBottom w:val="0"/>
              <w:divBdr>
                <w:top w:val="none" w:sz="0" w:space="0" w:color="auto"/>
                <w:left w:val="none" w:sz="0" w:space="0" w:color="auto"/>
                <w:bottom w:val="none" w:sz="0" w:space="0" w:color="auto"/>
                <w:right w:val="none" w:sz="0" w:space="0" w:color="auto"/>
              </w:divBdr>
            </w:div>
          </w:divsChild>
        </w:div>
        <w:div w:id="195385261">
          <w:marLeft w:val="0"/>
          <w:marRight w:val="0"/>
          <w:marTop w:val="150"/>
          <w:marBottom w:val="150"/>
          <w:divBdr>
            <w:top w:val="none" w:sz="0" w:space="0" w:color="auto"/>
            <w:left w:val="none" w:sz="0" w:space="0" w:color="auto"/>
            <w:bottom w:val="none" w:sz="0" w:space="0" w:color="auto"/>
            <w:right w:val="none" w:sz="0" w:space="0" w:color="auto"/>
          </w:divBdr>
          <w:divsChild>
            <w:div w:id="1970814060">
              <w:marLeft w:val="0"/>
              <w:marRight w:val="0"/>
              <w:marTop w:val="0"/>
              <w:marBottom w:val="0"/>
              <w:divBdr>
                <w:top w:val="none" w:sz="0" w:space="0" w:color="auto"/>
                <w:left w:val="none" w:sz="0" w:space="0" w:color="auto"/>
                <w:bottom w:val="none" w:sz="0" w:space="0" w:color="auto"/>
                <w:right w:val="none" w:sz="0" w:space="0" w:color="auto"/>
              </w:divBdr>
            </w:div>
          </w:divsChild>
        </w:div>
        <w:div w:id="1461341472">
          <w:marLeft w:val="0"/>
          <w:marRight w:val="0"/>
          <w:marTop w:val="150"/>
          <w:marBottom w:val="150"/>
          <w:divBdr>
            <w:top w:val="none" w:sz="0" w:space="0" w:color="auto"/>
            <w:left w:val="none" w:sz="0" w:space="0" w:color="auto"/>
            <w:bottom w:val="none" w:sz="0" w:space="0" w:color="auto"/>
            <w:right w:val="none" w:sz="0" w:space="0" w:color="auto"/>
          </w:divBdr>
          <w:divsChild>
            <w:div w:id="462192628">
              <w:marLeft w:val="0"/>
              <w:marRight w:val="0"/>
              <w:marTop w:val="0"/>
              <w:marBottom w:val="0"/>
              <w:divBdr>
                <w:top w:val="none" w:sz="0" w:space="0" w:color="auto"/>
                <w:left w:val="none" w:sz="0" w:space="0" w:color="auto"/>
                <w:bottom w:val="none" w:sz="0" w:space="0" w:color="auto"/>
                <w:right w:val="none" w:sz="0" w:space="0" w:color="auto"/>
              </w:divBdr>
            </w:div>
          </w:divsChild>
        </w:div>
        <w:div w:id="429276741">
          <w:marLeft w:val="0"/>
          <w:marRight w:val="0"/>
          <w:marTop w:val="150"/>
          <w:marBottom w:val="150"/>
          <w:divBdr>
            <w:top w:val="none" w:sz="0" w:space="0" w:color="auto"/>
            <w:left w:val="none" w:sz="0" w:space="0" w:color="auto"/>
            <w:bottom w:val="none" w:sz="0" w:space="0" w:color="auto"/>
            <w:right w:val="none" w:sz="0" w:space="0" w:color="auto"/>
          </w:divBdr>
          <w:divsChild>
            <w:div w:id="196700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0283">
      <w:bodyDiv w:val="1"/>
      <w:marLeft w:val="0"/>
      <w:marRight w:val="0"/>
      <w:marTop w:val="0"/>
      <w:marBottom w:val="0"/>
      <w:divBdr>
        <w:top w:val="none" w:sz="0" w:space="0" w:color="auto"/>
        <w:left w:val="none" w:sz="0" w:space="0" w:color="auto"/>
        <w:bottom w:val="none" w:sz="0" w:space="0" w:color="auto"/>
        <w:right w:val="none" w:sz="0" w:space="0" w:color="auto"/>
      </w:divBdr>
      <w:divsChild>
        <w:div w:id="1091973533">
          <w:marLeft w:val="0"/>
          <w:marRight w:val="0"/>
          <w:marTop w:val="150"/>
          <w:marBottom w:val="150"/>
          <w:divBdr>
            <w:top w:val="none" w:sz="0" w:space="0" w:color="auto"/>
            <w:left w:val="none" w:sz="0" w:space="0" w:color="auto"/>
            <w:bottom w:val="none" w:sz="0" w:space="0" w:color="auto"/>
            <w:right w:val="none" w:sz="0" w:space="0" w:color="auto"/>
          </w:divBdr>
          <w:divsChild>
            <w:div w:id="875120763">
              <w:marLeft w:val="0"/>
              <w:marRight w:val="0"/>
              <w:marTop w:val="0"/>
              <w:marBottom w:val="0"/>
              <w:divBdr>
                <w:top w:val="none" w:sz="0" w:space="0" w:color="auto"/>
                <w:left w:val="none" w:sz="0" w:space="0" w:color="auto"/>
                <w:bottom w:val="none" w:sz="0" w:space="0" w:color="auto"/>
                <w:right w:val="none" w:sz="0" w:space="0" w:color="auto"/>
              </w:divBdr>
            </w:div>
          </w:divsChild>
        </w:div>
        <w:div w:id="60949418">
          <w:marLeft w:val="0"/>
          <w:marRight w:val="0"/>
          <w:marTop w:val="150"/>
          <w:marBottom w:val="150"/>
          <w:divBdr>
            <w:top w:val="none" w:sz="0" w:space="0" w:color="auto"/>
            <w:left w:val="none" w:sz="0" w:space="0" w:color="auto"/>
            <w:bottom w:val="none" w:sz="0" w:space="0" w:color="auto"/>
            <w:right w:val="none" w:sz="0" w:space="0" w:color="auto"/>
          </w:divBdr>
          <w:divsChild>
            <w:div w:id="1558664128">
              <w:marLeft w:val="0"/>
              <w:marRight w:val="0"/>
              <w:marTop w:val="0"/>
              <w:marBottom w:val="0"/>
              <w:divBdr>
                <w:top w:val="none" w:sz="0" w:space="0" w:color="auto"/>
                <w:left w:val="none" w:sz="0" w:space="0" w:color="auto"/>
                <w:bottom w:val="none" w:sz="0" w:space="0" w:color="auto"/>
                <w:right w:val="none" w:sz="0" w:space="0" w:color="auto"/>
              </w:divBdr>
            </w:div>
          </w:divsChild>
        </w:div>
        <w:div w:id="187066544">
          <w:marLeft w:val="0"/>
          <w:marRight w:val="0"/>
          <w:marTop w:val="150"/>
          <w:marBottom w:val="150"/>
          <w:divBdr>
            <w:top w:val="none" w:sz="0" w:space="0" w:color="auto"/>
            <w:left w:val="none" w:sz="0" w:space="0" w:color="auto"/>
            <w:bottom w:val="none" w:sz="0" w:space="0" w:color="auto"/>
            <w:right w:val="none" w:sz="0" w:space="0" w:color="auto"/>
          </w:divBdr>
          <w:divsChild>
            <w:div w:id="342897444">
              <w:marLeft w:val="0"/>
              <w:marRight w:val="0"/>
              <w:marTop w:val="0"/>
              <w:marBottom w:val="0"/>
              <w:divBdr>
                <w:top w:val="none" w:sz="0" w:space="0" w:color="auto"/>
                <w:left w:val="none" w:sz="0" w:space="0" w:color="auto"/>
                <w:bottom w:val="none" w:sz="0" w:space="0" w:color="auto"/>
                <w:right w:val="none" w:sz="0" w:space="0" w:color="auto"/>
              </w:divBdr>
            </w:div>
          </w:divsChild>
        </w:div>
        <w:div w:id="1176654787">
          <w:marLeft w:val="0"/>
          <w:marRight w:val="0"/>
          <w:marTop w:val="150"/>
          <w:marBottom w:val="150"/>
          <w:divBdr>
            <w:top w:val="none" w:sz="0" w:space="0" w:color="auto"/>
            <w:left w:val="none" w:sz="0" w:space="0" w:color="auto"/>
            <w:bottom w:val="none" w:sz="0" w:space="0" w:color="auto"/>
            <w:right w:val="none" w:sz="0" w:space="0" w:color="auto"/>
          </w:divBdr>
          <w:divsChild>
            <w:div w:id="137574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1751">
      <w:bodyDiv w:val="1"/>
      <w:marLeft w:val="0"/>
      <w:marRight w:val="0"/>
      <w:marTop w:val="0"/>
      <w:marBottom w:val="0"/>
      <w:divBdr>
        <w:top w:val="none" w:sz="0" w:space="0" w:color="auto"/>
        <w:left w:val="none" w:sz="0" w:space="0" w:color="auto"/>
        <w:bottom w:val="none" w:sz="0" w:space="0" w:color="auto"/>
        <w:right w:val="none" w:sz="0" w:space="0" w:color="auto"/>
      </w:divBdr>
      <w:divsChild>
        <w:div w:id="608854638">
          <w:marLeft w:val="0"/>
          <w:marRight w:val="0"/>
          <w:marTop w:val="150"/>
          <w:marBottom w:val="150"/>
          <w:divBdr>
            <w:top w:val="none" w:sz="0" w:space="0" w:color="auto"/>
            <w:left w:val="none" w:sz="0" w:space="0" w:color="auto"/>
            <w:bottom w:val="none" w:sz="0" w:space="0" w:color="auto"/>
            <w:right w:val="none" w:sz="0" w:space="0" w:color="auto"/>
          </w:divBdr>
          <w:divsChild>
            <w:div w:id="472060780">
              <w:marLeft w:val="0"/>
              <w:marRight w:val="0"/>
              <w:marTop w:val="0"/>
              <w:marBottom w:val="0"/>
              <w:divBdr>
                <w:top w:val="none" w:sz="0" w:space="0" w:color="auto"/>
                <w:left w:val="none" w:sz="0" w:space="0" w:color="auto"/>
                <w:bottom w:val="none" w:sz="0" w:space="0" w:color="auto"/>
                <w:right w:val="none" w:sz="0" w:space="0" w:color="auto"/>
              </w:divBdr>
            </w:div>
          </w:divsChild>
        </w:div>
        <w:div w:id="754321080">
          <w:marLeft w:val="0"/>
          <w:marRight w:val="0"/>
          <w:marTop w:val="150"/>
          <w:marBottom w:val="150"/>
          <w:divBdr>
            <w:top w:val="none" w:sz="0" w:space="0" w:color="auto"/>
            <w:left w:val="none" w:sz="0" w:space="0" w:color="auto"/>
            <w:bottom w:val="none" w:sz="0" w:space="0" w:color="auto"/>
            <w:right w:val="none" w:sz="0" w:space="0" w:color="auto"/>
          </w:divBdr>
          <w:divsChild>
            <w:div w:id="1122920353">
              <w:marLeft w:val="0"/>
              <w:marRight w:val="0"/>
              <w:marTop w:val="0"/>
              <w:marBottom w:val="0"/>
              <w:divBdr>
                <w:top w:val="none" w:sz="0" w:space="0" w:color="auto"/>
                <w:left w:val="none" w:sz="0" w:space="0" w:color="auto"/>
                <w:bottom w:val="none" w:sz="0" w:space="0" w:color="auto"/>
                <w:right w:val="none" w:sz="0" w:space="0" w:color="auto"/>
              </w:divBdr>
            </w:div>
          </w:divsChild>
        </w:div>
        <w:div w:id="1464497890">
          <w:marLeft w:val="0"/>
          <w:marRight w:val="0"/>
          <w:marTop w:val="150"/>
          <w:marBottom w:val="150"/>
          <w:divBdr>
            <w:top w:val="none" w:sz="0" w:space="0" w:color="auto"/>
            <w:left w:val="none" w:sz="0" w:space="0" w:color="auto"/>
            <w:bottom w:val="none" w:sz="0" w:space="0" w:color="auto"/>
            <w:right w:val="none" w:sz="0" w:space="0" w:color="auto"/>
          </w:divBdr>
          <w:divsChild>
            <w:div w:id="1222016344">
              <w:marLeft w:val="0"/>
              <w:marRight w:val="0"/>
              <w:marTop w:val="0"/>
              <w:marBottom w:val="0"/>
              <w:divBdr>
                <w:top w:val="none" w:sz="0" w:space="0" w:color="auto"/>
                <w:left w:val="none" w:sz="0" w:space="0" w:color="auto"/>
                <w:bottom w:val="none" w:sz="0" w:space="0" w:color="auto"/>
                <w:right w:val="none" w:sz="0" w:space="0" w:color="auto"/>
              </w:divBdr>
            </w:div>
          </w:divsChild>
        </w:div>
        <w:div w:id="1413624345">
          <w:marLeft w:val="0"/>
          <w:marRight w:val="0"/>
          <w:marTop w:val="150"/>
          <w:marBottom w:val="150"/>
          <w:divBdr>
            <w:top w:val="none" w:sz="0" w:space="0" w:color="auto"/>
            <w:left w:val="none" w:sz="0" w:space="0" w:color="auto"/>
            <w:bottom w:val="none" w:sz="0" w:space="0" w:color="auto"/>
            <w:right w:val="none" w:sz="0" w:space="0" w:color="auto"/>
          </w:divBdr>
          <w:divsChild>
            <w:div w:id="176075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40958">
      <w:bodyDiv w:val="1"/>
      <w:marLeft w:val="0"/>
      <w:marRight w:val="0"/>
      <w:marTop w:val="0"/>
      <w:marBottom w:val="0"/>
      <w:divBdr>
        <w:top w:val="none" w:sz="0" w:space="0" w:color="auto"/>
        <w:left w:val="none" w:sz="0" w:space="0" w:color="auto"/>
        <w:bottom w:val="none" w:sz="0" w:space="0" w:color="auto"/>
        <w:right w:val="none" w:sz="0" w:space="0" w:color="auto"/>
      </w:divBdr>
    </w:div>
    <w:div w:id="2045127805">
      <w:bodyDiv w:val="1"/>
      <w:marLeft w:val="0"/>
      <w:marRight w:val="0"/>
      <w:marTop w:val="0"/>
      <w:marBottom w:val="0"/>
      <w:divBdr>
        <w:top w:val="none" w:sz="0" w:space="0" w:color="auto"/>
        <w:left w:val="none" w:sz="0" w:space="0" w:color="auto"/>
        <w:bottom w:val="none" w:sz="0" w:space="0" w:color="auto"/>
        <w:right w:val="none" w:sz="0" w:space="0" w:color="auto"/>
      </w:divBdr>
    </w:div>
    <w:div w:id="204520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5/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1983/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07/s11920-017-079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0/15/contents" TargetMode="External"/><Relationship Id="rId5" Type="http://schemas.openxmlformats.org/officeDocument/2006/relationships/styles" Target="styles.xml"/><Relationship Id="rId15" Type="http://schemas.openxmlformats.org/officeDocument/2006/relationships/hyperlink" Target="https://digital.nhs.uk" TargetMode="External"/><Relationship Id="rId10" Type="http://schemas.openxmlformats.org/officeDocument/2006/relationships/hyperlink" Target="https://psycnet.apa.org/doi/10.1176/appi.books.9780890425596"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ng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b94fb1ade9b44009229ab822b81b0648">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70a694ea570b4e2ef7c56211fb53cb7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20F1D9A-04DC-477F-BCA8-DC144EC64F47}">
  <ds:schemaRefs>
    <ds:schemaRef ds:uri="http://schemas.microsoft.com/sharepoint/v3/contenttype/forms"/>
  </ds:schemaRefs>
</ds:datastoreItem>
</file>

<file path=customXml/itemProps2.xml><?xml version="1.0" encoding="utf-8"?>
<ds:datastoreItem xmlns:ds="http://schemas.openxmlformats.org/officeDocument/2006/customXml" ds:itemID="{1ED44AB8-DA30-44A4-998F-1ECD3E502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195094-4B76-4104-8CDF-495B355ADD21}">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2934</Words>
  <Characters>16729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Akhtar (2233492)</dc:creator>
  <cp:keywords/>
  <dc:description/>
  <cp:lastModifiedBy>Nazia Sharif (1907313)</cp:lastModifiedBy>
  <cp:revision>163</cp:revision>
  <dcterms:created xsi:type="dcterms:W3CDTF">2025-11-15T23:10:00Z</dcterms:created>
  <dcterms:modified xsi:type="dcterms:W3CDTF">2025-11-16T21:12:00Z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