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A07EE6" w14:textId="36D831F9" w:rsidR="00386761" w:rsidRDefault="00E52EED" w:rsidP="00A3501D">
      <w:pPr>
        <w:widowControl w:val="0"/>
        <w:tabs>
          <w:tab w:val="left" w:pos="220"/>
          <w:tab w:val="left" w:pos="720"/>
        </w:tabs>
        <w:autoSpaceDE w:val="0"/>
        <w:autoSpaceDN w:val="0"/>
        <w:adjustRightInd w:val="0"/>
        <w:spacing w:after="240" w:line="480" w:lineRule="auto"/>
        <w:rPr>
          <w:rFonts w:eastAsia="MS Mincho"/>
          <w:color w:val="000000"/>
        </w:rPr>
      </w:pPr>
      <w:r>
        <w:rPr>
          <w:rFonts w:eastAsia="MS Mincho"/>
          <w:color w:val="000000"/>
        </w:rPr>
        <w:t xml:space="preserve">In this </w:t>
      </w:r>
      <w:r w:rsidR="008A089F">
        <w:rPr>
          <w:rFonts w:eastAsia="MS Mincho"/>
          <w:color w:val="000000"/>
        </w:rPr>
        <w:t>essay,</w:t>
      </w:r>
      <w:r>
        <w:rPr>
          <w:rFonts w:eastAsia="MS Mincho"/>
          <w:color w:val="000000"/>
        </w:rPr>
        <w:t xml:space="preserve"> I will be discussing the validity of Thucydides through </w:t>
      </w:r>
      <w:r w:rsidR="008A089F">
        <w:rPr>
          <w:rFonts w:eastAsia="MS Mincho"/>
          <w:color w:val="000000"/>
        </w:rPr>
        <w:t>the discussion of his a</w:t>
      </w:r>
      <w:r>
        <w:rPr>
          <w:rFonts w:eastAsia="MS Mincho"/>
          <w:color w:val="000000"/>
        </w:rPr>
        <w:t xml:space="preserve">ims, </w:t>
      </w:r>
      <w:r w:rsidR="008A089F">
        <w:rPr>
          <w:rFonts w:eastAsia="MS Mincho"/>
          <w:color w:val="000000"/>
        </w:rPr>
        <w:t xml:space="preserve">personal </w:t>
      </w:r>
      <w:r>
        <w:rPr>
          <w:rFonts w:eastAsia="MS Mincho"/>
          <w:color w:val="000000"/>
        </w:rPr>
        <w:t xml:space="preserve">views, </w:t>
      </w:r>
      <w:r w:rsidR="008A089F">
        <w:rPr>
          <w:rFonts w:eastAsia="MS Mincho"/>
          <w:color w:val="000000"/>
        </w:rPr>
        <w:t>source handling</w:t>
      </w:r>
      <w:r>
        <w:rPr>
          <w:rFonts w:eastAsia="MS Mincho"/>
          <w:color w:val="000000"/>
        </w:rPr>
        <w:t xml:space="preserve"> and the time and place in which </w:t>
      </w:r>
      <w:r w:rsidR="008A089F">
        <w:rPr>
          <w:rFonts w:eastAsia="MS Mincho"/>
          <w:color w:val="000000"/>
        </w:rPr>
        <w:t>his history</w:t>
      </w:r>
      <w:r>
        <w:rPr>
          <w:rFonts w:eastAsia="MS Mincho"/>
          <w:color w:val="000000"/>
        </w:rPr>
        <w:t xml:space="preserve"> was written. I will also be discussing the role of Thucydides as the ‘Father of History’ comparing him to other historians, such as Herodotus, and Xenophon.</w:t>
      </w:r>
    </w:p>
    <w:p w14:paraId="00310CC2" w14:textId="1F01E5EA" w:rsidR="00182F59" w:rsidRDefault="00386761" w:rsidP="00A3501D">
      <w:pPr>
        <w:widowControl w:val="0"/>
        <w:tabs>
          <w:tab w:val="left" w:pos="220"/>
          <w:tab w:val="left" w:pos="720"/>
        </w:tabs>
        <w:autoSpaceDE w:val="0"/>
        <w:autoSpaceDN w:val="0"/>
        <w:adjustRightInd w:val="0"/>
        <w:spacing w:after="240" w:line="480" w:lineRule="auto"/>
        <w:rPr>
          <w:rFonts w:eastAsia="MS Mincho"/>
          <w:color w:val="000000"/>
        </w:rPr>
      </w:pPr>
      <w:r>
        <w:rPr>
          <w:rFonts w:eastAsia="MS Mincho"/>
          <w:color w:val="000000"/>
        </w:rPr>
        <w:t xml:space="preserve">Although Thucydides has no </w:t>
      </w:r>
      <w:r w:rsidR="0032599C">
        <w:rPr>
          <w:rFonts w:eastAsia="MS Mincho"/>
          <w:color w:val="000000"/>
        </w:rPr>
        <w:t>outstated</w:t>
      </w:r>
      <w:r>
        <w:rPr>
          <w:rFonts w:eastAsia="MS Mincho"/>
          <w:color w:val="000000"/>
        </w:rPr>
        <w:t xml:space="preserve"> ethics or morals within his text, he does </w:t>
      </w:r>
      <w:r w:rsidR="0032599C">
        <w:rPr>
          <w:rFonts w:eastAsia="MS Mincho"/>
          <w:color w:val="000000"/>
        </w:rPr>
        <w:t xml:space="preserve">seem </w:t>
      </w:r>
      <w:r>
        <w:rPr>
          <w:rFonts w:eastAsia="MS Mincho"/>
          <w:color w:val="000000"/>
        </w:rPr>
        <w:t xml:space="preserve">make a conscious effort to dictate history in as fair and unbiased manner as </w:t>
      </w:r>
      <w:r w:rsidR="0032599C">
        <w:rPr>
          <w:rFonts w:eastAsia="MS Mincho"/>
          <w:color w:val="000000"/>
        </w:rPr>
        <w:t>possible.</w:t>
      </w:r>
      <w:r>
        <w:rPr>
          <w:rFonts w:eastAsia="MS Mincho"/>
          <w:color w:val="000000"/>
        </w:rPr>
        <w:t xml:space="preserve"> </w:t>
      </w:r>
      <w:r w:rsidR="0032599C">
        <w:rPr>
          <w:rFonts w:eastAsia="MS Mincho"/>
          <w:color w:val="000000"/>
        </w:rPr>
        <w:t>This can be seen in</w:t>
      </w:r>
      <w:r>
        <w:rPr>
          <w:rFonts w:eastAsia="MS Mincho"/>
          <w:color w:val="000000"/>
        </w:rPr>
        <w:t xml:space="preserve"> his belief that the</w:t>
      </w:r>
      <w:r w:rsidR="0032599C">
        <w:rPr>
          <w:rFonts w:eastAsia="MS Mincho"/>
          <w:color w:val="000000"/>
        </w:rPr>
        <w:t xml:space="preserve"> Peloponnesian</w:t>
      </w:r>
      <w:r>
        <w:rPr>
          <w:rFonts w:eastAsia="MS Mincho"/>
          <w:color w:val="000000"/>
        </w:rPr>
        <w:t xml:space="preserve"> war </w:t>
      </w:r>
      <w:r w:rsidR="0032599C">
        <w:rPr>
          <w:rFonts w:eastAsia="MS Mincho"/>
          <w:color w:val="000000"/>
        </w:rPr>
        <w:t>was</w:t>
      </w:r>
      <w:r>
        <w:rPr>
          <w:rFonts w:eastAsia="MS Mincho"/>
          <w:color w:val="000000"/>
        </w:rPr>
        <w:t xml:space="preserve"> </w:t>
      </w:r>
      <w:r w:rsidR="0032599C">
        <w:rPr>
          <w:rFonts w:eastAsia="MS Mincho"/>
          <w:color w:val="000000"/>
        </w:rPr>
        <w:t>“the greatest disturbance in the history of the Hellenes”</w:t>
      </w:r>
      <w:r w:rsidR="0032599C">
        <w:rPr>
          <w:rStyle w:val="FootnoteReference"/>
          <w:rFonts w:eastAsia="MS Mincho"/>
          <w:color w:val="000000"/>
        </w:rPr>
        <w:footnoteReference w:id="1"/>
      </w:r>
      <w:r w:rsidR="0032599C">
        <w:rPr>
          <w:rFonts w:eastAsia="MS Mincho"/>
          <w:color w:val="000000"/>
        </w:rPr>
        <w:t xml:space="preserve">. Although this isn’t an official statement of neutrality, this shows that Thucydides feel duty bound to record history in a factual manner, as the importance of the war shouldn’t be forgotten. </w:t>
      </w:r>
      <w:r w:rsidR="00002774">
        <w:rPr>
          <w:rFonts w:eastAsia="MS Mincho"/>
          <w:color w:val="000000"/>
        </w:rPr>
        <w:t>This significance that Thucydides has given these events results in a very “detailed narrative”</w:t>
      </w:r>
      <w:r w:rsidR="00002774">
        <w:rPr>
          <w:rStyle w:val="FootnoteReference"/>
          <w:rFonts w:eastAsia="MS Mincho"/>
          <w:color w:val="000000"/>
        </w:rPr>
        <w:footnoteReference w:id="2"/>
      </w:r>
      <w:r w:rsidR="00002774">
        <w:rPr>
          <w:rFonts w:eastAsia="MS Mincho"/>
          <w:color w:val="000000"/>
        </w:rPr>
        <w:t xml:space="preserve"> of the Peloponnesian wars, something that is uncommon to find amongst other authors</w:t>
      </w:r>
      <w:r w:rsidR="00A958F9">
        <w:rPr>
          <w:rFonts w:eastAsia="MS Mincho"/>
          <w:color w:val="000000"/>
        </w:rPr>
        <w:t xml:space="preserve"> of the time, granting</w:t>
      </w:r>
      <w:r w:rsidR="00002774">
        <w:rPr>
          <w:rFonts w:eastAsia="MS Mincho"/>
          <w:color w:val="000000"/>
        </w:rPr>
        <w:t xml:space="preserve"> more </w:t>
      </w:r>
      <w:r w:rsidR="00A958F9">
        <w:rPr>
          <w:rFonts w:eastAsia="MS Mincho"/>
          <w:color w:val="000000"/>
        </w:rPr>
        <w:t>legitimacy</w:t>
      </w:r>
      <w:r w:rsidR="00002774">
        <w:rPr>
          <w:rFonts w:eastAsia="MS Mincho"/>
          <w:color w:val="000000"/>
        </w:rPr>
        <w:t xml:space="preserve"> to the writing </w:t>
      </w:r>
      <w:r w:rsidR="00A958F9">
        <w:rPr>
          <w:rFonts w:eastAsia="MS Mincho"/>
          <w:color w:val="000000"/>
        </w:rPr>
        <w:t xml:space="preserve">due to evidence and insight given </w:t>
      </w:r>
      <w:r w:rsidR="00002774">
        <w:rPr>
          <w:rFonts w:eastAsia="MS Mincho"/>
          <w:color w:val="000000"/>
        </w:rPr>
        <w:t xml:space="preserve">to </w:t>
      </w:r>
      <w:r w:rsidR="00A958F9">
        <w:rPr>
          <w:rFonts w:eastAsia="MS Mincho"/>
          <w:color w:val="000000"/>
        </w:rPr>
        <w:t xml:space="preserve">the war, and the time surrounding it, due to the sources and personal accounts provided by Thucydides, creating a more scientific History. </w:t>
      </w:r>
    </w:p>
    <w:p w14:paraId="74C321BA" w14:textId="6922E3AD" w:rsidR="00A958F9" w:rsidRPr="005E0607" w:rsidRDefault="00C67F22" w:rsidP="00A3501D">
      <w:pPr>
        <w:widowControl w:val="0"/>
        <w:tabs>
          <w:tab w:val="left" w:pos="220"/>
          <w:tab w:val="left" w:pos="720"/>
        </w:tabs>
        <w:autoSpaceDE w:val="0"/>
        <w:autoSpaceDN w:val="0"/>
        <w:adjustRightInd w:val="0"/>
        <w:spacing w:after="240" w:line="480" w:lineRule="auto"/>
        <w:rPr>
          <w:rFonts w:eastAsia="MS Mincho"/>
          <w:color w:val="000000"/>
        </w:rPr>
      </w:pPr>
      <w:r>
        <w:rPr>
          <w:rFonts w:eastAsia="MS Mincho"/>
          <w:color w:val="000000"/>
        </w:rPr>
        <w:t>Hornblower and other historians</w:t>
      </w:r>
      <w:r w:rsidR="00A958F9">
        <w:rPr>
          <w:rFonts w:eastAsia="MS Mincho"/>
          <w:color w:val="000000"/>
        </w:rPr>
        <w:t xml:space="preserve"> </w:t>
      </w:r>
      <w:r w:rsidR="00791B07">
        <w:rPr>
          <w:rFonts w:eastAsia="MS Mincho"/>
          <w:color w:val="000000"/>
        </w:rPr>
        <w:t xml:space="preserve">have discussed that </w:t>
      </w:r>
      <w:r w:rsidR="00A958F9">
        <w:rPr>
          <w:rFonts w:eastAsia="MS Mincho"/>
          <w:color w:val="000000"/>
        </w:rPr>
        <w:t>Thucydides imposed imp</w:t>
      </w:r>
      <w:r>
        <w:rPr>
          <w:rFonts w:eastAsia="MS Mincho"/>
          <w:color w:val="000000"/>
        </w:rPr>
        <w:t xml:space="preserve">ortance of the </w:t>
      </w:r>
      <w:r w:rsidR="004E1A58">
        <w:rPr>
          <w:rFonts w:eastAsia="MS Mincho"/>
          <w:color w:val="000000"/>
        </w:rPr>
        <w:t>Peloponnesian</w:t>
      </w:r>
      <w:r>
        <w:rPr>
          <w:rFonts w:eastAsia="MS Mincho"/>
          <w:color w:val="000000"/>
        </w:rPr>
        <w:t xml:space="preserve"> wars </w:t>
      </w:r>
      <w:r w:rsidR="000A26A0">
        <w:rPr>
          <w:rFonts w:eastAsia="MS Mincho"/>
          <w:color w:val="000000"/>
        </w:rPr>
        <w:t xml:space="preserve">is linked to his personal position as commander for the </w:t>
      </w:r>
      <w:r w:rsidR="00AA300D">
        <w:rPr>
          <w:rFonts w:eastAsia="MS Mincho"/>
          <w:color w:val="000000"/>
        </w:rPr>
        <w:t>Athenian</w:t>
      </w:r>
      <w:r w:rsidR="000A26A0">
        <w:rPr>
          <w:rFonts w:eastAsia="MS Mincho"/>
          <w:color w:val="000000"/>
        </w:rPr>
        <w:t xml:space="preserve"> Fleet, and that this focus within itself </w:t>
      </w:r>
      <w:r w:rsidR="00BB00B1">
        <w:rPr>
          <w:rFonts w:eastAsia="MS Mincho"/>
          <w:color w:val="000000"/>
        </w:rPr>
        <w:t>creates</w:t>
      </w:r>
      <w:r w:rsidR="000A26A0">
        <w:rPr>
          <w:rFonts w:eastAsia="MS Mincho"/>
          <w:color w:val="000000"/>
        </w:rPr>
        <w:t xml:space="preserve"> a problem in writing </w:t>
      </w:r>
      <w:r w:rsidR="00BB6E06">
        <w:rPr>
          <w:rFonts w:eastAsia="MS Mincho"/>
          <w:color w:val="000000"/>
        </w:rPr>
        <w:t xml:space="preserve">a history, as any information </w:t>
      </w:r>
      <w:r w:rsidR="00934E6D">
        <w:rPr>
          <w:rFonts w:eastAsia="MS Mincho"/>
          <w:color w:val="000000"/>
        </w:rPr>
        <w:t>recorded</w:t>
      </w:r>
      <w:r w:rsidR="00BB6E06">
        <w:rPr>
          <w:rFonts w:eastAsia="MS Mincho"/>
          <w:color w:val="000000"/>
        </w:rPr>
        <w:t xml:space="preserve"> would </w:t>
      </w:r>
      <w:r w:rsidR="00934E6D">
        <w:rPr>
          <w:rFonts w:eastAsia="MS Mincho"/>
          <w:color w:val="000000"/>
        </w:rPr>
        <w:t>be</w:t>
      </w:r>
      <w:r w:rsidR="00BB6E06">
        <w:rPr>
          <w:rFonts w:eastAsia="MS Mincho"/>
          <w:color w:val="000000"/>
        </w:rPr>
        <w:t xml:space="preserve"> seen through the eyes of someone fighting on the side of the Athenians. </w:t>
      </w:r>
      <w:r w:rsidR="00934E6D">
        <w:rPr>
          <w:rFonts w:eastAsia="MS Mincho"/>
          <w:color w:val="000000"/>
        </w:rPr>
        <w:t>However,</w:t>
      </w:r>
      <w:r w:rsidR="00BB6E06">
        <w:rPr>
          <w:rFonts w:eastAsia="MS Mincho"/>
          <w:color w:val="000000"/>
        </w:rPr>
        <w:t xml:space="preserve"> Thucydides personal views can be extensively debated as he is known to have been banished from Athens for a period of 20 years following a defeat, and to have spent much of his life outside of Athens, mixing with all kinds of ethnicities and origins, including Spartans who would have also fought in the war. I then think </w:t>
      </w:r>
      <w:r w:rsidR="007800BD">
        <w:rPr>
          <w:rFonts w:eastAsia="MS Mincho"/>
          <w:color w:val="000000"/>
        </w:rPr>
        <w:t xml:space="preserve">Thucydides personal views on Sparta and </w:t>
      </w:r>
      <w:r w:rsidR="007800BD">
        <w:rPr>
          <w:rFonts w:eastAsia="MS Mincho"/>
          <w:color w:val="000000"/>
        </w:rPr>
        <w:lastRenderedPageBreak/>
        <w:t>Athens had little impact</w:t>
      </w:r>
      <w:r w:rsidR="00BB6E06">
        <w:rPr>
          <w:rFonts w:eastAsia="MS Mincho"/>
          <w:color w:val="000000"/>
        </w:rPr>
        <w:t xml:space="preserve"> </w:t>
      </w:r>
      <w:r w:rsidR="007800BD">
        <w:rPr>
          <w:rFonts w:eastAsia="MS Mincho"/>
          <w:color w:val="000000"/>
        </w:rPr>
        <w:t>on</w:t>
      </w:r>
      <w:r w:rsidR="00BB6E06">
        <w:rPr>
          <w:rFonts w:eastAsia="MS Mincho"/>
          <w:color w:val="000000"/>
        </w:rPr>
        <w:t xml:space="preserve"> his writing as any personal animosity</w:t>
      </w:r>
      <w:r w:rsidR="007800BD">
        <w:rPr>
          <w:rFonts w:eastAsia="MS Mincho"/>
          <w:color w:val="000000"/>
        </w:rPr>
        <w:t xml:space="preserve"> or bias</w:t>
      </w:r>
      <w:r w:rsidR="00BB6E06">
        <w:rPr>
          <w:rFonts w:eastAsia="MS Mincho"/>
          <w:color w:val="000000"/>
        </w:rPr>
        <w:t xml:space="preserve"> felt would have either faded or </w:t>
      </w:r>
      <w:r w:rsidR="007800BD">
        <w:rPr>
          <w:rFonts w:eastAsia="MS Mincho"/>
          <w:color w:val="000000"/>
        </w:rPr>
        <w:t>have been changed into mere disregard by the time Thucydides wrote ‘</w:t>
      </w:r>
      <w:r w:rsidR="007800BD">
        <w:rPr>
          <w:rFonts w:eastAsia="MS Mincho"/>
          <w:i/>
          <w:color w:val="000000"/>
        </w:rPr>
        <w:t>The Peloponnesian war</w:t>
      </w:r>
      <w:r w:rsidR="007800BD">
        <w:rPr>
          <w:rFonts w:eastAsia="MS Mincho"/>
          <w:color w:val="000000"/>
        </w:rPr>
        <w:t xml:space="preserve">’. This gives aid to the validity when Thucydides writes about battle </w:t>
      </w:r>
      <w:r w:rsidR="00934E6D">
        <w:rPr>
          <w:rFonts w:eastAsia="MS Mincho"/>
          <w:color w:val="000000"/>
        </w:rPr>
        <w:t>stratagems</w:t>
      </w:r>
      <w:r w:rsidR="007800BD">
        <w:rPr>
          <w:rFonts w:eastAsia="MS Mincho"/>
          <w:color w:val="000000"/>
        </w:rPr>
        <w:t xml:space="preserve"> or </w:t>
      </w:r>
      <w:r w:rsidR="00934E6D">
        <w:rPr>
          <w:rFonts w:eastAsia="MS Mincho"/>
          <w:color w:val="000000"/>
        </w:rPr>
        <w:t>motives</w:t>
      </w:r>
      <w:r w:rsidR="007800BD">
        <w:rPr>
          <w:rFonts w:eastAsia="MS Mincho"/>
          <w:color w:val="000000"/>
        </w:rPr>
        <w:t xml:space="preserve"> for the war, as his own view on the matter is unbiased, but rather the connection he has to both sides lends to a deeper understanding and greater insight into the plight and motives of both sides. </w:t>
      </w:r>
      <w:r w:rsidR="00BB00B1">
        <w:rPr>
          <w:rFonts w:eastAsia="MS Mincho"/>
          <w:color w:val="000000"/>
        </w:rPr>
        <w:t>Another way in which Thucydides connection to the war actually aids with valid</w:t>
      </w:r>
      <w:r w:rsidR="00AA300D">
        <w:rPr>
          <w:rFonts w:eastAsia="MS Mincho"/>
          <w:color w:val="000000"/>
        </w:rPr>
        <w:t>ity is that he would have actually</w:t>
      </w:r>
      <w:r w:rsidR="00BB00B1">
        <w:rPr>
          <w:rFonts w:eastAsia="MS Mincho"/>
          <w:color w:val="000000"/>
        </w:rPr>
        <w:t xml:space="preserve"> been there for many battles he describes, and would have had ac</w:t>
      </w:r>
      <w:r w:rsidR="00AA300D">
        <w:rPr>
          <w:rFonts w:eastAsia="MS Mincho"/>
          <w:color w:val="000000"/>
        </w:rPr>
        <w:t>c</w:t>
      </w:r>
      <w:r w:rsidR="00BB00B1">
        <w:rPr>
          <w:rFonts w:eastAsia="MS Mincho"/>
          <w:color w:val="000000"/>
        </w:rPr>
        <w:t>es</w:t>
      </w:r>
      <w:r w:rsidR="00AA300D">
        <w:rPr>
          <w:rFonts w:eastAsia="MS Mincho"/>
          <w:color w:val="000000"/>
        </w:rPr>
        <w:t>s</w:t>
      </w:r>
      <w:r w:rsidR="00BB00B1">
        <w:rPr>
          <w:rFonts w:eastAsia="MS Mincho"/>
          <w:color w:val="000000"/>
        </w:rPr>
        <w:t xml:space="preserve"> to many elite and literate individuals who could eas</w:t>
      </w:r>
      <w:r w:rsidR="00AA300D">
        <w:rPr>
          <w:rFonts w:eastAsia="MS Mincho"/>
          <w:color w:val="000000"/>
        </w:rPr>
        <w:t>i</w:t>
      </w:r>
      <w:r w:rsidR="00BB00B1">
        <w:rPr>
          <w:rFonts w:eastAsia="MS Mincho"/>
          <w:color w:val="000000"/>
        </w:rPr>
        <w:t>ly give details of battles he wasn’t there for. This gives aid to the events he records as many other historians would visit battlefields after conflicts had ended and there would be little for them to see</w:t>
      </w:r>
      <w:r w:rsidR="005E0607">
        <w:rPr>
          <w:rFonts w:eastAsia="MS Mincho"/>
          <w:color w:val="000000"/>
        </w:rPr>
        <w:t>, and any information gathered would be from people still in the area, if they still lived to remember the events (Hdt.7.129)</w:t>
      </w:r>
      <w:r w:rsidR="00BB00B1">
        <w:rPr>
          <w:rFonts w:eastAsia="MS Mincho"/>
          <w:color w:val="000000"/>
        </w:rPr>
        <w:t xml:space="preserve">. </w:t>
      </w:r>
      <w:r w:rsidR="0036125E">
        <w:rPr>
          <w:rFonts w:eastAsia="MS Mincho"/>
          <w:color w:val="000000"/>
        </w:rPr>
        <w:t xml:space="preserve">This </w:t>
      </w:r>
      <w:r w:rsidR="005E0607">
        <w:rPr>
          <w:rFonts w:eastAsia="MS Mincho"/>
          <w:color w:val="000000"/>
        </w:rPr>
        <w:t xml:space="preserve">direct view of Thucydides, therefore, </w:t>
      </w:r>
      <w:r w:rsidR="0036125E">
        <w:rPr>
          <w:rFonts w:eastAsia="MS Mincho"/>
          <w:color w:val="000000"/>
        </w:rPr>
        <w:t xml:space="preserve">gives </w:t>
      </w:r>
      <w:r w:rsidR="000B5C41">
        <w:rPr>
          <w:rFonts w:eastAsia="MS Mincho"/>
          <w:color w:val="000000"/>
        </w:rPr>
        <w:t xml:space="preserve">us more valid information concerning the idea of military tactics and the understanding and use if geography of the time. </w:t>
      </w:r>
      <w:r w:rsidR="00BB00B1">
        <w:rPr>
          <w:rFonts w:eastAsia="MS Mincho"/>
          <w:color w:val="000000"/>
        </w:rPr>
        <w:t>Thucydid</w:t>
      </w:r>
      <w:r w:rsidR="00AA75DF">
        <w:rPr>
          <w:rFonts w:eastAsia="MS Mincho"/>
          <w:color w:val="000000"/>
        </w:rPr>
        <w:t>es records are considered more</w:t>
      </w:r>
      <w:r w:rsidR="00BB00B1">
        <w:rPr>
          <w:rFonts w:eastAsia="MS Mincho"/>
          <w:color w:val="000000"/>
        </w:rPr>
        <w:t xml:space="preserve"> accurate</w:t>
      </w:r>
      <w:r w:rsidR="00AA75DF">
        <w:rPr>
          <w:rFonts w:eastAsia="MS Mincho"/>
          <w:color w:val="000000"/>
        </w:rPr>
        <w:t xml:space="preserve"> than later versions of events, especially when compared to Diodorus of Sicily, who Hornblower has described as</w:t>
      </w:r>
      <w:r w:rsidR="0036125E">
        <w:rPr>
          <w:rFonts w:eastAsia="MS Mincho"/>
          <w:color w:val="000000"/>
        </w:rPr>
        <w:t xml:space="preserve"> “less valuable</w:t>
      </w:r>
      <w:r w:rsidR="0036125E">
        <w:rPr>
          <w:rStyle w:val="FootnoteReference"/>
          <w:rFonts w:eastAsia="MS Mincho"/>
          <w:color w:val="000000"/>
        </w:rPr>
        <w:footnoteReference w:id="3"/>
      </w:r>
      <w:r w:rsidR="0036125E">
        <w:rPr>
          <w:rFonts w:eastAsia="MS Mincho"/>
          <w:color w:val="000000"/>
        </w:rPr>
        <w:t>” as “Diodorus liked to moralise</w:t>
      </w:r>
      <w:r w:rsidR="0036125E">
        <w:rPr>
          <w:rStyle w:val="FootnoteReference"/>
          <w:rFonts w:eastAsia="MS Mincho"/>
          <w:color w:val="000000"/>
        </w:rPr>
        <w:footnoteReference w:id="4"/>
      </w:r>
      <w:r w:rsidR="0036125E">
        <w:rPr>
          <w:rFonts w:eastAsia="MS Mincho"/>
          <w:color w:val="000000"/>
        </w:rPr>
        <w:t>”, meaning that many of the facts may have been shifted and tweaked to accompany a moral outlook on historical events</w:t>
      </w:r>
      <w:r w:rsidR="003163CB">
        <w:rPr>
          <w:rFonts w:eastAsia="MS Mincho"/>
          <w:color w:val="000000"/>
        </w:rPr>
        <w:t xml:space="preserve"> </w:t>
      </w:r>
      <w:r w:rsidR="007800BD">
        <w:rPr>
          <w:rFonts w:eastAsia="MS Mincho"/>
          <w:color w:val="000000"/>
        </w:rPr>
        <w:t xml:space="preserve">I do </w:t>
      </w:r>
      <w:r w:rsidR="00934E6D">
        <w:rPr>
          <w:rFonts w:eastAsia="MS Mincho"/>
          <w:color w:val="000000"/>
        </w:rPr>
        <w:t>believe</w:t>
      </w:r>
      <w:r w:rsidR="007800BD">
        <w:rPr>
          <w:rFonts w:eastAsia="MS Mincho"/>
          <w:color w:val="000000"/>
        </w:rPr>
        <w:t xml:space="preserve"> there are times in which </w:t>
      </w:r>
      <w:r w:rsidR="00934E6D">
        <w:rPr>
          <w:rFonts w:eastAsia="MS Mincho"/>
          <w:color w:val="000000"/>
        </w:rPr>
        <w:t>Thucydides</w:t>
      </w:r>
      <w:r w:rsidR="007800BD">
        <w:rPr>
          <w:rFonts w:eastAsia="MS Mincho"/>
          <w:color w:val="000000"/>
        </w:rPr>
        <w:t xml:space="preserve"> does allow his personal views to impact his writing, and the recording of important </w:t>
      </w:r>
      <w:r w:rsidR="00934E6D">
        <w:rPr>
          <w:rFonts w:eastAsia="MS Mincho"/>
          <w:color w:val="000000"/>
        </w:rPr>
        <w:t>influences</w:t>
      </w:r>
      <w:r w:rsidR="007800BD">
        <w:rPr>
          <w:rFonts w:eastAsia="MS Mincho"/>
          <w:color w:val="000000"/>
        </w:rPr>
        <w:t xml:space="preserve">, and that is his views on the supernatural. As discussed by Hornblower, </w:t>
      </w:r>
      <w:r w:rsidR="00934E6D">
        <w:rPr>
          <w:rFonts w:eastAsia="MS Mincho"/>
          <w:color w:val="000000"/>
        </w:rPr>
        <w:t>Thucydides</w:t>
      </w:r>
      <w:r w:rsidR="007800BD">
        <w:rPr>
          <w:rFonts w:eastAsia="MS Mincho"/>
          <w:color w:val="000000"/>
        </w:rPr>
        <w:t xml:space="preserve"> often rejects the inclusion of myth and supernatural as he “</w:t>
      </w:r>
      <w:r w:rsidR="007800BD" w:rsidRPr="007800BD">
        <w:rPr>
          <w:rFonts w:eastAsia="MS Mincho"/>
          <w:color w:val="000000"/>
        </w:rPr>
        <w:t>takes such religious aspects of Greek life for granted.</w:t>
      </w:r>
      <w:r w:rsidR="007800BD">
        <w:rPr>
          <w:rFonts w:eastAsia="MS Mincho"/>
          <w:color w:val="000000"/>
        </w:rPr>
        <w:t>”</w:t>
      </w:r>
      <w:r w:rsidR="007800BD">
        <w:rPr>
          <w:rStyle w:val="FootnoteReference"/>
          <w:rFonts w:eastAsia="MS Mincho"/>
          <w:color w:val="000000"/>
        </w:rPr>
        <w:footnoteReference w:id="5"/>
      </w:r>
      <w:r w:rsidR="007800BD">
        <w:rPr>
          <w:rFonts w:eastAsia="MS Mincho"/>
          <w:color w:val="000000"/>
        </w:rPr>
        <w:t xml:space="preserve">. This may not inherently affect the validity of what Thucydides says, but on the </w:t>
      </w:r>
      <w:r w:rsidR="00934E6D">
        <w:rPr>
          <w:rFonts w:eastAsia="MS Mincho"/>
          <w:color w:val="000000"/>
        </w:rPr>
        <w:t>whole,</w:t>
      </w:r>
      <w:r w:rsidR="007800BD">
        <w:rPr>
          <w:rFonts w:eastAsia="MS Mincho"/>
          <w:color w:val="000000"/>
        </w:rPr>
        <w:t xml:space="preserve"> it impacts the history in its entirety as it ignores aspects that would have been important </w:t>
      </w:r>
      <w:r w:rsidR="00934E6D">
        <w:rPr>
          <w:rFonts w:eastAsia="MS Mincho"/>
          <w:color w:val="000000"/>
        </w:rPr>
        <w:t xml:space="preserve">to the political matters Thucydides writes about, as shown earlier </w:t>
      </w:r>
      <w:r w:rsidR="00934E6D" w:rsidRPr="00934E6D">
        <w:rPr>
          <w:rFonts w:eastAsia="MS Mincho"/>
          <w:color w:val="000000"/>
        </w:rPr>
        <w:t xml:space="preserve">in </w:t>
      </w:r>
      <w:r w:rsidR="00934E6D" w:rsidRPr="00934E6D">
        <w:rPr>
          <w:color w:val="1F1E27"/>
        </w:rPr>
        <w:t>H</w:t>
      </w:r>
      <w:r w:rsidR="00934E6D">
        <w:rPr>
          <w:color w:val="1F1E27"/>
        </w:rPr>
        <w:t>ero</w:t>
      </w:r>
      <w:r w:rsidR="00934E6D" w:rsidRPr="00934E6D">
        <w:rPr>
          <w:color w:val="1F1E27"/>
        </w:rPr>
        <w:t>d</w:t>
      </w:r>
      <w:r w:rsidR="00934E6D">
        <w:rPr>
          <w:color w:val="1F1E27"/>
        </w:rPr>
        <w:t>o</w:t>
      </w:r>
      <w:r w:rsidR="00934E6D" w:rsidRPr="00934E6D">
        <w:rPr>
          <w:color w:val="1F1E27"/>
        </w:rPr>
        <w:t>t</w:t>
      </w:r>
      <w:r w:rsidR="00934E6D">
        <w:rPr>
          <w:color w:val="1F1E27"/>
        </w:rPr>
        <w:t>us</w:t>
      </w:r>
      <w:r w:rsidR="00934E6D" w:rsidRPr="00934E6D">
        <w:rPr>
          <w:color w:val="1F1E27"/>
        </w:rPr>
        <w:t xml:space="preserve"> </w:t>
      </w:r>
      <w:r w:rsidR="00934E6D">
        <w:rPr>
          <w:color w:val="1F1E27"/>
        </w:rPr>
        <w:t>(</w:t>
      </w:r>
      <w:r w:rsidR="00024AB8">
        <w:rPr>
          <w:color w:val="1F1E27"/>
        </w:rPr>
        <w:t>1,59.27</w:t>
      </w:r>
      <w:r w:rsidR="00934E6D">
        <w:rPr>
          <w:color w:val="1F1E27"/>
        </w:rPr>
        <w:t>) and later by Xenophon</w:t>
      </w:r>
      <w:r w:rsidR="00673221">
        <w:rPr>
          <w:color w:val="1F1E27"/>
        </w:rPr>
        <w:t>.</w:t>
      </w:r>
    </w:p>
    <w:p w14:paraId="3A407F49" w14:textId="441B8E7F" w:rsidR="00DF1358" w:rsidRPr="005B5D41" w:rsidRDefault="00934E6D" w:rsidP="005B5D41">
      <w:pPr>
        <w:widowControl w:val="0"/>
        <w:autoSpaceDE w:val="0"/>
        <w:autoSpaceDN w:val="0"/>
        <w:adjustRightInd w:val="0"/>
        <w:spacing w:after="240" w:line="480" w:lineRule="auto"/>
        <w:rPr>
          <w:color w:val="000000"/>
        </w:rPr>
      </w:pPr>
      <w:r>
        <w:rPr>
          <w:color w:val="1F1E27"/>
        </w:rPr>
        <w:t xml:space="preserve">Validity can also be discussed in the time and place in which a history is written. What makes Thucydides </w:t>
      </w:r>
      <w:r w:rsidR="00713B7B">
        <w:rPr>
          <w:color w:val="1F1E27"/>
        </w:rPr>
        <w:t xml:space="preserve">more valid than most Historians, </w:t>
      </w:r>
      <w:r>
        <w:rPr>
          <w:color w:val="1F1E27"/>
        </w:rPr>
        <w:t xml:space="preserve">writing about the </w:t>
      </w:r>
      <w:r w:rsidR="00960DCD">
        <w:rPr>
          <w:color w:val="1F1E27"/>
        </w:rPr>
        <w:t>Peloponnesian</w:t>
      </w:r>
      <w:r>
        <w:rPr>
          <w:color w:val="1F1E27"/>
        </w:rPr>
        <w:t xml:space="preserve"> wars, is that he was </w:t>
      </w:r>
      <w:r w:rsidR="00713B7B">
        <w:rPr>
          <w:color w:val="1F1E27"/>
        </w:rPr>
        <w:t xml:space="preserve">writing the history close to the </w:t>
      </w:r>
      <w:r w:rsidR="000B6CC2">
        <w:rPr>
          <w:color w:val="1F1E27"/>
        </w:rPr>
        <w:t>occurrence</w:t>
      </w:r>
      <w:r w:rsidR="00713B7B">
        <w:rPr>
          <w:color w:val="1F1E27"/>
        </w:rPr>
        <w:t xml:space="preserve"> of the wars. This negates many issues of later historians such as Plutarch who was writing centuries after </w:t>
      </w:r>
      <w:r w:rsidR="00DC06AC">
        <w:rPr>
          <w:color w:val="1F1E27"/>
        </w:rPr>
        <w:t xml:space="preserve">the event and </w:t>
      </w:r>
      <w:r w:rsidR="00713B7B">
        <w:rPr>
          <w:color w:val="1F1E27"/>
        </w:rPr>
        <w:t xml:space="preserve">had the </w:t>
      </w:r>
      <w:r>
        <w:rPr>
          <w:color w:val="1F1E27"/>
        </w:rPr>
        <w:t xml:space="preserve">external pressures of the roman empire to </w:t>
      </w:r>
      <w:r w:rsidR="00960DCD">
        <w:rPr>
          <w:color w:val="1F1E27"/>
        </w:rPr>
        <w:t>create</w:t>
      </w:r>
      <w:r>
        <w:rPr>
          <w:color w:val="1F1E27"/>
        </w:rPr>
        <w:t xml:space="preserve"> bias on his recordings. This proximity to the </w:t>
      </w:r>
      <w:r w:rsidR="00AA4579">
        <w:rPr>
          <w:color w:val="1F1E27"/>
        </w:rPr>
        <w:t>Peloponnesian</w:t>
      </w:r>
      <w:r>
        <w:rPr>
          <w:color w:val="1F1E27"/>
        </w:rPr>
        <w:t xml:space="preserve"> wars granted Thucydides </w:t>
      </w:r>
      <w:r w:rsidR="00960DCD">
        <w:rPr>
          <w:color w:val="1F1E27"/>
        </w:rPr>
        <w:t>access</w:t>
      </w:r>
      <w:r>
        <w:rPr>
          <w:color w:val="1F1E27"/>
        </w:rPr>
        <w:t xml:space="preserve"> to sources and individuals very close to the events, </w:t>
      </w:r>
      <w:r w:rsidR="006F001C">
        <w:rPr>
          <w:color w:val="1F1E27"/>
        </w:rPr>
        <w:t>that may have been lost, unavailable, or less authentic to later authors. This,</w:t>
      </w:r>
      <w:r w:rsidR="006D5583">
        <w:rPr>
          <w:color w:val="1F1E27"/>
        </w:rPr>
        <w:t xml:space="preserve"> </w:t>
      </w:r>
      <w:r w:rsidR="00AA4579">
        <w:rPr>
          <w:color w:val="1F1E27"/>
        </w:rPr>
        <w:t>alongside</w:t>
      </w:r>
      <w:r w:rsidR="006D5583">
        <w:rPr>
          <w:color w:val="1F1E27"/>
        </w:rPr>
        <w:t xml:space="preserve"> his personal eyewitness accounts of the wars</w:t>
      </w:r>
      <w:r w:rsidR="006F001C">
        <w:rPr>
          <w:color w:val="1F1E27"/>
        </w:rPr>
        <w:t>,</w:t>
      </w:r>
      <w:r w:rsidR="006D5583">
        <w:rPr>
          <w:color w:val="1F1E27"/>
        </w:rPr>
        <w:t xml:space="preserve"> </w:t>
      </w:r>
      <w:r w:rsidR="00AA4579">
        <w:rPr>
          <w:color w:val="1F1E27"/>
        </w:rPr>
        <w:t xml:space="preserve">elevates the validity of his work far beyond other </w:t>
      </w:r>
      <w:r w:rsidR="000B6CC2">
        <w:rPr>
          <w:color w:val="1F1E27"/>
        </w:rPr>
        <w:t>historian’s</w:t>
      </w:r>
      <w:r w:rsidR="00AA4579">
        <w:rPr>
          <w:color w:val="1F1E27"/>
        </w:rPr>
        <w:t xml:space="preserve"> writings on the same period</w:t>
      </w:r>
      <w:r w:rsidR="006F001C">
        <w:rPr>
          <w:color w:val="1F1E27"/>
        </w:rPr>
        <w:t>, and makes it some of the most accurate sources for thoughts and opinions of the time</w:t>
      </w:r>
      <w:r w:rsidR="00AA4579">
        <w:rPr>
          <w:color w:val="1F1E27"/>
        </w:rPr>
        <w:t xml:space="preserve">. This becomes especially apparent </w:t>
      </w:r>
      <w:r w:rsidR="00960DCD">
        <w:rPr>
          <w:color w:val="1F1E27"/>
        </w:rPr>
        <w:t>as</w:t>
      </w:r>
      <w:r w:rsidR="00AA4579">
        <w:rPr>
          <w:color w:val="1F1E27"/>
        </w:rPr>
        <w:t xml:space="preserve"> later authors such as </w:t>
      </w:r>
      <w:r w:rsidR="000B6CC2">
        <w:rPr>
          <w:color w:val="1F1E27"/>
        </w:rPr>
        <w:t>Diodorus</w:t>
      </w:r>
      <w:r w:rsidR="006F001C">
        <w:rPr>
          <w:color w:val="1F1E27"/>
        </w:rPr>
        <w:t>,</w:t>
      </w:r>
      <w:r w:rsidR="00AA4579">
        <w:rPr>
          <w:color w:val="1F1E27"/>
        </w:rPr>
        <w:t xml:space="preserve"> Xenophon and Plutarch </w:t>
      </w:r>
      <w:r w:rsidR="00960DCD">
        <w:rPr>
          <w:color w:val="1F1E27"/>
        </w:rPr>
        <w:t>use</w:t>
      </w:r>
      <w:r w:rsidR="00AA4579">
        <w:rPr>
          <w:color w:val="1F1E27"/>
        </w:rPr>
        <w:t xml:space="preserve"> Thucydides as a source.</w:t>
      </w:r>
      <w:r w:rsidR="005A65DB">
        <w:rPr>
          <w:color w:val="1F1E27"/>
        </w:rPr>
        <w:t xml:space="preserve"> It can be </w:t>
      </w:r>
      <w:r w:rsidR="006F001C">
        <w:rPr>
          <w:color w:val="1F1E27"/>
        </w:rPr>
        <w:t>argued</w:t>
      </w:r>
      <w:r w:rsidR="005A65DB">
        <w:rPr>
          <w:color w:val="1F1E27"/>
        </w:rPr>
        <w:t xml:space="preserve"> that facts may still be lost or twisted through Thucydides work, </w:t>
      </w:r>
      <w:r w:rsidR="005B5D41">
        <w:rPr>
          <w:color w:val="1F1E27"/>
        </w:rPr>
        <w:t>being described as “</w:t>
      </w:r>
      <w:r w:rsidR="005B5D41" w:rsidRPr="005B5D41">
        <w:rPr>
          <w:color w:val="000000"/>
        </w:rPr>
        <w:t>immensely detailed but at</w:t>
      </w:r>
      <w:r w:rsidR="005B5D41">
        <w:rPr>
          <w:color w:val="000000"/>
        </w:rPr>
        <w:t xml:space="preserve"> the same time highly selective"</w:t>
      </w:r>
      <w:r w:rsidR="005B5D41">
        <w:rPr>
          <w:rStyle w:val="FootnoteReference"/>
          <w:color w:val="000000"/>
        </w:rPr>
        <w:footnoteReference w:id="6"/>
      </w:r>
      <w:r w:rsidR="005B5D41">
        <w:rPr>
          <w:color w:val="000000"/>
        </w:rPr>
        <w:t xml:space="preserve"> </w:t>
      </w:r>
      <w:r w:rsidR="006F001C">
        <w:rPr>
          <w:color w:val="1F1E27"/>
        </w:rPr>
        <w:t>however the bias</w:t>
      </w:r>
      <w:r w:rsidR="005A65DB">
        <w:rPr>
          <w:color w:val="1F1E27"/>
        </w:rPr>
        <w:t xml:space="preserve"> presented </w:t>
      </w:r>
      <w:r w:rsidR="006F001C">
        <w:rPr>
          <w:color w:val="1F1E27"/>
        </w:rPr>
        <w:t>would be from individuals views of the time,</w:t>
      </w:r>
      <w:r w:rsidR="005A65DB">
        <w:rPr>
          <w:color w:val="1F1E27"/>
        </w:rPr>
        <w:t xml:space="preserve"> so </w:t>
      </w:r>
      <w:r w:rsidR="006F001C">
        <w:rPr>
          <w:color w:val="1F1E27"/>
        </w:rPr>
        <w:t xml:space="preserve">the question of validity wouldn’t be on the recordings of Thucydides, but rather </w:t>
      </w:r>
      <w:r w:rsidR="002C134D">
        <w:rPr>
          <w:color w:val="1F1E27"/>
        </w:rPr>
        <w:t>the</w:t>
      </w:r>
      <w:r w:rsidR="006F001C">
        <w:rPr>
          <w:color w:val="1F1E27"/>
        </w:rPr>
        <w:t xml:space="preserve"> </w:t>
      </w:r>
      <w:r w:rsidR="002C134D">
        <w:rPr>
          <w:color w:val="1F1E27"/>
        </w:rPr>
        <w:t>validity in using certain individuals as a source. I personally see that Thucydides has used a balance of views from either side and that</w:t>
      </w:r>
      <w:r w:rsidR="006F001C">
        <w:rPr>
          <w:color w:val="1F1E27"/>
        </w:rPr>
        <w:t xml:space="preserve"> </w:t>
      </w:r>
      <w:r w:rsidR="005A65DB">
        <w:rPr>
          <w:color w:val="1F1E27"/>
        </w:rPr>
        <w:t>overall ther</w:t>
      </w:r>
      <w:r w:rsidR="002C134D">
        <w:rPr>
          <w:color w:val="1F1E27"/>
        </w:rPr>
        <w:t>e</w:t>
      </w:r>
      <w:r w:rsidR="005A65DB">
        <w:rPr>
          <w:color w:val="1F1E27"/>
        </w:rPr>
        <w:t xml:space="preserve"> </w:t>
      </w:r>
      <w:r w:rsidR="002C134D">
        <w:rPr>
          <w:color w:val="1F1E27"/>
        </w:rPr>
        <w:t>is</w:t>
      </w:r>
      <w:r w:rsidR="005A65DB">
        <w:rPr>
          <w:color w:val="1F1E27"/>
        </w:rPr>
        <w:t xml:space="preserve"> be little </w:t>
      </w:r>
      <w:r w:rsidR="000B2F19">
        <w:rPr>
          <w:color w:val="1F1E27"/>
        </w:rPr>
        <w:t xml:space="preserve">impact on the </w:t>
      </w:r>
      <w:r w:rsidR="00CE654D">
        <w:rPr>
          <w:color w:val="1F1E27"/>
        </w:rPr>
        <w:t>validity</w:t>
      </w:r>
      <w:r w:rsidR="002C134D">
        <w:rPr>
          <w:color w:val="1F1E27"/>
        </w:rPr>
        <w:t xml:space="preserve"> of the history</w:t>
      </w:r>
      <w:r w:rsidR="000B2F19">
        <w:rPr>
          <w:color w:val="1F1E27"/>
        </w:rPr>
        <w:t>.</w:t>
      </w:r>
      <w:r w:rsidR="00CE654D">
        <w:rPr>
          <w:color w:val="1F1E27"/>
        </w:rPr>
        <w:t xml:space="preserve"> </w:t>
      </w:r>
    </w:p>
    <w:p w14:paraId="12F12142" w14:textId="2A717B18" w:rsidR="00F74AB3" w:rsidRDefault="00DF1358" w:rsidP="00A3501D">
      <w:pPr>
        <w:widowControl w:val="0"/>
        <w:autoSpaceDE w:val="0"/>
        <w:autoSpaceDN w:val="0"/>
        <w:adjustRightInd w:val="0"/>
        <w:spacing w:after="240" w:line="480" w:lineRule="auto"/>
      </w:pPr>
      <w:r>
        <w:rPr>
          <w:color w:val="1F1E27"/>
        </w:rPr>
        <w:t xml:space="preserve">The position of father of history is a difficult </w:t>
      </w:r>
      <w:r w:rsidR="009451F1">
        <w:rPr>
          <w:color w:val="1F1E27"/>
        </w:rPr>
        <w:t>achievement</w:t>
      </w:r>
      <w:r>
        <w:rPr>
          <w:color w:val="1F1E27"/>
        </w:rPr>
        <w:t xml:space="preserve"> to place on one single historian, </w:t>
      </w:r>
      <w:r w:rsidR="000B6CC2">
        <w:rPr>
          <w:color w:val="1F1E27"/>
        </w:rPr>
        <w:t>traditionally</w:t>
      </w:r>
      <w:r>
        <w:rPr>
          <w:color w:val="1F1E27"/>
        </w:rPr>
        <w:t xml:space="preserve"> the title is given to Herodotus over Thucydides, as he is not only the </w:t>
      </w:r>
      <w:r w:rsidR="00A3501D">
        <w:rPr>
          <w:color w:val="1F1E27"/>
        </w:rPr>
        <w:t>earliest</w:t>
      </w:r>
      <w:r>
        <w:rPr>
          <w:color w:val="1F1E27"/>
        </w:rPr>
        <w:t xml:space="preserve"> written account we have available, but also one of the first</w:t>
      </w:r>
      <w:r w:rsidR="00A875CA">
        <w:rPr>
          <w:color w:val="1F1E27"/>
        </w:rPr>
        <w:t xml:space="preserve"> to write in a historical style</w:t>
      </w:r>
      <w:r w:rsidR="00A3501D">
        <w:rPr>
          <w:color w:val="1F1E27"/>
        </w:rPr>
        <w:t>, and his accounts are considered so valuable that Hornblower describes him as “</w:t>
      </w:r>
      <w:r w:rsidR="00A3501D" w:rsidRPr="00A3501D">
        <w:rPr>
          <w:color w:val="000000"/>
        </w:rPr>
        <w:t>so rich a source that he often needs to be used even by the modern historian</w:t>
      </w:r>
      <w:r w:rsidR="00A3501D">
        <w:rPr>
          <w:color w:val="000000"/>
        </w:rPr>
        <w:t>”</w:t>
      </w:r>
      <w:r w:rsidR="00A3501D">
        <w:rPr>
          <w:rStyle w:val="FootnoteReference"/>
          <w:color w:val="000000"/>
        </w:rPr>
        <w:footnoteReference w:id="7"/>
      </w:r>
      <w:r w:rsidR="00A3501D">
        <w:rPr>
          <w:color w:val="000000"/>
        </w:rPr>
        <w:t xml:space="preserve"> </w:t>
      </w:r>
      <w:r w:rsidR="00A875CA" w:rsidRPr="00A3501D">
        <w:rPr>
          <w:color w:val="1F1E27"/>
        </w:rPr>
        <w:t>As shown by Introduction to the Histories in 1.1and by his personal declaration</w:t>
      </w:r>
      <w:r w:rsidR="00A875CA">
        <w:rPr>
          <w:color w:val="1F1E27"/>
        </w:rPr>
        <w:t xml:space="preserve"> that “</w:t>
      </w:r>
      <w:r w:rsidR="00A875CA" w:rsidRPr="00A875CA">
        <w:rPr>
          <w:bCs/>
          <w:color w:val="1F1E27"/>
        </w:rPr>
        <w:t>it is my business to set down that which is told me, to believe it is none at all of my business</w:t>
      </w:r>
      <w:r w:rsidR="00A875CA">
        <w:rPr>
          <w:rStyle w:val="FootnoteReference"/>
          <w:bCs/>
          <w:color w:val="1F1E27"/>
        </w:rPr>
        <w:footnoteReference w:id="8"/>
      </w:r>
      <w:r w:rsidR="00A875CA">
        <w:rPr>
          <w:bCs/>
          <w:color w:val="1F1E27"/>
        </w:rPr>
        <w:t xml:space="preserve">” when it came to recording events. This is the first record we have of someone trying to create an impartial review of history. Herodotus is also considered quite valid as, although he doesn’t always sight sources, he is shown to have had </w:t>
      </w:r>
      <w:r w:rsidR="00E65741">
        <w:rPr>
          <w:bCs/>
          <w:color w:val="1F1E27"/>
        </w:rPr>
        <w:t>interaction</w:t>
      </w:r>
      <w:r w:rsidR="00A875CA">
        <w:rPr>
          <w:bCs/>
          <w:color w:val="1F1E27"/>
        </w:rPr>
        <w:t xml:space="preserve"> with locals in areas he describes and to note ‘interview’ individuals who were there at the time of the Persian wars. </w:t>
      </w:r>
      <w:r w:rsidR="00A3501D">
        <w:rPr>
          <w:bCs/>
          <w:color w:val="1F1E27"/>
        </w:rPr>
        <w:t>However,</w:t>
      </w:r>
      <w:r w:rsidR="00A875CA">
        <w:rPr>
          <w:bCs/>
          <w:color w:val="1F1E27"/>
        </w:rPr>
        <w:t xml:space="preserve"> </w:t>
      </w:r>
      <w:r w:rsidR="00510606">
        <w:rPr>
          <w:bCs/>
          <w:color w:val="1F1E27"/>
        </w:rPr>
        <w:t xml:space="preserve">Fehling </w:t>
      </w:r>
      <w:r w:rsidR="00E65741">
        <w:rPr>
          <w:bCs/>
          <w:color w:val="1F1E27"/>
        </w:rPr>
        <w:t xml:space="preserve">debates the value of certain sources in The Histories, implying that </w:t>
      </w:r>
      <w:r w:rsidR="00E65741">
        <w:t>“Herodotus simply invented them to fit the contents"</w:t>
      </w:r>
      <w:r w:rsidR="00E65741">
        <w:rPr>
          <w:rStyle w:val="FootnoteReference"/>
        </w:rPr>
        <w:footnoteReference w:id="9"/>
      </w:r>
      <w:r w:rsidR="003E46A5">
        <w:rPr>
          <w:bCs/>
          <w:color w:val="1F1E27"/>
        </w:rPr>
        <w:t>, including a Persian source, who he regards as “pure fiction”</w:t>
      </w:r>
      <w:r w:rsidR="003E46A5">
        <w:rPr>
          <w:rStyle w:val="FootnoteReference"/>
          <w:bCs/>
          <w:color w:val="1F1E27"/>
        </w:rPr>
        <w:footnoteReference w:id="10"/>
      </w:r>
      <w:r w:rsidR="0092698C">
        <w:rPr>
          <w:bCs/>
          <w:color w:val="1F1E27"/>
        </w:rPr>
        <w:t xml:space="preserve"> </w:t>
      </w:r>
      <w:r w:rsidR="00E65741">
        <w:rPr>
          <w:bCs/>
          <w:color w:val="1F1E27"/>
        </w:rPr>
        <w:t>as</w:t>
      </w:r>
      <w:r w:rsidR="0092698C">
        <w:rPr>
          <w:bCs/>
          <w:color w:val="1F1E27"/>
        </w:rPr>
        <w:t xml:space="preserve"> the </w:t>
      </w:r>
      <w:r w:rsidR="00E65741">
        <w:rPr>
          <w:bCs/>
          <w:color w:val="1F1E27"/>
        </w:rPr>
        <w:t xml:space="preserve">inclusion of the </w:t>
      </w:r>
      <w:r w:rsidR="0092698C">
        <w:rPr>
          <w:bCs/>
          <w:color w:val="1F1E27"/>
        </w:rPr>
        <w:t>account</w:t>
      </w:r>
      <w:r w:rsidR="00E65741">
        <w:rPr>
          <w:bCs/>
          <w:color w:val="1F1E27"/>
        </w:rPr>
        <w:t xml:space="preserve"> can be easily questioned and appears only</w:t>
      </w:r>
      <w:r w:rsidR="0092698C">
        <w:rPr>
          <w:bCs/>
          <w:color w:val="1F1E27"/>
        </w:rPr>
        <w:t xml:space="preserve"> used to sensationalise Herodotus’ narrative.</w:t>
      </w:r>
      <w:r w:rsidR="00E52EED">
        <w:rPr>
          <w:bCs/>
          <w:color w:val="1F1E27"/>
        </w:rPr>
        <w:t xml:space="preserve"> This is backed up by later authours such as Plutarch referring to Herodotus as a liar and a storyteller.</w:t>
      </w:r>
      <w:r w:rsidR="0092698C">
        <w:rPr>
          <w:bCs/>
          <w:color w:val="1F1E27"/>
        </w:rPr>
        <w:t xml:space="preserve"> However, this loss of validity can be put more </w:t>
      </w:r>
      <w:r w:rsidR="00E65741">
        <w:rPr>
          <w:bCs/>
          <w:color w:val="1F1E27"/>
        </w:rPr>
        <w:t xml:space="preserve">down </w:t>
      </w:r>
      <w:r w:rsidR="0092698C">
        <w:rPr>
          <w:bCs/>
          <w:color w:val="1F1E27"/>
        </w:rPr>
        <w:t xml:space="preserve">to Herodotus’ inherent writing </w:t>
      </w:r>
      <w:r w:rsidR="00E65741">
        <w:rPr>
          <w:bCs/>
          <w:color w:val="1F1E27"/>
        </w:rPr>
        <w:t>style</w:t>
      </w:r>
      <w:r w:rsidR="00424D32">
        <w:rPr>
          <w:bCs/>
          <w:color w:val="1F1E27"/>
        </w:rPr>
        <w:t>, than any specific moral view.</w:t>
      </w:r>
      <w:r w:rsidR="00E65741">
        <w:rPr>
          <w:bCs/>
          <w:color w:val="1F1E27"/>
        </w:rPr>
        <w:t xml:space="preserve"> Fehling later discusses that </w:t>
      </w:r>
      <w:r w:rsidR="00424D32">
        <w:t xml:space="preserve">the histories is more like a </w:t>
      </w:r>
      <w:r w:rsidR="00E52EED">
        <w:t>combination</w:t>
      </w:r>
      <w:r w:rsidR="00424D32">
        <w:t xml:space="preserve"> between earlier </w:t>
      </w:r>
      <w:r w:rsidR="00E52EED">
        <w:t xml:space="preserve">styles of </w:t>
      </w:r>
      <w:r w:rsidR="00424D32">
        <w:t>epic poetry and a new</w:t>
      </w:r>
      <w:r w:rsidR="00E52EED">
        <w:t xml:space="preserve"> emerging</w:t>
      </w:r>
      <w:r w:rsidR="00424D32">
        <w:t xml:space="preserve"> scientific style of </w:t>
      </w:r>
      <w:r w:rsidR="00A3501D">
        <w:t>history</w:t>
      </w:r>
      <w:r w:rsidR="00E52EED">
        <w:t xml:space="preserve">. Fehling deducts that </w:t>
      </w:r>
      <w:r w:rsidR="00CA5EE7">
        <w:t xml:space="preserve">through this melding of concepts </w:t>
      </w:r>
      <w:r w:rsidR="00E65741">
        <w:t>“Herodotus did nothing less than found a new literary genre and had to hammer the rules out for himself”</w:t>
      </w:r>
      <w:r w:rsidR="00E65741">
        <w:rPr>
          <w:rStyle w:val="FootnoteReference"/>
        </w:rPr>
        <w:footnoteReference w:id="11"/>
      </w:r>
      <w:r w:rsidR="00CA5EE7">
        <w:t xml:space="preserve"> and therefore his lack of contemporary validity is expected because combining poetry and history was a </w:t>
      </w:r>
      <w:r w:rsidR="00F74AB3">
        <w:t>stylistic</w:t>
      </w:r>
      <w:r w:rsidR="00CA5EE7">
        <w:t xml:space="preserve"> choice that was necessary for the time period</w:t>
      </w:r>
      <w:r w:rsidR="00424D32">
        <w:t xml:space="preserve">. </w:t>
      </w:r>
    </w:p>
    <w:p w14:paraId="0EA5046E" w14:textId="5C2E6823" w:rsidR="00E52EED" w:rsidRDefault="00424D32" w:rsidP="00A3501D">
      <w:pPr>
        <w:widowControl w:val="0"/>
        <w:autoSpaceDE w:val="0"/>
        <w:autoSpaceDN w:val="0"/>
        <w:adjustRightInd w:val="0"/>
        <w:spacing w:after="240" w:line="480" w:lineRule="auto"/>
      </w:pPr>
      <w:r>
        <w:t xml:space="preserve">This can be compared to Thucydides, who is generally regarded as </w:t>
      </w:r>
      <w:r w:rsidR="005F2023">
        <w:t xml:space="preserve">the </w:t>
      </w:r>
      <w:r>
        <w:t>father of scientific history</w:t>
      </w:r>
      <w:r w:rsidR="005F2023">
        <w:t>,</w:t>
      </w:r>
      <w:r w:rsidR="00A3501D">
        <w:t xml:space="preserve"> as he continues to develop the ideas of recording history, but removes sensational ideas of story driven prose </w:t>
      </w:r>
      <w:r w:rsidR="00F74AB3">
        <w:t xml:space="preserve">and myth </w:t>
      </w:r>
      <w:r w:rsidR="00A3501D">
        <w:t>in place of a chronological narrative based of factual information.</w:t>
      </w:r>
      <w:r w:rsidR="00CC37E6">
        <w:t xml:space="preserve"> Thucydides has a more valid approach to history than Herodotus, as he</w:t>
      </w:r>
      <w:r w:rsidR="00F74AB3">
        <w:t xml:space="preserve"> cites many different types of sources and</w:t>
      </w:r>
      <w:r w:rsidR="00CC37E6">
        <w:t xml:space="preserve"> doesn’t create </w:t>
      </w:r>
      <w:r w:rsidR="00F74AB3">
        <w:t xml:space="preserve">them </w:t>
      </w:r>
      <w:r w:rsidR="00CC37E6">
        <w:t>t</w:t>
      </w:r>
      <w:r w:rsidR="00F74AB3">
        <w:t>o fit an idea. This shows a more critical view of events and also makes him a template for later historians</w:t>
      </w:r>
      <w:r w:rsidR="00CC37E6">
        <w:t>,</w:t>
      </w:r>
      <w:r w:rsidR="00F74AB3">
        <w:t xml:space="preserve"> as a way to show and compare evidence.</w:t>
      </w:r>
      <w:r w:rsidR="00CC37E6">
        <w:t xml:space="preserve"> </w:t>
      </w:r>
      <w:r w:rsidR="00F74AB3">
        <w:t>H</w:t>
      </w:r>
      <w:r w:rsidR="00CC37E6">
        <w:t xml:space="preserve">e has the added advantage of being alive not only to see the </w:t>
      </w:r>
      <w:r w:rsidR="00E52EED">
        <w:t>impact</w:t>
      </w:r>
      <w:r w:rsidR="00CC37E6">
        <w:t xml:space="preserve"> of the events, but to actually be an adult to witness many of the detailed battles and incidents he </w:t>
      </w:r>
      <w:r w:rsidR="00B03AF3">
        <w:t>discusses</w:t>
      </w:r>
      <w:r w:rsidR="00F74AB3">
        <w:t xml:space="preserve">, something </w:t>
      </w:r>
      <w:r w:rsidR="00C025AD">
        <w:t xml:space="preserve">that aids his narrow focus </w:t>
      </w:r>
      <w:r w:rsidR="00F74AB3">
        <w:t>as he actually lived through thes</w:t>
      </w:r>
      <w:r w:rsidR="00C025AD">
        <w:t>e events in his own living memory</w:t>
      </w:r>
      <w:r w:rsidR="00B03AF3">
        <w:t xml:space="preserve">. </w:t>
      </w:r>
      <w:r w:rsidR="00C025AD">
        <w:t xml:space="preserve">This can be linked, however, with </w:t>
      </w:r>
      <w:r w:rsidR="00B03AF3">
        <w:t>Xenophon, who wrote directly after Thucydides, is not considered by many to come near this title</w:t>
      </w:r>
      <w:r w:rsidR="00C025AD">
        <w:t>, n</w:t>
      </w:r>
      <w:r w:rsidR="00B03AF3">
        <w:t xml:space="preserve">or do I </w:t>
      </w:r>
      <w:r w:rsidR="00E52EED">
        <w:t>believe</w:t>
      </w:r>
      <w:r w:rsidR="00B03AF3">
        <w:t xml:space="preserve"> that Thucydides gains this title through his </w:t>
      </w:r>
      <w:r w:rsidR="00E52EED">
        <w:t>journalistic</w:t>
      </w:r>
      <w:r w:rsidR="00B03AF3">
        <w:t xml:space="preserve"> </w:t>
      </w:r>
      <w:r w:rsidR="00E52EED">
        <w:t>style</w:t>
      </w:r>
      <w:r w:rsidR="00B03AF3">
        <w:t xml:space="preserve">, as although he did develop it, the foundations can clearly be seen in Herodotus’ </w:t>
      </w:r>
      <w:r w:rsidR="00E52EED">
        <w:t>work.</w:t>
      </w:r>
      <w:r w:rsidR="00B03AF3">
        <w:t xml:space="preserve"> </w:t>
      </w:r>
    </w:p>
    <w:p w14:paraId="6F36F593" w14:textId="302187CE" w:rsidR="007771E0" w:rsidRDefault="009451F1" w:rsidP="00A3501D">
      <w:pPr>
        <w:widowControl w:val="0"/>
        <w:autoSpaceDE w:val="0"/>
        <w:autoSpaceDN w:val="0"/>
        <w:adjustRightInd w:val="0"/>
        <w:spacing w:after="240" w:line="480" w:lineRule="auto"/>
      </w:pPr>
      <w:r>
        <w:t>Overall,</w:t>
      </w:r>
      <w:r w:rsidR="00825C46">
        <w:t xml:space="preserve"> </w:t>
      </w:r>
      <w:r w:rsidR="00B03AF3">
        <w:t xml:space="preserve">I </w:t>
      </w:r>
      <w:r w:rsidR="00E52EED">
        <w:t>believe</w:t>
      </w:r>
      <w:r w:rsidR="00B03AF3">
        <w:t xml:space="preserve"> that </w:t>
      </w:r>
      <w:r w:rsidR="00825C46">
        <w:t xml:space="preserve">Thucydides validity as a source is fairly solid due to his ability to question his own sources and use a journalistic mind-set when writing his history, however </w:t>
      </w:r>
      <w:r w:rsidR="00B03AF3">
        <w:t xml:space="preserve">the </w:t>
      </w:r>
      <w:r w:rsidR="00825C46">
        <w:t>position as</w:t>
      </w:r>
      <w:r w:rsidR="00B03AF3">
        <w:t xml:space="preserve"> ‘father of history’ </w:t>
      </w:r>
      <w:r w:rsidR="00825C46">
        <w:t>still lies with</w:t>
      </w:r>
      <w:r w:rsidR="00B03AF3">
        <w:t xml:space="preserve"> Herodotus, </w:t>
      </w:r>
      <w:r w:rsidR="00825C46">
        <w:t xml:space="preserve">as he’s the first author known to write in historical prose, nevertheless I believe </w:t>
      </w:r>
      <w:r w:rsidR="00B03AF3">
        <w:t xml:space="preserve">the title of the’ father of scientific history’ </w:t>
      </w:r>
      <w:r w:rsidR="00825C46">
        <w:t xml:space="preserve">must be given </w:t>
      </w:r>
      <w:r w:rsidR="00B03AF3">
        <w:t>to Thucydides, as</w:t>
      </w:r>
      <w:r w:rsidR="00825C46">
        <w:t xml:space="preserve"> he lay down the style for </w:t>
      </w:r>
      <w:r w:rsidR="00200DFF">
        <w:t>recording hist</w:t>
      </w:r>
      <w:r w:rsidR="006E6F9D">
        <w:t>ory.</w:t>
      </w:r>
    </w:p>
    <w:p w14:paraId="557CA744" w14:textId="77777777" w:rsidR="007771E0" w:rsidRDefault="007771E0">
      <w:r>
        <w:br w:type="page"/>
      </w:r>
    </w:p>
    <w:p w14:paraId="31188642" w14:textId="77777777" w:rsidR="008C7730" w:rsidRPr="00D96B02" w:rsidRDefault="007771E0" w:rsidP="00D96B02">
      <w:pPr>
        <w:widowControl w:val="0"/>
        <w:autoSpaceDE w:val="0"/>
        <w:autoSpaceDN w:val="0"/>
        <w:adjustRightInd w:val="0"/>
        <w:spacing w:after="240" w:line="480" w:lineRule="auto"/>
        <w:ind w:left="360"/>
        <w:rPr>
          <w:b/>
          <w:color w:val="000000" w:themeColor="text1"/>
          <w:sz w:val="28"/>
          <w:u w:val="single"/>
        </w:rPr>
      </w:pPr>
      <w:r w:rsidRPr="00D96B02">
        <w:rPr>
          <w:b/>
          <w:color w:val="000000" w:themeColor="text1"/>
          <w:sz w:val="28"/>
          <w:u w:val="single"/>
        </w:rPr>
        <w:t>Bibliography.</w:t>
      </w:r>
    </w:p>
    <w:p w14:paraId="71A88890" w14:textId="14E36334" w:rsidR="00384A6F" w:rsidRPr="00D96B02" w:rsidRDefault="007771E0" w:rsidP="00D96B02">
      <w:pPr>
        <w:widowControl w:val="0"/>
        <w:autoSpaceDE w:val="0"/>
        <w:autoSpaceDN w:val="0"/>
        <w:adjustRightInd w:val="0"/>
        <w:spacing w:after="240" w:line="480" w:lineRule="auto"/>
        <w:ind w:left="360"/>
        <w:rPr>
          <w:b/>
          <w:color w:val="000000" w:themeColor="text1"/>
          <w:sz w:val="28"/>
          <w:u w:val="single"/>
        </w:rPr>
      </w:pPr>
      <w:r w:rsidRPr="00D96B02">
        <w:rPr>
          <w:b/>
          <w:color w:val="000000" w:themeColor="text1"/>
          <w:sz w:val="28"/>
          <w:u w:val="single"/>
        </w:rPr>
        <w:t xml:space="preserve">Ancient </w:t>
      </w:r>
      <w:r w:rsidR="001251BE" w:rsidRPr="00D96B02">
        <w:rPr>
          <w:b/>
          <w:color w:val="000000" w:themeColor="text1"/>
          <w:sz w:val="28"/>
          <w:u w:val="single"/>
        </w:rPr>
        <w:t>sources</w:t>
      </w:r>
      <w:r w:rsidRPr="00D96B02">
        <w:rPr>
          <w:b/>
          <w:color w:val="000000" w:themeColor="text1"/>
          <w:sz w:val="28"/>
          <w:u w:val="single"/>
        </w:rPr>
        <w:t>:</w:t>
      </w:r>
    </w:p>
    <w:p w14:paraId="01FE0B99" w14:textId="4A826AD9" w:rsidR="00384A6F" w:rsidRPr="00D96B02" w:rsidRDefault="00B20CA5" w:rsidP="00D96B02">
      <w:pPr>
        <w:spacing w:line="480" w:lineRule="auto"/>
        <w:ind w:left="360"/>
        <w:rPr>
          <w:rFonts w:eastAsia="Times New Roman"/>
          <w:color w:val="000000" w:themeColor="text1"/>
          <w:shd w:val="clear" w:color="auto" w:fill="FFFFFF"/>
        </w:rPr>
      </w:pPr>
      <w:r>
        <w:rPr>
          <w:rFonts w:eastAsia="Times New Roman"/>
          <w:color w:val="000000" w:themeColor="text1"/>
          <w:shd w:val="clear" w:color="auto" w:fill="FFFFFF"/>
        </w:rPr>
        <w:t>Perseus.tufts.edu. 2017</w:t>
      </w:r>
      <w:r w:rsidR="00384A6F" w:rsidRPr="00D96B02">
        <w:rPr>
          <w:rFonts w:eastAsia="Times New Roman"/>
          <w:color w:val="000000" w:themeColor="text1"/>
          <w:shd w:val="clear" w:color="auto" w:fill="FFFFFF"/>
        </w:rPr>
        <w:t>. </w:t>
      </w:r>
      <w:r w:rsidR="00384A6F" w:rsidRPr="00D96B02">
        <w:rPr>
          <w:rFonts w:eastAsia="Times New Roman"/>
          <w:i/>
          <w:iCs/>
          <w:color w:val="000000" w:themeColor="text1"/>
          <w:shd w:val="clear" w:color="auto" w:fill="FFFFFF"/>
        </w:rPr>
        <w:t>Thucydides, The Peloponnesian War,</w:t>
      </w:r>
      <w:r w:rsidR="008C7730" w:rsidRPr="00D96B02">
        <w:rPr>
          <w:rFonts w:eastAsia="Times New Roman"/>
          <w:i/>
          <w:iCs/>
          <w:color w:val="000000" w:themeColor="text1"/>
          <w:shd w:val="clear" w:color="auto" w:fill="FFFFFF"/>
        </w:rPr>
        <w:t xml:space="preserve"> </w:t>
      </w:r>
      <w:r w:rsidR="008C7730" w:rsidRPr="00D96B02">
        <w:rPr>
          <w:rFonts w:eastAsia="Times New Roman"/>
          <w:color w:val="000000" w:themeColor="text1"/>
          <w:shd w:val="clear" w:color="auto" w:fill="FFFFFF"/>
        </w:rPr>
        <w:t xml:space="preserve">[online] </w:t>
      </w:r>
      <w:r w:rsidR="00384A6F" w:rsidRPr="00D96B02">
        <w:rPr>
          <w:rFonts w:eastAsia="Times New Roman"/>
          <w:color w:val="000000" w:themeColor="text1"/>
          <w:shd w:val="clear" w:color="auto" w:fill="FFFFFF"/>
        </w:rPr>
        <w:t xml:space="preserve">Available at: </w:t>
      </w:r>
      <w:r w:rsidR="00E61B0C" w:rsidRPr="00D96B02">
        <w:rPr>
          <w:rFonts w:eastAsia="Times New Roman"/>
          <w:color w:val="000000" w:themeColor="text1"/>
          <w:shd w:val="clear" w:color="auto" w:fill="FFFFFF"/>
        </w:rPr>
        <w:t>http://www.perseus.tufts.edu/hopper/</w:t>
      </w:r>
      <w:r w:rsidR="00384A6F" w:rsidRPr="00D96B02">
        <w:rPr>
          <w:rFonts w:eastAsia="Times New Roman"/>
          <w:color w:val="000000" w:themeColor="text1"/>
          <w:shd w:val="clear" w:color="auto" w:fill="FFFFFF"/>
        </w:rPr>
        <w:t xml:space="preserve"> [Accessed 10 Nov. 2017].</w:t>
      </w:r>
    </w:p>
    <w:p w14:paraId="64D95665" w14:textId="77777777" w:rsidR="00D96B02" w:rsidRDefault="00D96B02" w:rsidP="00D96B02">
      <w:pPr>
        <w:spacing w:line="480" w:lineRule="auto"/>
        <w:ind w:left="360"/>
        <w:rPr>
          <w:rFonts w:eastAsia="Times New Roman"/>
          <w:color w:val="000000" w:themeColor="text1"/>
          <w:shd w:val="clear" w:color="auto" w:fill="FFFFFF"/>
        </w:rPr>
      </w:pPr>
    </w:p>
    <w:p w14:paraId="698BF98E" w14:textId="5CBF4B6A" w:rsidR="00384A6F" w:rsidRPr="00D96B02" w:rsidRDefault="00B20CA5" w:rsidP="00D96B02">
      <w:pPr>
        <w:spacing w:line="480" w:lineRule="auto"/>
        <w:ind w:left="360"/>
        <w:rPr>
          <w:rFonts w:eastAsia="Times New Roman"/>
          <w:color w:val="000000" w:themeColor="text1"/>
        </w:rPr>
      </w:pPr>
      <w:r>
        <w:rPr>
          <w:rFonts w:eastAsia="Times New Roman"/>
          <w:color w:val="000000" w:themeColor="text1"/>
          <w:shd w:val="clear" w:color="auto" w:fill="FFFFFF"/>
        </w:rPr>
        <w:t>Herodotus</w:t>
      </w:r>
      <w:r w:rsidR="007F17EE" w:rsidRPr="00D96B02">
        <w:rPr>
          <w:rFonts w:eastAsia="Times New Roman"/>
          <w:color w:val="000000" w:themeColor="text1"/>
          <w:shd w:val="clear" w:color="auto" w:fill="FFFFFF"/>
        </w:rPr>
        <w:t>. </w:t>
      </w:r>
      <w:r w:rsidR="007F17EE" w:rsidRPr="00D96B02">
        <w:rPr>
          <w:rFonts w:eastAsia="Times New Roman"/>
          <w:i/>
          <w:iCs/>
          <w:color w:val="000000" w:themeColor="text1"/>
          <w:shd w:val="clear" w:color="auto" w:fill="FFFFFF"/>
        </w:rPr>
        <w:t>The histories</w:t>
      </w:r>
      <w:r w:rsidR="00806C43" w:rsidRPr="00D96B02">
        <w:rPr>
          <w:rFonts w:eastAsia="Times New Roman"/>
          <w:color w:val="000000" w:themeColor="text1"/>
          <w:shd w:val="clear" w:color="auto" w:fill="FFFFFF"/>
        </w:rPr>
        <w:t xml:space="preserve"> Holland, T. (trans)</w:t>
      </w:r>
      <w:r w:rsidR="007F17EE" w:rsidRPr="00D96B02">
        <w:rPr>
          <w:rFonts w:eastAsia="Times New Roman"/>
          <w:color w:val="000000" w:themeColor="text1"/>
          <w:shd w:val="clear" w:color="auto" w:fill="FFFFFF"/>
        </w:rPr>
        <w:t xml:space="preserve">. </w:t>
      </w:r>
      <w:r>
        <w:rPr>
          <w:rFonts w:eastAsia="Times New Roman"/>
          <w:color w:val="000000" w:themeColor="text1"/>
          <w:shd w:val="clear" w:color="auto" w:fill="FFFFFF"/>
        </w:rPr>
        <w:t>2013</w:t>
      </w:r>
      <w:r>
        <w:rPr>
          <w:rFonts w:eastAsia="Times New Roman"/>
          <w:color w:val="000000" w:themeColor="text1"/>
          <w:shd w:val="clear" w:color="auto" w:fill="FFFFFF"/>
        </w:rPr>
        <w:t xml:space="preserve">. </w:t>
      </w:r>
      <w:bookmarkStart w:id="0" w:name="_GoBack"/>
      <w:bookmarkEnd w:id="0"/>
      <w:r w:rsidR="007F17EE" w:rsidRPr="00D96B02">
        <w:rPr>
          <w:rFonts w:eastAsia="Times New Roman"/>
          <w:color w:val="000000" w:themeColor="text1"/>
          <w:shd w:val="clear" w:color="auto" w:fill="FFFFFF"/>
        </w:rPr>
        <w:t xml:space="preserve">London: Penguin Books </w:t>
      </w:r>
      <w:r w:rsidR="00806C43" w:rsidRPr="00D96B02">
        <w:rPr>
          <w:rFonts w:eastAsia="Times New Roman"/>
          <w:color w:val="000000" w:themeColor="text1"/>
          <w:shd w:val="clear" w:color="auto" w:fill="FFFFFF"/>
        </w:rPr>
        <w:t>Ltd.</w:t>
      </w:r>
      <w:r w:rsidR="00A37D2B" w:rsidRPr="00D96B02">
        <w:rPr>
          <w:rFonts w:eastAsia="Times New Roman"/>
          <w:color w:val="000000" w:themeColor="text1"/>
          <w:shd w:val="clear" w:color="auto" w:fill="FFFFFF"/>
        </w:rPr>
        <w:t xml:space="preserve"> </w:t>
      </w:r>
    </w:p>
    <w:p w14:paraId="00D448C5" w14:textId="77777777" w:rsidR="00D96B02" w:rsidRDefault="00D96B02" w:rsidP="00D96B02">
      <w:pPr>
        <w:spacing w:line="480" w:lineRule="auto"/>
        <w:ind w:left="360"/>
        <w:rPr>
          <w:rFonts w:eastAsia="Times New Roman"/>
          <w:color w:val="000000" w:themeColor="text1"/>
          <w:shd w:val="clear" w:color="auto" w:fill="FFFFFF"/>
        </w:rPr>
      </w:pPr>
    </w:p>
    <w:p w14:paraId="19464B77" w14:textId="71CD8F71" w:rsidR="008C7730" w:rsidRPr="00D96B02" w:rsidRDefault="00B20CA5" w:rsidP="00D96B02">
      <w:pPr>
        <w:spacing w:line="480" w:lineRule="auto"/>
        <w:ind w:left="360"/>
        <w:rPr>
          <w:rFonts w:eastAsia="Times New Roman"/>
          <w:color w:val="000000" w:themeColor="text1"/>
          <w:shd w:val="clear" w:color="auto" w:fill="FFFFFF"/>
        </w:rPr>
      </w:pPr>
      <w:r>
        <w:rPr>
          <w:rFonts w:eastAsia="Times New Roman"/>
          <w:color w:val="000000" w:themeColor="text1"/>
          <w:shd w:val="clear" w:color="auto" w:fill="FFFFFF"/>
        </w:rPr>
        <w:t>Perseus.tufts.edu. 2017</w:t>
      </w:r>
      <w:r w:rsidR="001251BE" w:rsidRPr="00D96B02">
        <w:rPr>
          <w:rFonts w:eastAsia="Times New Roman"/>
          <w:color w:val="000000" w:themeColor="text1"/>
          <w:shd w:val="clear" w:color="auto" w:fill="FFFFFF"/>
        </w:rPr>
        <w:t>. </w:t>
      </w:r>
      <w:r w:rsidR="001251BE" w:rsidRPr="00D96B02">
        <w:rPr>
          <w:rFonts w:eastAsia="Times New Roman"/>
          <w:i/>
          <w:iCs/>
          <w:color w:val="000000" w:themeColor="text1"/>
          <w:shd w:val="clear" w:color="auto" w:fill="FFFFFF"/>
        </w:rPr>
        <w:t>Xenophon, Hellenica,</w:t>
      </w:r>
      <w:r w:rsidR="008C7730" w:rsidRPr="00D96B02">
        <w:rPr>
          <w:rFonts w:eastAsia="Times New Roman"/>
          <w:i/>
          <w:iCs/>
          <w:color w:val="000000" w:themeColor="text1"/>
          <w:shd w:val="clear" w:color="auto" w:fill="FFFFFF"/>
        </w:rPr>
        <w:t xml:space="preserve"> </w:t>
      </w:r>
      <w:r w:rsidR="001251BE" w:rsidRPr="00D96B02">
        <w:rPr>
          <w:rFonts w:eastAsia="Times New Roman"/>
          <w:color w:val="000000" w:themeColor="text1"/>
          <w:shd w:val="clear" w:color="auto" w:fill="FFFFFF"/>
        </w:rPr>
        <w:t xml:space="preserve">[online] Available at: </w:t>
      </w:r>
      <w:r w:rsidR="00E61B0C" w:rsidRPr="00D96B02">
        <w:rPr>
          <w:rFonts w:eastAsia="Times New Roman"/>
          <w:color w:val="000000" w:themeColor="text1"/>
          <w:shd w:val="clear" w:color="auto" w:fill="FFFFFF"/>
        </w:rPr>
        <w:t xml:space="preserve">http://www.perseus.tufts.edu/hopper/ </w:t>
      </w:r>
      <w:r w:rsidR="001251BE" w:rsidRPr="00D96B02">
        <w:rPr>
          <w:rFonts w:eastAsia="Times New Roman"/>
          <w:color w:val="000000" w:themeColor="text1"/>
          <w:shd w:val="clear" w:color="auto" w:fill="FFFFFF"/>
        </w:rPr>
        <w:t>[Accessed 10 Nov. 2017].</w:t>
      </w:r>
    </w:p>
    <w:p w14:paraId="3876184C" w14:textId="77777777" w:rsidR="008C7730" w:rsidRPr="00D96B02" w:rsidRDefault="008C7730" w:rsidP="00D96B02">
      <w:pPr>
        <w:spacing w:line="480" w:lineRule="auto"/>
        <w:rPr>
          <w:rFonts w:eastAsia="Times New Roman"/>
          <w:color w:val="000000" w:themeColor="text1"/>
          <w:shd w:val="clear" w:color="auto" w:fill="FFFFFF"/>
        </w:rPr>
      </w:pPr>
    </w:p>
    <w:p w14:paraId="4D6E6AD2" w14:textId="6A210ABF" w:rsidR="00384A6F" w:rsidRPr="00D96B02" w:rsidRDefault="00791A5E" w:rsidP="00D96B02">
      <w:pPr>
        <w:spacing w:line="480" w:lineRule="auto"/>
        <w:ind w:left="360"/>
        <w:rPr>
          <w:rFonts w:eastAsia="Times New Roman"/>
          <w:b/>
          <w:color w:val="000000" w:themeColor="text1"/>
          <w:sz w:val="28"/>
          <w:u w:val="single"/>
        </w:rPr>
      </w:pPr>
      <w:r w:rsidRPr="00D96B02">
        <w:rPr>
          <w:rFonts w:eastAsia="Times New Roman"/>
          <w:b/>
          <w:color w:val="000000" w:themeColor="text1"/>
          <w:sz w:val="28"/>
          <w:u w:val="single"/>
        </w:rPr>
        <w:t xml:space="preserve">Modern </w:t>
      </w:r>
      <w:r w:rsidR="00924E9B" w:rsidRPr="00D96B02">
        <w:rPr>
          <w:rFonts w:eastAsia="Times New Roman"/>
          <w:b/>
          <w:color w:val="000000" w:themeColor="text1"/>
          <w:sz w:val="28"/>
          <w:u w:val="single"/>
        </w:rPr>
        <w:t>Literature</w:t>
      </w:r>
      <w:r w:rsidR="008C7730" w:rsidRPr="00D96B02">
        <w:rPr>
          <w:rFonts w:eastAsia="Times New Roman"/>
          <w:b/>
          <w:color w:val="000000" w:themeColor="text1"/>
          <w:sz w:val="28"/>
          <w:u w:val="single"/>
        </w:rPr>
        <w:t>:</w:t>
      </w:r>
    </w:p>
    <w:p w14:paraId="6AF86C81" w14:textId="77777777" w:rsidR="00D96B02" w:rsidRDefault="00D96B02" w:rsidP="00D96B02">
      <w:pPr>
        <w:spacing w:line="480" w:lineRule="auto"/>
        <w:ind w:left="360"/>
        <w:rPr>
          <w:rFonts w:eastAsia="Times New Roman"/>
          <w:color w:val="000000" w:themeColor="text1"/>
          <w:shd w:val="clear" w:color="auto" w:fill="FFFFFF"/>
        </w:rPr>
      </w:pPr>
    </w:p>
    <w:p w14:paraId="02F68102" w14:textId="774A2C7C" w:rsidR="002C134D" w:rsidRPr="00D96B02" w:rsidRDefault="00B20CA5" w:rsidP="00D96B02">
      <w:pPr>
        <w:spacing w:line="480" w:lineRule="auto"/>
        <w:ind w:left="360"/>
        <w:rPr>
          <w:rFonts w:eastAsia="Times New Roman"/>
          <w:color w:val="000000" w:themeColor="text1"/>
        </w:rPr>
      </w:pPr>
      <w:r>
        <w:rPr>
          <w:rFonts w:eastAsia="Times New Roman"/>
          <w:color w:val="000000" w:themeColor="text1"/>
          <w:shd w:val="clear" w:color="auto" w:fill="FFFFFF"/>
        </w:rPr>
        <w:t>de Romilly, J. 1988</w:t>
      </w:r>
      <w:r w:rsidR="002E689B" w:rsidRPr="00D96B02">
        <w:rPr>
          <w:rFonts w:eastAsia="Times New Roman"/>
          <w:color w:val="000000" w:themeColor="text1"/>
          <w:shd w:val="clear" w:color="auto" w:fill="FFFFFF"/>
        </w:rPr>
        <w:t xml:space="preserve">. </w:t>
      </w:r>
      <w:r w:rsidR="008E632C" w:rsidRPr="00D96B02">
        <w:rPr>
          <w:rFonts w:eastAsia="Times New Roman"/>
          <w:color w:val="000000" w:themeColor="text1"/>
          <w:shd w:val="clear" w:color="auto" w:fill="FFFFFF"/>
        </w:rPr>
        <w:t>“</w:t>
      </w:r>
      <w:r w:rsidR="002E689B" w:rsidRPr="00D96B02">
        <w:rPr>
          <w:rFonts w:eastAsia="Times New Roman"/>
          <w:color w:val="000000" w:themeColor="text1"/>
          <w:shd w:val="clear" w:color="auto" w:fill="FFFFFF"/>
        </w:rPr>
        <w:t>Plutarch and Thucydides or the Free Use of Quotations</w:t>
      </w:r>
      <w:r w:rsidR="008E632C" w:rsidRPr="00D96B02">
        <w:rPr>
          <w:rFonts w:eastAsia="Times New Roman"/>
          <w:color w:val="000000" w:themeColor="text1"/>
          <w:shd w:val="clear" w:color="auto" w:fill="FFFFFF"/>
        </w:rPr>
        <w:t>”</w:t>
      </w:r>
      <w:r w:rsidR="002E689B" w:rsidRPr="00D96B02">
        <w:rPr>
          <w:rFonts w:eastAsia="Times New Roman"/>
          <w:color w:val="000000" w:themeColor="text1"/>
          <w:shd w:val="clear" w:color="auto" w:fill="FFFFFF"/>
        </w:rPr>
        <w:t>. </w:t>
      </w:r>
      <w:r w:rsidR="002E689B" w:rsidRPr="00D96B02">
        <w:rPr>
          <w:rFonts w:eastAsia="Times New Roman"/>
          <w:i/>
          <w:iCs/>
          <w:color w:val="000000" w:themeColor="text1"/>
          <w:shd w:val="clear" w:color="auto" w:fill="FFFFFF"/>
        </w:rPr>
        <w:t>Phoenix</w:t>
      </w:r>
      <w:r w:rsidR="007577C7" w:rsidRPr="00D96B02">
        <w:rPr>
          <w:rFonts w:eastAsia="Times New Roman"/>
          <w:color w:val="000000" w:themeColor="text1"/>
          <w:shd w:val="clear" w:color="auto" w:fill="FFFFFF"/>
        </w:rPr>
        <w:t>, [online] 42,1</w:t>
      </w:r>
      <w:r w:rsidR="002E689B" w:rsidRPr="00D96B02">
        <w:rPr>
          <w:rFonts w:eastAsia="Times New Roman"/>
          <w:color w:val="000000" w:themeColor="text1"/>
          <w:shd w:val="clear" w:color="auto" w:fill="FFFFFF"/>
        </w:rPr>
        <w:t>. Available at: http://www.jstor.org/stable/1088758 [Accessed 10 Nov. 2017].</w:t>
      </w:r>
    </w:p>
    <w:p w14:paraId="576780E2" w14:textId="77777777" w:rsidR="00D96B02" w:rsidRDefault="00D96B02" w:rsidP="00D96B02">
      <w:pPr>
        <w:spacing w:line="480" w:lineRule="auto"/>
        <w:ind w:left="360"/>
        <w:rPr>
          <w:rFonts w:eastAsia="Times New Roman"/>
          <w:color w:val="000000" w:themeColor="text1"/>
          <w:shd w:val="clear" w:color="auto" w:fill="FFFFFF"/>
        </w:rPr>
      </w:pPr>
    </w:p>
    <w:p w14:paraId="0760126E" w14:textId="4E59ACFC" w:rsidR="008C7730" w:rsidRPr="00D96B02" w:rsidRDefault="00B20CA5" w:rsidP="00D96B02">
      <w:pPr>
        <w:spacing w:line="480" w:lineRule="auto"/>
        <w:ind w:left="360"/>
        <w:rPr>
          <w:rFonts w:eastAsia="Times New Roman"/>
          <w:color w:val="000000" w:themeColor="text1"/>
          <w:shd w:val="clear" w:color="auto" w:fill="FFFFFF"/>
        </w:rPr>
      </w:pPr>
      <w:r>
        <w:rPr>
          <w:rFonts w:eastAsia="Times New Roman"/>
          <w:color w:val="000000" w:themeColor="text1"/>
          <w:shd w:val="clear" w:color="auto" w:fill="FFFFFF"/>
        </w:rPr>
        <w:t xml:space="preserve">Fehling, D. </w:t>
      </w:r>
      <w:r w:rsidR="00DD3BAD">
        <w:rPr>
          <w:rFonts w:eastAsia="Times New Roman"/>
          <w:color w:val="000000" w:themeColor="text1"/>
          <w:shd w:val="clear" w:color="auto" w:fill="FFFFFF"/>
        </w:rPr>
        <w:t>1989</w:t>
      </w:r>
      <w:r w:rsidR="00C72F36" w:rsidRPr="00D96B02">
        <w:rPr>
          <w:rFonts w:eastAsia="Times New Roman"/>
          <w:color w:val="000000" w:themeColor="text1"/>
          <w:shd w:val="clear" w:color="auto" w:fill="FFFFFF"/>
        </w:rPr>
        <w:t>. </w:t>
      </w:r>
      <w:r w:rsidR="00C72F36" w:rsidRPr="00D96B02">
        <w:rPr>
          <w:rFonts w:eastAsia="Times New Roman"/>
          <w:i/>
          <w:iCs/>
          <w:color w:val="000000" w:themeColor="text1"/>
          <w:shd w:val="clear" w:color="auto" w:fill="FFFFFF"/>
        </w:rPr>
        <w:t>Herodotus and his "sources"</w:t>
      </w:r>
      <w:r w:rsidR="00C72F36" w:rsidRPr="00D96B02">
        <w:rPr>
          <w:rFonts w:eastAsia="Times New Roman"/>
          <w:color w:val="000000" w:themeColor="text1"/>
          <w:shd w:val="clear" w:color="auto" w:fill="FFFFFF"/>
        </w:rPr>
        <w:t>, J.G. Howie (trans),</w:t>
      </w:r>
      <w:r w:rsidR="00C72F36" w:rsidRPr="00D96B02">
        <w:rPr>
          <w:rFonts w:eastAsia="Times New Roman"/>
          <w:color w:val="000000" w:themeColor="text1"/>
          <w:shd w:val="clear" w:color="auto" w:fill="FFFFFF"/>
        </w:rPr>
        <w:t xml:space="preserve"> Leeds, Great Britain: Francis Cairns</w:t>
      </w:r>
      <w:r w:rsidR="00DD1D6A">
        <w:rPr>
          <w:rFonts w:eastAsia="Times New Roman"/>
          <w:color w:val="000000" w:themeColor="text1"/>
          <w:shd w:val="clear" w:color="auto" w:fill="FFFFFF"/>
        </w:rPr>
        <w:t xml:space="preserve"> Ltd</w:t>
      </w:r>
    </w:p>
    <w:p w14:paraId="38C83266" w14:textId="77777777" w:rsidR="00D96B02" w:rsidRDefault="00D96B02" w:rsidP="00D96B02">
      <w:pPr>
        <w:spacing w:line="480" w:lineRule="auto"/>
        <w:ind w:left="360"/>
        <w:rPr>
          <w:rStyle w:val="selectable"/>
          <w:color w:val="000000" w:themeColor="text1"/>
        </w:rPr>
      </w:pPr>
    </w:p>
    <w:p w14:paraId="3D01B1AE" w14:textId="36386AF1" w:rsidR="008C7730" w:rsidRPr="00D96B02" w:rsidRDefault="00B20CA5" w:rsidP="00D96B02">
      <w:pPr>
        <w:spacing w:line="480" w:lineRule="auto"/>
        <w:ind w:left="360"/>
        <w:rPr>
          <w:rStyle w:val="selectable"/>
          <w:color w:val="000000" w:themeColor="text1"/>
        </w:rPr>
      </w:pPr>
      <w:r>
        <w:rPr>
          <w:rStyle w:val="selectable"/>
          <w:color w:val="000000" w:themeColor="text1"/>
        </w:rPr>
        <w:t>Hornblower, S., 2011</w:t>
      </w:r>
      <w:r w:rsidR="003E5AD8" w:rsidRPr="00D96B02">
        <w:rPr>
          <w:rStyle w:val="selectable"/>
          <w:color w:val="000000" w:themeColor="text1"/>
        </w:rPr>
        <w:t>. </w:t>
      </w:r>
      <w:r w:rsidR="003E5AD8" w:rsidRPr="00D96B02">
        <w:rPr>
          <w:rStyle w:val="selectable"/>
          <w:i/>
          <w:iCs/>
          <w:color w:val="000000" w:themeColor="text1"/>
        </w:rPr>
        <w:t>Greek World 479-323BC</w:t>
      </w:r>
      <w:r w:rsidR="003E5AD8" w:rsidRPr="00D96B02">
        <w:rPr>
          <w:rStyle w:val="selectable"/>
          <w:color w:val="000000" w:themeColor="text1"/>
        </w:rPr>
        <w:t>. 4th ed. New York, USA: Routledge.</w:t>
      </w:r>
    </w:p>
    <w:p w14:paraId="734233CA" w14:textId="77777777" w:rsidR="00D96B02" w:rsidRDefault="00D96B02" w:rsidP="00D96B02">
      <w:pPr>
        <w:spacing w:line="480" w:lineRule="auto"/>
        <w:ind w:left="360"/>
        <w:rPr>
          <w:rFonts w:eastAsia="Times New Roman"/>
          <w:color w:val="000000" w:themeColor="text1"/>
          <w:shd w:val="clear" w:color="auto" w:fill="FFFFFF"/>
        </w:rPr>
      </w:pPr>
    </w:p>
    <w:p w14:paraId="01B28E39" w14:textId="53FAC967" w:rsidR="002E689B" w:rsidRPr="00865EE3" w:rsidRDefault="008C7730" w:rsidP="00865EE3">
      <w:pPr>
        <w:spacing w:line="480" w:lineRule="auto"/>
        <w:ind w:left="360"/>
        <w:rPr>
          <w:rFonts w:eastAsia="Times New Roman"/>
          <w:color w:val="000000" w:themeColor="text1"/>
        </w:rPr>
      </w:pPr>
      <w:r w:rsidRPr="00D96B02">
        <w:rPr>
          <w:rFonts w:eastAsia="Times New Roman"/>
          <w:color w:val="000000" w:themeColor="text1"/>
          <w:shd w:val="clear" w:color="auto" w:fill="FFFFFF"/>
        </w:rPr>
        <w:t xml:space="preserve">Lu, H. </w:t>
      </w:r>
      <w:r w:rsidR="008E632C" w:rsidRPr="00D96B02">
        <w:rPr>
          <w:rFonts w:eastAsia="Times New Roman"/>
          <w:color w:val="000000" w:themeColor="text1"/>
          <w:shd w:val="clear" w:color="auto" w:fill="FFFFFF"/>
        </w:rPr>
        <w:t>“</w:t>
      </w:r>
      <w:r w:rsidRPr="00D96B02">
        <w:rPr>
          <w:rFonts w:eastAsia="Times New Roman"/>
          <w:i/>
          <w:iCs/>
          <w:color w:val="000000" w:themeColor="text1"/>
          <w:shd w:val="clear" w:color="auto" w:fill="FFFFFF"/>
        </w:rPr>
        <w:t>Xenophon’s Theory of Moral Education</w:t>
      </w:r>
      <w:r w:rsidRPr="00D96B02">
        <w:rPr>
          <w:rFonts w:eastAsia="Times New Roman"/>
          <w:color w:val="000000" w:themeColor="text1"/>
          <w:shd w:val="clear" w:color="auto" w:fill="FFFFFF"/>
        </w:rPr>
        <w:t>.</w:t>
      </w:r>
      <w:r w:rsidR="008E632C" w:rsidRPr="00D96B02">
        <w:rPr>
          <w:rFonts w:eastAsia="Times New Roman"/>
          <w:color w:val="000000" w:themeColor="text1"/>
          <w:shd w:val="clear" w:color="auto" w:fill="FFFFFF"/>
        </w:rPr>
        <w:t>”</w:t>
      </w:r>
      <w:r w:rsidRPr="00D96B02">
        <w:rPr>
          <w:rFonts w:eastAsia="Times New Roman"/>
          <w:color w:val="000000" w:themeColor="text1"/>
          <w:shd w:val="clear" w:color="auto" w:fill="FFFFFF"/>
        </w:rPr>
        <w:t xml:space="preserve"> </w:t>
      </w:r>
      <w:r w:rsidR="00D96B02" w:rsidRPr="00D96B02">
        <w:rPr>
          <w:rFonts w:eastAsia="Times New Roman"/>
          <w:color w:val="000000" w:themeColor="text1"/>
          <w:shd w:val="clear" w:color="auto" w:fill="FFFFFF"/>
        </w:rPr>
        <w:t>2017</w:t>
      </w:r>
      <w:r w:rsidR="00D96B02" w:rsidRPr="00D96B02">
        <w:rPr>
          <w:rFonts w:eastAsia="Times New Roman"/>
          <w:color w:val="000000" w:themeColor="text1"/>
          <w:shd w:val="clear" w:color="auto" w:fill="FFFFFF"/>
        </w:rPr>
        <w:t> era.lib.ed.ac.uk</w:t>
      </w:r>
      <w:r w:rsidR="00D96B02" w:rsidRPr="00D96B02">
        <w:rPr>
          <w:rFonts w:eastAsia="Times New Roman"/>
          <w:color w:val="000000" w:themeColor="text1"/>
          <w:shd w:val="clear" w:color="auto" w:fill="FFFFFF"/>
        </w:rPr>
        <w:t xml:space="preserve"> </w:t>
      </w:r>
      <w:r w:rsidR="00865EE3" w:rsidRPr="00865EE3">
        <w:rPr>
          <w:rFonts w:eastAsia="Times New Roman"/>
          <w:color w:val="000000" w:themeColor="text1"/>
        </w:rPr>
        <w:t>https://www.era.lib.ed.ac.uk/bitstream/handle/1842/9868/Lu2014.pdf?sequence=1&amp;isAllowed=y</w:t>
      </w:r>
      <w:r w:rsidR="00865EE3">
        <w:rPr>
          <w:rFonts w:eastAsia="Times New Roman"/>
          <w:color w:val="000000" w:themeColor="text1"/>
        </w:rPr>
        <w:t xml:space="preserve"> </w:t>
      </w:r>
      <w:r w:rsidR="00865EE3" w:rsidRPr="00D96B02">
        <w:rPr>
          <w:rFonts w:eastAsia="Times New Roman"/>
          <w:color w:val="000000" w:themeColor="text1"/>
          <w:shd w:val="clear" w:color="auto" w:fill="FFFFFF"/>
        </w:rPr>
        <w:t>[Accessed 10 Nov. 2017]</w:t>
      </w:r>
    </w:p>
    <w:sectPr w:rsidR="002E689B" w:rsidRPr="00865EE3" w:rsidSect="00C02FF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2FB058" w14:textId="77777777" w:rsidR="006B27C7" w:rsidRDefault="006B27C7" w:rsidP="0032599C">
      <w:r>
        <w:separator/>
      </w:r>
    </w:p>
  </w:endnote>
  <w:endnote w:type="continuationSeparator" w:id="0">
    <w:p w14:paraId="62637455" w14:textId="77777777" w:rsidR="006B27C7" w:rsidRDefault="006B27C7" w:rsidP="00325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0BC647" w14:textId="77777777" w:rsidR="006B27C7" w:rsidRDefault="006B27C7" w:rsidP="0032599C">
      <w:r>
        <w:separator/>
      </w:r>
    </w:p>
  </w:footnote>
  <w:footnote w:type="continuationSeparator" w:id="0">
    <w:p w14:paraId="5C039C5D" w14:textId="77777777" w:rsidR="006B27C7" w:rsidRDefault="006B27C7" w:rsidP="0032599C">
      <w:r>
        <w:continuationSeparator/>
      </w:r>
    </w:p>
  </w:footnote>
  <w:footnote w:id="1">
    <w:p w14:paraId="42D7E96F" w14:textId="3C7270AF" w:rsidR="0032599C" w:rsidRPr="0032599C" w:rsidRDefault="0032599C">
      <w:pPr>
        <w:pStyle w:val="FootnoteText"/>
      </w:pPr>
      <w:r>
        <w:rPr>
          <w:rStyle w:val="FootnoteReference"/>
        </w:rPr>
        <w:footnoteRef/>
      </w:r>
      <w:r>
        <w:t xml:space="preserve"> Thuc, </w:t>
      </w:r>
      <w:r>
        <w:rPr>
          <w:i/>
        </w:rPr>
        <w:t xml:space="preserve">the </w:t>
      </w:r>
      <w:r w:rsidR="001251BE">
        <w:rPr>
          <w:i/>
        </w:rPr>
        <w:t>Peloponnesian</w:t>
      </w:r>
      <w:r>
        <w:rPr>
          <w:i/>
        </w:rPr>
        <w:t xml:space="preserve"> war</w:t>
      </w:r>
      <w:r>
        <w:t xml:space="preserve"> 1.15</w:t>
      </w:r>
    </w:p>
  </w:footnote>
  <w:footnote w:id="2">
    <w:p w14:paraId="702331F2" w14:textId="77777777" w:rsidR="00002774" w:rsidRPr="00002774" w:rsidRDefault="00002774" w:rsidP="00002774">
      <w:pPr>
        <w:rPr>
          <w:color w:val="000000"/>
          <w:highlight w:val="lightGray"/>
        </w:rPr>
      </w:pPr>
      <w:r>
        <w:rPr>
          <w:rStyle w:val="FootnoteReference"/>
        </w:rPr>
        <w:footnoteRef/>
      </w:r>
      <w:r>
        <w:t xml:space="preserve"> </w:t>
      </w:r>
      <w:r w:rsidRPr="00002774">
        <w:rPr>
          <w:color w:val="000000"/>
        </w:rPr>
        <w:t xml:space="preserve">S.Hornblower, </w:t>
      </w:r>
      <w:r w:rsidRPr="00002774">
        <w:rPr>
          <w:i/>
          <w:color w:val="000000"/>
        </w:rPr>
        <w:t>The Greek World</w:t>
      </w:r>
      <w:r w:rsidRPr="00002774">
        <w:rPr>
          <w:color w:val="000000"/>
        </w:rPr>
        <w:t>, 3.32</w:t>
      </w:r>
    </w:p>
    <w:p w14:paraId="113FFCF7" w14:textId="77777777" w:rsidR="00002774" w:rsidRDefault="00002774">
      <w:pPr>
        <w:pStyle w:val="FootnoteText"/>
      </w:pPr>
    </w:p>
  </w:footnote>
  <w:footnote w:id="3">
    <w:p w14:paraId="6982BABD" w14:textId="6D34FEB3" w:rsidR="0036125E" w:rsidRDefault="0036125E">
      <w:pPr>
        <w:pStyle w:val="FootnoteText"/>
      </w:pPr>
      <w:r>
        <w:rPr>
          <w:rStyle w:val="FootnoteReference"/>
        </w:rPr>
        <w:footnoteRef/>
      </w:r>
      <w:r>
        <w:t xml:space="preserve"> </w:t>
      </w:r>
      <w:r w:rsidRPr="007800BD">
        <w:rPr>
          <w:rFonts w:ascii="Times New Roman" w:hAnsi="Times New Roman" w:cs="Times New Roman"/>
          <w:color w:val="000000"/>
        </w:rPr>
        <w:t xml:space="preserve">S.Hornblower </w:t>
      </w:r>
      <w:r w:rsidRPr="007800BD">
        <w:rPr>
          <w:rFonts w:ascii="Times New Roman" w:hAnsi="Times New Roman" w:cs="Times New Roman"/>
          <w:i/>
          <w:color w:val="000000"/>
        </w:rPr>
        <w:t>The Greek World</w:t>
      </w:r>
      <w:r w:rsidRPr="007800BD">
        <w:rPr>
          <w:rFonts w:ascii="Times New Roman" w:hAnsi="Times New Roman" w:cs="Times New Roman"/>
          <w:color w:val="000000"/>
        </w:rPr>
        <w:t>,</w:t>
      </w:r>
      <w:r>
        <w:rPr>
          <w:rFonts w:ascii="Times New Roman" w:hAnsi="Times New Roman" w:cs="Times New Roman"/>
          <w:color w:val="000000"/>
        </w:rPr>
        <w:t xml:space="preserve"> int.5</w:t>
      </w:r>
    </w:p>
  </w:footnote>
  <w:footnote w:id="4">
    <w:p w14:paraId="2913555A" w14:textId="5E293076" w:rsidR="0036125E" w:rsidRDefault="0036125E">
      <w:pPr>
        <w:pStyle w:val="FootnoteText"/>
      </w:pPr>
      <w:r>
        <w:rPr>
          <w:rStyle w:val="FootnoteReference"/>
        </w:rPr>
        <w:footnoteRef/>
      </w:r>
      <w:r>
        <w:t xml:space="preserve"> </w:t>
      </w:r>
      <w:r w:rsidRPr="007800BD">
        <w:rPr>
          <w:rFonts w:ascii="Times New Roman" w:hAnsi="Times New Roman" w:cs="Times New Roman"/>
          <w:color w:val="000000"/>
        </w:rPr>
        <w:t xml:space="preserve">S.Hornblower </w:t>
      </w:r>
      <w:r w:rsidRPr="007800BD">
        <w:rPr>
          <w:rFonts w:ascii="Times New Roman" w:hAnsi="Times New Roman" w:cs="Times New Roman"/>
          <w:i/>
          <w:color w:val="000000"/>
        </w:rPr>
        <w:t>The Greek World</w:t>
      </w:r>
      <w:r w:rsidRPr="007800BD">
        <w:rPr>
          <w:rFonts w:ascii="Times New Roman" w:hAnsi="Times New Roman" w:cs="Times New Roman"/>
          <w:color w:val="000000"/>
        </w:rPr>
        <w:t>,</w:t>
      </w:r>
      <w:r>
        <w:rPr>
          <w:rFonts w:ascii="Times New Roman" w:hAnsi="Times New Roman" w:cs="Times New Roman"/>
          <w:color w:val="000000"/>
        </w:rPr>
        <w:t xml:space="preserve"> int.5</w:t>
      </w:r>
    </w:p>
  </w:footnote>
  <w:footnote w:id="5">
    <w:p w14:paraId="04B139E3" w14:textId="00CB4645" w:rsidR="007800BD" w:rsidRDefault="007800BD">
      <w:pPr>
        <w:pStyle w:val="FootnoteText"/>
      </w:pPr>
      <w:r w:rsidRPr="007800BD">
        <w:rPr>
          <w:rStyle w:val="FootnoteReference"/>
        </w:rPr>
        <w:footnoteRef/>
      </w:r>
      <w:r w:rsidRPr="007800BD">
        <w:t xml:space="preserve"> </w:t>
      </w:r>
      <w:r w:rsidRPr="007800BD">
        <w:rPr>
          <w:rFonts w:ascii="Times New Roman" w:hAnsi="Times New Roman" w:cs="Times New Roman"/>
          <w:color w:val="000000"/>
        </w:rPr>
        <w:t xml:space="preserve">S.Hornblower </w:t>
      </w:r>
      <w:r w:rsidRPr="007800BD">
        <w:rPr>
          <w:rFonts w:ascii="Times New Roman" w:hAnsi="Times New Roman" w:cs="Times New Roman"/>
          <w:i/>
          <w:color w:val="000000"/>
        </w:rPr>
        <w:t>The Greek World</w:t>
      </w:r>
      <w:r w:rsidRPr="007800BD">
        <w:rPr>
          <w:rFonts w:ascii="Times New Roman" w:hAnsi="Times New Roman" w:cs="Times New Roman"/>
          <w:color w:val="000000"/>
        </w:rPr>
        <w:t>, 3.27</w:t>
      </w:r>
    </w:p>
  </w:footnote>
  <w:footnote w:id="6">
    <w:p w14:paraId="30CFE42B" w14:textId="69949286" w:rsidR="005B5D41" w:rsidRDefault="005B5D41">
      <w:pPr>
        <w:pStyle w:val="FootnoteText"/>
      </w:pPr>
      <w:r>
        <w:rPr>
          <w:rStyle w:val="FootnoteReference"/>
        </w:rPr>
        <w:footnoteRef/>
      </w:r>
      <w:r>
        <w:t xml:space="preserve"> </w:t>
      </w:r>
      <w:r w:rsidRPr="007800BD">
        <w:rPr>
          <w:rFonts w:ascii="Times New Roman" w:hAnsi="Times New Roman" w:cs="Times New Roman"/>
          <w:color w:val="000000"/>
        </w:rPr>
        <w:t xml:space="preserve">S.Hornblower </w:t>
      </w:r>
      <w:r w:rsidRPr="007800BD">
        <w:rPr>
          <w:rFonts w:ascii="Times New Roman" w:hAnsi="Times New Roman" w:cs="Times New Roman"/>
          <w:i/>
          <w:color w:val="000000"/>
        </w:rPr>
        <w:t>The Greek World</w:t>
      </w:r>
      <w:r w:rsidRPr="007800BD">
        <w:rPr>
          <w:rFonts w:ascii="Times New Roman" w:hAnsi="Times New Roman" w:cs="Times New Roman"/>
          <w:color w:val="000000"/>
        </w:rPr>
        <w:t>,</w:t>
      </w:r>
      <w:r>
        <w:rPr>
          <w:rFonts w:ascii="Times New Roman" w:hAnsi="Times New Roman" w:cs="Times New Roman"/>
          <w:color w:val="000000"/>
        </w:rPr>
        <w:t xml:space="preserve"> int.5</w:t>
      </w:r>
    </w:p>
  </w:footnote>
  <w:footnote w:id="7">
    <w:p w14:paraId="36534E51" w14:textId="1901D08B" w:rsidR="00A3501D" w:rsidRDefault="00A3501D">
      <w:pPr>
        <w:pStyle w:val="FootnoteText"/>
      </w:pPr>
      <w:r>
        <w:rPr>
          <w:rStyle w:val="FootnoteReference"/>
        </w:rPr>
        <w:footnoteRef/>
      </w:r>
      <w:r>
        <w:t xml:space="preserve"> </w:t>
      </w:r>
      <w:r w:rsidRPr="007800BD">
        <w:rPr>
          <w:rFonts w:ascii="Times New Roman" w:hAnsi="Times New Roman" w:cs="Times New Roman"/>
          <w:color w:val="000000"/>
        </w:rPr>
        <w:t xml:space="preserve">S.Hornblower </w:t>
      </w:r>
      <w:r w:rsidRPr="007800BD">
        <w:rPr>
          <w:rFonts w:ascii="Times New Roman" w:hAnsi="Times New Roman" w:cs="Times New Roman"/>
          <w:i/>
          <w:color w:val="000000"/>
        </w:rPr>
        <w:t>The Greek World</w:t>
      </w:r>
      <w:r w:rsidRPr="007800BD">
        <w:rPr>
          <w:rFonts w:ascii="Times New Roman" w:hAnsi="Times New Roman" w:cs="Times New Roman"/>
          <w:color w:val="000000"/>
        </w:rPr>
        <w:t>,</w:t>
      </w:r>
      <w:r>
        <w:rPr>
          <w:rFonts w:ascii="Times New Roman" w:hAnsi="Times New Roman" w:cs="Times New Roman"/>
          <w:color w:val="000000"/>
        </w:rPr>
        <w:t xml:space="preserve"> int.1</w:t>
      </w:r>
    </w:p>
  </w:footnote>
  <w:footnote w:id="8">
    <w:p w14:paraId="15A2A35B" w14:textId="64E5F64F" w:rsidR="00A875CA" w:rsidRPr="00A875CA" w:rsidRDefault="00A875CA">
      <w:pPr>
        <w:pStyle w:val="FootnoteText"/>
      </w:pPr>
      <w:r>
        <w:rPr>
          <w:rStyle w:val="FootnoteReference"/>
        </w:rPr>
        <w:footnoteRef/>
      </w:r>
      <w:r>
        <w:t xml:space="preserve"> Hdt, </w:t>
      </w:r>
      <w:r>
        <w:rPr>
          <w:i/>
        </w:rPr>
        <w:t>The Histories</w:t>
      </w:r>
      <w:r>
        <w:t>, 7.152</w:t>
      </w:r>
    </w:p>
  </w:footnote>
  <w:footnote w:id="9">
    <w:p w14:paraId="0DEFA861" w14:textId="58285EAB" w:rsidR="00E65741" w:rsidRPr="00E65741" w:rsidRDefault="00E65741">
      <w:pPr>
        <w:pStyle w:val="FootnoteText"/>
      </w:pPr>
      <w:r>
        <w:rPr>
          <w:rStyle w:val="FootnoteReference"/>
        </w:rPr>
        <w:footnoteRef/>
      </w:r>
      <w:r>
        <w:t xml:space="preserve"> </w:t>
      </w:r>
      <w:r>
        <w:rPr>
          <w:rFonts w:ascii="Times New Roman" w:hAnsi="Times New Roman" w:cs="Times New Roman"/>
        </w:rPr>
        <w:t xml:space="preserve">Detlev Fehling, </w:t>
      </w:r>
      <w:r>
        <w:rPr>
          <w:rFonts w:ascii="Times New Roman" w:hAnsi="Times New Roman" w:cs="Times New Roman"/>
          <w:i/>
        </w:rPr>
        <w:t xml:space="preserve">Herodotus and his Sources, </w:t>
      </w:r>
      <w:r>
        <w:rPr>
          <w:rFonts w:ascii="Times New Roman" w:hAnsi="Times New Roman" w:cs="Times New Roman"/>
        </w:rPr>
        <w:t>Int.3</w:t>
      </w:r>
    </w:p>
  </w:footnote>
  <w:footnote w:id="10">
    <w:p w14:paraId="26E76240" w14:textId="1F187348" w:rsidR="003E46A5" w:rsidRPr="001251BE" w:rsidRDefault="003E46A5">
      <w:pPr>
        <w:pStyle w:val="FootnoteText"/>
        <w:rPr>
          <w:rFonts w:ascii="Times New Roman" w:hAnsi="Times New Roman" w:cs="Times New Roman"/>
        </w:rPr>
      </w:pPr>
      <w:r w:rsidRPr="001251BE">
        <w:rPr>
          <w:rStyle w:val="FootnoteReference"/>
          <w:rFonts w:ascii="Times New Roman" w:hAnsi="Times New Roman" w:cs="Times New Roman"/>
        </w:rPr>
        <w:footnoteRef/>
      </w:r>
      <w:r w:rsidRPr="001251BE">
        <w:rPr>
          <w:rFonts w:ascii="Times New Roman" w:hAnsi="Times New Roman" w:cs="Times New Roman"/>
        </w:rPr>
        <w:t xml:space="preserve"> Detlev Fehling, </w:t>
      </w:r>
      <w:r w:rsidRPr="001251BE">
        <w:rPr>
          <w:rFonts w:ascii="Times New Roman" w:hAnsi="Times New Roman" w:cs="Times New Roman"/>
          <w:i/>
        </w:rPr>
        <w:t xml:space="preserve">Herodotus and his Sources, </w:t>
      </w:r>
      <w:r w:rsidRPr="001251BE">
        <w:rPr>
          <w:rFonts w:ascii="Times New Roman" w:hAnsi="Times New Roman" w:cs="Times New Roman"/>
        </w:rPr>
        <w:t>1,1.15</w:t>
      </w:r>
    </w:p>
  </w:footnote>
  <w:footnote w:id="11">
    <w:p w14:paraId="0C2DB354" w14:textId="0BB5DB3F" w:rsidR="00E65741" w:rsidRPr="001251BE" w:rsidRDefault="00E65741">
      <w:pPr>
        <w:pStyle w:val="FootnoteText"/>
        <w:rPr>
          <w:rFonts w:ascii="Times New Roman" w:hAnsi="Times New Roman" w:cs="Times New Roman"/>
        </w:rPr>
      </w:pPr>
      <w:r w:rsidRPr="001251BE">
        <w:rPr>
          <w:rStyle w:val="FootnoteReference"/>
          <w:rFonts w:ascii="Times New Roman" w:hAnsi="Times New Roman" w:cs="Times New Roman"/>
        </w:rPr>
        <w:footnoteRef/>
      </w:r>
      <w:r w:rsidRPr="001251BE">
        <w:rPr>
          <w:rFonts w:ascii="Times New Roman" w:hAnsi="Times New Roman" w:cs="Times New Roman"/>
        </w:rPr>
        <w:t xml:space="preserve"> Detlev Fehling, </w:t>
      </w:r>
      <w:r w:rsidRPr="001251BE">
        <w:rPr>
          <w:rFonts w:ascii="Times New Roman" w:hAnsi="Times New Roman" w:cs="Times New Roman"/>
          <w:i/>
        </w:rPr>
        <w:t xml:space="preserve">Herodotus and his Sources, </w:t>
      </w:r>
      <w:r w:rsidRPr="001251BE">
        <w:rPr>
          <w:rFonts w:ascii="Times New Roman" w:hAnsi="Times New Roman" w:cs="Times New Roman"/>
        </w:rPr>
        <w:t>Int.11</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602AAB"/>
    <w:multiLevelType w:val="hybridMultilevel"/>
    <w:tmpl w:val="30E08AAE"/>
    <w:lvl w:ilvl="0" w:tplc="95FA0F3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EC566BE"/>
    <w:multiLevelType w:val="hybridMultilevel"/>
    <w:tmpl w:val="92FAE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48E4CD0"/>
    <w:multiLevelType w:val="hybridMultilevel"/>
    <w:tmpl w:val="2C6C8A70"/>
    <w:lvl w:ilvl="0" w:tplc="95FA0F3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84821BF"/>
    <w:multiLevelType w:val="hybridMultilevel"/>
    <w:tmpl w:val="C3425AF0"/>
    <w:lvl w:ilvl="0" w:tplc="95FA0F36">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761"/>
    <w:rsid w:val="00002774"/>
    <w:rsid w:val="00024AB8"/>
    <w:rsid w:val="000A26A0"/>
    <w:rsid w:val="000B2F19"/>
    <w:rsid w:val="000B5C41"/>
    <w:rsid w:val="000B6CC2"/>
    <w:rsid w:val="000F1C6B"/>
    <w:rsid w:val="00111E26"/>
    <w:rsid w:val="001251BE"/>
    <w:rsid w:val="00143D08"/>
    <w:rsid w:val="00146CDD"/>
    <w:rsid w:val="001D46C4"/>
    <w:rsid w:val="00200DFF"/>
    <w:rsid w:val="002C134D"/>
    <w:rsid w:val="002E689B"/>
    <w:rsid w:val="003163CB"/>
    <w:rsid w:val="0032599C"/>
    <w:rsid w:val="00354680"/>
    <w:rsid w:val="0036125E"/>
    <w:rsid w:val="003746BE"/>
    <w:rsid w:val="00380291"/>
    <w:rsid w:val="00384A6F"/>
    <w:rsid w:val="00386761"/>
    <w:rsid w:val="003E46A5"/>
    <w:rsid w:val="003E5AD8"/>
    <w:rsid w:val="00424D32"/>
    <w:rsid w:val="004E1A58"/>
    <w:rsid w:val="00510606"/>
    <w:rsid w:val="00550BD7"/>
    <w:rsid w:val="005A65DB"/>
    <w:rsid w:val="005B5D41"/>
    <w:rsid w:val="005E0607"/>
    <w:rsid w:val="005F2023"/>
    <w:rsid w:val="00673221"/>
    <w:rsid w:val="006B27C7"/>
    <w:rsid w:val="006D5583"/>
    <w:rsid w:val="006E6F9D"/>
    <w:rsid w:val="006F001C"/>
    <w:rsid w:val="00713B7B"/>
    <w:rsid w:val="00717C03"/>
    <w:rsid w:val="007577C7"/>
    <w:rsid w:val="007771E0"/>
    <w:rsid w:val="007800BD"/>
    <w:rsid w:val="00791A5E"/>
    <w:rsid w:val="00791B07"/>
    <w:rsid w:val="007B3C37"/>
    <w:rsid w:val="007F17EE"/>
    <w:rsid w:val="00806C43"/>
    <w:rsid w:val="00825C46"/>
    <w:rsid w:val="00865EE3"/>
    <w:rsid w:val="008A089F"/>
    <w:rsid w:val="008C7730"/>
    <w:rsid w:val="008E632C"/>
    <w:rsid w:val="00924E9B"/>
    <w:rsid w:val="0092698C"/>
    <w:rsid w:val="00934E6D"/>
    <w:rsid w:val="009451F1"/>
    <w:rsid w:val="00960DCD"/>
    <w:rsid w:val="00A3501D"/>
    <w:rsid w:val="00A37D2B"/>
    <w:rsid w:val="00A875CA"/>
    <w:rsid w:val="00A958F9"/>
    <w:rsid w:val="00AA300D"/>
    <w:rsid w:val="00AA4579"/>
    <w:rsid w:val="00AA75DF"/>
    <w:rsid w:val="00AC0308"/>
    <w:rsid w:val="00B03AF3"/>
    <w:rsid w:val="00B20CA5"/>
    <w:rsid w:val="00B77FE6"/>
    <w:rsid w:val="00BB00B1"/>
    <w:rsid w:val="00BB6E06"/>
    <w:rsid w:val="00C025AD"/>
    <w:rsid w:val="00C02FF2"/>
    <w:rsid w:val="00C5429D"/>
    <w:rsid w:val="00C67F22"/>
    <w:rsid w:val="00C72F36"/>
    <w:rsid w:val="00CA5EE7"/>
    <w:rsid w:val="00CC37E6"/>
    <w:rsid w:val="00CE654D"/>
    <w:rsid w:val="00D96B02"/>
    <w:rsid w:val="00DA1DAE"/>
    <w:rsid w:val="00DC06AC"/>
    <w:rsid w:val="00DD1D6A"/>
    <w:rsid w:val="00DD3BAD"/>
    <w:rsid w:val="00DF1358"/>
    <w:rsid w:val="00E52EED"/>
    <w:rsid w:val="00E61B0C"/>
    <w:rsid w:val="00E65741"/>
    <w:rsid w:val="00E74AC0"/>
    <w:rsid w:val="00F74A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8DBAF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72F36"/>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2599C"/>
    <w:rPr>
      <w:rFonts w:asciiTheme="minorHAnsi" w:hAnsiTheme="minorHAnsi" w:cstheme="minorBidi"/>
      <w:lang w:eastAsia="en-US"/>
    </w:rPr>
  </w:style>
  <w:style w:type="character" w:customStyle="1" w:styleId="FootnoteTextChar">
    <w:name w:val="Footnote Text Char"/>
    <w:basedOn w:val="DefaultParagraphFont"/>
    <w:link w:val="FootnoteText"/>
    <w:uiPriority w:val="99"/>
    <w:rsid w:val="0032599C"/>
  </w:style>
  <w:style w:type="character" w:styleId="FootnoteReference">
    <w:name w:val="footnote reference"/>
    <w:basedOn w:val="DefaultParagraphFont"/>
    <w:uiPriority w:val="99"/>
    <w:unhideWhenUsed/>
    <w:rsid w:val="0032599C"/>
    <w:rPr>
      <w:vertAlign w:val="superscript"/>
    </w:rPr>
  </w:style>
  <w:style w:type="paragraph" w:styleId="ListParagraph">
    <w:name w:val="List Paragraph"/>
    <w:basedOn w:val="Normal"/>
    <w:uiPriority w:val="34"/>
    <w:qFormat/>
    <w:rsid w:val="00002774"/>
    <w:pPr>
      <w:ind w:left="720"/>
      <w:contextualSpacing/>
    </w:pPr>
    <w:rPr>
      <w:rFonts w:asciiTheme="minorHAnsi" w:hAnsiTheme="minorHAnsi" w:cstheme="minorBidi"/>
      <w:lang w:eastAsia="en-US"/>
    </w:rPr>
  </w:style>
  <w:style w:type="paragraph" w:styleId="EndnoteText">
    <w:name w:val="endnote text"/>
    <w:basedOn w:val="Normal"/>
    <w:link w:val="EndnoteTextChar"/>
    <w:uiPriority w:val="99"/>
    <w:unhideWhenUsed/>
    <w:rsid w:val="005B5D41"/>
    <w:rPr>
      <w:rFonts w:asciiTheme="minorHAnsi" w:hAnsiTheme="minorHAnsi" w:cstheme="minorBidi"/>
      <w:lang w:eastAsia="en-US"/>
    </w:rPr>
  </w:style>
  <w:style w:type="character" w:customStyle="1" w:styleId="EndnoteTextChar">
    <w:name w:val="Endnote Text Char"/>
    <w:basedOn w:val="DefaultParagraphFont"/>
    <w:link w:val="EndnoteText"/>
    <w:uiPriority w:val="99"/>
    <w:rsid w:val="005B5D41"/>
  </w:style>
  <w:style w:type="character" w:styleId="EndnoteReference">
    <w:name w:val="endnote reference"/>
    <w:basedOn w:val="DefaultParagraphFont"/>
    <w:uiPriority w:val="99"/>
    <w:unhideWhenUsed/>
    <w:rsid w:val="005B5D41"/>
    <w:rPr>
      <w:vertAlign w:val="superscript"/>
    </w:rPr>
  </w:style>
  <w:style w:type="paragraph" w:styleId="NormalWeb">
    <w:name w:val="Normal (Web)"/>
    <w:basedOn w:val="Normal"/>
    <w:uiPriority w:val="99"/>
    <w:unhideWhenUsed/>
    <w:rsid w:val="003E5AD8"/>
    <w:pPr>
      <w:spacing w:before="100" w:beforeAutospacing="1" w:after="100" w:afterAutospacing="1"/>
    </w:pPr>
  </w:style>
  <w:style w:type="character" w:customStyle="1" w:styleId="selectable">
    <w:name w:val="selectable"/>
    <w:basedOn w:val="DefaultParagraphFont"/>
    <w:rsid w:val="003E5AD8"/>
  </w:style>
  <w:style w:type="character" w:styleId="Hyperlink">
    <w:name w:val="Hyperlink"/>
    <w:basedOn w:val="DefaultParagraphFont"/>
    <w:uiPriority w:val="99"/>
    <w:unhideWhenUsed/>
    <w:rsid w:val="00865E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653583">
      <w:bodyDiv w:val="1"/>
      <w:marLeft w:val="0"/>
      <w:marRight w:val="0"/>
      <w:marTop w:val="0"/>
      <w:marBottom w:val="0"/>
      <w:divBdr>
        <w:top w:val="none" w:sz="0" w:space="0" w:color="auto"/>
        <w:left w:val="none" w:sz="0" w:space="0" w:color="auto"/>
        <w:bottom w:val="none" w:sz="0" w:space="0" w:color="auto"/>
        <w:right w:val="none" w:sz="0" w:space="0" w:color="auto"/>
      </w:divBdr>
    </w:div>
    <w:div w:id="275910375">
      <w:bodyDiv w:val="1"/>
      <w:marLeft w:val="0"/>
      <w:marRight w:val="0"/>
      <w:marTop w:val="0"/>
      <w:marBottom w:val="0"/>
      <w:divBdr>
        <w:top w:val="none" w:sz="0" w:space="0" w:color="auto"/>
        <w:left w:val="none" w:sz="0" w:space="0" w:color="auto"/>
        <w:bottom w:val="none" w:sz="0" w:space="0" w:color="auto"/>
        <w:right w:val="none" w:sz="0" w:space="0" w:color="auto"/>
      </w:divBdr>
    </w:div>
    <w:div w:id="304090101">
      <w:bodyDiv w:val="1"/>
      <w:marLeft w:val="0"/>
      <w:marRight w:val="0"/>
      <w:marTop w:val="0"/>
      <w:marBottom w:val="0"/>
      <w:divBdr>
        <w:top w:val="none" w:sz="0" w:space="0" w:color="auto"/>
        <w:left w:val="none" w:sz="0" w:space="0" w:color="auto"/>
        <w:bottom w:val="none" w:sz="0" w:space="0" w:color="auto"/>
        <w:right w:val="none" w:sz="0" w:space="0" w:color="auto"/>
      </w:divBdr>
    </w:div>
    <w:div w:id="334500050">
      <w:bodyDiv w:val="1"/>
      <w:marLeft w:val="0"/>
      <w:marRight w:val="0"/>
      <w:marTop w:val="0"/>
      <w:marBottom w:val="0"/>
      <w:divBdr>
        <w:top w:val="none" w:sz="0" w:space="0" w:color="auto"/>
        <w:left w:val="none" w:sz="0" w:space="0" w:color="auto"/>
        <w:bottom w:val="none" w:sz="0" w:space="0" w:color="auto"/>
        <w:right w:val="none" w:sz="0" w:space="0" w:color="auto"/>
      </w:divBdr>
    </w:div>
    <w:div w:id="526217740">
      <w:bodyDiv w:val="1"/>
      <w:marLeft w:val="0"/>
      <w:marRight w:val="0"/>
      <w:marTop w:val="0"/>
      <w:marBottom w:val="0"/>
      <w:divBdr>
        <w:top w:val="none" w:sz="0" w:space="0" w:color="auto"/>
        <w:left w:val="none" w:sz="0" w:space="0" w:color="auto"/>
        <w:bottom w:val="none" w:sz="0" w:space="0" w:color="auto"/>
        <w:right w:val="none" w:sz="0" w:space="0" w:color="auto"/>
      </w:divBdr>
    </w:div>
    <w:div w:id="1089543346">
      <w:bodyDiv w:val="1"/>
      <w:marLeft w:val="0"/>
      <w:marRight w:val="0"/>
      <w:marTop w:val="0"/>
      <w:marBottom w:val="0"/>
      <w:divBdr>
        <w:top w:val="none" w:sz="0" w:space="0" w:color="auto"/>
        <w:left w:val="none" w:sz="0" w:space="0" w:color="auto"/>
        <w:bottom w:val="none" w:sz="0" w:space="0" w:color="auto"/>
        <w:right w:val="none" w:sz="0" w:space="0" w:color="auto"/>
      </w:divBdr>
    </w:div>
    <w:div w:id="1461344280">
      <w:bodyDiv w:val="1"/>
      <w:marLeft w:val="0"/>
      <w:marRight w:val="0"/>
      <w:marTop w:val="0"/>
      <w:marBottom w:val="0"/>
      <w:divBdr>
        <w:top w:val="none" w:sz="0" w:space="0" w:color="auto"/>
        <w:left w:val="none" w:sz="0" w:space="0" w:color="auto"/>
        <w:bottom w:val="none" w:sz="0" w:space="0" w:color="auto"/>
        <w:right w:val="none" w:sz="0" w:space="0" w:color="auto"/>
      </w:divBdr>
    </w:div>
    <w:div w:id="1740324757">
      <w:bodyDiv w:val="1"/>
      <w:marLeft w:val="0"/>
      <w:marRight w:val="0"/>
      <w:marTop w:val="0"/>
      <w:marBottom w:val="0"/>
      <w:divBdr>
        <w:top w:val="none" w:sz="0" w:space="0" w:color="auto"/>
        <w:left w:val="none" w:sz="0" w:space="0" w:color="auto"/>
        <w:bottom w:val="none" w:sz="0" w:space="0" w:color="auto"/>
        <w:right w:val="none" w:sz="0" w:space="0" w:color="auto"/>
      </w:divBdr>
    </w:div>
    <w:div w:id="1834443283">
      <w:bodyDiv w:val="1"/>
      <w:marLeft w:val="0"/>
      <w:marRight w:val="0"/>
      <w:marTop w:val="0"/>
      <w:marBottom w:val="0"/>
      <w:divBdr>
        <w:top w:val="none" w:sz="0" w:space="0" w:color="auto"/>
        <w:left w:val="none" w:sz="0" w:space="0" w:color="auto"/>
        <w:bottom w:val="none" w:sz="0" w:space="0" w:color="auto"/>
        <w:right w:val="none" w:sz="0" w:space="0" w:color="auto"/>
      </w:divBdr>
    </w:div>
    <w:div w:id="1844391016">
      <w:bodyDiv w:val="1"/>
      <w:marLeft w:val="0"/>
      <w:marRight w:val="0"/>
      <w:marTop w:val="0"/>
      <w:marBottom w:val="0"/>
      <w:divBdr>
        <w:top w:val="none" w:sz="0" w:space="0" w:color="auto"/>
        <w:left w:val="none" w:sz="0" w:space="0" w:color="auto"/>
        <w:bottom w:val="none" w:sz="0" w:space="0" w:color="auto"/>
        <w:right w:val="none" w:sz="0" w:space="0" w:color="auto"/>
      </w:divBdr>
    </w:div>
    <w:div w:id="188752670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00761EB-9B1D-9947-AABA-63C1B11CB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6</Pages>
  <Words>1530</Words>
  <Characters>8723</Characters>
  <Application>Microsoft Macintosh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Calder (1600668)</dc:creator>
  <cp:keywords/>
  <dc:description/>
  <cp:lastModifiedBy>Rebecca Calder (1600668)</cp:lastModifiedBy>
  <cp:revision>25</cp:revision>
  <dcterms:created xsi:type="dcterms:W3CDTF">2017-11-09T16:06:00Z</dcterms:created>
  <dcterms:modified xsi:type="dcterms:W3CDTF">2017-11-14T18:31:00Z</dcterms:modified>
</cp:coreProperties>
</file>