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DA2808" w14:textId="0D6C1D93" w:rsidR="008D3BB8" w:rsidRDefault="009C00A6" w:rsidP="009C00A6">
      <w:pPr>
        <w:jc w:val="center"/>
        <w:rPr>
          <w:rFonts w:ascii="Arial" w:hAnsi="Arial" w:cs="Arial"/>
        </w:rPr>
      </w:pPr>
      <w:r>
        <w:rPr>
          <w:rFonts w:ascii="Arial" w:hAnsi="Arial" w:cs="Arial"/>
        </w:rPr>
        <w:t>Task 1 Assignment 1</w:t>
      </w:r>
    </w:p>
    <w:p w14:paraId="1E716C5E" w14:textId="4A4FF44A" w:rsidR="009C00A6" w:rsidRDefault="009C00A6" w:rsidP="009C00A6">
      <w:pPr>
        <w:jc w:val="center"/>
        <w:rPr>
          <w:rFonts w:ascii="Arial" w:hAnsi="Arial" w:cs="Arial"/>
        </w:rPr>
      </w:pPr>
      <w:r>
        <w:rPr>
          <w:rFonts w:ascii="Arial" w:hAnsi="Arial" w:cs="Arial"/>
        </w:rPr>
        <w:t>Learning in Digital Era</w:t>
      </w:r>
    </w:p>
    <w:p w14:paraId="6D372570" w14:textId="251B2396" w:rsidR="009C00A6" w:rsidRDefault="009C00A6" w:rsidP="009C00A6">
      <w:pPr>
        <w:jc w:val="center"/>
        <w:rPr>
          <w:rFonts w:ascii="Arial" w:hAnsi="Arial" w:cs="Arial"/>
        </w:rPr>
      </w:pPr>
      <w:r>
        <w:rPr>
          <w:rFonts w:ascii="Arial" w:hAnsi="Arial" w:cs="Arial"/>
        </w:rPr>
        <w:t>Andrei Cosma (2029798)</w:t>
      </w:r>
    </w:p>
    <w:p w14:paraId="7D223255" w14:textId="77777777" w:rsidR="009C00A6" w:rsidRDefault="009C00A6" w:rsidP="009C00A6">
      <w:pPr>
        <w:jc w:val="center"/>
        <w:rPr>
          <w:rFonts w:ascii="Arial" w:hAnsi="Arial" w:cs="Arial"/>
        </w:rPr>
      </w:pPr>
    </w:p>
    <w:p w14:paraId="120444C3" w14:textId="77777777" w:rsidR="009C00A6" w:rsidRDefault="009C00A6" w:rsidP="009C00A6">
      <w:pPr>
        <w:jc w:val="center"/>
        <w:rPr>
          <w:rFonts w:ascii="Arial" w:hAnsi="Arial" w:cs="Arial"/>
        </w:rPr>
      </w:pPr>
    </w:p>
    <w:p w14:paraId="2E531ABB" w14:textId="77777777" w:rsidR="009C00A6" w:rsidRPr="009C00A6" w:rsidRDefault="009C00A6" w:rsidP="009C00A6">
      <w:pPr>
        <w:rPr>
          <w:rFonts w:ascii="Arial" w:hAnsi="Arial" w:cs="Arial"/>
        </w:rPr>
      </w:pPr>
      <w:r w:rsidRPr="009C00A6">
        <w:rPr>
          <w:rFonts w:ascii="Arial" w:hAnsi="Arial" w:cs="Arial"/>
        </w:rPr>
        <w:t xml:space="preserve">Welcome to my e-portfolio, where I showcase the skills and experiences that drive my academic and career journey. Key skills such as </w:t>
      </w:r>
      <w:r w:rsidRPr="009C00A6">
        <w:rPr>
          <w:rFonts w:ascii="Arial" w:hAnsi="Arial" w:cs="Arial"/>
          <w:b/>
          <w:bCs/>
        </w:rPr>
        <w:t>critical thinking</w:t>
      </w:r>
      <w:r w:rsidRPr="009C00A6">
        <w:rPr>
          <w:rFonts w:ascii="Arial" w:hAnsi="Arial" w:cs="Arial"/>
        </w:rPr>
        <w:t xml:space="preserve">, </w:t>
      </w:r>
      <w:r w:rsidRPr="009C00A6">
        <w:rPr>
          <w:rFonts w:ascii="Arial" w:hAnsi="Arial" w:cs="Arial"/>
          <w:b/>
          <w:bCs/>
        </w:rPr>
        <w:t>communication</w:t>
      </w:r>
      <w:r w:rsidRPr="009C00A6">
        <w:rPr>
          <w:rFonts w:ascii="Arial" w:hAnsi="Arial" w:cs="Arial"/>
        </w:rPr>
        <w:t xml:space="preserve">, </w:t>
      </w:r>
      <w:r w:rsidRPr="009C00A6">
        <w:rPr>
          <w:rFonts w:ascii="Arial" w:hAnsi="Arial" w:cs="Arial"/>
          <w:b/>
          <w:bCs/>
        </w:rPr>
        <w:t>time management</w:t>
      </w:r>
      <w:r w:rsidRPr="009C00A6">
        <w:rPr>
          <w:rFonts w:ascii="Arial" w:hAnsi="Arial" w:cs="Arial"/>
        </w:rPr>
        <w:t xml:space="preserve">, and </w:t>
      </w:r>
      <w:r w:rsidRPr="009C00A6">
        <w:rPr>
          <w:rFonts w:ascii="Arial" w:hAnsi="Arial" w:cs="Arial"/>
          <w:b/>
          <w:bCs/>
        </w:rPr>
        <w:t>adaptability</w:t>
      </w:r>
      <w:r w:rsidRPr="009C00A6">
        <w:rPr>
          <w:rFonts w:ascii="Arial" w:hAnsi="Arial" w:cs="Arial"/>
        </w:rPr>
        <w:t xml:space="preserve"> have been instrumental in shaping my success and are vital for ongoing professional growth.</w:t>
      </w:r>
    </w:p>
    <w:p w14:paraId="453534ED" w14:textId="77777777" w:rsidR="009C00A6" w:rsidRPr="009C00A6" w:rsidRDefault="009C00A6" w:rsidP="009C00A6">
      <w:pPr>
        <w:rPr>
          <w:rFonts w:ascii="Arial" w:hAnsi="Arial" w:cs="Arial"/>
        </w:rPr>
      </w:pPr>
      <w:r w:rsidRPr="009C00A6">
        <w:rPr>
          <w:rFonts w:ascii="Arial" w:hAnsi="Arial" w:cs="Arial"/>
          <w:b/>
          <w:bCs/>
        </w:rPr>
        <w:t>Critical thinking</w:t>
      </w:r>
      <w:r w:rsidRPr="009C00A6">
        <w:rPr>
          <w:rFonts w:ascii="Arial" w:hAnsi="Arial" w:cs="Arial"/>
        </w:rPr>
        <w:t xml:space="preserve"> enables me to approach challenges strategically, </w:t>
      </w:r>
      <w:proofErr w:type="spellStart"/>
      <w:r w:rsidRPr="009C00A6">
        <w:rPr>
          <w:rFonts w:ascii="Arial" w:hAnsi="Arial" w:cs="Arial"/>
        </w:rPr>
        <w:t>analyzing</w:t>
      </w:r>
      <w:proofErr w:type="spellEnd"/>
      <w:r w:rsidRPr="009C00A6">
        <w:rPr>
          <w:rFonts w:ascii="Arial" w:hAnsi="Arial" w:cs="Arial"/>
        </w:rPr>
        <w:t xml:space="preserve"> situations thoroughly to make informed decisions—essential for data-driven roles (Cottrell, 2017). </w:t>
      </w:r>
      <w:r w:rsidRPr="009C00A6">
        <w:rPr>
          <w:rFonts w:ascii="Arial" w:hAnsi="Arial" w:cs="Arial"/>
          <w:b/>
          <w:bCs/>
        </w:rPr>
        <w:t>Effective communication</w:t>
      </w:r>
      <w:r w:rsidRPr="009C00A6">
        <w:rPr>
          <w:rFonts w:ascii="Arial" w:hAnsi="Arial" w:cs="Arial"/>
        </w:rPr>
        <w:t xml:space="preserve"> is another cornerstone of my skillset, allowing me to present complex concepts clearly to both technical and non-technical audiences (Guffey &amp; Loewy, 2018). Mastering </w:t>
      </w:r>
      <w:r w:rsidRPr="009C00A6">
        <w:rPr>
          <w:rFonts w:ascii="Arial" w:hAnsi="Arial" w:cs="Arial"/>
          <w:b/>
          <w:bCs/>
        </w:rPr>
        <w:t>time management</w:t>
      </w:r>
      <w:r w:rsidRPr="009C00A6">
        <w:rPr>
          <w:rFonts w:ascii="Arial" w:hAnsi="Arial" w:cs="Arial"/>
        </w:rPr>
        <w:t xml:space="preserve"> ensures that I can juggle multiple projects and meet deadlines effectively, a skill I honed through academic and project-based experiences (Mancini, 2016). Additionally, </w:t>
      </w:r>
      <w:r w:rsidRPr="009C00A6">
        <w:rPr>
          <w:rFonts w:ascii="Arial" w:hAnsi="Arial" w:cs="Arial"/>
          <w:b/>
          <w:bCs/>
        </w:rPr>
        <w:t>adaptability</w:t>
      </w:r>
      <w:r w:rsidRPr="009C00A6">
        <w:rPr>
          <w:rFonts w:ascii="Arial" w:hAnsi="Arial" w:cs="Arial"/>
        </w:rPr>
        <w:t xml:space="preserve"> has become an invaluable asset, especially as I stay current with evolving tools and practices in the rapidly changing field of data science (Dyer, 2020).</w:t>
      </w:r>
    </w:p>
    <w:p w14:paraId="253C3C65" w14:textId="77777777" w:rsidR="009C00A6" w:rsidRPr="009C00A6" w:rsidRDefault="009C00A6" w:rsidP="009C00A6">
      <w:pPr>
        <w:rPr>
          <w:rFonts w:ascii="Arial" w:hAnsi="Arial" w:cs="Arial"/>
        </w:rPr>
      </w:pPr>
      <w:r w:rsidRPr="009C00A6">
        <w:rPr>
          <w:rFonts w:ascii="Arial" w:hAnsi="Arial" w:cs="Arial"/>
        </w:rPr>
        <w:t>These skills are not just abstract concepts; they are central to my work in data science, where I apply analytical reasoning, clear communication, efficient time management, and adaptability every day. As you explore my portfolio, you’ll see how these core competencies have shaped my work and prepared me for a successful career in data science.</w:t>
      </w:r>
    </w:p>
    <w:p w14:paraId="12E5AF6F" w14:textId="77777777" w:rsidR="009C00A6" w:rsidRPr="009C00A6" w:rsidRDefault="009C00A6" w:rsidP="009C00A6">
      <w:pPr>
        <w:rPr>
          <w:rFonts w:ascii="Arial" w:hAnsi="Arial" w:cs="Arial"/>
          <w:b/>
          <w:bCs/>
        </w:rPr>
      </w:pPr>
      <w:r w:rsidRPr="009C00A6">
        <w:rPr>
          <w:rFonts w:ascii="Arial" w:hAnsi="Arial" w:cs="Arial"/>
          <w:b/>
          <w:bCs/>
        </w:rPr>
        <w:t>References</w:t>
      </w:r>
    </w:p>
    <w:p w14:paraId="1087E668" w14:textId="77777777" w:rsidR="009C00A6" w:rsidRPr="009C00A6" w:rsidRDefault="009C00A6" w:rsidP="009C00A6">
      <w:pPr>
        <w:numPr>
          <w:ilvl w:val="0"/>
          <w:numId w:val="1"/>
        </w:numPr>
        <w:rPr>
          <w:rFonts w:ascii="Arial" w:hAnsi="Arial" w:cs="Arial"/>
        </w:rPr>
      </w:pPr>
      <w:r w:rsidRPr="009C00A6">
        <w:rPr>
          <w:rFonts w:ascii="Arial" w:hAnsi="Arial" w:cs="Arial"/>
        </w:rPr>
        <w:t xml:space="preserve">Cottrell, S. (2017). </w:t>
      </w:r>
      <w:r w:rsidRPr="009C00A6">
        <w:rPr>
          <w:rFonts w:ascii="Arial" w:hAnsi="Arial" w:cs="Arial"/>
          <w:i/>
          <w:iCs/>
        </w:rPr>
        <w:t>Critical Thinking Skills: Effective Analysis, Argument and Reflection</w:t>
      </w:r>
      <w:r w:rsidRPr="009C00A6">
        <w:rPr>
          <w:rFonts w:ascii="Arial" w:hAnsi="Arial" w:cs="Arial"/>
        </w:rPr>
        <w:t>. Palgrave Macmillan.</w:t>
      </w:r>
    </w:p>
    <w:p w14:paraId="489ED648" w14:textId="77777777" w:rsidR="009C00A6" w:rsidRPr="009C00A6" w:rsidRDefault="009C00A6" w:rsidP="009C00A6">
      <w:pPr>
        <w:numPr>
          <w:ilvl w:val="0"/>
          <w:numId w:val="2"/>
        </w:numPr>
        <w:rPr>
          <w:rFonts w:ascii="Arial" w:hAnsi="Arial" w:cs="Arial"/>
        </w:rPr>
      </w:pPr>
      <w:r w:rsidRPr="009C00A6">
        <w:rPr>
          <w:rFonts w:ascii="Arial" w:hAnsi="Arial" w:cs="Arial"/>
        </w:rPr>
        <w:t xml:space="preserve">Dyer, J. H. (2020). </w:t>
      </w:r>
      <w:r w:rsidRPr="009C00A6">
        <w:rPr>
          <w:rFonts w:ascii="Arial" w:hAnsi="Arial" w:cs="Arial"/>
          <w:i/>
          <w:iCs/>
        </w:rPr>
        <w:t>The Innovator's DNA: Mastering the Five Skills of Disruptive Innovators</w:t>
      </w:r>
      <w:r w:rsidRPr="009C00A6">
        <w:rPr>
          <w:rFonts w:ascii="Arial" w:hAnsi="Arial" w:cs="Arial"/>
        </w:rPr>
        <w:t>. Harvard Business Review Press.</w:t>
      </w:r>
    </w:p>
    <w:p w14:paraId="108F7255" w14:textId="77777777" w:rsidR="009C00A6" w:rsidRPr="009C00A6" w:rsidRDefault="009C00A6" w:rsidP="009C00A6">
      <w:pPr>
        <w:numPr>
          <w:ilvl w:val="0"/>
          <w:numId w:val="3"/>
        </w:numPr>
        <w:rPr>
          <w:rFonts w:ascii="Arial" w:hAnsi="Arial" w:cs="Arial"/>
        </w:rPr>
      </w:pPr>
      <w:r w:rsidRPr="009C00A6">
        <w:rPr>
          <w:rFonts w:ascii="Arial" w:hAnsi="Arial" w:cs="Arial"/>
        </w:rPr>
        <w:t xml:space="preserve">Guffey, M. E., &amp; Loewy, D. (2018). </w:t>
      </w:r>
      <w:r w:rsidRPr="009C00A6">
        <w:rPr>
          <w:rFonts w:ascii="Arial" w:hAnsi="Arial" w:cs="Arial"/>
          <w:i/>
          <w:iCs/>
        </w:rPr>
        <w:t>Essentials of Business Communication</w:t>
      </w:r>
      <w:r w:rsidRPr="009C00A6">
        <w:rPr>
          <w:rFonts w:ascii="Arial" w:hAnsi="Arial" w:cs="Arial"/>
        </w:rPr>
        <w:t>. Cengage Learning.</w:t>
      </w:r>
    </w:p>
    <w:p w14:paraId="6A21E91D" w14:textId="77777777" w:rsidR="009C00A6" w:rsidRPr="009C00A6" w:rsidRDefault="009C00A6" w:rsidP="009C00A6">
      <w:pPr>
        <w:numPr>
          <w:ilvl w:val="0"/>
          <w:numId w:val="4"/>
        </w:numPr>
        <w:rPr>
          <w:rFonts w:ascii="Arial" w:hAnsi="Arial" w:cs="Arial"/>
        </w:rPr>
      </w:pPr>
      <w:r w:rsidRPr="009C00A6">
        <w:rPr>
          <w:rFonts w:ascii="Arial" w:hAnsi="Arial" w:cs="Arial"/>
        </w:rPr>
        <w:t xml:space="preserve">Mancini, M. (2016). </w:t>
      </w:r>
      <w:r w:rsidRPr="009C00A6">
        <w:rPr>
          <w:rFonts w:ascii="Arial" w:hAnsi="Arial" w:cs="Arial"/>
          <w:i/>
          <w:iCs/>
        </w:rPr>
        <w:t>Time Management</w:t>
      </w:r>
      <w:r w:rsidRPr="009C00A6">
        <w:rPr>
          <w:rFonts w:ascii="Arial" w:hAnsi="Arial" w:cs="Arial"/>
        </w:rPr>
        <w:t>. McGraw-Hill Education.</w:t>
      </w:r>
    </w:p>
    <w:p w14:paraId="3A143329" w14:textId="31F8ED41" w:rsidR="009C00A6" w:rsidRPr="009C00A6" w:rsidRDefault="009C00A6" w:rsidP="009C00A6">
      <w:pPr>
        <w:rPr>
          <w:rFonts w:ascii="Arial" w:hAnsi="Arial" w:cs="Arial"/>
        </w:rPr>
      </w:pPr>
      <w:r w:rsidRPr="009C00A6">
        <w:rPr>
          <w:rFonts w:ascii="Arial" w:hAnsi="Arial" w:cs="Arial"/>
        </w:rPr>
        <w:t xml:space="preserve">Robins, J. (2021). “Adaptability in the Workplace: Why it’s Important.” </w:t>
      </w:r>
      <w:r w:rsidRPr="009C00A6">
        <w:rPr>
          <w:rFonts w:ascii="Arial" w:hAnsi="Arial" w:cs="Arial"/>
          <w:i/>
          <w:iCs/>
        </w:rPr>
        <w:t>Forbes</w:t>
      </w:r>
      <w:r w:rsidRPr="009C00A6">
        <w:rPr>
          <w:rFonts w:ascii="Arial" w:hAnsi="Arial" w:cs="Arial"/>
        </w:rPr>
        <w:t>. Available at: https://www.forbes.com/adaptability</w:t>
      </w:r>
    </w:p>
    <w:sectPr w:rsidR="009C00A6" w:rsidRPr="009C00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A816EE3"/>
    <w:multiLevelType w:val="multilevel"/>
    <w:tmpl w:val="750A7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2319342">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2" w16cid:durableId="454564137">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3" w16cid:durableId="814562027">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4" w16cid:durableId="1496922270">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0A6"/>
    <w:rsid w:val="00374F44"/>
    <w:rsid w:val="008D3BB8"/>
    <w:rsid w:val="009C0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652EA1"/>
  <w15:chartTrackingRefBased/>
  <w15:docId w15:val="{75EABD35-DE9F-B44C-82E7-0BC97DB51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00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00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00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00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00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00A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00A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00A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00A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00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00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00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00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00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00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00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00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00A6"/>
    <w:rPr>
      <w:rFonts w:eastAsiaTheme="majorEastAsia" w:cstheme="majorBidi"/>
      <w:color w:val="272727" w:themeColor="text1" w:themeTint="D8"/>
    </w:rPr>
  </w:style>
  <w:style w:type="paragraph" w:styleId="Title">
    <w:name w:val="Title"/>
    <w:basedOn w:val="Normal"/>
    <w:next w:val="Normal"/>
    <w:link w:val="TitleChar"/>
    <w:uiPriority w:val="10"/>
    <w:qFormat/>
    <w:rsid w:val="009C00A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00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00A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00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00A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C00A6"/>
    <w:rPr>
      <w:i/>
      <w:iCs/>
      <w:color w:val="404040" w:themeColor="text1" w:themeTint="BF"/>
    </w:rPr>
  </w:style>
  <w:style w:type="paragraph" w:styleId="ListParagraph">
    <w:name w:val="List Paragraph"/>
    <w:basedOn w:val="Normal"/>
    <w:uiPriority w:val="34"/>
    <w:qFormat/>
    <w:rsid w:val="009C00A6"/>
    <w:pPr>
      <w:ind w:left="720"/>
      <w:contextualSpacing/>
    </w:pPr>
  </w:style>
  <w:style w:type="character" w:styleId="IntenseEmphasis">
    <w:name w:val="Intense Emphasis"/>
    <w:basedOn w:val="DefaultParagraphFont"/>
    <w:uiPriority w:val="21"/>
    <w:qFormat/>
    <w:rsid w:val="009C00A6"/>
    <w:rPr>
      <w:i/>
      <w:iCs/>
      <w:color w:val="0F4761" w:themeColor="accent1" w:themeShade="BF"/>
    </w:rPr>
  </w:style>
  <w:style w:type="paragraph" w:styleId="IntenseQuote">
    <w:name w:val="Intense Quote"/>
    <w:basedOn w:val="Normal"/>
    <w:next w:val="Normal"/>
    <w:link w:val="IntenseQuoteChar"/>
    <w:uiPriority w:val="30"/>
    <w:qFormat/>
    <w:rsid w:val="009C00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00A6"/>
    <w:rPr>
      <w:i/>
      <w:iCs/>
      <w:color w:val="0F4761" w:themeColor="accent1" w:themeShade="BF"/>
    </w:rPr>
  </w:style>
  <w:style w:type="character" w:styleId="IntenseReference">
    <w:name w:val="Intense Reference"/>
    <w:basedOn w:val="DefaultParagraphFont"/>
    <w:uiPriority w:val="32"/>
    <w:qFormat/>
    <w:rsid w:val="009C00A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8802347">
      <w:bodyDiv w:val="1"/>
      <w:marLeft w:val="0"/>
      <w:marRight w:val="0"/>
      <w:marTop w:val="0"/>
      <w:marBottom w:val="0"/>
      <w:divBdr>
        <w:top w:val="none" w:sz="0" w:space="0" w:color="auto"/>
        <w:left w:val="none" w:sz="0" w:space="0" w:color="auto"/>
        <w:bottom w:val="none" w:sz="0" w:space="0" w:color="auto"/>
        <w:right w:val="none" w:sz="0" w:space="0" w:color="auto"/>
      </w:divBdr>
    </w:div>
    <w:div w:id="1487816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292</Words>
  <Characters>1666</Characters>
  <Application>Microsoft Office Word</Application>
  <DocSecurity>0</DocSecurity>
  <Lines>13</Lines>
  <Paragraphs>3</Paragraphs>
  <ScaleCrop>false</ScaleCrop>
  <Company/>
  <LinksUpToDate>false</LinksUpToDate>
  <CharactersWithSpaces>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Cosma (2029798)</dc:creator>
  <cp:keywords/>
  <dc:description/>
  <cp:lastModifiedBy>Andrei Cosma (2029798)</cp:lastModifiedBy>
  <cp:revision>1</cp:revision>
  <dcterms:created xsi:type="dcterms:W3CDTF">2024-11-14T11:18:00Z</dcterms:created>
  <dcterms:modified xsi:type="dcterms:W3CDTF">2024-11-14T11:20:00Z</dcterms:modified>
</cp:coreProperties>
</file>