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59989" w14:textId="77777777" w:rsidR="00110620" w:rsidRDefault="00110620" w:rsidP="00110620">
      <w:pPr>
        <w:pStyle w:val="Heading1"/>
        <w:jc w:val="center"/>
      </w:pPr>
      <w:bookmarkStart w:id="0" w:name="_Toc114863165"/>
      <w:r>
        <w:t>2.0 Literature Review</w:t>
      </w:r>
      <w:bookmarkEnd w:id="0"/>
    </w:p>
    <w:p w14:paraId="56DFF81B" w14:textId="77777777" w:rsidR="00110620" w:rsidRDefault="00110620" w:rsidP="00110620"/>
    <w:p w14:paraId="693E0DC1" w14:textId="77777777" w:rsidR="00110620" w:rsidRDefault="00110620" w:rsidP="00110620">
      <w:pPr>
        <w:pStyle w:val="Heading1"/>
        <w:tabs>
          <w:tab w:val="left" w:pos="2175"/>
        </w:tabs>
      </w:pPr>
      <w:bookmarkStart w:id="1" w:name="_Toc114863166"/>
      <w:r>
        <w:t>2.1 Overview</w:t>
      </w:r>
      <w:bookmarkEnd w:id="1"/>
      <w:r>
        <w:t xml:space="preserve"> </w:t>
      </w:r>
    </w:p>
    <w:p w14:paraId="0CA29F2D" w14:textId="77777777" w:rsidR="00110620" w:rsidRPr="008A5AF3" w:rsidRDefault="00110620" w:rsidP="00110620"/>
    <w:p w14:paraId="55C130B4" w14:textId="77777777" w:rsidR="00110620" w:rsidRDefault="00110620" w:rsidP="00110620">
      <w:pPr>
        <w:jc w:val="center"/>
      </w:pPr>
      <w:r w:rsidRPr="005E77E7">
        <w:t>Nothing causes us more worry and uncertainty than anger</w:t>
      </w:r>
      <w:r>
        <w:t xml:space="preserve"> (Stearns and Stearns, 1989)</w:t>
      </w:r>
    </w:p>
    <w:p w14:paraId="6F763B6F" w14:textId="77777777" w:rsidR="00110620" w:rsidRDefault="00110620" w:rsidP="00110620">
      <w:pPr>
        <w:jc w:val="center"/>
      </w:pPr>
    </w:p>
    <w:p w14:paraId="25D30D8F" w14:textId="77777777" w:rsidR="00110620" w:rsidRPr="00632F18" w:rsidRDefault="00110620" w:rsidP="00110620">
      <w:pPr>
        <w:jc w:val="both"/>
      </w:pPr>
      <w:bookmarkStart w:id="2" w:name="_Toc114863167"/>
      <w:r>
        <w:t xml:space="preserve">In the chapter to follow the history and debates that exist surrounding anger and the management of anger to </w:t>
      </w:r>
      <w:proofErr w:type="spellStart"/>
      <w:r>
        <w:t>contexualise</w:t>
      </w:r>
      <w:proofErr w:type="spellEnd"/>
      <w:r>
        <w:t xml:space="preserve"> an understanding of the current situation. This will be followed by several existing researches that will review the management of anger approaches in a client centred therapy scenario. The following segments will explore and outline contemporary research, which will highlight the complexity of therapeutically working with anger issues within client centred therapy alongside the limitations of managing anger using different approaches which have been adapted previously in these scenarios.</w:t>
      </w:r>
    </w:p>
    <w:p w14:paraId="2CBBE0B8" w14:textId="77777777" w:rsidR="00110620" w:rsidRPr="008A5AF3" w:rsidRDefault="00110620" w:rsidP="00110620">
      <w:pPr>
        <w:pStyle w:val="Heading1"/>
        <w:jc w:val="both"/>
      </w:pPr>
      <w:r w:rsidRPr="008A5AF3">
        <w:t>2.2 anger as a concept</w:t>
      </w:r>
      <w:bookmarkEnd w:id="2"/>
    </w:p>
    <w:p w14:paraId="3EA8CE68" w14:textId="77777777" w:rsidR="00110620" w:rsidRDefault="00110620" w:rsidP="00110620">
      <w:pPr>
        <w:jc w:val="both"/>
      </w:pPr>
      <w:r w:rsidRPr="00AA7ED3">
        <w:t xml:space="preserve">As opposed to the argument over whether </w:t>
      </w:r>
      <w:r>
        <w:t>anger</w:t>
      </w:r>
      <w:r w:rsidRPr="00AA7ED3">
        <w:t xml:space="preserve"> is an adaptive or maladaptive emotion, </w:t>
      </w:r>
      <w:r>
        <w:t xml:space="preserve">it is argued by </w:t>
      </w:r>
      <w:proofErr w:type="spellStart"/>
      <w:r>
        <w:t>Roffman</w:t>
      </w:r>
      <w:proofErr w:type="spellEnd"/>
      <w:r>
        <w:t xml:space="preserve"> (2004) a</w:t>
      </w:r>
      <w:r w:rsidRPr="00D34B35">
        <w:t>ccepting the notion that there is "</w:t>
      </w:r>
      <w:r>
        <w:t>anger</w:t>
      </w:r>
      <w:r w:rsidRPr="00D34B35">
        <w:t>" is insufficient</w:t>
      </w:r>
      <w:r>
        <w:t xml:space="preserve">, The researcher viewed therapist driven differences between functional and dysfunctional non-disturbed anger relating to the pre-existing undifferentiated structure of anger by individuals. </w:t>
      </w:r>
      <w:proofErr w:type="spellStart"/>
      <w:r>
        <w:t>Roffman</w:t>
      </w:r>
      <w:proofErr w:type="spellEnd"/>
      <w:r>
        <w:t xml:space="preserve"> (2004) suggests that therapists must not assume that they understand what the client is saying when using anger to communicate, even if the communication is clear, especially if the cultural background is shared sufficiently as this can indulge themselves in illusion of self-evidence. The researcher also claims that if therapists agree to anger existing it could constitute achievement of consensual validation agreed merely on a description rather than isolating the issue. Laughlin and Warner (2005) additionally add to this argument and claims that a list of disorders and symptoms </w:t>
      </w:r>
      <w:proofErr w:type="spellStart"/>
      <w:r>
        <w:t>can not</w:t>
      </w:r>
      <w:proofErr w:type="spellEnd"/>
      <w:r>
        <w:t xml:space="preserve"> be captured by the entirety regarding anger and diagnosis would segregate anger as an </w:t>
      </w:r>
      <w:proofErr w:type="spellStart"/>
      <w:r>
        <w:t>individuals</w:t>
      </w:r>
      <w:proofErr w:type="spellEnd"/>
      <w:r>
        <w:t xml:space="preserve"> state internally or within the clients condition. According to </w:t>
      </w:r>
      <w:proofErr w:type="spellStart"/>
      <w:r>
        <w:t>Gregen</w:t>
      </w:r>
      <w:proofErr w:type="spellEnd"/>
      <w:r>
        <w:t xml:space="preserve"> (1991) even when facing the quantifiable and observable physiological measures, therapist and clinicians face are vulnerable to the fundamental premises and must remember firstly that emotions are of existence, and secondly, emptions are manifested in these measures.</w:t>
      </w:r>
    </w:p>
    <w:p w14:paraId="6D034445" w14:textId="77777777" w:rsidR="00110620" w:rsidRDefault="00110620" w:rsidP="00110620">
      <w:pPr>
        <w:jc w:val="both"/>
      </w:pPr>
      <w:r>
        <w:t xml:space="preserve">According to several researchers (Roseman, Antonio and Jose, 1996; Mikulincer,1994; Lerner and Keltner, 2001), anger associates with constant symptoms, for example anger is characterised on the appraise of power, control, certainty and invulnerability feelings. Therefore </w:t>
      </w:r>
      <w:proofErr w:type="spellStart"/>
      <w:r>
        <w:t>Roffmann</w:t>
      </w:r>
      <w:proofErr w:type="spellEnd"/>
      <w:r>
        <w:t xml:space="preserve"> (2004) claims that anger is mistakenly determined to be generally valid alongside consistent symptoms, regardless of the cultural or historical period. </w:t>
      </w:r>
      <w:proofErr w:type="spellStart"/>
      <w:r>
        <w:t>Wierzbika</w:t>
      </w:r>
      <w:proofErr w:type="spellEnd"/>
      <w:r>
        <w:t xml:space="preserve"> (1992a;1992b) also conducted research and identified that in several cultures there are no meaning nor words anger and argues that the emotions an individual experiences are of </w:t>
      </w:r>
      <w:proofErr w:type="spellStart"/>
      <w:r>
        <w:t>ones</w:t>
      </w:r>
      <w:proofErr w:type="spellEnd"/>
      <w:r>
        <w:t xml:space="preserve"> private experiences which are therefore difficult for translation from one language to another. Thus indicating the impossibilities of fixing a certain definitive conception of the real constitute of anger. It is also argued by Harris (2002) that social and cultural reasons for the change of anger and attempts to define a concept of anger which is universal is reflected in a wider trend within western cultures while medicalising emotions. Thus resulting in a distraction to social understanding of the real concept of anger in terms of the individuals life and instead moves towards a </w:t>
      </w:r>
      <w:proofErr w:type="spellStart"/>
      <w:r>
        <w:t>pathologising</w:t>
      </w:r>
      <w:proofErr w:type="spellEnd"/>
      <w:r>
        <w:t xml:space="preserve"> medical perspective. </w:t>
      </w:r>
      <w:r w:rsidRPr="00640E18">
        <w:t xml:space="preserve">As a result, an intersubjective </w:t>
      </w:r>
      <w:r w:rsidRPr="00640E18">
        <w:lastRenderedPageBreak/>
        <w:t>understanding of anger is used in this study. Such a perspective sees anger as both an individual and a social product. It is inevitable that cultural discourses influence how individuals understand anger, but this process also involves how individuals re-experience and re-interpret the relationships and events in their lives. As such, rage is always a "in-relation-to phenomenon," always occurring in a social context. This perspective incorporates the more relational principles ingrained in the paradigm of counselling psychology.</w:t>
      </w:r>
      <w:bookmarkStart w:id="3" w:name="_Toc114863168"/>
      <w:r>
        <w:t xml:space="preserve"> </w:t>
      </w:r>
      <w:r w:rsidRPr="008F56BC">
        <w:t xml:space="preserve">In order to explore both the positive and negative sides of rage within the relationship, we need to connect with lived experience and socially entrenched meanings, as summarised by </w:t>
      </w:r>
      <w:proofErr w:type="spellStart"/>
      <w:r w:rsidRPr="008F56BC">
        <w:t>Roffman</w:t>
      </w:r>
      <w:proofErr w:type="spellEnd"/>
      <w:r w:rsidRPr="008F56BC">
        <w:t>(2004).</w:t>
      </w:r>
      <w:bookmarkEnd w:id="3"/>
    </w:p>
    <w:p w14:paraId="315EF8C3" w14:textId="77777777" w:rsidR="00110620" w:rsidRDefault="00110620" w:rsidP="00110620">
      <w:pPr>
        <w:pStyle w:val="Heading1"/>
      </w:pPr>
      <w:bookmarkStart w:id="4" w:name="_Toc114863169"/>
      <w:r>
        <w:t>2.4 Nature and functions of anger</w:t>
      </w:r>
      <w:bookmarkEnd w:id="4"/>
    </w:p>
    <w:p w14:paraId="237A27AF" w14:textId="77777777" w:rsidR="00110620" w:rsidRPr="00B745A9" w:rsidRDefault="00110620" w:rsidP="00110620">
      <w:r w:rsidRPr="008F56BC">
        <w:t>Our brain's limbic system is primarily responsible for emotional reactions (Moyer 1968). Anger is a powerful emotion that has identifiable autonomic nervous system components as well as cognitive components. It is a strong emotional reaction to provocation (experience/situation) (</w:t>
      </w:r>
      <w:proofErr w:type="spellStart"/>
      <w:r w:rsidRPr="008F56BC">
        <w:t>Novaco</w:t>
      </w:r>
      <w:proofErr w:type="spellEnd"/>
      <w:r w:rsidRPr="008F56BC">
        <w:t>, 1975)</w:t>
      </w:r>
      <w:r>
        <w:t xml:space="preserve">. </w:t>
      </w:r>
      <w:r w:rsidRPr="002F753A">
        <w:t>It's classified as a secondary feeling. Simply put, this indicates that anger is preceded by another feeling</w:t>
      </w:r>
      <w:r>
        <w:t xml:space="preserve"> as a</w:t>
      </w:r>
      <w:r w:rsidRPr="002F753A">
        <w:t>nger plays a variety of roles.</w:t>
      </w:r>
      <w:r>
        <w:t xml:space="preserve"> </w:t>
      </w:r>
      <w:r w:rsidRPr="002F753A">
        <w:t xml:space="preserve">Anger causes us to express bad feelings or cultivate impulsive behaviour in others. Additionally, it kills us to prepare </w:t>
      </w:r>
      <w:proofErr w:type="spellStart"/>
      <w:r w:rsidRPr="002F753A">
        <w:t>our selves</w:t>
      </w:r>
      <w:proofErr w:type="spellEnd"/>
      <w:r w:rsidRPr="002F753A">
        <w:t xml:space="preserve"> to defend our existence.</w:t>
      </w:r>
      <w:r>
        <w:t xml:space="preserve"> </w:t>
      </w:r>
      <w:r w:rsidRPr="004B2ED0">
        <w:t xml:space="preserve">In </w:t>
      </w:r>
      <w:proofErr w:type="spellStart"/>
      <w:r w:rsidRPr="004B2ED0">
        <w:t>Novaco</w:t>
      </w:r>
      <w:proofErr w:type="spellEnd"/>
      <w:r w:rsidRPr="004B2ED0">
        <w:t xml:space="preserve"> (1975), anger is criticised for its destructive nature. Anger will fuel the attack reaction when there is a physical threat.</w:t>
      </w:r>
      <w:r>
        <w:t xml:space="preserve"> T</w:t>
      </w:r>
      <w:r w:rsidRPr="004B2ED0">
        <w:t>he brain's catecholamines (</w:t>
      </w:r>
      <w:r>
        <w:t>I.</w:t>
      </w:r>
      <w:r w:rsidRPr="004B2ED0">
        <w:t xml:space="preserve">E. adrenaline and no adrenaline) cause a chemical reaction that is the basis of the body's physiological reaction to a dangerous circumstance ( </w:t>
      </w:r>
      <w:proofErr w:type="spellStart"/>
      <w:r w:rsidRPr="004B2ED0">
        <w:t>Ax</w:t>
      </w:r>
      <w:proofErr w:type="spellEnd"/>
      <w:r w:rsidRPr="004B2ED0">
        <w:t xml:space="preserve">, 1953; </w:t>
      </w:r>
      <w:proofErr w:type="spellStart"/>
      <w:r w:rsidRPr="004B2ED0">
        <w:t>Funkenstein</w:t>
      </w:r>
      <w:proofErr w:type="spellEnd"/>
      <w:r w:rsidRPr="004B2ED0">
        <w:t xml:space="preserve">, Greenblatt </w:t>
      </w:r>
      <w:r>
        <w:t>and</w:t>
      </w:r>
      <w:r w:rsidRPr="004B2ED0">
        <w:t xml:space="preserve"> </w:t>
      </w:r>
      <w:proofErr w:type="spellStart"/>
      <w:r w:rsidRPr="004B2ED0">
        <w:t>Soiomon</w:t>
      </w:r>
      <w:proofErr w:type="spellEnd"/>
      <w:r>
        <w:t>,</w:t>
      </w:r>
      <w:r w:rsidRPr="004B2ED0">
        <w:t xml:space="preserve"> 1962;  Schacter, 1957).</w:t>
      </w:r>
      <w:r>
        <w:t xml:space="preserve"> </w:t>
      </w:r>
      <w:r w:rsidRPr="004B2ED0">
        <w:t>cardiac modifications Following fear and anger induction experiments, there has been a tendency to be a pattern of adrenaline for fear and a pattern of noradrenaline for anger. This chemical process raises or reduces our systolic blood pressure, diastolic blood pressure, or both.</w:t>
      </w:r>
      <w:r>
        <w:t xml:space="preserve"> </w:t>
      </w:r>
      <w:r w:rsidRPr="00314FA7">
        <w:t>Our physical strength and other altered physiological functions increase along with an increase in heart rate. Although the body is ready to respond, it is our cognitive processes that determine how we behave.</w:t>
      </w:r>
      <w:r>
        <w:t xml:space="preserve"> </w:t>
      </w:r>
      <w:r w:rsidRPr="00314FA7">
        <w:t xml:space="preserve">In contrast to the research mentioned by </w:t>
      </w:r>
      <w:proofErr w:type="spellStart"/>
      <w:r w:rsidRPr="00314FA7">
        <w:t>Ax</w:t>
      </w:r>
      <w:proofErr w:type="spellEnd"/>
      <w:r w:rsidRPr="00314FA7">
        <w:t xml:space="preserve">, </w:t>
      </w:r>
      <w:proofErr w:type="spellStart"/>
      <w:r w:rsidRPr="00314FA7">
        <w:t>Funkennein</w:t>
      </w:r>
      <w:proofErr w:type="spellEnd"/>
      <w:r w:rsidRPr="00314FA7">
        <w:t xml:space="preserve"> and Schacter, Bandura (1973) found that fear and anger had similar physiological correlates and that the emotions experienced depended on observable external effects originating from emotional arousal.</w:t>
      </w:r>
    </w:p>
    <w:p w14:paraId="20512C0F" w14:textId="77777777" w:rsidR="00110620" w:rsidRDefault="00110620" w:rsidP="00110620">
      <w:pPr>
        <w:pStyle w:val="Heading1"/>
      </w:pPr>
      <w:bookmarkStart w:id="5" w:name="_Toc114863170"/>
      <w:r>
        <w:t>2.5 Common factors in anger management</w:t>
      </w:r>
      <w:bookmarkEnd w:id="5"/>
      <w:r>
        <w:t xml:space="preserve"> </w:t>
      </w:r>
    </w:p>
    <w:p w14:paraId="6513F9DD" w14:textId="77777777" w:rsidR="00110620" w:rsidRDefault="00110620" w:rsidP="00110620">
      <w:r w:rsidRPr="00D554A2">
        <w:t>Most treatments aimed at improving individuals’ anger management have been focused on specific interventions to reduce the experience and manage the expression of</w:t>
      </w:r>
      <w:r>
        <w:t xml:space="preserve"> </w:t>
      </w:r>
      <w:r w:rsidRPr="00D554A2">
        <w:t>anger (e.g., skills training)</w:t>
      </w:r>
      <w:r>
        <w:t xml:space="preserve">. </w:t>
      </w:r>
      <w:r w:rsidRPr="009B5527">
        <w:t>However, while working with people who have heightened expressiveness or rage, several scholars have acknowledged the significance of common elements, particularly with reference to the therapeutic alliance.</w:t>
      </w:r>
      <w:r>
        <w:t xml:space="preserve"> </w:t>
      </w:r>
      <w:r w:rsidRPr="009B5527">
        <w:t xml:space="preserve">According to </w:t>
      </w:r>
      <w:proofErr w:type="spellStart"/>
      <w:r w:rsidRPr="009B5527">
        <w:t>Deffenbacher</w:t>
      </w:r>
      <w:proofErr w:type="spellEnd"/>
      <w:r w:rsidRPr="009B5527">
        <w:t xml:space="preserve"> (2011), it's common for people with strong anger reactions to externalise their sources of rage (i.e., to see their sources as coming from outside of themselves and hold those sources accountable for their anger) and to struggle with understanding their anger as a personal issue.</w:t>
      </w:r>
      <w:r>
        <w:t xml:space="preserve"> </w:t>
      </w:r>
      <w:r w:rsidRPr="009B5527">
        <w:t>It might be challenging to convince patients that anger control should be a focus of therapy in this situation.</w:t>
      </w:r>
      <w:r>
        <w:t xml:space="preserve"> </w:t>
      </w:r>
      <w:r w:rsidRPr="00481634">
        <w:t xml:space="preserve">Before beginning the more formal process of anger management, </w:t>
      </w:r>
      <w:proofErr w:type="spellStart"/>
      <w:r w:rsidRPr="00481634">
        <w:t>Deffenbacher</w:t>
      </w:r>
      <w:proofErr w:type="spellEnd"/>
      <w:r w:rsidRPr="00481634">
        <w:t xml:space="preserve"> (2011) advises focusing on the therapeutic alliance to validate the client's experiences and starting with a motivational interview centred on making personal contributions to enhancing the relationship.</w:t>
      </w:r>
      <w:r>
        <w:t xml:space="preserve"> </w:t>
      </w:r>
      <w:r w:rsidRPr="00481634">
        <w:t>This first step can have the impact of developing the therapeutic alliance and assisting the client to be more responsive to the clinician's subsequent treatments because agreement between the therapist and client on tasks and on therapy goals is one of the components of the therapeutic alliance.</w:t>
      </w:r>
      <w:r>
        <w:t xml:space="preserve"> </w:t>
      </w:r>
      <w:r w:rsidRPr="00A618C9">
        <w:t xml:space="preserve">Similar to this, </w:t>
      </w:r>
      <w:proofErr w:type="spellStart"/>
      <w:r w:rsidRPr="00A618C9">
        <w:t>Novaco</w:t>
      </w:r>
      <w:proofErr w:type="spellEnd"/>
      <w:r w:rsidRPr="00A618C9">
        <w:t xml:space="preserve"> (2011) discovered in his evaluation of the research on anger management therapy that therapeutic alliance, particularly validation, could help promote clients' treatment involvement.</w:t>
      </w:r>
      <w:r>
        <w:t xml:space="preserve"> </w:t>
      </w:r>
      <w:r w:rsidRPr="00A8573F">
        <w:t xml:space="preserve">The therapist should continue work </w:t>
      </w:r>
      <w:r w:rsidRPr="00A8573F">
        <w:lastRenderedPageBreak/>
        <w:t>to urge the client to accept personal responsibility for change by setting anger management as a goal, even though validating the person's unique experiences might help the alliance.</w:t>
      </w:r>
    </w:p>
    <w:p w14:paraId="4A6578E3" w14:textId="77777777" w:rsidR="00110620" w:rsidRDefault="00110620" w:rsidP="00110620"/>
    <w:p w14:paraId="31DB81FE" w14:textId="77777777" w:rsidR="00110620" w:rsidRDefault="00110620" w:rsidP="00110620">
      <w:pPr>
        <w:pStyle w:val="Heading1"/>
      </w:pPr>
      <w:bookmarkStart w:id="6" w:name="_Toc114863171"/>
      <w:r>
        <w:t>2.6 Maladaptive anger vs adoptive anger</w:t>
      </w:r>
      <w:bookmarkEnd w:id="6"/>
      <w:r>
        <w:t xml:space="preserve"> </w:t>
      </w:r>
    </w:p>
    <w:p w14:paraId="4D16CBD5" w14:textId="77777777" w:rsidR="00110620" w:rsidRDefault="00110620" w:rsidP="00110620"/>
    <w:p w14:paraId="7E968D0E" w14:textId="77777777" w:rsidR="00110620" w:rsidRPr="001212FD" w:rsidRDefault="00110620" w:rsidP="00110620">
      <w:pPr>
        <w:rPr>
          <w:highlight w:val="yellow"/>
        </w:rPr>
      </w:pPr>
      <w:r w:rsidRPr="001212FD">
        <w:rPr>
          <w:highlight w:val="yellow"/>
        </w:rPr>
        <w:t>In the second century, the writings of Aristotle, Seneca, and Plutarch laid the foundation for our knowledge of anger, its management, and some of the important arguments that have since arisen (Schimmel, 1979). These three authors agreed that anger is a powerful emotion brought on when someone experiences or believes they have experienced pain, a slight, or an injury that inspires a desire for retribution (</w:t>
      </w:r>
      <w:proofErr w:type="spellStart"/>
      <w:r w:rsidRPr="001212FD">
        <w:rPr>
          <w:highlight w:val="yellow"/>
        </w:rPr>
        <w:t>DiGiuseppe</w:t>
      </w:r>
      <w:proofErr w:type="spellEnd"/>
      <w:r w:rsidRPr="001212FD">
        <w:rPr>
          <w:highlight w:val="yellow"/>
        </w:rPr>
        <w:t xml:space="preserve"> &amp; </w:t>
      </w:r>
      <w:proofErr w:type="spellStart"/>
      <w:r w:rsidRPr="001212FD">
        <w:rPr>
          <w:highlight w:val="yellow"/>
        </w:rPr>
        <w:t>Tafrate</w:t>
      </w:r>
      <w:proofErr w:type="spellEnd"/>
      <w:r w:rsidRPr="001212FD">
        <w:rPr>
          <w:highlight w:val="yellow"/>
        </w:rPr>
        <w:t xml:space="preserve">, 2007). They advocated refraining from anger because they thought it may confuse judgement and reduce interpersonal efficacy. They also believed that anger could never be functional. Furthermore, </w:t>
      </w:r>
      <w:proofErr w:type="spellStart"/>
      <w:r w:rsidRPr="001212FD">
        <w:rPr>
          <w:highlight w:val="yellow"/>
        </w:rPr>
        <w:t>DiGiuseppe</w:t>
      </w:r>
      <w:proofErr w:type="spellEnd"/>
      <w:r w:rsidRPr="001212FD">
        <w:rPr>
          <w:highlight w:val="yellow"/>
        </w:rPr>
        <w:t xml:space="preserve"> (1995) contends that when thinking about how to use anger therapeutically, it has frequently been difficult due to the English language's inability to discern between functional and dysfunctional anger. According to </w:t>
      </w:r>
      <w:proofErr w:type="spellStart"/>
      <w:r w:rsidRPr="001212FD">
        <w:rPr>
          <w:highlight w:val="yellow"/>
        </w:rPr>
        <w:t>Deffenbacher</w:t>
      </w:r>
      <w:proofErr w:type="spellEnd"/>
      <w:r w:rsidRPr="001212FD">
        <w:rPr>
          <w:highlight w:val="yellow"/>
        </w:rPr>
        <w:t xml:space="preserve">, </w:t>
      </w:r>
      <w:proofErr w:type="spellStart"/>
      <w:r w:rsidRPr="001212FD">
        <w:rPr>
          <w:highlight w:val="yellow"/>
        </w:rPr>
        <w:t>Oetting</w:t>
      </w:r>
      <w:proofErr w:type="spellEnd"/>
      <w:r w:rsidRPr="001212FD">
        <w:rPr>
          <w:highlight w:val="yellow"/>
        </w:rPr>
        <w:t>, Lynch, and Morris (1996), the term "anger" can be used to describe an emotional state, a personality attribute, and a mood, with the "state" of anger occasionally resulting in useful behaviour. They contend that this indicates that signals to engage in dispute resolution may be interfered with if one consistently controls their anger. They further contend that persistently experiencing an angry "state" denotes an angry "trait," which might be unhealthy. Anger may serve a useful purpose when used in psychotherapy, according to process research on emotional expression. To examine the role of anger in the recovery of two female victims suffering from anger, </w:t>
      </w:r>
      <w:proofErr w:type="spellStart"/>
      <w:r w:rsidRPr="001212FD">
        <w:rPr>
          <w:highlight w:val="yellow"/>
        </w:rPr>
        <w:t>VanVelsor</w:t>
      </w:r>
      <w:proofErr w:type="spellEnd"/>
      <w:r w:rsidRPr="001212FD">
        <w:rPr>
          <w:highlight w:val="yellow"/>
        </w:rPr>
        <w:t xml:space="preserve"> and Cox (2001) used two case studies. They discovered that rage was a healthy emotional reaction to abuse, serving as a means for victims to take back control from their abusers and increase their sense of self-efficacy. Similar studies by Thomas, Bannister, and Hall (2012) revealed that female abuse survivors felt empowered to move toward healing by expressing their anger in a variety of ways. Additionally, task analytic research has demonstrated that facilitating the experience and expression of anger within a theoretical framework results in an effective psychotherapy outcome across many emotion focused therapy (EFT) interventions (e.g., self-critical two-chairing dialogues, Greenberg &amp; Forester, 1996; unfinished interpersonal business in empty-chairing dialogues, </w:t>
      </w:r>
      <w:proofErr w:type="spellStart"/>
      <w:r w:rsidRPr="001212FD">
        <w:rPr>
          <w:highlight w:val="yellow"/>
        </w:rPr>
        <w:t>Paivio</w:t>
      </w:r>
      <w:proofErr w:type="spellEnd"/>
      <w:r w:rsidRPr="001212FD">
        <w:rPr>
          <w:highlight w:val="yellow"/>
        </w:rPr>
        <w:t xml:space="preserve"> &amp; Greenberg, 1995). According to research, mental patients who properly express their anger in therapy had improved functioning (Moos, Shelton, &amp; Petty, 1973). Therefore, it may be argued that there is potential value in confronting and expressing anger in a specific scenario because doing so can inspire constructive action and give one a sense of control over potentially dangerous circumstances. However, researchers have also discovered that inappropriately expressed anger by clients is frequently linked to poor therapy outcomes in the literature on psychotherapy outcomes (Henry, Schacht, &amp; </w:t>
      </w:r>
      <w:proofErr w:type="spellStart"/>
      <w:r w:rsidRPr="001212FD">
        <w:rPr>
          <w:highlight w:val="yellow"/>
        </w:rPr>
        <w:t>Strupp</w:t>
      </w:r>
      <w:proofErr w:type="spellEnd"/>
      <w:r w:rsidRPr="001212FD">
        <w:rPr>
          <w:highlight w:val="yellow"/>
        </w:rPr>
        <w:t>, 1990). According to empirical studies, catharsis does not always lead to a decrease in anger, Mayne and Ambrose (1999) observed in their qualitative evaluation of the literature on anger in psychotherapy. In fact, scientists contend that venting can magnify signals in the brain's internal feedback loop, which may increase the intensity and expression of rage.</w:t>
      </w:r>
    </w:p>
    <w:p w14:paraId="70AE5AC1" w14:textId="77777777" w:rsidR="00110620" w:rsidRPr="001212FD" w:rsidRDefault="00110620" w:rsidP="00110620">
      <w:pPr>
        <w:rPr>
          <w:highlight w:val="yellow"/>
        </w:rPr>
      </w:pPr>
      <w:r w:rsidRPr="001212FD">
        <w:rPr>
          <w:highlight w:val="yellow"/>
        </w:rPr>
        <w:t xml:space="preserve">Whatley, Foreman, and Richards (1998) discovered that expressing large amounts of anger through venting had a poor long-term relationship with problem-focused coping and was linked to violent and antisocial behaviour. Conversely, suppressing or repressing anger may have detrimental repercussions such as less social support and an increased risk of cardiovascular disease (Mayne &amp; Ambrose, 1999). Although a study by John and Gross (2004) suggested that anger repression can also be detrimental to a person's functioning on an emotional and social level, rage out expressing </w:t>
      </w:r>
      <w:r w:rsidRPr="001212FD">
        <w:rPr>
          <w:highlight w:val="yellow"/>
        </w:rPr>
        <w:lastRenderedPageBreak/>
        <w:t>has garnered more attention in this field of research than anger suppression. They suggest that suppression of any emotion, anger included, leads to decreased positive emotional experiences, compromised social functioning and memory impairment for social information. Additionally, according to Gross and Levenson's research from 1997, suppressing anger on a regular basis might be just as harmful as having violent outbursts. According to Thomas et al. (2012), researchers have a tendency to focus on two maladaptive kinds of anger expression: "anger out" (expressing anger against others) and "anger in" (reserving anger), both of which are thought to have negative social and health effects. Thomas (2005) contends that women are more likely than males to suppress or divert their anger, in part because women are socialised to view anger as unfeminine and unpleasant due to gender roles.</w:t>
      </w:r>
    </w:p>
    <w:p w14:paraId="6BDC83F0" w14:textId="77777777" w:rsidR="00110620" w:rsidRDefault="00110620" w:rsidP="00110620">
      <w:r w:rsidRPr="001212FD">
        <w:rPr>
          <w:highlight w:val="yellow"/>
        </w:rPr>
        <w:t xml:space="preserve">According to Cox, </w:t>
      </w:r>
      <w:proofErr w:type="spellStart"/>
      <w:r w:rsidRPr="001212FD">
        <w:rPr>
          <w:highlight w:val="yellow"/>
        </w:rPr>
        <w:t>Stabb</w:t>
      </w:r>
      <w:proofErr w:type="spellEnd"/>
      <w:r w:rsidRPr="001212FD">
        <w:rPr>
          <w:highlight w:val="yellow"/>
        </w:rPr>
        <w:t>, and Bruckner (1999), women face a fundamental conflict between adaptive function and social restraint. Only 6.2% of women in a sizable sample of American and Canadian women (</w:t>
      </w:r>
      <w:proofErr w:type="spellStart"/>
      <w:r w:rsidRPr="001212FD">
        <w:rPr>
          <w:highlight w:val="yellow"/>
        </w:rPr>
        <w:t>Praill</w:t>
      </w:r>
      <w:proofErr w:type="spellEnd"/>
      <w:r w:rsidRPr="001212FD">
        <w:rPr>
          <w:highlight w:val="yellow"/>
        </w:rPr>
        <w:t>, 2010) said that externalising anger was appropriate. The socially manufactured idea that women must maintain interpersonal harmony has been a hurdle for women when it comes to expressing their emotions (Jack, 1991). Women, according to Lerner (1988), feel guilty if they let their anger out because they fear losing their connection with the other. Aristotle (1941) once believed that women expressed anger to seek retribution, but more recent research by Thomas (2005) indicated that this was not the case. Instead, women expressed anger to seek relational reciprocity.</w:t>
      </w:r>
      <w:bookmarkStart w:id="7" w:name="_Toc114863172"/>
      <w:r w:rsidRPr="001212FD">
        <w:rPr>
          <w:highlight w:val="yellow"/>
        </w:rPr>
        <w:t xml:space="preserve"> As a result, Thomas et al (2012), argue that there have historically been divergent perspectives on what constitutes functional versus dysfunctional rage and how therapists should approach it in a way that is therapeutic and health-promoting. It would seem that opinions on how to deal with rage effectively can differ substantially depending on factors including gender, status, social roles, and cultural environment.</w:t>
      </w:r>
    </w:p>
    <w:p w14:paraId="05BE88B3" w14:textId="77777777" w:rsidR="00110620" w:rsidRPr="00FE29F2" w:rsidRDefault="00110620" w:rsidP="00110620">
      <w:pPr>
        <w:pStyle w:val="Heading1"/>
      </w:pPr>
      <w:r>
        <w:t>2.7 adolescence and anger</w:t>
      </w:r>
      <w:bookmarkEnd w:id="7"/>
    </w:p>
    <w:p w14:paraId="798EEDE7" w14:textId="77777777" w:rsidR="00110620" w:rsidRPr="00FE29F2" w:rsidRDefault="00110620" w:rsidP="00110620">
      <w:pPr>
        <w:rPr>
          <w:highlight w:val="yellow"/>
        </w:rPr>
      </w:pPr>
      <w:r w:rsidRPr="00FE29F2">
        <w:rPr>
          <w:highlight w:val="yellow"/>
        </w:rPr>
        <w:t>According to one definition, adolescence is a period of strife and upheaval brought on by the process of adjusting to puberty (</w:t>
      </w:r>
      <w:proofErr w:type="spellStart"/>
      <w:r w:rsidRPr="00FE29F2">
        <w:rPr>
          <w:highlight w:val="yellow"/>
        </w:rPr>
        <w:t>Blos</w:t>
      </w:r>
      <w:proofErr w:type="spellEnd"/>
      <w:r w:rsidRPr="00FE29F2">
        <w:rPr>
          <w:highlight w:val="yellow"/>
        </w:rPr>
        <w:t xml:space="preserve">. 1979). Erickson (1968) referred to this time as a normative crisis and a moment of tension between the individual and society, during which one discovers their identity. Significant psychological, physical, and social change and development can occur during adolescence. Adolescence initially features rapid physical maturation and sexual development. Only the foetal and neonatal stages of human development can surpass the physical metamorphosis that occurs during this time (Kendall &amp; </w:t>
      </w:r>
      <w:proofErr w:type="spellStart"/>
      <w:r w:rsidRPr="00FE29F2">
        <w:rPr>
          <w:highlight w:val="yellow"/>
        </w:rPr>
        <w:t>Wüliamson</w:t>
      </w:r>
      <w:proofErr w:type="spellEnd"/>
      <w:r w:rsidRPr="00FE29F2">
        <w:rPr>
          <w:highlight w:val="yellow"/>
        </w:rPr>
        <w:t>, 1986).</w:t>
      </w:r>
    </w:p>
    <w:p w14:paraId="7B499D91" w14:textId="77777777" w:rsidR="00110620" w:rsidRPr="00FE29F2" w:rsidRDefault="00110620" w:rsidP="00110620">
      <w:pPr>
        <w:rPr>
          <w:highlight w:val="yellow"/>
        </w:rPr>
      </w:pPr>
      <w:r w:rsidRPr="00FE29F2">
        <w:rPr>
          <w:highlight w:val="yellow"/>
        </w:rPr>
        <w:t xml:space="preserve">Most teenagers find the transition to adulthood to be challenging. Adolescents are forming important connections within their social group, striving to establish their independence from their family or place of origin, and searching for their own identity. Since it has recently come into the spotlight, many teenagers' sexuality has the potential to become their main focus. The extreme mood swings that many parents witness in their teenagers are associated with the hyperactive hormonal surges (White &amp; </w:t>
      </w:r>
      <w:proofErr w:type="spellStart"/>
      <w:r w:rsidRPr="00FE29F2">
        <w:rPr>
          <w:highlight w:val="yellow"/>
        </w:rPr>
        <w:t>Speisman</w:t>
      </w:r>
      <w:proofErr w:type="spellEnd"/>
      <w:r w:rsidRPr="00FE29F2">
        <w:rPr>
          <w:highlight w:val="yellow"/>
        </w:rPr>
        <w:t>, 1977).</w:t>
      </w:r>
    </w:p>
    <w:p w14:paraId="522EBE2F" w14:textId="77777777" w:rsidR="00110620" w:rsidRPr="00FE29F2" w:rsidRDefault="00110620" w:rsidP="00110620">
      <w:pPr>
        <w:rPr>
          <w:highlight w:val="yellow"/>
        </w:rPr>
      </w:pPr>
      <w:r w:rsidRPr="00FE29F2">
        <w:rPr>
          <w:highlight w:val="yellow"/>
        </w:rPr>
        <w:t>The development of adolescent cognitive skills is also taking place. Teenagers have the capacity to build theories and systems and think about thought. They are able to reason using the hypothetical. The transition from concrete to formal processes is the main change that occurs during adolescence (Piaget, 1969). Their understanding of time is expanded, and they can start to think in terms other than the present. Egocentrism is a trait that adolescents' intellectual development is also prone to (Le., a failure to distinguish between self and others). Teenagers believe that their ideas are powerful and significant when they are able to make predictions about the world. No matter what is true, the world as people perceive it should be as they believe it to be (Piaget, 1968).</w:t>
      </w:r>
    </w:p>
    <w:p w14:paraId="6642EA50" w14:textId="77777777" w:rsidR="00110620" w:rsidRPr="00FE29F2" w:rsidRDefault="00110620" w:rsidP="00110620">
      <w:pPr>
        <w:rPr>
          <w:highlight w:val="yellow"/>
        </w:rPr>
      </w:pPr>
      <w:r w:rsidRPr="00FE29F2">
        <w:rPr>
          <w:highlight w:val="yellow"/>
        </w:rPr>
        <w:lastRenderedPageBreak/>
        <w:t xml:space="preserve">Overcoming egocentrism is referred to as a </w:t>
      </w:r>
      <w:proofErr w:type="spellStart"/>
      <w:r w:rsidRPr="00FE29F2">
        <w:rPr>
          <w:highlight w:val="yellow"/>
        </w:rPr>
        <w:t>decentering</w:t>
      </w:r>
      <w:proofErr w:type="spellEnd"/>
      <w:r w:rsidRPr="00FE29F2">
        <w:rPr>
          <w:highlight w:val="yellow"/>
        </w:rPr>
        <w:t xml:space="preserve"> process by Piaget (1968). The transition from a constrained perspective to a more differentiated outlook happens concurrently in social interactions and thinking processes. Peer pressure to conform leads to the formation of close-knit groups, which are also seen as beneficial to the </w:t>
      </w:r>
      <w:proofErr w:type="spellStart"/>
      <w:r w:rsidRPr="00FE29F2">
        <w:rPr>
          <w:highlight w:val="yellow"/>
        </w:rPr>
        <w:t>decentering</w:t>
      </w:r>
      <w:proofErr w:type="spellEnd"/>
      <w:r w:rsidRPr="00FE29F2">
        <w:rPr>
          <w:highlight w:val="yellow"/>
        </w:rPr>
        <w:t xml:space="preserve"> process. He believes that the purpose of teenage social interaction is dialogue, which is the key to this process.</w:t>
      </w:r>
    </w:p>
    <w:p w14:paraId="3023E5B7" w14:textId="77777777" w:rsidR="00110620" w:rsidRPr="00FE29F2" w:rsidRDefault="00110620" w:rsidP="00110620">
      <w:pPr>
        <w:rPr>
          <w:highlight w:val="yellow"/>
        </w:rPr>
      </w:pPr>
      <w:r w:rsidRPr="00FE29F2">
        <w:rPr>
          <w:highlight w:val="yellow"/>
        </w:rPr>
        <w:t xml:space="preserve">Both Erickson (1968) and Piaget (1969) concur that adolescent misbehaviour, emotionally, and idealism have a beneficial side. According to Erickson (1968), adolescents' effective emotional growth during adolescence promotes a positive identity, which is heavily reliant on the support provided to them by the key social groups they identify with as a whole (e-g., class, nation, culture). "What individuals </w:t>
      </w:r>
      <w:proofErr w:type="spellStart"/>
      <w:r w:rsidRPr="00FE29F2">
        <w:rPr>
          <w:highlight w:val="yellow"/>
        </w:rPr>
        <w:t>Js</w:t>
      </w:r>
      <w:proofErr w:type="spellEnd"/>
      <w:r w:rsidRPr="00FE29F2">
        <w:rPr>
          <w:highlight w:val="yellow"/>
        </w:rPr>
        <w:t xml:space="preserve"> become depends not only on their human potential but also on the beneficence of their society," are the words of both Erickson and Piaget (</w:t>
      </w:r>
      <w:proofErr w:type="spellStart"/>
      <w:r w:rsidRPr="00FE29F2">
        <w:rPr>
          <w:highlight w:val="yellow"/>
        </w:rPr>
        <w:t>Speisman</w:t>
      </w:r>
      <w:proofErr w:type="spellEnd"/>
      <w:r w:rsidRPr="00FE29F2">
        <w:rPr>
          <w:highlight w:val="yellow"/>
        </w:rPr>
        <w:t>, 1977).</w:t>
      </w:r>
    </w:p>
    <w:p w14:paraId="6C307179" w14:textId="77777777" w:rsidR="00110620" w:rsidRPr="00FE29F2" w:rsidRDefault="00110620" w:rsidP="00110620">
      <w:pPr>
        <w:rPr>
          <w:highlight w:val="yellow"/>
        </w:rPr>
      </w:pPr>
      <w:r w:rsidRPr="00FE29F2">
        <w:rPr>
          <w:highlight w:val="yellow"/>
        </w:rPr>
        <w:t>As was already mentioned, socialisation plays a significant part in defining the boundaries of behaviour within that social context. Adolescent growth can be viewed as largely the result of the environment in which he or she lives.</w:t>
      </w:r>
    </w:p>
    <w:p w14:paraId="197E208D" w14:textId="77777777" w:rsidR="00110620" w:rsidRPr="00FE29F2" w:rsidRDefault="00110620" w:rsidP="00110620">
      <w:pPr>
        <w:rPr>
          <w:highlight w:val="yellow"/>
        </w:rPr>
      </w:pPr>
      <w:r w:rsidRPr="00FE29F2">
        <w:rPr>
          <w:highlight w:val="yellow"/>
        </w:rPr>
        <w:t>This suggests a leamed behaviour sequence that may have started much earlier than the onset of adolescence, and a brief review of childhood development in relation to aggressiveness follows. Teenagers' levels of anger and aggressive behaviour will reflect the models who are close to them and who are generally significant.</w:t>
      </w:r>
    </w:p>
    <w:p w14:paraId="16B382CA" w14:textId="7FAD3062" w:rsidR="00110620" w:rsidRDefault="00110620" w:rsidP="00110620">
      <w:r w:rsidRPr="00FE29F2">
        <w:rPr>
          <w:highlight w:val="yellow"/>
        </w:rPr>
        <w:t>As was already mentioned, socialisation plays a significant part in defining the boundaries of behaviour within that social context. Adolescent growth can be viewed as largely the result of the environment in which he or she lives. This suggests a leamed behaviour sequence that may have started much earlier than the onset of adolescence, and a brief review of childhood development in relation to aggressiveness follows. Teenagers' levels of anger and aggressive behaviour will reflect the models who are close to them and who are generally significant.</w:t>
      </w:r>
    </w:p>
    <w:p w14:paraId="1BFC5A5B" w14:textId="77777777" w:rsidR="00110620" w:rsidRDefault="00110620" w:rsidP="00110620">
      <w:pPr>
        <w:pStyle w:val="Heading1"/>
      </w:pPr>
      <w:bookmarkStart w:id="8" w:name="_Toc114863185"/>
      <w:r>
        <w:t>References</w:t>
      </w:r>
      <w:bookmarkEnd w:id="8"/>
    </w:p>
    <w:p w14:paraId="3B23260F" w14:textId="77777777" w:rsidR="00110620" w:rsidRDefault="00110620" w:rsidP="00110620">
      <w:proofErr w:type="spellStart"/>
      <w:r>
        <w:t>Ax</w:t>
      </w:r>
      <w:proofErr w:type="spellEnd"/>
      <w:r>
        <w:t xml:space="preserve">, A. F. (1953) ‘The physiological differentiation between fear and anger in Humans’, </w:t>
      </w:r>
      <w:r w:rsidRPr="00890F83">
        <w:rPr>
          <w:i/>
          <w:iCs/>
        </w:rPr>
        <w:t>Psychosomatic Medicine</w:t>
      </w:r>
      <w:r>
        <w:t>, 15, pp.433-442.</w:t>
      </w:r>
    </w:p>
    <w:p w14:paraId="4E77CE7D" w14:textId="77777777" w:rsidR="00110620" w:rsidRDefault="00110620" w:rsidP="00110620">
      <w:pPr>
        <w:rPr>
          <w:rFonts w:ascii="Arial" w:hAnsi="Arial" w:cs="Arial"/>
          <w:color w:val="333333"/>
          <w:sz w:val="21"/>
          <w:szCs w:val="21"/>
          <w:shd w:val="clear" w:color="auto" w:fill="FFFFFF"/>
        </w:rPr>
      </w:pPr>
      <w:r>
        <w:rPr>
          <w:rFonts w:ascii="Arial" w:hAnsi="Arial" w:cs="Arial"/>
          <w:color w:val="333333"/>
          <w:sz w:val="21"/>
          <w:szCs w:val="21"/>
          <w:shd w:val="clear" w:color="auto" w:fill="FFFFFF"/>
        </w:rPr>
        <w:t>Bandura, A. (1973). </w:t>
      </w:r>
      <w:r>
        <w:rPr>
          <w:rStyle w:val="Emphasis"/>
          <w:rFonts w:ascii="Arial" w:hAnsi="Arial" w:cs="Arial"/>
          <w:color w:val="333333"/>
          <w:sz w:val="21"/>
          <w:szCs w:val="21"/>
          <w:shd w:val="clear" w:color="auto" w:fill="FFFFFF"/>
        </w:rPr>
        <w:t>Aggression: A social learning analysis.</w:t>
      </w:r>
      <w:r>
        <w:rPr>
          <w:rFonts w:ascii="Arial" w:hAnsi="Arial" w:cs="Arial"/>
          <w:color w:val="333333"/>
          <w:sz w:val="21"/>
          <w:szCs w:val="21"/>
          <w:shd w:val="clear" w:color="auto" w:fill="FFFFFF"/>
        </w:rPr>
        <w:t> Prentice-Hall.</w:t>
      </w:r>
    </w:p>
    <w:p w14:paraId="65395E5C" w14:textId="77777777" w:rsidR="00110620" w:rsidRPr="00531E7C" w:rsidRDefault="00110620" w:rsidP="00110620">
      <w:proofErr w:type="spellStart"/>
      <w:r>
        <w:t>Deffenbacher</w:t>
      </w:r>
      <w:proofErr w:type="spellEnd"/>
      <w:r>
        <w:t xml:space="preserve">, J. L. (2011) ‘Cognitive-behavioural conceptualization and treatment of anger’, </w:t>
      </w:r>
      <w:r w:rsidRPr="00F36D9B">
        <w:rPr>
          <w:i/>
          <w:iCs/>
        </w:rPr>
        <w:t xml:space="preserve">Cognitive and </w:t>
      </w:r>
      <w:proofErr w:type="spellStart"/>
      <w:r w:rsidRPr="00F36D9B">
        <w:rPr>
          <w:i/>
          <w:iCs/>
        </w:rPr>
        <w:t>Behavioral</w:t>
      </w:r>
      <w:proofErr w:type="spellEnd"/>
      <w:r w:rsidRPr="00F36D9B">
        <w:rPr>
          <w:i/>
          <w:iCs/>
        </w:rPr>
        <w:t xml:space="preserve"> Practice</w:t>
      </w:r>
      <w:r>
        <w:t>, 18, pp.212-221.</w:t>
      </w:r>
    </w:p>
    <w:p w14:paraId="64E5DE2A" w14:textId="77777777" w:rsidR="00110620" w:rsidRPr="00E14BC9" w:rsidRDefault="00110620" w:rsidP="00110620">
      <w:proofErr w:type="spellStart"/>
      <w:r w:rsidRPr="00EC5AB7">
        <w:t>Funkennein</w:t>
      </w:r>
      <w:proofErr w:type="spellEnd"/>
      <w:r w:rsidRPr="00EC5AB7">
        <w:t>, D. H. Greenblatt</w:t>
      </w:r>
      <w:r>
        <w:t>,</w:t>
      </w:r>
      <w:r w:rsidRPr="00EC5AB7">
        <w:t xml:space="preserve"> W. Solomon</w:t>
      </w:r>
      <w:r>
        <w:t>,</w:t>
      </w:r>
      <w:r w:rsidRPr="00EC5AB7">
        <w:t xml:space="preserve"> </w:t>
      </w:r>
      <w:r>
        <w:t>H. C. (1962) ‘Nor-</w:t>
      </w:r>
      <w:proofErr w:type="spellStart"/>
      <w:r>
        <w:t>pinephrine</w:t>
      </w:r>
      <w:proofErr w:type="spellEnd"/>
      <w:r>
        <w:t xml:space="preserve"> – like and epinephrine- like substances in psychotic and neurotic patients’, </w:t>
      </w:r>
      <w:r w:rsidRPr="00EC5AB7">
        <w:rPr>
          <w:i/>
          <w:iCs/>
        </w:rPr>
        <w:t>American Journal of Psychiatry</w:t>
      </w:r>
      <w:r>
        <w:t>, 108, pp.652-662.</w:t>
      </w:r>
    </w:p>
    <w:p w14:paraId="6188DCEE" w14:textId="77777777" w:rsidR="00110620" w:rsidRDefault="00110620" w:rsidP="00110620">
      <w:proofErr w:type="spellStart"/>
      <w:r>
        <w:t>Gergen</w:t>
      </w:r>
      <w:proofErr w:type="spellEnd"/>
      <w:r>
        <w:t>, K. (1991). Realities and relationships: Soundings in social construction. Cambridge, MA: Harvard University Press.</w:t>
      </w:r>
    </w:p>
    <w:p w14:paraId="5A9070F9" w14:textId="77777777" w:rsidR="00110620" w:rsidRDefault="00110620" w:rsidP="00110620">
      <w:r>
        <w:t>Harris, W. (2002) Restraining rage: The ideology of anger control in classical antiquity. Cambridge MA: Harvard University Press.</w:t>
      </w:r>
    </w:p>
    <w:p w14:paraId="724AEA7A" w14:textId="77777777" w:rsidR="00110620" w:rsidRDefault="00110620" w:rsidP="00110620">
      <w:r>
        <w:t xml:space="preserve">Laughlin, M. Warner, K. (2005). ‘A Relational approach to anger A case study’, </w:t>
      </w:r>
      <w:r w:rsidRPr="00A83A82">
        <w:rPr>
          <w:i/>
          <w:iCs/>
        </w:rPr>
        <w:t>Journal of systemic therapies</w:t>
      </w:r>
      <w:r>
        <w:t>, 24 (2), pp. 75-89.</w:t>
      </w:r>
    </w:p>
    <w:p w14:paraId="3F124B59" w14:textId="77777777" w:rsidR="00110620" w:rsidRDefault="00110620" w:rsidP="00110620">
      <w:r>
        <w:t xml:space="preserve">Lerner, J. Keltner, D. (2001) ‘Fear, anger, and risk’, </w:t>
      </w:r>
      <w:r w:rsidRPr="00A26F84">
        <w:rPr>
          <w:i/>
          <w:iCs/>
        </w:rPr>
        <w:t xml:space="preserve">Journal of Personality </w:t>
      </w:r>
      <w:r>
        <w:rPr>
          <w:i/>
          <w:iCs/>
        </w:rPr>
        <w:t>and</w:t>
      </w:r>
      <w:r w:rsidRPr="00A26F84">
        <w:rPr>
          <w:i/>
          <w:iCs/>
        </w:rPr>
        <w:t xml:space="preserve"> </w:t>
      </w:r>
      <w:proofErr w:type="spellStart"/>
      <w:r w:rsidRPr="00A26F84">
        <w:rPr>
          <w:i/>
          <w:iCs/>
        </w:rPr>
        <w:t>SocialPsychology</w:t>
      </w:r>
      <w:proofErr w:type="spellEnd"/>
      <w:r>
        <w:t>, 81 (1), pp. 146–159.</w:t>
      </w:r>
    </w:p>
    <w:p w14:paraId="3BE16714" w14:textId="77777777" w:rsidR="00110620" w:rsidRDefault="00110620" w:rsidP="00110620">
      <w:proofErr w:type="spellStart"/>
      <w:r>
        <w:lastRenderedPageBreak/>
        <w:t>Mikulincer</w:t>
      </w:r>
      <w:proofErr w:type="spellEnd"/>
      <w:r>
        <w:t>, M. (1994). Human learned helplessness: A coping perspective. New York: Plenum Press.</w:t>
      </w:r>
    </w:p>
    <w:p w14:paraId="513C4A9F" w14:textId="77777777" w:rsidR="00110620" w:rsidRDefault="00110620" w:rsidP="00110620">
      <w:r>
        <w:t xml:space="preserve">Moyer, K. E. (1968) ‘Kinds of </w:t>
      </w:r>
      <w:proofErr w:type="spellStart"/>
      <w:r>
        <w:t>agression</w:t>
      </w:r>
      <w:proofErr w:type="spellEnd"/>
      <w:r>
        <w:t xml:space="preserve"> and their physiological basis’, </w:t>
      </w:r>
      <w:r w:rsidRPr="00F61E30">
        <w:rPr>
          <w:i/>
          <w:iCs/>
        </w:rPr>
        <w:t>Community Behavioural</w:t>
      </w:r>
      <w:r>
        <w:rPr>
          <w:i/>
          <w:iCs/>
        </w:rPr>
        <w:t>,</w:t>
      </w:r>
      <w:r>
        <w:t xml:space="preserve"> 2, pp. 65-87.</w:t>
      </w:r>
    </w:p>
    <w:p w14:paraId="1107A63B" w14:textId="77777777" w:rsidR="00110620" w:rsidRDefault="00110620" w:rsidP="00110620">
      <w:proofErr w:type="spellStart"/>
      <w:r>
        <w:t>Novaco</w:t>
      </w:r>
      <w:proofErr w:type="spellEnd"/>
      <w:r>
        <w:t>. R. W. ( 1974). The Effect of Disposition for Anger and Degree of Provocation on Self Report and Physiological Measures of Anger in Various Modes of Provocation. Unpublished manuscript. Indiana University, Bloomington, Indiana.</w:t>
      </w:r>
    </w:p>
    <w:p w14:paraId="6D80F18F" w14:textId="77777777" w:rsidR="00110620" w:rsidRPr="00A83A82" w:rsidRDefault="00110620" w:rsidP="00110620">
      <w:proofErr w:type="spellStart"/>
      <w:r>
        <w:t>Novaco</w:t>
      </w:r>
      <w:proofErr w:type="spellEnd"/>
      <w:r>
        <w:t xml:space="preserve">, R. W. (2011) ‘Perspectives on anger treatment: discussion and commentary’, </w:t>
      </w:r>
      <w:r w:rsidRPr="00A8573F">
        <w:rPr>
          <w:i/>
          <w:iCs/>
        </w:rPr>
        <w:t xml:space="preserve">Cognitive and </w:t>
      </w:r>
      <w:proofErr w:type="spellStart"/>
      <w:r w:rsidRPr="00A8573F">
        <w:rPr>
          <w:i/>
          <w:iCs/>
        </w:rPr>
        <w:t>Behavioral</w:t>
      </w:r>
      <w:proofErr w:type="spellEnd"/>
      <w:r w:rsidRPr="00A8573F">
        <w:rPr>
          <w:i/>
          <w:iCs/>
        </w:rPr>
        <w:t xml:space="preserve"> Practice</w:t>
      </w:r>
      <w:r>
        <w:rPr>
          <w:i/>
          <w:iCs/>
        </w:rPr>
        <w:t>,</w:t>
      </w:r>
      <w:r>
        <w:t xml:space="preserve"> 18, pp.251–255.</w:t>
      </w:r>
    </w:p>
    <w:p w14:paraId="06BFE9C6" w14:textId="77777777" w:rsidR="00110620" w:rsidRDefault="00110620" w:rsidP="00110620">
      <w:proofErr w:type="spellStart"/>
      <w:r>
        <w:rPr>
          <w:rFonts w:ascii="Arial" w:hAnsi="Arial" w:cs="Arial"/>
          <w:color w:val="333333"/>
          <w:sz w:val="21"/>
          <w:szCs w:val="21"/>
          <w:shd w:val="clear" w:color="auto" w:fill="FFFFFF"/>
        </w:rPr>
        <w:t>Roffman</w:t>
      </w:r>
      <w:proofErr w:type="spellEnd"/>
      <w:r>
        <w:rPr>
          <w:rFonts w:ascii="Arial" w:hAnsi="Arial" w:cs="Arial"/>
          <w:color w:val="333333"/>
          <w:sz w:val="21"/>
          <w:szCs w:val="21"/>
          <w:shd w:val="clear" w:color="auto" w:fill="FFFFFF"/>
        </w:rPr>
        <w:t>, A. E. (2004). Is Anger a Thing-to-Be-Managed? </w:t>
      </w:r>
      <w:r>
        <w:rPr>
          <w:rStyle w:val="Emphasis"/>
          <w:rFonts w:ascii="Arial" w:hAnsi="Arial" w:cs="Arial"/>
          <w:color w:val="333333"/>
          <w:sz w:val="21"/>
          <w:szCs w:val="21"/>
          <w:shd w:val="clear" w:color="auto" w:fill="FFFFFF"/>
        </w:rPr>
        <w:t xml:space="preserve">Psychotherapy: Theory, Research, Practice, Training, 41 </w:t>
      </w:r>
      <w:r>
        <w:rPr>
          <w:rFonts w:ascii="Arial" w:hAnsi="Arial" w:cs="Arial"/>
          <w:color w:val="333333"/>
          <w:sz w:val="21"/>
          <w:szCs w:val="21"/>
          <w:shd w:val="clear" w:color="auto" w:fill="FFFFFF"/>
        </w:rPr>
        <w:t>(2), pp.161–171.</w:t>
      </w:r>
    </w:p>
    <w:p w14:paraId="0B77F6EC" w14:textId="77777777" w:rsidR="00110620" w:rsidRDefault="00110620" w:rsidP="00110620">
      <w:r w:rsidRPr="00A26F84">
        <w:t>Roseman, I. Antoniou</w:t>
      </w:r>
      <w:r>
        <w:t>,</w:t>
      </w:r>
      <w:r w:rsidRPr="00A26F84">
        <w:t xml:space="preserve"> A.</w:t>
      </w:r>
      <w:r>
        <w:t xml:space="preserve"> </w:t>
      </w:r>
      <w:r w:rsidRPr="00A26F84">
        <w:t>Jose</w:t>
      </w:r>
      <w:r>
        <w:t>,</w:t>
      </w:r>
      <w:r w:rsidRPr="00A26F84">
        <w:t xml:space="preserve"> P. (1996)</w:t>
      </w:r>
      <w:r>
        <w:t xml:space="preserve"> </w:t>
      </w:r>
      <w:r w:rsidRPr="00A26F84">
        <w:t>’</w:t>
      </w:r>
      <w:r>
        <w:t xml:space="preserve">Appraisal determinants of emotions: Constructing a more accurate and comprehensive theory’, </w:t>
      </w:r>
      <w:r w:rsidRPr="00A26F84">
        <w:rPr>
          <w:i/>
          <w:iCs/>
        </w:rPr>
        <w:t>Cognition and Emotion</w:t>
      </w:r>
      <w:r>
        <w:t>, 10, pp. 241–278.</w:t>
      </w:r>
    </w:p>
    <w:p w14:paraId="144872BC" w14:textId="77777777" w:rsidR="00110620" w:rsidRDefault="00110620" w:rsidP="00110620">
      <w:r>
        <w:t xml:space="preserve">Schacter, J. (1957) ‘Pain, fear, and anger in hypertensives and normotensives: a psycho-physiological study’, </w:t>
      </w:r>
      <w:r w:rsidRPr="008B247D">
        <w:rPr>
          <w:i/>
          <w:iCs/>
        </w:rPr>
        <w:t>Journal of Psychosomatic Medicine</w:t>
      </w:r>
      <w:r>
        <w:t>, 29, pp.17-29.</w:t>
      </w:r>
    </w:p>
    <w:p w14:paraId="3A665636" w14:textId="77777777" w:rsidR="00110620" w:rsidRDefault="00110620" w:rsidP="00110620">
      <w:r>
        <w:t>Stearns, C. Z. Stearns, P. N. (1989) Anger: the struggle for emotional control in America’s history. Chicago: University of Chicago Press.</w:t>
      </w:r>
    </w:p>
    <w:p w14:paraId="03062D23" w14:textId="77777777" w:rsidR="00110620" w:rsidRDefault="00110620" w:rsidP="00110620">
      <w:proofErr w:type="spellStart"/>
      <w:r>
        <w:t>Wierzbicka</w:t>
      </w:r>
      <w:proofErr w:type="spellEnd"/>
      <w:r>
        <w:t>, A. (1992a) Semantics, culture and cognition: Universal human concepts in culture-specific configurations. New York: Oxford University Press.</w:t>
      </w:r>
    </w:p>
    <w:p w14:paraId="1EFE5130" w14:textId="77777777" w:rsidR="00110620" w:rsidRPr="004F14BA" w:rsidRDefault="00110620" w:rsidP="00110620">
      <w:proofErr w:type="spellStart"/>
      <w:r>
        <w:t>Wierzbicka</w:t>
      </w:r>
      <w:proofErr w:type="spellEnd"/>
      <w:r>
        <w:t xml:space="preserve">, A. (1992b ‘Talking about emotions: semantics, culture and cognition’, </w:t>
      </w:r>
      <w:r w:rsidRPr="0044466A">
        <w:rPr>
          <w:i/>
          <w:iCs/>
        </w:rPr>
        <w:t>Cognition and Emotion</w:t>
      </w:r>
      <w:r>
        <w:t>, 6, PP. 285-319.</w:t>
      </w:r>
    </w:p>
    <w:p w14:paraId="1D7D5E22" w14:textId="77777777" w:rsidR="00110620" w:rsidRPr="0023225A" w:rsidRDefault="00110620" w:rsidP="00110620"/>
    <w:p w14:paraId="322617DD" w14:textId="77777777" w:rsidR="00110620" w:rsidRDefault="00110620" w:rsidP="00110620"/>
    <w:p w14:paraId="2D6357D0" w14:textId="77777777" w:rsidR="002962C5" w:rsidRDefault="002962C5" w:rsidP="00331940"/>
    <w:p w14:paraId="4940A8D4" w14:textId="77777777" w:rsidR="00603D59" w:rsidRDefault="00603D59" w:rsidP="00331940"/>
    <w:p w14:paraId="001F0456" w14:textId="77777777" w:rsidR="00331940" w:rsidRDefault="00331940" w:rsidP="00331940"/>
    <w:sectPr w:rsidR="003319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3C1"/>
    <w:rsid w:val="00110620"/>
    <w:rsid w:val="00247E7A"/>
    <w:rsid w:val="002708C3"/>
    <w:rsid w:val="002962C5"/>
    <w:rsid w:val="00331940"/>
    <w:rsid w:val="00603D59"/>
    <w:rsid w:val="00DA73C1"/>
    <w:rsid w:val="00F878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ADE9F"/>
  <w15:chartTrackingRefBased/>
  <w15:docId w15:val="{294B3618-6BAE-473D-BCC4-AA876370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620"/>
  </w:style>
  <w:style w:type="paragraph" w:styleId="Heading1">
    <w:name w:val="heading 1"/>
    <w:basedOn w:val="Normal"/>
    <w:next w:val="Normal"/>
    <w:link w:val="Heading1Char"/>
    <w:uiPriority w:val="9"/>
    <w:qFormat/>
    <w:rsid w:val="001106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620"/>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1106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3150</Words>
  <Characters>17294</Characters>
  <Application>Microsoft Office Word</Application>
  <DocSecurity>0</DocSecurity>
  <Lines>1572</Lines>
  <Paragraphs>757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Kelleher</dc:creator>
  <cp:keywords/>
  <dc:description/>
  <cp:lastModifiedBy>Matthew Kelleher</cp:lastModifiedBy>
  <cp:revision>1</cp:revision>
  <dcterms:created xsi:type="dcterms:W3CDTF">2022-09-24T17:04:00Z</dcterms:created>
  <dcterms:modified xsi:type="dcterms:W3CDTF">2022-09-24T20:38:00Z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d5345619-0f74-4a0f-8965-dbd52cfac7c8</vt:lpwstr>
  </property>
</Properties>
</file>