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0CB4D9A" w:rsidP="74C39E37" w:rsidRDefault="60CB4D9A" w14:paraId="1549A8A2" w14:textId="52D19476">
      <w:pPr>
        <w:pStyle w:val="Normal"/>
        <w:spacing w:line="360" w:lineRule="auto"/>
        <w:jc w:val="center"/>
      </w:pPr>
      <w:r w:rsidR="60CB4D9A">
        <w:rPr/>
        <w:t>Consent and its role in cases involving battery</w:t>
      </w:r>
    </w:p>
    <w:p w:rsidR="31A4ABB5" w:rsidP="74C39E37" w:rsidRDefault="31A4ABB5" w14:paraId="04EE0A91" w14:textId="3F99F131">
      <w:pPr>
        <w:pStyle w:val="Normal"/>
        <w:spacing w:line="360" w:lineRule="auto"/>
        <w:jc w:val="left"/>
      </w:pPr>
    </w:p>
    <w:p w:rsidR="53A6EEB0" w:rsidP="74C39E37" w:rsidRDefault="53A6EEB0" w14:paraId="31BF7707" w14:textId="19E833E2">
      <w:pPr>
        <w:pStyle w:val="Normal"/>
        <w:spacing w:line="360" w:lineRule="auto"/>
        <w:jc w:val="left"/>
      </w:pPr>
      <w:r w:rsidR="53A6EEB0">
        <w:rPr/>
        <w:t xml:space="preserve">In this piece of writing the topics that will be discussed are what consent is, examples of it and </w:t>
      </w:r>
      <w:r w:rsidR="680B8171">
        <w:rPr/>
        <w:t>what battery is with examples</w:t>
      </w:r>
      <w:r w:rsidR="4AFA9CDF">
        <w:rPr/>
        <w:t xml:space="preserve"> and how consent is involved in battery cases</w:t>
      </w:r>
      <w:r w:rsidR="228C8898">
        <w:rPr/>
        <w:t xml:space="preserve">. </w:t>
      </w:r>
      <w:r w:rsidR="12ED90D2">
        <w:rPr/>
        <w:t>Definition</w:t>
      </w:r>
      <w:r w:rsidR="3785F4B3">
        <w:rPr/>
        <w:t xml:space="preserve"> of consent is </w:t>
      </w:r>
      <w:r w:rsidR="2C7DCB7F">
        <w:rPr/>
        <w:t>“</w:t>
      </w:r>
      <w:r w:rsidRPr="74C39E37" w:rsidR="2C7DCB7F">
        <w:rPr>
          <w:i w:val="1"/>
          <w:iCs w:val="1"/>
        </w:rPr>
        <w:t>Consent is the approval or agreement for something to happen after consideration.</w:t>
      </w:r>
      <w:r w:rsidRPr="74C39E37" w:rsidR="4BF119C8">
        <w:rPr>
          <w:i w:val="1"/>
          <w:iCs w:val="1"/>
        </w:rPr>
        <w:t>”</w:t>
      </w:r>
      <w:r w:rsidR="2C7DCB7F">
        <w:rPr/>
        <w:t xml:space="preserve"> </w:t>
      </w:r>
      <w:r w:rsidR="27CA5395">
        <w:rPr/>
        <w:t>Definition</w:t>
      </w:r>
      <w:r w:rsidR="666F38C6">
        <w:rPr/>
        <w:t xml:space="preserve"> for battery is</w:t>
      </w:r>
      <w:r w:rsidR="178A029C">
        <w:rPr/>
        <w:t xml:space="preserve"> </w:t>
      </w:r>
      <w:r w:rsidR="0B7F6E73">
        <w:rPr/>
        <w:t>“</w:t>
      </w:r>
      <w:r w:rsidRPr="74C39E37" w:rsidR="0B7F6E73">
        <w:rPr>
          <w:i w:val="1"/>
          <w:iCs w:val="1"/>
        </w:rPr>
        <w:t>Battery is the intentional or reckless inflicting of unlawful personal violence</w:t>
      </w:r>
      <w:r w:rsidRPr="74C39E37" w:rsidR="20E5351A">
        <w:rPr>
          <w:i w:val="1"/>
          <w:iCs w:val="1"/>
        </w:rPr>
        <w:t xml:space="preserve"> upon victim</w:t>
      </w:r>
      <w:r w:rsidR="2C2CFBDA">
        <w:rPr/>
        <w:t>”</w:t>
      </w:r>
      <w:r w:rsidR="0B7F6E73">
        <w:rPr/>
        <w:t xml:space="preserve"> R v Rolfe </w:t>
      </w:r>
      <w:r w:rsidR="31C2B070">
        <w:rPr/>
        <w:t>[</w:t>
      </w:r>
      <w:r w:rsidR="0B7F6E73">
        <w:rPr/>
        <w:t>1952]</w:t>
      </w:r>
      <w:r w:rsidR="252C609E">
        <w:rPr/>
        <w:t>.</w:t>
      </w:r>
      <w:r w:rsidR="202BF9D7">
        <w:rPr/>
        <w:t xml:space="preserve"> These definitions will help us break down what consent and battery is and how important the role of consent is when it comes to battery cases.</w:t>
      </w:r>
    </w:p>
    <w:p w:rsidR="2C7DCB7F" w:rsidP="74C39E37" w:rsidRDefault="2C7DCB7F" w14:paraId="1D9F0B3A" w14:textId="51D3DC95">
      <w:pPr>
        <w:pStyle w:val="Normal"/>
        <w:spacing w:line="360" w:lineRule="auto"/>
        <w:jc w:val="left"/>
      </w:pPr>
      <w:r w:rsidR="2C7DCB7F">
        <w:rPr/>
        <w:t xml:space="preserve">For consent to be legally valid, </w:t>
      </w:r>
      <w:r w:rsidR="394188BE">
        <w:rPr/>
        <w:t>“</w:t>
      </w:r>
      <w:r w:rsidRPr="74C39E37" w:rsidR="2C7DCB7F">
        <w:rPr>
          <w:i w:val="1"/>
          <w:iCs w:val="1"/>
        </w:rPr>
        <w:t xml:space="preserve">the individual must be informed, must have the </w:t>
      </w:r>
      <w:r w:rsidRPr="74C39E37" w:rsidR="2C7DCB7F">
        <w:rPr>
          <w:i w:val="1"/>
          <w:iCs w:val="1"/>
        </w:rPr>
        <w:t>capacity</w:t>
      </w:r>
      <w:r w:rsidRPr="74C39E37" w:rsidR="2C7DCB7F">
        <w:rPr>
          <w:i w:val="1"/>
          <w:iCs w:val="1"/>
        </w:rPr>
        <w:t xml:space="preserve"> to make the decision in question and must give consent voluntarily.</w:t>
      </w:r>
      <w:r w:rsidR="2C7DCB7F">
        <w:rPr/>
        <w:t xml:space="preserve">” </w:t>
      </w:r>
      <w:r w:rsidR="3828BAD5">
        <w:rPr/>
        <w:t xml:space="preserve">NHS </w:t>
      </w:r>
      <w:r w:rsidR="2C7DCB7F">
        <w:rPr/>
        <w:t>(2022</w:t>
      </w:r>
      <w:r w:rsidR="5974538C">
        <w:rPr/>
        <w:t>) so an individual must understand clearly all the consequences or benefits t</w:t>
      </w:r>
      <w:r w:rsidR="1ACF6E5B">
        <w:rPr/>
        <w:t xml:space="preserve">hat they are </w:t>
      </w:r>
      <w:r w:rsidR="3675EEC0">
        <w:rPr/>
        <w:t>consenting</w:t>
      </w:r>
      <w:r w:rsidR="1ACF6E5B">
        <w:rPr/>
        <w:t xml:space="preserve"> to as well as have a sound capacity of mind meaning they must be able to think like a reasonable person</w:t>
      </w:r>
      <w:r w:rsidR="4FE18E83">
        <w:rPr/>
        <w:t>/have sound mind</w:t>
      </w:r>
      <w:r w:rsidR="69EBAC40">
        <w:rPr/>
        <w:t>.</w:t>
      </w:r>
      <w:r w:rsidR="4FE18E83">
        <w:rPr/>
        <w:t xml:space="preserve"> </w:t>
      </w:r>
      <w:r w:rsidR="7DA9EDBF">
        <w:rPr/>
        <w:t>“</w:t>
      </w:r>
      <w:r w:rsidRPr="74C39E37" w:rsidR="4FE18E83">
        <w:rPr>
          <w:i w:val="1"/>
          <w:iCs w:val="1"/>
        </w:rPr>
        <w:t>A sound mind enables one to think and behave appropriately and immediately</w:t>
      </w:r>
      <w:r w:rsidR="583CF950">
        <w:rPr/>
        <w:t>”</w:t>
      </w:r>
      <w:r w:rsidR="071CC62E">
        <w:rPr/>
        <w:t xml:space="preserve"> Gill (2021)</w:t>
      </w:r>
      <w:r w:rsidR="3322F8E6">
        <w:rPr/>
        <w:t xml:space="preserve"> so if a person had a mental condition affecting their way of thinking such as dementia or </w:t>
      </w:r>
      <w:r w:rsidR="42114A98">
        <w:rPr/>
        <w:t>schizophrenia</w:t>
      </w:r>
      <w:r w:rsidR="3322F8E6">
        <w:rPr/>
        <w:t xml:space="preserve"> they cannot have sound mind also, if someone is on medication that affects their mind or </w:t>
      </w:r>
      <w:r w:rsidR="4877E0FC">
        <w:rPr/>
        <w:t>intoxicated with either illegal substances or alcohol they do not have a sound mind</w:t>
      </w:r>
      <w:r w:rsidR="42114A98">
        <w:rPr/>
        <w:t xml:space="preserve"> as it changes the way people think and act.</w:t>
      </w:r>
      <w:r w:rsidR="1B82BE73">
        <w:rPr/>
        <w:t xml:space="preserve"> </w:t>
      </w:r>
      <w:r w:rsidR="6F8D6A4B">
        <w:rPr/>
        <w:t>Also,</w:t>
      </w:r>
      <w:r w:rsidR="1B82BE73">
        <w:rPr/>
        <w:t xml:space="preserve"> it is important for a person to not be forced through blackmail, peer pressure, </w:t>
      </w:r>
      <w:r w:rsidR="76B134FC">
        <w:rPr/>
        <w:t>aggravation,</w:t>
      </w:r>
      <w:r w:rsidR="1B82BE73">
        <w:rPr/>
        <w:t xml:space="preserve"> or threatening behaviour for a person to consent to something because then </w:t>
      </w:r>
      <w:r w:rsidR="323E36CC">
        <w:rPr/>
        <w:t>it</w:t>
      </w:r>
      <w:r w:rsidR="1B82BE73">
        <w:rPr/>
        <w:t xml:space="preserve"> considered forced consent which </w:t>
      </w:r>
      <w:r w:rsidR="1D085B7E">
        <w:rPr/>
        <w:t>is not</w:t>
      </w:r>
      <w:r w:rsidR="059CE93D">
        <w:rPr/>
        <w:t xml:space="preserve"> </w:t>
      </w:r>
      <w:r w:rsidR="29586C9D">
        <w:rPr/>
        <w:t xml:space="preserve">valid, and they cannot rightfully </w:t>
      </w:r>
      <w:r w:rsidR="301B6D07">
        <w:rPr/>
        <w:t xml:space="preserve">and appropriately </w:t>
      </w:r>
      <w:r w:rsidR="29586C9D">
        <w:rPr/>
        <w:t>consent to anything</w:t>
      </w:r>
      <w:r w:rsidR="4F8310A5">
        <w:rPr/>
        <w:t xml:space="preserve"> until the affects are no longer there or they have a legal carer there for them to consent</w:t>
      </w:r>
      <w:r w:rsidR="059CE93D">
        <w:rPr/>
        <w:t>.</w:t>
      </w:r>
    </w:p>
    <w:p w:rsidR="09C3EBC2" w:rsidP="74C39E37" w:rsidRDefault="09C3EBC2" w14:paraId="52DF0E13" w14:textId="796CA44B">
      <w:pPr>
        <w:pStyle w:val="Normal"/>
        <w:suppressLineNumbers w:val="0"/>
        <w:bidi w:val="0"/>
        <w:spacing w:before="0" w:beforeAutospacing="off" w:after="160" w:afterAutospacing="off" w:line="360" w:lineRule="auto"/>
        <w:ind w:left="0" w:right="0"/>
        <w:jc w:val="left"/>
      </w:pPr>
      <w:r w:rsidR="09C3EBC2">
        <w:rPr/>
        <w:t xml:space="preserve"> </w:t>
      </w:r>
      <w:r w:rsidR="77DD1E39">
        <w:rPr/>
        <w:t xml:space="preserve">For it to be considered battery intent is key, </w:t>
      </w:r>
      <w:r w:rsidR="1B4D5195">
        <w:rPr/>
        <w:t xml:space="preserve">so this means that if it is done accidentally or without </w:t>
      </w:r>
      <w:r w:rsidR="754DB5F7">
        <w:rPr/>
        <w:t>knowledge</w:t>
      </w:r>
      <w:r w:rsidR="1B4D5195">
        <w:rPr/>
        <w:t xml:space="preserve"> then it will not be </w:t>
      </w:r>
      <w:r w:rsidR="1B4D5195">
        <w:rPr/>
        <w:t>deemed</w:t>
      </w:r>
      <w:r w:rsidR="1B4D5195">
        <w:rPr/>
        <w:t xml:space="preserve"> as battery. There are </w:t>
      </w:r>
      <w:bookmarkStart w:name="_Int_HseM01jo" w:id="367009812"/>
      <w:r w:rsidR="1B4D5195">
        <w:rPr/>
        <w:t>different types</w:t>
      </w:r>
      <w:bookmarkEnd w:id="367009812"/>
      <w:r w:rsidR="1B4D5195">
        <w:rPr/>
        <w:t xml:space="preserve"> of intent, from the highest to lowest it is Direct intent</w:t>
      </w:r>
      <w:r w:rsidR="7AF630B5">
        <w:rPr/>
        <w:t xml:space="preserve"> which is described as "</w:t>
      </w:r>
      <w:r w:rsidRPr="3CCE404A" w:rsidR="7AF630B5">
        <w:rPr>
          <w:i w:val="1"/>
          <w:iCs w:val="1"/>
        </w:rPr>
        <w:t>the defendant wants something to happen as a result of their conduct</w:t>
      </w:r>
      <w:r w:rsidR="7AF630B5">
        <w:rPr/>
        <w:t xml:space="preserve">" </w:t>
      </w:r>
      <w:r w:rsidR="0F5AC377">
        <w:rPr/>
        <w:t>according to Ashton (2023)</w:t>
      </w:r>
      <w:r w:rsidR="0412FCB7">
        <w:rPr/>
        <w:t xml:space="preserve"> this means they have full knowledge of what they are doing and the outcome it will have. </w:t>
      </w:r>
      <w:r w:rsidR="7059DD81">
        <w:rPr/>
        <w:t xml:space="preserve">The questions that need to be asked are if it was a </w:t>
      </w:r>
      <w:bookmarkStart w:name="_Int_5ciDqejN" w:id="361112528"/>
      <w:r w:rsidR="7059DD81">
        <w:rPr/>
        <w:t>virtually sure</w:t>
      </w:r>
      <w:bookmarkEnd w:id="361112528"/>
      <w:r w:rsidR="7059DD81">
        <w:rPr/>
        <w:t xml:space="preserve"> result or if</w:t>
      </w:r>
      <w:r w:rsidR="7059DD81">
        <w:rPr/>
        <w:t xml:space="preserve"> </w:t>
      </w:r>
      <w:r w:rsidR="7059DD81">
        <w:rPr/>
        <w:t>the defendant understood the consequences</w:t>
      </w:r>
      <w:r w:rsidR="04BE7043">
        <w:rPr/>
        <w:t xml:space="preserve">. Next is Recklessness </w:t>
      </w:r>
      <w:r w:rsidR="047BFA87">
        <w:rPr/>
        <w:t>which according to Parliament (2003) ‘</w:t>
      </w:r>
      <w:r w:rsidR="03F5E528">
        <w:rPr/>
        <w:t xml:space="preserve">R v G and another [2003] during this case they </w:t>
      </w:r>
      <w:r w:rsidR="24A3728F">
        <w:rPr/>
        <w:t>must</w:t>
      </w:r>
      <w:r w:rsidR="03F5E528">
        <w:rPr/>
        <w:t xml:space="preserve"> question the old law R v Caldwell [1982]</w:t>
      </w:r>
      <w:r w:rsidR="0A7DBFCF">
        <w:rPr/>
        <w:t xml:space="preserve">’ and from this they reformed the law on </w:t>
      </w:r>
      <w:r w:rsidR="5CA3DF6B">
        <w:rPr/>
        <w:t>recklessness,</w:t>
      </w:r>
      <w:r w:rsidR="5FD00E10">
        <w:rPr/>
        <w:t xml:space="preserve"> so they have basic intent</w:t>
      </w:r>
      <w:r w:rsidR="212B28DF">
        <w:rPr/>
        <w:t>/acting dangerously but do not have direct intent</w:t>
      </w:r>
      <w:r w:rsidR="7DC765DA">
        <w:rPr/>
        <w:t xml:space="preserve">. After that is gross negligence/negligence which is </w:t>
      </w:r>
      <w:r w:rsidR="0D4AC840">
        <w:rPr/>
        <w:t>“Any act or omission which falls short of the standard to be expected of the "reasonable person"</w:t>
      </w:r>
      <w:r w:rsidR="6FBA6FCF">
        <w:rPr/>
        <w:t xml:space="preserve"> </w:t>
      </w:r>
      <w:r w:rsidR="0D4AC840">
        <w:rPr/>
        <w:t>Reuters (2023</w:t>
      </w:r>
      <w:r w:rsidR="38AEE76F">
        <w:rPr/>
        <w:t>)</w:t>
      </w:r>
      <w:r w:rsidR="306D86F0">
        <w:rPr/>
        <w:t>.</w:t>
      </w:r>
      <w:r w:rsidR="38AEE76F">
        <w:rPr/>
        <w:t xml:space="preserve"> A reasonable person would be someone of sound mind as discussed before for example a carer has a duty of care to their patient, if they </w:t>
      </w:r>
      <w:r w:rsidR="38AEE76F">
        <w:rPr/>
        <w:t>fail to</w:t>
      </w:r>
      <w:r w:rsidR="38AEE76F">
        <w:rPr/>
        <w:t xml:space="preserve"> take care of them and the patient gets hurt, they are held criminally liable.</w:t>
      </w:r>
      <w:r w:rsidR="515C18AB">
        <w:rPr/>
        <w:t xml:space="preserve"> An example case would be R v Adomako [1994] where D</w:t>
      </w:r>
      <w:r w:rsidR="23E15E7C">
        <w:rPr/>
        <w:t xml:space="preserve">r Adomako was being negligent of his patient and because of this had to face the consequences. </w:t>
      </w:r>
      <w:r w:rsidR="0AEED9A0">
        <w:rPr/>
        <w:t>Finally</w:t>
      </w:r>
      <w:r w:rsidR="4993BED1">
        <w:rPr/>
        <w:t xml:space="preserve"> Strict liability</w:t>
      </w:r>
      <w:r w:rsidR="11557004">
        <w:rPr/>
        <w:t xml:space="preserve"> which according to </w:t>
      </w:r>
      <w:r w:rsidR="06EA8142">
        <w:rPr/>
        <w:t>CloudEx</w:t>
      </w:r>
      <w:r w:rsidR="458F6673">
        <w:rPr/>
        <w:t xml:space="preserve"> (2023) “Strict liability is a legal term that refers to a type of liability that does not require proof of fault.” </w:t>
      </w:r>
      <w:r w:rsidR="663CF3DA">
        <w:rPr/>
        <w:t>meaning even if a person does not intend to commit the crime that they did they are still held accountable</w:t>
      </w:r>
      <w:r w:rsidR="2FDD2A11">
        <w:rPr/>
        <w:t xml:space="preserve"> and receive consequences</w:t>
      </w:r>
      <w:r w:rsidR="663CF3DA">
        <w:rPr/>
        <w:t>.</w:t>
      </w:r>
      <w:r w:rsidR="418E3C5C">
        <w:rPr/>
        <w:t xml:space="preserve"> </w:t>
      </w:r>
      <w:r w:rsidR="7A2C9D00">
        <w:rPr/>
        <w:t xml:space="preserve">Examples of battery are ‘shoving, Punching, Slapping, Spitting, or </w:t>
      </w:r>
      <w:r w:rsidR="7A2C9D00">
        <w:rPr/>
        <w:t xml:space="preserve">harming someone using a weapon’ says </w:t>
      </w:r>
      <w:r w:rsidR="00933365">
        <w:rPr/>
        <w:t xml:space="preserve">Yates </w:t>
      </w:r>
      <w:r w:rsidR="418E3C5C">
        <w:rPr/>
        <w:t>(202</w:t>
      </w:r>
      <w:r w:rsidR="42E71FB3">
        <w:rPr/>
        <w:t>1</w:t>
      </w:r>
      <w:r w:rsidR="418E3C5C">
        <w:rPr/>
        <w:t>)</w:t>
      </w:r>
      <w:r w:rsidR="6EE4D640">
        <w:rPr/>
        <w:t xml:space="preserve">. Assault is commonly </w:t>
      </w:r>
      <w:r w:rsidR="7CE2D29D">
        <w:rPr/>
        <w:t>misconnected</w:t>
      </w:r>
      <w:r w:rsidR="6EE4D640">
        <w:rPr/>
        <w:t xml:space="preserve"> with battery however assault is </w:t>
      </w:r>
      <w:r w:rsidR="687E3FDC">
        <w:rPr/>
        <w:t>“when a person inflicts violence on someone else or makes them think they are going to be attacked.” Sentencing council (2023)</w:t>
      </w:r>
      <w:r w:rsidR="7CE2D29D">
        <w:rPr/>
        <w:t xml:space="preserve"> so we can analyse that a person does not have to touch someone for a person to be assaulted, it can be a feeling of threat, blackmail,</w:t>
      </w:r>
      <w:r w:rsidR="3E3DED6C">
        <w:rPr/>
        <w:t xml:space="preserve"> and more.</w:t>
      </w:r>
    </w:p>
    <w:p w:rsidR="3E3DED6C" w:rsidP="74C39E37" w:rsidRDefault="3E3DED6C" w14:paraId="389C3B12" w14:textId="4898F1D8">
      <w:pPr>
        <w:pStyle w:val="Normal"/>
        <w:suppressLineNumbers w:val="0"/>
        <w:bidi w:val="0"/>
        <w:spacing w:before="0" w:beforeAutospacing="off" w:after="160" w:afterAutospacing="off" w:line="360" w:lineRule="auto"/>
        <w:ind w:left="0" w:right="0"/>
        <w:jc w:val="left"/>
      </w:pPr>
      <w:r w:rsidR="3E3DED6C">
        <w:rPr/>
        <w:t xml:space="preserve">There are grey areas in the law which come into question when they appear in courts such as for example </w:t>
      </w:r>
      <w:r w:rsidR="401E182A">
        <w:rPr/>
        <w:t>R v Brown [1994]</w:t>
      </w:r>
      <w:r w:rsidR="34AF3521">
        <w:rPr/>
        <w:t xml:space="preserve"> </w:t>
      </w:r>
      <w:r w:rsidR="75303852">
        <w:rPr/>
        <w:t>‘</w:t>
      </w:r>
      <w:r w:rsidR="34AF3521">
        <w:rPr/>
        <w:t xml:space="preserve">where the defendant tried using defence as an appeal however it was </w:t>
      </w:r>
      <w:r w:rsidR="34AF3521">
        <w:rPr/>
        <w:t xml:space="preserve">deemed as not good enough for the judges because the seriousness of damage </w:t>
      </w:r>
      <w:r w:rsidR="5A13DB81">
        <w:rPr/>
        <w:t>was not</w:t>
      </w:r>
      <w:r w:rsidR="34AF3521">
        <w:rPr/>
        <w:t xml:space="preserve"> something they considered safe enough for peop</w:t>
      </w:r>
      <w:r w:rsidR="768FC3EC">
        <w:rPr/>
        <w:t xml:space="preserve">le to consent </w:t>
      </w:r>
      <w:r w:rsidR="4B0295B4">
        <w:rPr/>
        <w:t>to</w:t>
      </w:r>
      <w:r w:rsidR="081EFFED">
        <w:rPr/>
        <w:t>’ Herring (2019)</w:t>
      </w:r>
      <w:r w:rsidR="4FBBE752">
        <w:rPr/>
        <w:t xml:space="preserve"> So this case made a massive impact on the law of consent, it was a grey area in the law, it wasn’t specified that this was illegal </w:t>
      </w:r>
      <w:r w:rsidR="1567CCB2">
        <w:rPr/>
        <w:t>because</w:t>
      </w:r>
      <w:r w:rsidR="4FBBE752">
        <w:rPr/>
        <w:t xml:space="preserve"> the patients had consented to the body changes (split tongue, parts of th</w:t>
      </w:r>
      <w:r w:rsidR="58E03813">
        <w:rPr/>
        <w:t>e ear cut off. Nipple removal)</w:t>
      </w:r>
      <w:r w:rsidR="1567CCB2">
        <w:rPr/>
        <w:t xml:space="preserve"> however when brought up in the case of law it was too dangerous for consent to be valid.</w:t>
      </w:r>
    </w:p>
    <w:p w:rsidR="7A5E43E2" w:rsidP="74C39E37" w:rsidRDefault="7A5E43E2" w14:paraId="13B31A95" w14:textId="6941EE74">
      <w:pPr>
        <w:pStyle w:val="Normal"/>
        <w:suppressLineNumbers w:val="0"/>
        <w:bidi w:val="0"/>
        <w:spacing w:before="0" w:beforeAutospacing="off" w:after="160" w:afterAutospacing="off" w:line="360" w:lineRule="auto"/>
        <w:ind w:left="0" w:right="0"/>
        <w:jc w:val="left"/>
      </w:pPr>
      <w:r w:rsidR="7A5E43E2">
        <w:rPr/>
        <w:t>The role of consent in battery cases are very crucial because if someone consents to touching then they cannot be liable for battery because they have said yes to the person touching them unless it is grievo</w:t>
      </w:r>
      <w:r w:rsidR="085C4040">
        <w:rPr/>
        <w:t xml:space="preserve">us bodily harm because that is </w:t>
      </w:r>
      <w:r w:rsidR="085C4040">
        <w:rPr/>
        <w:t>deemed</w:t>
      </w:r>
      <w:r w:rsidR="085C4040">
        <w:rPr/>
        <w:t xml:space="preserve"> as too serious to be able to consent to. A good example is the case of Marland v DPP [2023] where the defendant was helpi</w:t>
      </w:r>
      <w:r w:rsidR="2909CDA7">
        <w:rPr/>
        <w:t>ng his drunk girlfriend by putting his hands on her shoulders and guiding her except, she fell over, when this went to court, he was still held liable for battery because she clearly did not consent to the touching and he knew this. So</w:t>
      </w:r>
      <w:r w:rsidR="1DC206E7">
        <w:rPr/>
        <w:t>, e</w:t>
      </w:r>
      <w:r w:rsidR="2909CDA7">
        <w:rPr/>
        <w:t>ven though he was</w:t>
      </w:r>
      <w:r w:rsidR="7926885D">
        <w:rPr/>
        <w:t xml:space="preserve"> only trying to help he was still charged with battery and sentenced because he touched her without consent. We can see that if he had got consent then this would have been </w:t>
      </w:r>
      <w:r w:rsidR="3808FDEA">
        <w:rPr/>
        <w:t>fine,</w:t>
      </w:r>
      <w:r w:rsidR="7926885D">
        <w:rPr/>
        <w:t xml:space="preserve"> and he would not be liable for </w:t>
      </w:r>
      <w:r w:rsidR="0BA7CA6A">
        <w:rPr/>
        <w:t>battery,</w:t>
      </w:r>
      <w:r w:rsidR="7926885D">
        <w:rPr/>
        <w:t xml:space="preserve"> so </w:t>
      </w:r>
      <w:r w:rsidR="751CDDE8">
        <w:rPr/>
        <w:t xml:space="preserve">consent clearly plays a massive role in cases where consent and battery clash. Another example is </w:t>
      </w:r>
      <w:r w:rsidR="5047A7CD">
        <w:rPr/>
        <w:t xml:space="preserve">Blanchard v. Kellum, [1998] where a doctor was put on trial for pulling out </w:t>
      </w:r>
      <w:bookmarkStart w:name="_Int_3vNriOSw" w:id="1744707395"/>
      <w:r w:rsidR="5047A7CD">
        <w:rPr/>
        <w:t>a number of</w:t>
      </w:r>
      <w:bookmarkEnd w:id="1744707395"/>
      <w:r w:rsidR="5047A7CD">
        <w:rPr/>
        <w:t xml:space="preserve"> patients teeth which they did not want. </w:t>
      </w:r>
      <w:r w:rsidR="70F53534">
        <w:rPr/>
        <w:t xml:space="preserve">The doctor did not have written consent therefore could not prove that she had consented to it, they did argue that there was implied consent but however because pulling her teeth out was not a necessary action it was </w:t>
      </w:r>
      <w:r w:rsidR="32505003">
        <w:rPr/>
        <w:t>invalid,</w:t>
      </w:r>
      <w:r w:rsidR="70F53534">
        <w:rPr/>
        <w:t xml:space="preserve"> and she got charged with battery.</w:t>
      </w:r>
      <w:r w:rsidR="0F9A5ED2">
        <w:rPr/>
        <w:t xml:space="preserve"> </w:t>
      </w:r>
      <w:r w:rsidR="7661A06E">
        <w:rPr/>
        <w:t>So,</w:t>
      </w:r>
      <w:r w:rsidR="0F9A5ED2">
        <w:rPr/>
        <w:t xml:space="preserve"> in this case because consent was not </w:t>
      </w:r>
      <w:r w:rsidR="00891905">
        <w:rPr/>
        <w:t>proven,</w:t>
      </w:r>
      <w:r w:rsidR="0F9A5ED2">
        <w:rPr/>
        <w:t xml:space="preserve"> and it was an </w:t>
      </w:r>
      <w:r w:rsidR="380C4D41">
        <w:rPr/>
        <w:t>unnecessary</w:t>
      </w:r>
      <w:r w:rsidR="0F9A5ED2">
        <w:rPr/>
        <w:t xml:space="preserve"> action the doctor was held liable. This also shows that consent is very important and medically there must be written consent forms that have all the information as well as consequences to procedures that doctors wi</w:t>
      </w:r>
      <w:r w:rsidR="1ABF8E9D">
        <w:rPr/>
        <w:t>ll put through for the patient to read in order for consent to be valid as well as for the doctor not to get charged criminally, so they are not liable for charges and are protecting themselves as well as informing their patients of what procedure they will do and what will happen during it to ensure they can give valid c</w:t>
      </w:r>
      <w:r w:rsidR="3B6D1C04">
        <w:rPr/>
        <w:t xml:space="preserve">onsent by understanding what will happen to them allowing them to be able to say they would like this to happen and not turn their back afterwards and take a doctor to court to try and get money out of them or whatever else they may want to do. </w:t>
      </w:r>
      <w:r w:rsidR="707F3C2C">
        <w:rPr/>
        <w:t xml:space="preserve">Consent not only protects </w:t>
      </w:r>
      <w:r w:rsidR="707F3C2C">
        <w:rPr/>
        <w:t>possible defendants</w:t>
      </w:r>
      <w:r w:rsidR="707F3C2C">
        <w:rPr/>
        <w:t xml:space="preserve"> it also informs </w:t>
      </w:r>
      <w:bookmarkStart w:name="_Int_3KSiUluP" w:id="1989065235"/>
      <w:r w:rsidR="707F3C2C">
        <w:rPr/>
        <w:t>possible victims</w:t>
      </w:r>
      <w:bookmarkEnd w:id="1989065235"/>
      <w:r w:rsidR="707F3C2C">
        <w:rPr/>
        <w:t xml:space="preserve"> of what is happening, how it is happening and whether they would like it or not</w:t>
      </w:r>
    </w:p>
    <w:p w:rsidR="34D2FB81" w:rsidP="74C39E37" w:rsidRDefault="34D2FB81" w14:paraId="4BDA0073" w14:textId="7104202B">
      <w:pPr>
        <w:pStyle w:val="Normal"/>
        <w:suppressLineNumbers w:val="0"/>
        <w:bidi w:val="0"/>
        <w:spacing w:before="0" w:beforeAutospacing="off" w:after="160" w:afterAutospacing="off" w:line="360" w:lineRule="auto"/>
        <w:ind w:left="0" w:right="0"/>
        <w:jc w:val="left"/>
      </w:pPr>
      <w:r w:rsidR="34D2FB81">
        <w:rPr/>
        <w:t>So,</w:t>
      </w:r>
      <w:r w:rsidR="1A4938AB">
        <w:rPr/>
        <w:t xml:space="preserve"> </w:t>
      </w:r>
      <w:r w:rsidR="558088E8">
        <w:rPr/>
        <w:t>in</w:t>
      </w:r>
      <w:r w:rsidR="1A4938AB">
        <w:rPr/>
        <w:t xml:space="preserve"> conclusion</w:t>
      </w:r>
      <w:r w:rsidR="552CC161">
        <w:rPr/>
        <w:t xml:space="preserve"> if a person consents to the touching </w:t>
      </w:r>
      <w:bookmarkStart w:name="_Int_buFFvIhp" w:id="1005538390"/>
      <w:r w:rsidR="552CC161">
        <w:rPr/>
        <w:t>as long as</w:t>
      </w:r>
      <w:bookmarkEnd w:id="1005538390"/>
      <w:r w:rsidR="552CC161">
        <w:rPr/>
        <w:t xml:space="preserve"> it does not cause serious harm then </w:t>
      </w:r>
      <w:r w:rsidR="02330D8E">
        <w:rPr/>
        <w:t xml:space="preserve">it is not considered battery because it </w:t>
      </w:r>
      <w:bookmarkStart w:name="_Int_o0yRR3Sk" w:id="1071529893"/>
      <w:r w:rsidR="02330D8E">
        <w:rPr/>
        <w:t>has to</w:t>
      </w:r>
      <w:bookmarkEnd w:id="1071529893"/>
      <w:r w:rsidR="02330D8E">
        <w:rPr/>
        <w:t xml:space="preserve"> be unlawful touching </w:t>
      </w:r>
      <w:r w:rsidR="42D0F7DE">
        <w:rPr/>
        <w:t>for example friendly banter is ok because there is consent however pushing without that consent means it is battery and will deem someone as criminally liable for battery.</w:t>
      </w:r>
      <w:r w:rsidR="107CD58A">
        <w:rPr/>
        <w:t xml:space="preserve"> Consent makes it safer for everyone, protects people from criminal liability</w:t>
      </w:r>
      <w:r w:rsidR="6D530D87">
        <w:rPr/>
        <w:t xml:space="preserve"> in case they have a patient that wants to get money out of them by going through with a procedure and claiming they did not consent and charging the person with battery</w:t>
      </w:r>
      <w:r w:rsidR="107CD58A">
        <w:rPr/>
        <w:t xml:space="preserve">, informs others of what is going on to improve their knowledge to allow them to consent validly to whatever they want or would not like done. </w:t>
      </w:r>
    </w:p>
    <w:p w:rsidR="74C39E37" w:rsidP="74C39E37" w:rsidRDefault="74C39E37" w14:paraId="54E91F3F" w14:textId="0035EFDA">
      <w:pPr>
        <w:pStyle w:val="Normal"/>
        <w:spacing w:line="360" w:lineRule="auto"/>
        <w:jc w:val="left"/>
      </w:pPr>
    </w:p>
    <w:p w:rsidR="74C39E37" w:rsidP="74C39E37" w:rsidRDefault="74C39E37" w14:paraId="52DD3156" w14:textId="7BE07283">
      <w:pPr>
        <w:pStyle w:val="Normal"/>
        <w:spacing w:line="360" w:lineRule="auto"/>
        <w:jc w:val="left"/>
      </w:pPr>
    </w:p>
    <w:p w:rsidR="74C39E37" w:rsidRDefault="74C39E37" w14:paraId="6E0F1617" w14:textId="1C11C21F">
      <w:r>
        <w:br w:type="page"/>
      </w:r>
    </w:p>
    <w:p w:rsidR="4CDA8941" w:rsidP="74C39E37" w:rsidRDefault="4CDA8941" w14:paraId="5D016189" w14:textId="3865672C">
      <w:pPr>
        <w:pStyle w:val="Normal"/>
        <w:spacing w:line="360" w:lineRule="auto"/>
        <w:jc w:val="left"/>
      </w:pPr>
      <w:r w:rsidR="4CDA8941">
        <w:rPr/>
        <w:t>Case List</w:t>
      </w:r>
      <w:r w:rsidR="45B4ED2D">
        <w:rPr/>
        <w:t xml:space="preserve"> </w:t>
      </w:r>
    </w:p>
    <w:p w:rsidR="572301B8" w:rsidP="74C39E37" w:rsidRDefault="572301B8" w14:paraId="78122B25" w14:textId="6F6C9F55">
      <w:pPr>
        <w:pStyle w:val="Normal"/>
        <w:spacing w:line="360" w:lineRule="auto"/>
        <w:jc w:val="left"/>
      </w:pPr>
      <w:r w:rsidR="572301B8">
        <w:rPr/>
        <w:t>Blanchard v. Kellum, 975 S.W.2d 522, 525 (Tenn.1998)</w:t>
      </w:r>
    </w:p>
    <w:p w:rsidR="45B4ED2D" w:rsidP="74C39E37" w:rsidRDefault="45B4ED2D" w14:paraId="5E8630C6" w14:textId="4817F0A0">
      <w:pPr>
        <w:pStyle w:val="Normal"/>
        <w:spacing w:line="360" w:lineRule="auto"/>
        <w:jc w:val="left"/>
      </w:pPr>
      <w:r w:rsidR="45B4ED2D">
        <w:rPr/>
        <w:t>Marland v DPP [2023] EWHC 1046</w:t>
      </w:r>
    </w:p>
    <w:p w:rsidR="4CDA8941" w:rsidP="74C39E37" w:rsidRDefault="4CDA8941" w14:paraId="7A6F6A34" w14:textId="182EDD80">
      <w:pPr>
        <w:pStyle w:val="Normal"/>
        <w:spacing w:line="360" w:lineRule="auto"/>
        <w:jc w:val="left"/>
      </w:pPr>
      <w:r w:rsidR="4CDA8941">
        <w:rPr/>
        <w:t>R v Rolfe</w:t>
      </w:r>
      <w:r w:rsidR="652D8D2F">
        <w:rPr/>
        <w:t xml:space="preserve">, </w:t>
      </w:r>
      <w:r w:rsidR="4CDA8941">
        <w:rPr/>
        <w:t>1952</w:t>
      </w:r>
    </w:p>
    <w:p w:rsidR="7AF70F1A" w:rsidP="74C39E37" w:rsidRDefault="7AF70F1A" w14:paraId="2A3E1126" w14:textId="465A508E">
      <w:pPr>
        <w:pStyle w:val="Normal"/>
        <w:spacing w:line="360" w:lineRule="auto"/>
        <w:jc w:val="left"/>
      </w:pPr>
      <w:r w:rsidR="7AF70F1A">
        <w:rPr/>
        <w:t>R v G and another [2003] UKHL 50</w:t>
      </w:r>
    </w:p>
    <w:p w:rsidR="20263B31" w:rsidP="74C39E37" w:rsidRDefault="20263B31" w14:paraId="59C2F85D" w14:textId="32B500FB">
      <w:pPr>
        <w:pStyle w:val="Normal"/>
        <w:spacing w:line="360" w:lineRule="auto"/>
        <w:jc w:val="left"/>
      </w:pPr>
      <w:r w:rsidR="20263B31">
        <w:rPr/>
        <w:t>R v Caldwell [1982] AC 341</w:t>
      </w:r>
    </w:p>
    <w:p w:rsidR="71B7B93B" w:rsidP="74C39E37" w:rsidRDefault="71B7B93B" w14:paraId="1DB52954" w14:textId="595C736E">
      <w:pPr>
        <w:pStyle w:val="Normal"/>
        <w:spacing w:line="360" w:lineRule="auto"/>
        <w:jc w:val="left"/>
      </w:pPr>
      <w:r w:rsidR="71B7B93B">
        <w:rPr/>
        <w:t>R v Adomako [1994] UKHL 6</w:t>
      </w:r>
    </w:p>
    <w:p w:rsidR="7D1CC173" w:rsidP="74C39E37" w:rsidRDefault="7D1CC173" w14:paraId="49BEC10D" w14:textId="413E888A">
      <w:pPr>
        <w:pStyle w:val="Normal"/>
        <w:spacing w:line="360" w:lineRule="auto"/>
        <w:jc w:val="left"/>
      </w:pPr>
      <w:r w:rsidR="7D1CC173">
        <w:rPr/>
        <w:t>R v Brown [1994] 1 AC 212</w:t>
      </w:r>
    </w:p>
    <w:p w:rsidR="75A5D9DD" w:rsidP="74C39E37" w:rsidRDefault="75A5D9DD" w14:paraId="58726D3F" w14:textId="343EC0AF">
      <w:pPr>
        <w:pStyle w:val="Normal"/>
        <w:spacing w:line="360" w:lineRule="auto"/>
        <w:jc w:val="left"/>
      </w:pPr>
      <w:r w:rsidR="75A5D9DD">
        <w:rPr/>
        <w:t xml:space="preserve">Reference list </w:t>
      </w:r>
    </w:p>
    <w:p w:rsidR="4DFFA8A8" w:rsidP="74C39E37" w:rsidRDefault="4DFFA8A8" w14:paraId="204FA604" w14:textId="7CAEE35A">
      <w:pPr>
        <w:pStyle w:val="Normal"/>
        <w:spacing w:line="360" w:lineRule="auto"/>
        <w:jc w:val="left"/>
      </w:pPr>
      <w:r w:rsidR="4DFFA8A8">
        <w:rPr/>
        <w:t xml:space="preserve">Ashton, H (2023). </w:t>
      </w:r>
      <w:r w:rsidRPr="3CCE404A" w:rsidR="4DFFA8A8">
        <w:rPr>
          <w:i w:val="1"/>
          <w:iCs w:val="1"/>
        </w:rPr>
        <w:t>Definitions of intent suitable for algorithms</w:t>
      </w:r>
      <w:r w:rsidR="4DFFA8A8">
        <w:rPr/>
        <w:t>.</w:t>
      </w:r>
      <w:r w:rsidR="4DFFA8A8">
        <w:rPr/>
        <w:t xml:space="preserve"> </w:t>
      </w:r>
      <w:r w:rsidR="4DFFA8A8">
        <w:rPr/>
        <w:t>Arti</w:t>
      </w:r>
      <w:r w:rsidR="4DFFA8A8">
        <w:rPr/>
        <w:t>f</w:t>
      </w:r>
      <w:r w:rsidR="4DFFA8A8">
        <w:rPr/>
        <w:t xml:space="preserve"> Intell Law 31, 515–546  </w:t>
      </w:r>
      <w:hyperlink r:id="Rdc8d3014384b451d">
        <w:r w:rsidRPr="3CCE404A" w:rsidR="4DFFA8A8">
          <w:rPr>
            <w:rStyle w:val="Hyperlink"/>
          </w:rPr>
          <w:t>https://doi.org/10.1007/s10506-022-09322-x</w:t>
        </w:r>
      </w:hyperlink>
      <w:r w:rsidR="4DFFA8A8">
        <w:rPr/>
        <w:t xml:space="preserve">  Accessed on: 10/11/2023</w:t>
      </w:r>
    </w:p>
    <w:p w:rsidR="34E2EC00" w:rsidP="74C39E37" w:rsidRDefault="34E2EC00" w14:paraId="412424D2" w14:textId="45ED38E7">
      <w:pPr>
        <w:pStyle w:val="Normal"/>
        <w:spacing w:line="360" w:lineRule="auto"/>
        <w:jc w:val="left"/>
      </w:pPr>
      <w:r w:rsidR="099E7574">
        <w:rPr/>
        <w:t>CloudLex</w:t>
      </w:r>
      <w:r w:rsidR="099E7574">
        <w:rPr/>
        <w:t xml:space="preserve"> (2023). </w:t>
      </w:r>
      <w:r w:rsidRPr="3CCE404A" w:rsidR="099E7574">
        <w:rPr>
          <w:i w:val="1"/>
          <w:iCs w:val="1"/>
        </w:rPr>
        <w:t>What Is Strict Liability? - Definition of Strict Liability</w:t>
      </w:r>
      <w:r w:rsidR="099E7574">
        <w:rPr/>
        <w:t xml:space="preserve">. [online] </w:t>
      </w:r>
      <w:r w:rsidR="099E7574">
        <w:rPr/>
        <w:t>CloudLex</w:t>
      </w:r>
      <w:r w:rsidR="099E7574">
        <w:rPr/>
        <w:t xml:space="preserve"> - Personal Injury Case Management Software. Available at: </w:t>
      </w:r>
      <w:hyperlink r:id="R019abf63de614303">
        <w:r w:rsidRPr="3CCE404A" w:rsidR="34E2EC00">
          <w:rPr>
            <w:rStyle w:val="Hyperlink"/>
          </w:rPr>
          <w:t>https://www.cloudlex.com/glossary/what-is-strict-liability/</w:t>
        </w:r>
      </w:hyperlink>
      <w:r w:rsidR="34E2EC00">
        <w:rPr/>
        <w:t xml:space="preserve"> </w:t>
      </w:r>
      <w:r w:rsidR="221A0B17">
        <w:rPr/>
        <w:t>Accessed on: 10/11/2023</w:t>
      </w:r>
    </w:p>
    <w:p w:rsidR="2D5324D2" w:rsidP="3CCE404A" w:rsidRDefault="2D5324D2" w14:paraId="42B7AB12" w14:textId="7325C5CC">
      <w:pPr>
        <w:pStyle w:val="Normal"/>
        <w:spacing w:line="360" w:lineRule="auto"/>
        <w:jc w:val="left"/>
      </w:pPr>
      <w:r w:rsidR="2D5324D2">
        <w:rPr/>
        <w:t xml:space="preserve">Gill, S.K. (2021). </w:t>
      </w:r>
      <w:r w:rsidRPr="3CCE404A" w:rsidR="2D5324D2">
        <w:rPr>
          <w:i w:val="1"/>
          <w:iCs w:val="1"/>
        </w:rPr>
        <w:t>Sound mind in a sound body</w:t>
      </w:r>
      <w:r w:rsidR="2D5324D2">
        <w:rPr/>
        <w:t xml:space="preserve">. [online] Youth’s Digest. Available at:   </w:t>
      </w:r>
      <w:hyperlink r:id="R45a747eabe864f1b">
        <w:r w:rsidRPr="3CCE404A" w:rsidR="2D5324D2">
          <w:rPr>
            <w:rStyle w:val="Hyperlink"/>
          </w:rPr>
          <w:t>https://medium.com/youths-digest/sound-mind-in-a-sound-body-aeda3dd13e9b</w:t>
        </w:r>
      </w:hyperlink>
      <w:r w:rsidR="2D5324D2">
        <w:rPr/>
        <w:t xml:space="preserve"> Accessed on: 10/11/2023</w:t>
      </w:r>
    </w:p>
    <w:p w:rsidR="39032914" w:rsidP="74C39E37" w:rsidRDefault="39032914" w14:paraId="1DAB5652" w14:textId="3D451DE7">
      <w:pPr>
        <w:pStyle w:val="Normal"/>
        <w:spacing w:line="360" w:lineRule="auto"/>
        <w:jc w:val="left"/>
      </w:pPr>
      <w:r w:rsidR="368B5321">
        <w:rPr/>
        <w:t xml:space="preserve">Herring, J (2019) </w:t>
      </w:r>
      <w:r w:rsidRPr="3CCE404A" w:rsidR="368B5321">
        <w:rPr>
          <w:i w:val="1"/>
          <w:iCs w:val="1"/>
        </w:rPr>
        <w:t>Criminal Law</w:t>
      </w:r>
      <w:r w:rsidR="368B5321">
        <w:rPr/>
        <w:t xml:space="preserve"> 11</w:t>
      </w:r>
      <w:r w:rsidRPr="3CCE404A" w:rsidR="368B5321">
        <w:rPr>
          <w:vertAlign w:val="superscript"/>
        </w:rPr>
        <w:t>th</w:t>
      </w:r>
      <w:r w:rsidR="32049164">
        <w:rPr/>
        <w:t xml:space="preserve"> </w:t>
      </w:r>
      <w:r w:rsidR="32049164">
        <w:rPr/>
        <w:t>edition</w:t>
      </w:r>
      <w:r w:rsidR="32049164">
        <w:rPr/>
        <w:t xml:space="preserve"> Macmillan Education: UK</w:t>
      </w:r>
      <w:r w:rsidR="1F11E381">
        <w:rPr/>
        <w:t>. Available at:</w:t>
      </w:r>
      <w:r w:rsidR="2085F80A">
        <w:rPr/>
        <w:t xml:space="preserve"> </w:t>
      </w:r>
      <w:hyperlink r:id="R96e480bd10a84424">
        <w:r w:rsidRPr="3CCE404A" w:rsidR="39032914">
          <w:rPr>
            <w:rStyle w:val="Hyperlink"/>
          </w:rPr>
          <w:t>https://www.casemine.com/judgement/uk/6453fe2208dfb55170cfd0df</w:t>
        </w:r>
      </w:hyperlink>
      <w:r w:rsidR="39032914">
        <w:rPr/>
        <w:t xml:space="preserve"> </w:t>
      </w:r>
      <w:r w:rsidR="0A019263">
        <w:rPr/>
        <w:t xml:space="preserve"> Accessed on: 10/11/2023</w:t>
      </w:r>
    </w:p>
    <w:p w:rsidR="74C39E37" w:rsidP="74C39E37" w:rsidRDefault="74C39E37" w14:paraId="776E8947" w14:textId="222C1425">
      <w:pPr>
        <w:pStyle w:val="Normal"/>
        <w:spacing w:line="360" w:lineRule="auto"/>
        <w:jc w:val="left"/>
      </w:pPr>
      <w:r w:rsidR="7F8FF42E">
        <w:rPr/>
        <w:t xml:space="preserve">IPSA LOQUITUR. (2019). </w:t>
      </w:r>
      <w:r w:rsidRPr="3CCE404A" w:rsidR="7F8FF42E">
        <w:rPr>
          <w:i w:val="1"/>
          <w:iCs w:val="1"/>
        </w:rPr>
        <w:t>Criminal Law: Assault &amp; Battery</w:t>
      </w:r>
      <w:r w:rsidR="7F8FF42E">
        <w:rPr/>
        <w:t xml:space="preserve">. [online] Available at:  </w:t>
      </w:r>
      <w:hyperlink w:anchor=":~:text=The%20actus%20reus%20of%20battery,Venna%20%5B1976%5D%20QB%20421" r:id="R3d69cf1709b64466">
        <w:r w:rsidRPr="3CCE404A" w:rsidR="7F8FF42E">
          <w:rPr>
            <w:rStyle w:val="Hyperlink"/>
          </w:rPr>
          <w:t>https://ipsaloquitur.com/criminal-law/assault-battery/#:~:text=The%20actus%20reus%20of%20battery,Venna%20%5B1976%5D%20QB%20421</w:t>
        </w:r>
      </w:hyperlink>
      <w:r w:rsidR="7F8FF42E">
        <w:rPr/>
        <w:t>.</w:t>
      </w:r>
    </w:p>
    <w:p w:rsidR="74C39E37" w:rsidP="3CCE404A" w:rsidRDefault="74C39E37" w14:paraId="44DDBFB6" w14:textId="46B93D73">
      <w:pPr>
        <w:pStyle w:val="Normal"/>
        <w:spacing w:line="360" w:lineRule="auto"/>
        <w:jc w:val="left"/>
        <w:rPr>
          <w:i w:val="1"/>
          <w:iCs w:val="1"/>
        </w:rPr>
      </w:pPr>
      <w:r w:rsidR="7F8FF42E">
        <w:rPr/>
        <w:t xml:space="preserve">NHS (2022) </w:t>
      </w:r>
      <w:r w:rsidRPr="3CCE404A" w:rsidR="7F8FF42E">
        <w:rPr>
          <w:i w:val="1"/>
          <w:iCs w:val="1"/>
        </w:rPr>
        <w:t xml:space="preserve">Section 2: The common law of confidentiality and consent. </w:t>
      </w:r>
      <w:r w:rsidRPr="3CCE404A" w:rsidR="7F8FF42E">
        <w:rPr>
          <w:i w:val="0"/>
          <w:iCs w:val="0"/>
        </w:rPr>
        <w:t>Available at:</w:t>
      </w:r>
    </w:p>
    <w:p w:rsidR="74C39E37" w:rsidP="74C39E37" w:rsidRDefault="74C39E37" w14:paraId="33C488ED" w14:textId="06E975DB">
      <w:pPr>
        <w:pStyle w:val="Normal"/>
        <w:spacing w:line="360" w:lineRule="auto"/>
        <w:jc w:val="left"/>
      </w:pPr>
      <w:r w:rsidR="7F8FF42E">
        <w:rPr/>
        <w:t xml:space="preserve"> </w:t>
      </w:r>
      <w:hyperlink w:anchor=":~:text=explanation%20of%20consent.-,Definitions%20of%20consent,and%20must%20give%20consent%20voluntarily" r:id="R2f61e9e978284817">
        <w:r w:rsidRPr="3CCE404A" w:rsidR="7F8FF42E">
          <w:rPr>
            <w:rStyle w:val="Hyperlink"/>
          </w:rPr>
          <w:t>https://digital.nhs.uk/data-and-information/looking-after-information/data-security-and-information-governance/codes-of-practice-for-handling-information-in-health-and-care/a-guide-to-confidentiality-in-health-and-social-care/hscic-guide-to-confidentiality-references/section-2#:~:text=explanation%20of%20consent.-,Definitions%20of%20consent,and%20must%20give%20consent%20voluntarily</w:t>
        </w:r>
      </w:hyperlink>
      <w:r w:rsidR="7F8FF42E">
        <w:rPr/>
        <w:t>. Accessed on 10/11/2023</w:t>
      </w:r>
    </w:p>
    <w:p w:rsidR="74C39E37" w:rsidP="74C39E37" w:rsidRDefault="74C39E37" w14:paraId="125431D3" w14:textId="5AAE56FF">
      <w:pPr>
        <w:pStyle w:val="Normal"/>
        <w:spacing w:line="360" w:lineRule="auto"/>
        <w:jc w:val="left"/>
      </w:pPr>
      <w:r w:rsidR="7F8FF42E">
        <w:rPr/>
        <w:t xml:space="preserve">Parliament.uk. (2019). House of Lords - Regina v. G and another (Appellants) (On Appeal from the Court of Appeal (Criminal Division)). [online] Available at: </w:t>
      </w:r>
      <w:hyperlink r:id="R4ae56b43a8374255">
        <w:r w:rsidRPr="3CCE404A" w:rsidR="7F8FF42E">
          <w:rPr>
            <w:rStyle w:val="Hyperlink"/>
          </w:rPr>
          <w:t>https://publications.parliament.uk/pa/ld200203/ldjudgmt/jd031016/g-1.htm</w:t>
        </w:r>
      </w:hyperlink>
      <w:r w:rsidR="7F8FF42E">
        <w:rPr/>
        <w:t xml:space="preserve"> Accessed on: 10/11/2023</w:t>
      </w:r>
    </w:p>
    <w:p w:rsidR="74C39E37" w:rsidP="74C39E37" w:rsidRDefault="74C39E37" w14:paraId="644BB0F5" w14:textId="276E160C">
      <w:pPr>
        <w:pStyle w:val="Normal"/>
        <w:spacing w:line="360" w:lineRule="auto"/>
        <w:jc w:val="left"/>
      </w:pPr>
      <w:r w:rsidR="7F8FF42E">
        <w:rPr/>
        <w:t xml:space="preserve">Practical Law. (n.d.). Negligence. [online] Available at: </w:t>
      </w:r>
      <w:hyperlink r:id="Rac1b848d1f0742f4">
        <w:r w:rsidRPr="3CCE404A" w:rsidR="7F8FF42E">
          <w:rPr>
            <w:rStyle w:val="Hyperlink"/>
          </w:rPr>
          <w:t>https://uk.practicallaw.thomsonreuters.com/0-107-6876?transitionType=Default&amp;contextData=(sc.Default</w:t>
        </w:r>
      </w:hyperlink>
      <w:r w:rsidR="7F8FF42E">
        <w:rPr/>
        <w:t xml:space="preserve"> Available: 10/11/2023</w:t>
      </w:r>
    </w:p>
    <w:p w:rsidR="74C39E37" w:rsidP="74C39E37" w:rsidRDefault="74C39E37" w14:paraId="09B00D71" w14:textId="6871F86A">
      <w:pPr>
        <w:pStyle w:val="Normal"/>
        <w:spacing w:line="360" w:lineRule="auto"/>
        <w:jc w:val="left"/>
      </w:pPr>
      <w:r w:rsidR="7F8FF42E">
        <w:rPr/>
        <w:t xml:space="preserve">Sentencing Council (2022). </w:t>
      </w:r>
      <w:r w:rsidRPr="3CCE404A" w:rsidR="7F8FF42E">
        <w:rPr>
          <w:i w:val="1"/>
          <w:iCs w:val="1"/>
        </w:rPr>
        <w:t>Assault – Sentencing</w:t>
      </w:r>
      <w:r w:rsidR="7F8FF42E">
        <w:rPr/>
        <w:t xml:space="preserve">. [online] Sentencing council. Available at:  </w:t>
      </w:r>
      <w:hyperlink r:id="R5de5e3c7d9ca4957">
        <w:r w:rsidRPr="3CCE404A" w:rsidR="7F8FF42E">
          <w:rPr>
            <w:rStyle w:val="Hyperlink"/>
          </w:rPr>
          <w:t>https://www.sentencingcouncil.org.uk/outlines/assault/</w:t>
        </w:r>
      </w:hyperlink>
      <w:r w:rsidR="7F8FF42E">
        <w:rPr/>
        <w:t xml:space="preserve">  Accessed on: 10/11/2023</w:t>
      </w:r>
    </w:p>
    <w:p w:rsidR="74C39E37" w:rsidP="74C39E37" w:rsidRDefault="74C39E37" w14:paraId="2C52758F" w14:textId="5B421748">
      <w:pPr>
        <w:pStyle w:val="Normal"/>
        <w:spacing w:line="360" w:lineRule="auto"/>
        <w:jc w:val="left"/>
      </w:pPr>
      <w:r w:rsidR="133498A3">
        <w:rPr/>
        <w:t xml:space="preserve">Yates, J. (2021). What Is </w:t>
      </w:r>
      <w:r w:rsidR="133498A3">
        <w:rPr/>
        <w:t>The</w:t>
      </w:r>
      <w:r w:rsidR="133498A3">
        <w:rPr/>
        <w:t xml:space="preserve"> Difference Between Assault, Battery, ABH And GBH? | Martin Cray &amp; Co. [online] Martin Cray and Co. Available at: </w:t>
      </w:r>
      <w:hyperlink r:id="R6dee5c899d3e4e1b">
        <w:r w:rsidRPr="3CCE404A" w:rsidR="133498A3">
          <w:rPr>
            <w:rStyle w:val="Hyperlink"/>
          </w:rPr>
          <w:t>https://martincray.co.uk/advice/what-is-assault-battery-abh-and-gbh/</w:t>
        </w:r>
      </w:hyperlink>
      <w:r w:rsidR="133498A3">
        <w:rPr/>
        <w:t xml:space="preserve"> Accessed on: 10/11/2023</w:t>
      </w:r>
    </w:p>
    <w:p w:rsidR="74C39E37" w:rsidP="74C39E37" w:rsidRDefault="74C39E37" w14:paraId="755C03B0" w14:textId="701DCC1C">
      <w:pPr>
        <w:pStyle w:val="Normal"/>
        <w:spacing w:line="360" w:lineRule="auto"/>
        <w:jc w:val="left"/>
      </w:pPr>
    </w:p>
    <w:p w:rsidR="74C39E37" w:rsidP="74C39E37" w:rsidRDefault="74C39E37" w14:paraId="7F0C2964" w14:textId="002F6C45">
      <w:pPr>
        <w:pStyle w:val="Normal"/>
        <w:spacing w:line="360" w:lineRule="auto"/>
        <w:jc w:val="left"/>
      </w:pPr>
    </w:p>
    <w:sectPr>
      <w:pgSz w:w="11906" w:h="16838" w:orient="portrait"/>
      <w:pgMar w:top="1440" w:right="1440" w:bottom="1440" w:left="1440" w:header="720" w:footer="720" w:gutter="0"/>
      <w:cols w:space="720"/>
      <w:docGrid w:linePitch="360"/>
      <w:headerReference w:type="default" r:id="R45bfb4682e0446f8"/>
      <w:footerReference w:type="default" r:id="R7e2c3bee04c048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A1C2F1" w:rsidTr="44A1C2F1" w14:paraId="59B36D84">
      <w:trPr>
        <w:trHeight w:val="300"/>
      </w:trPr>
      <w:tc>
        <w:tcPr>
          <w:tcW w:w="3005" w:type="dxa"/>
          <w:tcMar/>
        </w:tcPr>
        <w:p w:rsidR="44A1C2F1" w:rsidP="44A1C2F1" w:rsidRDefault="44A1C2F1" w14:paraId="020AA8A9" w14:textId="1AD6DB83">
          <w:pPr>
            <w:pStyle w:val="Header"/>
            <w:bidi w:val="0"/>
            <w:ind w:left="-115"/>
            <w:jc w:val="left"/>
          </w:pPr>
        </w:p>
      </w:tc>
      <w:tc>
        <w:tcPr>
          <w:tcW w:w="3005" w:type="dxa"/>
          <w:tcMar/>
        </w:tcPr>
        <w:p w:rsidR="44A1C2F1" w:rsidP="44A1C2F1" w:rsidRDefault="44A1C2F1" w14:paraId="029E79B3" w14:textId="51113D26">
          <w:pPr>
            <w:pStyle w:val="Header"/>
            <w:bidi w:val="0"/>
            <w:jc w:val="center"/>
          </w:pPr>
        </w:p>
      </w:tc>
      <w:tc>
        <w:tcPr>
          <w:tcW w:w="3005" w:type="dxa"/>
          <w:tcMar/>
        </w:tcPr>
        <w:p w:rsidR="44A1C2F1" w:rsidP="44A1C2F1" w:rsidRDefault="44A1C2F1" w14:paraId="5E32D1D5" w14:textId="16DCC35B">
          <w:pPr>
            <w:pStyle w:val="Header"/>
            <w:bidi w:val="0"/>
            <w:ind w:right="-115"/>
            <w:jc w:val="right"/>
          </w:pPr>
        </w:p>
      </w:tc>
    </w:tr>
  </w:tbl>
  <w:p w:rsidR="44A1C2F1" w:rsidP="44A1C2F1" w:rsidRDefault="44A1C2F1" w14:paraId="69CB8654" w14:textId="0ACDF1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A1C2F1" w:rsidTr="44A1C2F1" w14:paraId="5C1EB247">
      <w:trPr>
        <w:trHeight w:val="300"/>
      </w:trPr>
      <w:tc>
        <w:tcPr>
          <w:tcW w:w="3005" w:type="dxa"/>
          <w:tcMar/>
        </w:tcPr>
        <w:p w:rsidR="44A1C2F1" w:rsidP="44A1C2F1" w:rsidRDefault="44A1C2F1" w14:paraId="2CF47B06" w14:textId="4086D661">
          <w:pPr>
            <w:pStyle w:val="Header"/>
            <w:bidi w:val="0"/>
            <w:ind w:left="-115"/>
            <w:jc w:val="left"/>
          </w:pPr>
        </w:p>
      </w:tc>
      <w:tc>
        <w:tcPr>
          <w:tcW w:w="3005" w:type="dxa"/>
          <w:tcMar/>
        </w:tcPr>
        <w:p w:rsidR="44A1C2F1" w:rsidP="44A1C2F1" w:rsidRDefault="44A1C2F1" w14:paraId="5AC23622" w14:textId="0B6A5AB7">
          <w:pPr>
            <w:pStyle w:val="Header"/>
            <w:bidi w:val="0"/>
            <w:jc w:val="center"/>
          </w:pPr>
        </w:p>
      </w:tc>
      <w:tc>
        <w:tcPr>
          <w:tcW w:w="3005" w:type="dxa"/>
          <w:tcMar/>
        </w:tcPr>
        <w:p w:rsidR="44A1C2F1" w:rsidP="44A1C2F1" w:rsidRDefault="44A1C2F1" w14:paraId="60EBC5CB" w14:textId="240FAB96">
          <w:pPr>
            <w:pStyle w:val="Header"/>
            <w:bidi w:val="0"/>
            <w:ind w:right="-115"/>
            <w:jc w:val="right"/>
          </w:pPr>
        </w:p>
      </w:tc>
    </w:tr>
  </w:tbl>
  <w:p w:rsidR="44A1C2F1" w:rsidP="44A1C2F1" w:rsidRDefault="44A1C2F1" w14:paraId="3735E07C" w14:textId="147E741C">
    <w:pPr>
      <w:pStyle w:val="Header"/>
      <w:bidi w:val="0"/>
    </w:pPr>
  </w:p>
</w:hdr>
</file>

<file path=word/intelligence2.xml><?xml version="1.0" encoding="utf-8"?>
<int2:intelligence xmlns:int2="http://schemas.microsoft.com/office/intelligence/2020/intelligence">
  <int2:observations>
    <int2:textHash int2:hashCode="efGjbGn+ocSKQ8" int2:id="V5aAOQPx">
      <int2:state int2:type="AugLoop_Text_Critique" int2:value="Rejected"/>
    </int2:textHash>
    <int2:textHash int2:hashCode="xnBcFVWU6tAY+k" int2:id="H21P5LM2">
      <int2:state int2:type="AugLoop_Text_Critique" int2:value="Rejected"/>
    </int2:textHash>
    <int2:bookmark int2:bookmarkName="_Int_tzyw1ywl" int2:invalidationBookmarkName="" int2:hashCode="k+8N2CcQNoH87k" int2:id="elo2dJBb">
      <int2:state int2:type="AugLoop_Text_Critique" int2:value="Rejected"/>
    </int2:bookmark>
    <int2:bookmark int2:bookmarkName="_Int_3KSiUluP" int2:invalidationBookmarkName="" int2:hashCode="ii8+AjD+Oyp7ui" int2:id="i0OdHQUQ">
      <int2:state int2:type="AugLoop_Text_Critique" int2:value="Rejected"/>
    </int2:bookmark>
    <int2:bookmark int2:bookmarkName="_Int_3vNriOSw" int2:invalidationBookmarkName="" int2:hashCode="0lXQ0GySJQ8tJA" int2:id="Kw6OEsW0">
      <int2:state int2:type="AugLoop_Text_Critique" int2:value="Rejected"/>
    </int2:bookmark>
    <int2:bookmark int2:bookmarkName="_Int_o0yRR3Sk" int2:invalidationBookmarkName="" int2:hashCode="3aKsP3YcWmO9eC" int2:id="IZ0vV19k">
      <int2:state int2:type="AugLoop_Text_Critique" int2:value="Rejected"/>
    </int2:bookmark>
    <int2:bookmark int2:bookmarkName="_Int_buFFvIhp" int2:invalidationBookmarkName="" int2:hashCode="aJEbnAIbafiZ8P" int2:id="a4gEfZVg">
      <int2:state int2:type="AugLoop_Text_Critique" int2:value="Rejected"/>
    </int2:bookmark>
    <int2:bookmark int2:bookmarkName="_Int_HseM01jo" int2:invalidationBookmarkName="" int2:hashCode="waH4Rjwlr2owYL" int2:id="F2Bi7GS7">
      <int2:state int2:type="AugLoop_Text_Critique" int2:value="Rejected"/>
    </int2:bookmark>
    <int2:bookmark int2:bookmarkName="_Int_5ciDqejN" int2:invalidationBookmarkName="" int2:hashCode="6abNFgf0cnh0qb" int2:id="PU29nR5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FEB74F"/>
    <w:rsid w:val="000650DF"/>
    <w:rsid w:val="000650DF"/>
    <w:rsid w:val="00891905"/>
    <w:rsid w:val="00933365"/>
    <w:rsid w:val="01A22140"/>
    <w:rsid w:val="02330D8E"/>
    <w:rsid w:val="02452BE8"/>
    <w:rsid w:val="0248EA8E"/>
    <w:rsid w:val="02C994B8"/>
    <w:rsid w:val="038AFB79"/>
    <w:rsid w:val="03F5E528"/>
    <w:rsid w:val="0412FCB7"/>
    <w:rsid w:val="047BFA87"/>
    <w:rsid w:val="04BE7043"/>
    <w:rsid w:val="05555ECE"/>
    <w:rsid w:val="05555ECE"/>
    <w:rsid w:val="059CE93D"/>
    <w:rsid w:val="06759263"/>
    <w:rsid w:val="06759263"/>
    <w:rsid w:val="06EA8142"/>
    <w:rsid w:val="06F12F2F"/>
    <w:rsid w:val="071CC62E"/>
    <w:rsid w:val="073CA650"/>
    <w:rsid w:val="081EFFED"/>
    <w:rsid w:val="085C4040"/>
    <w:rsid w:val="088CFF90"/>
    <w:rsid w:val="094B356B"/>
    <w:rsid w:val="099E7574"/>
    <w:rsid w:val="09C3EBC2"/>
    <w:rsid w:val="0A019263"/>
    <w:rsid w:val="0A7DBFCF"/>
    <w:rsid w:val="0AEED9A0"/>
    <w:rsid w:val="0B7F6E73"/>
    <w:rsid w:val="0BA7CA6A"/>
    <w:rsid w:val="0C54AB11"/>
    <w:rsid w:val="0D4AC840"/>
    <w:rsid w:val="0F5AC377"/>
    <w:rsid w:val="0F9A5ED2"/>
    <w:rsid w:val="107CD58A"/>
    <w:rsid w:val="10F71E4E"/>
    <w:rsid w:val="11557004"/>
    <w:rsid w:val="1237AB14"/>
    <w:rsid w:val="1237AB14"/>
    <w:rsid w:val="12ED90D2"/>
    <w:rsid w:val="133498A3"/>
    <w:rsid w:val="14E97842"/>
    <w:rsid w:val="1567CCB2"/>
    <w:rsid w:val="157144F9"/>
    <w:rsid w:val="157BC88F"/>
    <w:rsid w:val="178A029C"/>
    <w:rsid w:val="18164BB7"/>
    <w:rsid w:val="1A4938AB"/>
    <w:rsid w:val="1ABF8E9D"/>
    <w:rsid w:val="1ACF6E5B"/>
    <w:rsid w:val="1B4D5195"/>
    <w:rsid w:val="1B82BE73"/>
    <w:rsid w:val="1C7BEBB6"/>
    <w:rsid w:val="1C7BEBB6"/>
    <w:rsid w:val="1D085B7E"/>
    <w:rsid w:val="1DC206E7"/>
    <w:rsid w:val="1DC9F924"/>
    <w:rsid w:val="1F11E381"/>
    <w:rsid w:val="1F65C985"/>
    <w:rsid w:val="200851E5"/>
    <w:rsid w:val="20263B31"/>
    <w:rsid w:val="202BF9D7"/>
    <w:rsid w:val="2085F80A"/>
    <w:rsid w:val="20C69353"/>
    <w:rsid w:val="20C69353"/>
    <w:rsid w:val="20E5351A"/>
    <w:rsid w:val="20FEB74F"/>
    <w:rsid w:val="210199E6"/>
    <w:rsid w:val="210199E6"/>
    <w:rsid w:val="212B28DF"/>
    <w:rsid w:val="221A0B17"/>
    <w:rsid w:val="223C9407"/>
    <w:rsid w:val="228C8898"/>
    <w:rsid w:val="2333ED67"/>
    <w:rsid w:val="23E15E7C"/>
    <w:rsid w:val="24A3728F"/>
    <w:rsid w:val="252C609E"/>
    <w:rsid w:val="2537470B"/>
    <w:rsid w:val="257EA672"/>
    <w:rsid w:val="26818669"/>
    <w:rsid w:val="26CD55F0"/>
    <w:rsid w:val="26CD55F0"/>
    <w:rsid w:val="27CA5395"/>
    <w:rsid w:val="28276CBB"/>
    <w:rsid w:val="28276CBB"/>
    <w:rsid w:val="2909CDA7"/>
    <w:rsid w:val="29203274"/>
    <w:rsid w:val="2950D871"/>
    <w:rsid w:val="29586C9D"/>
    <w:rsid w:val="29993E8F"/>
    <w:rsid w:val="29B9272B"/>
    <w:rsid w:val="2C2CFBDA"/>
    <w:rsid w:val="2C7DCB7F"/>
    <w:rsid w:val="2CF0C7ED"/>
    <w:rsid w:val="2D5324D2"/>
    <w:rsid w:val="2E76A00E"/>
    <w:rsid w:val="2E76A00E"/>
    <w:rsid w:val="2E96AE3F"/>
    <w:rsid w:val="2E96AE3F"/>
    <w:rsid w:val="2FDD2A11"/>
    <w:rsid w:val="301B6D07"/>
    <w:rsid w:val="30694BBB"/>
    <w:rsid w:val="306D86F0"/>
    <w:rsid w:val="312B4459"/>
    <w:rsid w:val="31A4ABB5"/>
    <w:rsid w:val="31AC3DFA"/>
    <w:rsid w:val="31C2B070"/>
    <w:rsid w:val="31CE4F01"/>
    <w:rsid w:val="32049164"/>
    <w:rsid w:val="323E36CC"/>
    <w:rsid w:val="32505003"/>
    <w:rsid w:val="32C714BA"/>
    <w:rsid w:val="3322F8E6"/>
    <w:rsid w:val="332C675B"/>
    <w:rsid w:val="338E28A7"/>
    <w:rsid w:val="338E28A7"/>
    <w:rsid w:val="341ABB6B"/>
    <w:rsid w:val="34AF3521"/>
    <w:rsid w:val="34D2FB81"/>
    <w:rsid w:val="34E2EC00"/>
    <w:rsid w:val="34E3DEBC"/>
    <w:rsid w:val="34E3DEBC"/>
    <w:rsid w:val="3505EFC3"/>
    <w:rsid w:val="3505EFC3"/>
    <w:rsid w:val="35FEB57C"/>
    <w:rsid w:val="3675EEC0"/>
    <w:rsid w:val="368B5321"/>
    <w:rsid w:val="36A1C024"/>
    <w:rsid w:val="3785F4B3"/>
    <w:rsid w:val="379A85DD"/>
    <w:rsid w:val="3808FDEA"/>
    <w:rsid w:val="380C4D41"/>
    <w:rsid w:val="3828BAD5"/>
    <w:rsid w:val="38654529"/>
    <w:rsid w:val="38AEE76F"/>
    <w:rsid w:val="38F81CEA"/>
    <w:rsid w:val="39032914"/>
    <w:rsid w:val="394188BE"/>
    <w:rsid w:val="3A01158A"/>
    <w:rsid w:val="3B326FE9"/>
    <w:rsid w:val="3B6D1C04"/>
    <w:rsid w:val="3BC499DF"/>
    <w:rsid w:val="3CCE404A"/>
    <w:rsid w:val="3DC19DB1"/>
    <w:rsid w:val="3DCB8E0D"/>
    <w:rsid w:val="3DE1864D"/>
    <w:rsid w:val="3E3DED6C"/>
    <w:rsid w:val="3F5D6E12"/>
    <w:rsid w:val="3F5D6E12"/>
    <w:rsid w:val="3F675E6E"/>
    <w:rsid w:val="401E182A"/>
    <w:rsid w:val="403B7F4D"/>
    <w:rsid w:val="4141F408"/>
    <w:rsid w:val="4154EAAF"/>
    <w:rsid w:val="418E3C5C"/>
    <w:rsid w:val="41D74FAE"/>
    <w:rsid w:val="42114A98"/>
    <w:rsid w:val="427D7071"/>
    <w:rsid w:val="42D0F7DE"/>
    <w:rsid w:val="42DDC469"/>
    <w:rsid w:val="42E71FB3"/>
    <w:rsid w:val="4399DC71"/>
    <w:rsid w:val="443ACF91"/>
    <w:rsid w:val="4450C7D1"/>
    <w:rsid w:val="44A1C2F1"/>
    <w:rsid w:val="44F08169"/>
    <w:rsid w:val="458F6673"/>
    <w:rsid w:val="45B4ED2D"/>
    <w:rsid w:val="45D69FF2"/>
    <w:rsid w:val="482629ED"/>
    <w:rsid w:val="48469132"/>
    <w:rsid w:val="4877E0FC"/>
    <w:rsid w:val="490E40B4"/>
    <w:rsid w:val="4991A2CD"/>
    <w:rsid w:val="4993BED1"/>
    <w:rsid w:val="4AFA9CDF"/>
    <w:rsid w:val="4B00EC61"/>
    <w:rsid w:val="4B0295B4"/>
    <w:rsid w:val="4B2D732E"/>
    <w:rsid w:val="4BF119C8"/>
    <w:rsid w:val="4C43DEA0"/>
    <w:rsid w:val="4C9CBCC2"/>
    <w:rsid w:val="4CDA8941"/>
    <w:rsid w:val="4DE897AB"/>
    <w:rsid w:val="4DEC5651"/>
    <w:rsid w:val="4DFFA8A8"/>
    <w:rsid w:val="4F7B7F62"/>
    <w:rsid w:val="4F8310A5"/>
    <w:rsid w:val="4F8826B2"/>
    <w:rsid w:val="4F9174FE"/>
    <w:rsid w:val="4F9174FE"/>
    <w:rsid w:val="4FB6671B"/>
    <w:rsid w:val="4FBBE752"/>
    <w:rsid w:val="4FD772A4"/>
    <w:rsid w:val="4FD772A4"/>
    <w:rsid w:val="4FE18E83"/>
    <w:rsid w:val="5047A7CD"/>
    <w:rsid w:val="50F41483"/>
    <w:rsid w:val="5123F713"/>
    <w:rsid w:val="5137385F"/>
    <w:rsid w:val="515C18AB"/>
    <w:rsid w:val="53A6EEB0"/>
    <w:rsid w:val="552CC161"/>
    <w:rsid w:val="558088E8"/>
    <w:rsid w:val="55D004F2"/>
    <w:rsid w:val="55EAC0E6"/>
    <w:rsid w:val="55F4B142"/>
    <w:rsid w:val="55F4B142"/>
    <w:rsid w:val="572301B8"/>
    <w:rsid w:val="578F79F1"/>
    <w:rsid w:val="579081A3"/>
    <w:rsid w:val="583CF950"/>
    <w:rsid w:val="58B4EA93"/>
    <w:rsid w:val="58B4EA93"/>
    <w:rsid w:val="58E03813"/>
    <w:rsid w:val="5907A5B4"/>
    <w:rsid w:val="5916AAE4"/>
    <w:rsid w:val="5974538C"/>
    <w:rsid w:val="5A13DB81"/>
    <w:rsid w:val="5B4B847E"/>
    <w:rsid w:val="5C6EF054"/>
    <w:rsid w:val="5CA3DF6B"/>
    <w:rsid w:val="5CE754DF"/>
    <w:rsid w:val="5CE754DF"/>
    <w:rsid w:val="5CF31BF5"/>
    <w:rsid w:val="5E0AC0B5"/>
    <w:rsid w:val="5F76E738"/>
    <w:rsid w:val="5FA69116"/>
    <w:rsid w:val="5FD00E10"/>
    <w:rsid w:val="6021D3D3"/>
    <w:rsid w:val="60CB4D9A"/>
    <w:rsid w:val="61245287"/>
    <w:rsid w:val="63171A84"/>
    <w:rsid w:val="63D2DFD7"/>
    <w:rsid w:val="652D8D2F"/>
    <w:rsid w:val="6611BAE0"/>
    <w:rsid w:val="663CF3DA"/>
    <w:rsid w:val="666F38C6"/>
    <w:rsid w:val="6789E6A3"/>
    <w:rsid w:val="67B149E7"/>
    <w:rsid w:val="67B149E7"/>
    <w:rsid w:val="680B8171"/>
    <w:rsid w:val="687E3FDC"/>
    <w:rsid w:val="68814003"/>
    <w:rsid w:val="68814003"/>
    <w:rsid w:val="68973843"/>
    <w:rsid w:val="69EBAC40"/>
    <w:rsid w:val="6A132008"/>
    <w:rsid w:val="6AE8EAA9"/>
    <w:rsid w:val="6B3BD1DA"/>
    <w:rsid w:val="6C5D57C6"/>
    <w:rsid w:val="6C5D57C6"/>
    <w:rsid w:val="6C946EC2"/>
    <w:rsid w:val="6CF2C89C"/>
    <w:rsid w:val="6D530D87"/>
    <w:rsid w:val="6D542607"/>
    <w:rsid w:val="6DE2FCA9"/>
    <w:rsid w:val="6EE4D640"/>
    <w:rsid w:val="6F0679C7"/>
    <w:rsid w:val="6F8D6A4B"/>
    <w:rsid w:val="6F94F888"/>
    <w:rsid w:val="6FBA6FCF"/>
    <w:rsid w:val="7059DD81"/>
    <w:rsid w:val="707F3C2C"/>
    <w:rsid w:val="70F53534"/>
    <w:rsid w:val="71168E42"/>
    <w:rsid w:val="71B7B93B"/>
    <w:rsid w:val="72AB8462"/>
    <w:rsid w:val="72CC994A"/>
    <w:rsid w:val="72CC994A"/>
    <w:rsid w:val="73AE4B8A"/>
    <w:rsid w:val="73AE4B8A"/>
    <w:rsid w:val="74C39E37"/>
    <w:rsid w:val="751CDDE8"/>
    <w:rsid w:val="75303852"/>
    <w:rsid w:val="754DB5F7"/>
    <w:rsid w:val="75A5D9DD"/>
    <w:rsid w:val="75F58358"/>
    <w:rsid w:val="76043A0C"/>
    <w:rsid w:val="7610E15C"/>
    <w:rsid w:val="765F6E98"/>
    <w:rsid w:val="7661A06E"/>
    <w:rsid w:val="768FC3EC"/>
    <w:rsid w:val="76B134FC"/>
    <w:rsid w:val="77027940"/>
    <w:rsid w:val="77DD1E39"/>
    <w:rsid w:val="789E49A1"/>
    <w:rsid w:val="7926885D"/>
    <w:rsid w:val="79970F5A"/>
    <w:rsid w:val="79970F5A"/>
    <w:rsid w:val="79A51A06"/>
    <w:rsid w:val="7A2C9D00"/>
    <w:rsid w:val="7A5E43E2"/>
    <w:rsid w:val="7A7BD398"/>
    <w:rsid w:val="7AF630B5"/>
    <w:rsid w:val="7AF70F1A"/>
    <w:rsid w:val="7C17A3F9"/>
    <w:rsid w:val="7C28F4FB"/>
    <w:rsid w:val="7C60626B"/>
    <w:rsid w:val="7CC3C358"/>
    <w:rsid w:val="7CE2D29D"/>
    <w:rsid w:val="7D1CC173"/>
    <w:rsid w:val="7D71BAC4"/>
    <w:rsid w:val="7DA9EDBF"/>
    <w:rsid w:val="7DB3745A"/>
    <w:rsid w:val="7DC765DA"/>
    <w:rsid w:val="7E6A807D"/>
    <w:rsid w:val="7E89BA67"/>
    <w:rsid w:val="7F4F44BB"/>
    <w:rsid w:val="7F6095BD"/>
    <w:rsid w:val="7F8FF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EB74F"/>
  <w15:chartTrackingRefBased/>
  <w15:docId w15:val="{9226B78A-7D25-4237-8024-9D2FA10C20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5bfb4682e0446f8" /><Relationship Type="http://schemas.openxmlformats.org/officeDocument/2006/relationships/footer" Target="/word/footer.xml" Id="R7e2c3bee04c048b6" /><Relationship Type="http://schemas.microsoft.com/office/2020/10/relationships/intelligence" Target="/word/intelligence2.xml" Id="Rfa9f10030559419c" /><Relationship Type="http://schemas.openxmlformats.org/officeDocument/2006/relationships/hyperlink" Target="https://doi.org/10.1007/s10506-022-09322-x" TargetMode="External" Id="Rdc8d3014384b451d" /><Relationship Type="http://schemas.openxmlformats.org/officeDocument/2006/relationships/hyperlink" Target="https://www.cloudlex.com/glossary/what-is-strict-liability/" TargetMode="External" Id="R019abf63de614303" /><Relationship Type="http://schemas.openxmlformats.org/officeDocument/2006/relationships/hyperlink" Target="https://medium.com/youths-digest/sound-mind-in-a-sound-body-aeda3dd13e9b" TargetMode="External" Id="R45a747eabe864f1b" /><Relationship Type="http://schemas.openxmlformats.org/officeDocument/2006/relationships/hyperlink" Target="https://www.casemine.com/judgement/uk/6453fe2208dfb55170cfd0df" TargetMode="External" Id="R96e480bd10a84424" /><Relationship Type="http://schemas.openxmlformats.org/officeDocument/2006/relationships/hyperlink" Target="https://ipsaloquitur.com/criminal-law/assault-battery/" TargetMode="External" Id="R3d69cf1709b64466" /><Relationship Type="http://schemas.openxmlformats.org/officeDocument/2006/relationships/hyperlink" Target="https://digital.nhs.uk/data-and-information/looking-after-information/data-security-and-information-governance/codes-of-practice-for-handling-information-in-health-and-care/a-guide-to-confidentiality-in-health-and-social-care/hscic-guide-to-confidentiality-references/section-2" TargetMode="External" Id="R2f61e9e978284817" /><Relationship Type="http://schemas.openxmlformats.org/officeDocument/2006/relationships/hyperlink" Target="https://publications.parliament.uk/pa/ld200203/ldjudgmt/jd031016/g-1.htm" TargetMode="External" Id="R4ae56b43a8374255" /><Relationship Type="http://schemas.openxmlformats.org/officeDocument/2006/relationships/hyperlink" Target="https://uk.practicallaw.thomsonreuters.com/0-107-6876?transitionType=Default&amp;contextData=(sc.Default" TargetMode="External" Id="Rac1b848d1f0742f4" /><Relationship Type="http://schemas.openxmlformats.org/officeDocument/2006/relationships/hyperlink" Target="https://www.sentencingcouncil.org.uk/outlines/assault/" TargetMode="External" Id="R5de5e3c7d9ca4957" /><Relationship Type="http://schemas.openxmlformats.org/officeDocument/2006/relationships/hyperlink" Target="https://martincray.co.uk/advice/what-is-assault-battery-abh-and-gbh/" TargetMode="External" Id="R6dee5c899d3e4e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Jones (2300429)</dc:creator>
  <keywords/>
  <dc:description/>
  <lastModifiedBy>Morgan Jones (2300429)</lastModifiedBy>
  <revision>5</revision>
  <dcterms:created xsi:type="dcterms:W3CDTF">2023-10-27T12:11:13.5675464Z</dcterms:created>
  <dcterms:modified xsi:type="dcterms:W3CDTF">2024-04-19T18:19:57.2755607Z</dcterms:modified>
</coreProperties>
</file>