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4A1148" w:rsidR="005F3E76" w:rsidP="005F3E76" w:rsidRDefault="004A1148" w14:paraId="718E6FD1" w14:textId="79F4013C">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rsidRPr="004A1148" w:rsidR="000A30B6" w:rsidP="000A30B6" w:rsidRDefault="000A30B6" w14:paraId="6F222CA0" w14:textId="1425672E">
      <w:pPr>
        <w:ind w:left="567"/>
        <w:rPr>
          <w:rFonts w:ascii="Arial" w:hAnsi="Arial" w:cs="Arial"/>
          <w:b/>
          <w:sz w:val="24"/>
          <w:szCs w:val="24"/>
        </w:rPr>
      </w:pPr>
    </w:p>
    <w:p w:rsidR="004A1148" w:rsidP="004A1148" w:rsidRDefault="004A1148" w14:paraId="5A6EBC67" w14:textId="02FC1F40">
      <w:pPr>
        <w:rPr>
          <w:rFonts w:ascii="Arial" w:hAnsi="Arial" w:cs="Arial"/>
          <w:b/>
          <w:sz w:val="32"/>
          <w:szCs w:val="32"/>
        </w:rPr>
      </w:pPr>
    </w:p>
    <w:p w:rsidRPr="004A1148" w:rsidR="004A1148" w:rsidP="004A1148" w:rsidRDefault="004A1148" w14:paraId="1D479047" w14:textId="77777777">
      <w:pPr>
        <w:rPr>
          <w:rFonts w:ascii="Arial" w:hAnsi="Arial" w:cs="Arial"/>
          <w:b/>
          <w:sz w:val="32"/>
          <w:szCs w:val="32"/>
        </w:rPr>
      </w:pPr>
    </w:p>
    <w:p w:rsidRPr="004A1148" w:rsidR="004A1148" w:rsidP="004A1148" w:rsidRDefault="004A1148" w14:paraId="2F7D594B" w14:textId="77777777">
      <w:pPr>
        <w:rPr>
          <w:rFonts w:ascii="Arial" w:hAnsi="Arial" w:cs="Arial"/>
          <w:b/>
          <w:sz w:val="32"/>
          <w:szCs w:val="32"/>
        </w:rPr>
      </w:pPr>
    </w:p>
    <w:p w:rsidRPr="004A1148" w:rsidR="004978D5" w:rsidP="004A1148" w:rsidRDefault="004A1148" w14:paraId="1E2A6123" w14:textId="0AF2C01B">
      <w:pPr>
        <w:rPr>
          <w:rFonts w:ascii="Arial" w:hAnsi="Arial" w:cs="Arial"/>
          <w:b/>
          <w:sz w:val="32"/>
          <w:szCs w:val="32"/>
        </w:rPr>
      </w:pPr>
      <w:r w:rsidRPr="004A1148">
        <w:rPr>
          <w:rFonts w:ascii="Arial" w:hAnsi="Arial" w:cs="Arial"/>
          <w:b/>
          <w:sz w:val="32"/>
          <w:szCs w:val="32"/>
        </w:rPr>
        <w:t>Lab: IPv4, Subnetting, VLSM and IPv6 Addressing</w:t>
      </w:r>
    </w:p>
    <w:p w:rsidRPr="004A1148" w:rsidR="00923A14" w:rsidP="00923A14" w:rsidRDefault="00923A14" w14:paraId="36A6B895" w14:textId="77777777">
      <w:pPr>
        <w:ind w:left="284"/>
        <w:rPr>
          <w:rFonts w:ascii="Arial" w:hAnsi="Arial" w:cs="Arial"/>
          <w:b/>
          <w:sz w:val="24"/>
          <w:u w:val="single"/>
        </w:rPr>
      </w:pPr>
    </w:p>
    <w:p w:rsidR="004A1148" w:rsidP="00923A14" w:rsidRDefault="004A1148" w14:paraId="2BC54D33" w14:textId="77777777">
      <w:pPr>
        <w:ind w:left="284"/>
        <w:rPr>
          <w:rFonts w:ascii="Arial" w:hAnsi="Arial" w:cs="Arial"/>
          <w:b/>
          <w:sz w:val="24"/>
          <w:u w:val="single"/>
        </w:rPr>
      </w:pPr>
    </w:p>
    <w:p w:rsidR="006D5DA8" w:rsidP="004A1148" w:rsidRDefault="006D5DA8" w14:paraId="165D8AD4" w14:textId="383CBDF7">
      <w:pPr>
        <w:pStyle w:val="PartHead"/>
      </w:pPr>
      <w:r>
        <w:t>Understanding IPv4 and IPv6 addressing</w:t>
      </w:r>
      <w:r w:rsidR="00FC631C">
        <w:t xml:space="preserve"> (word count 1000)</w:t>
      </w:r>
      <w:r>
        <w:t xml:space="preserve"> </w:t>
      </w:r>
    </w:p>
    <w:p w:rsidR="004E568D" w:rsidP="00C319EB" w:rsidRDefault="00C319EB" w14:paraId="0DFB86A7" w14:textId="4F32D0EF">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Pr="00771EE2" w:rsid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Pr="0033182A" w:rsidR="00FC631C">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r w:rsidR="00B2590E">
        <w:rPr>
          <w:rFonts w:ascii="Arial" w:hAnsi="Arial" w:cs="Arial"/>
          <w:sz w:val="22"/>
          <w:lang w:val="en-US" w:eastAsia="en-US"/>
        </w:rPr>
        <w:t>*Please see below for report*</w:t>
      </w:r>
    </w:p>
    <w:p w:rsidR="00B2590E" w:rsidP="00C319EB" w:rsidRDefault="00B2590E" w14:paraId="1403BA92" w14:textId="6E192E3B">
      <w:pPr>
        <w:rPr>
          <w:rFonts w:ascii="Arial" w:hAnsi="Arial" w:cs="Arial"/>
          <w:sz w:val="22"/>
          <w:lang w:val="en-US" w:eastAsia="en-US"/>
        </w:rPr>
      </w:pPr>
    </w:p>
    <w:p w:rsidRPr="00C319EB" w:rsidR="00B2590E" w:rsidP="00C319EB" w:rsidRDefault="00B2590E" w14:paraId="570F7A4E" w14:textId="77777777">
      <w:pPr>
        <w:rPr>
          <w:rFonts w:ascii="Arial" w:hAnsi="Arial" w:cs="Arial"/>
          <w:sz w:val="22"/>
          <w:lang w:val="en-US" w:eastAsia="en-US"/>
        </w:rPr>
      </w:pPr>
    </w:p>
    <w:p w:rsidRPr="004C0909" w:rsidR="004A1148" w:rsidP="004A1148" w:rsidRDefault="006D5DA8" w14:paraId="0E324976" w14:textId="53C809FA">
      <w:pPr>
        <w:pStyle w:val="PartHead"/>
      </w:pPr>
      <w:r>
        <w:t>Subnetting</w:t>
      </w:r>
      <w:r w:rsidR="004A1148">
        <w:t xml:space="preserve"> and VLSM</w:t>
      </w:r>
    </w:p>
    <w:p w:rsidR="004A1148" w:rsidP="004A1148" w:rsidRDefault="004A1148" w14:paraId="75D27087" w14:textId="60A25AE9">
      <w:pPr>
        <w:rPr>
          <w:rFonts w:ascii="Arial" w:hAnsi="Arial" w:cs="Arial"/>
          <w:b/>
          <w:sz w:val="24"/>
          <w:u w:val="single"/>
        </w:rPr>
      </w:pPr>
    </w:p>
    <w:p w:rsidRPr="004A1148" w:rsidR="004A1148" w:rsidP="004A1148" w:rsidRDefault="004A1148" w14:paraId="4F868518" w14:textId="0868F567">
      <w:pPr>
        <w:rPr>
          <w:rFonts w:ascii="Arial" w:hAnsi="Arial" w:cs="Arial"/>
          <w:b/>
          <w:sz w:val="24"/>
        </w:rPr>
      </w:pPr>
      <w:r>
        <w:rPr>
          <w:rFonts w:ascii="Arial" w:hAnsi="Arial" w:cs="Arial"/>
          <w:b/>
          <w:sz w:val="24"/>
        </w:rPr>
        <w:t xml:space="preserve">NOTE: To complete this part you would need full understanding of Lab 10 to 14. </w:t>
      </w:r>
    </w:p>
    <w:p w:rsidRPr="004A1148" w:rsidR="00923A14" w:rsidP="00923A14" w:rsidRDefault="00923A14" w14:paraId="653E7774" w14:textId="77777777">
      <w:pPr>
        <w:ind w:left="284"/>
        <w:rPr>
          <w:rFonts w:ascii="Arial" w:hAnsi="Arial" w:cs="Arial"/>
          <w:b/>
          <w:sz w:val="24"/>
          <w:u w:val="single"/>
        </w:rPr>
      </w:pPr>
    </w:p>
    <w:p w:rsidRPr="004A1148" w:rsidR="00923A14" w:rsidP="00923A14" w:rsidRDefault="0033182A" w14:paraId="5CAC469B" w14:textId="3F986BA0">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rsidR="00C868FA" w:rsidP="00923A14" w:rsidRDefault="00C868FA" w14:paraId="7BB8B615" w14:textId="1CD8AE03">
      <w:pPr>
        <w:ind w:left="284"/>
        <w:rPr>
          <w:rFonts w:ascii="Arial" w:hAnsi="Arial" w:cs="Arial"/>
          <w:sz w:val="24"/>
        </w:rPr>
      </w:pPr>
    </w:p>
    <w:p w:rsidRPr="00771EE2" w:rsidR="0033182A" w:rsidP="00923A14" w:rsidRDefault="0033182A" w14:paraId="3287A11C" w14:textId="3C1E3926">
      <w:pPr>
        <w:ind w:left="284"/>
        <w:rPr>
          <w:rFonts w:ascii="Arial" w:hAnsi="Arial" w:cs="Arial"/>
          <w:b/>
          <w:sz w:val="24"/>
        </w:rPr>
      </w:pPr>
    </w:p>
    <w:p w:rsidR="0033182A" w:rsidP="00923A14" w:rsidRDefault="0033182A" w14:paraId="620B502B" w14:textId="3ADA9E40">
      <w:pPr>
        <w:ind w:left="284"/>
        <w:rPr>
          <w:rFonts w:ascii="Arial" w:hAnsi="Arial" w:cs="Arial"/>
          <w:sz w:val="24"/>
        </w:rPr>
      </w:pPr>
    </w:p>
    <w:p w:rsidR="0033182A" w:rsidP="00923A14" w:rsidRDefault="0033182A" w14:paraId="58563470" w14:textId="5C203F6C">
      <w:pPr>
        <w:ind w:left="284"/>
        <w:rPr>
          <w:rFonts w:ascii="Arial" w:hAnsi="Arial" w:cs="Arial"/>
          <w:sz w:val="24"/>
        </w:rPr>
      </w:pPr>
    </w:p>
    <w:p w:rsidR="0033182A" w:rsidP="00923A14" w:rsidRDefault="0033182A" w14:paraId="266B6192" w14:textId="008AEBBE">
      <w:pPr>
        <w:ind w:left="284"/>
        <w:rPr>
          <w:rFonts w:ascii="Arial" w:hAnsi="Arial" w:cs="Arial"/>
          <w:sz w:val="24"/>
        </w:rPr>
      </w:pPr>
    </w:p>
    <w:p w:rsidRPr="004A1148" w:rsidR="0033182A" w:rsidP="00923A14" w:rsidRDefault="0033182A" w14:paraId="6C82995C" w14:textId="65BB1E56">
      <w:pPr>
        <w:ind w:left="284"/>
        <w:rPr>
          <w:rFonts w:ascii="Arial" w:hAnsi="Arial" w:cs="Arial"/>
          <w:sz w:val="24"/>
        </w:rPr>
      </w:pPr>
    </w:p>
    <w:p w:rsidRPr="004A1148" w:rsidR="00C868FA" w:rsidP="00923A14" w:rsidRDefault="00C868FA" w14:paraId="2120FD3C" w14:textId="324ADFFC">
      <w:pPr>
        <w:ind w:left="284"/>
        <w:rPr>
          <w:rFonts w:ascii="Arial" w:hAnsi="Arial" w:cs="Arial"/>
          <w:sz w:val="24"/>
        </w:rPr>
      </w:pPr>
    </w:p>
    <w:p w:rsidRPr="004A1148" w:rsidR="00C868FA" w:rsidP="00923A14" w:rsidRDefault="00C868FA" w14:paraId="4E7A983C" w14:textId="77777777">
      <w:pPr>
        <w:ind w:left="284"/>
        <w:rPr>
          <w:rFonts w:ascii="Arial" w:hAnsi="Arial" w:cs="Arial"/>
          <w:sz w:val="24"/>
        </w:rPr>
      </w:pPr>
    </w:p>
    <w:p w:rsidR="00C868FA" w:rsidP="00923A14" w:rsidRDefault="00C868FA" w14:paraId="38B6EF0B" w14:textId="2CB06C7E">
      <w:pPr>
        <w:ind w:left="284"/>
        <w:rPr>
          <w:rFonts w:ascii="Arial" w:hAnsi="Arial" w:cs="Arial"/>
          <w:sz w:val="24"/>
        </w:rPr>
      </w:pPr>
    </w:p>
    <w:p w:rsidR="0033182A" w:rsidP="00923A14" w:rsidRDefault="0033182A" w14:paraId="073EE3D6" w14:textId="049E8776">
      <w:pPr>
        <w:ind w:left="284"/>
        <w:rPr>
          <w:rFonts w:ascii="Arial" w:hAnsi="Arial" w:cs="Arial"/>
          <w:sz w:val="24"/>
        </w:rPr>
      </w:pPr>
    </w:p>
    <w:p w:rsidR="0033182A" w:rsidP="00923A14" w:rsidRDefault="0033182A" w14:paraId="50BF7E0D" w14:textId="5D539DCD">
      <w:pPr>
        <w:ind w:left="284"/>
        <w:rPr>
          <w:rFonts w:ascii="Arial" w:hAnsi="Arial" w:cs="Arial"/>
          <w:sz w:val="24"/>
        </w:rPr>
      </w:pPr>
    </w:p>
    <w:p w:rsidR="0033182A" w:rsidP="00923A14" w:rsidRDefault="0033182A" w14:paraId="6BD99C95" w14:textId="1658FB8A">
      <w:pPr>
        <w:ind w:left="284"/>
        <w:rPr>
          <w:rFonts w:ascii="Arial" w:hAnsi="Arial" w:cs="Arial"/>
          <w:sz w:val="24"/>
        </w:rPr>
      </w:pPr>
    </w:p>
    <w:p w:rsidR="0033182A" w:rsidP="00923A14" w:rsidRDefault="0033182A" w14:paraId="6EB696E6" w14:textId="6DC7F77A">
      <w:pPr>
        <w:ind w:left="284"/>
        <w:rPr>
          <w:rFonts w:ascii="Arial" w:hAnsi="Arial" w:cs="Arial"/>
          <w:sz w:val="24"/>
        </w:rPr>
      </w:pPr>
    </w:p>
    <w:p w:rsidR="0033182A" w:rsidP="00923A14" w:rsidRDefault="0033182A" w14:paraId="2B6E0253" w14:textId="365BFF7F">
      <w:pPr>
        <w:ind w:left="284"/>
        <w:rPr>
          <w:rFonts w:ascii="Arial" w:hAnsi="Arial" w:cs="Arial"/>
          <w:sz w:val="24"/>
        </w:rPr>
      </w:pPr>
    </w:p>
    <w:p w:rsidR="0033182A" w:rsidP="00923A14" w:rsidRDefault="0033182A" w14:paraId="026580B5" w14:textId="0B0763DE">
      <w:pPr>
        <w:ind w:left="284"/>
        <w:rPr>
          <w:rFonts w:ascii="Arial" w:hAnsi="Arial" w:cs="Arial"/>
          <w:sz w:val="24"/>
        </w:rPr>
      </w:pPr>
    </w:p>
    <w:p w:rsidR="0033182A" w:rsidP="00923A14" w:rsidRDefault="0033182A" w14:paraId="358EF366" w14:textId="481C5FEB">
      <w:pPr>
        <w:ind w:left="284"/>
        <w:rPr>
          <w:rFonts w:ascii="Arial" w:hAnsi="Arial" w:cs="Arial"/>
          <w:sz w:val="24"/>
        </w:rPr>
      </w:pPr>
    </w:p>
    <w:p w:rsidR="0033182A" w:rsidP="00923A14" w:rsidRDefault="0033182A" w14:paraId="03989D0E" w14:textId="10CDDE08">
      <w:pPr>
        <w:ind w:left="284"/>
        <w:rPr>
          <w:rFonts w:ascii="Arial" w:hAnsi="Arial" w:cs="Arial"/>
          <w:sz w:val="24"/>
        </w:rPr>
      </w:pPr>
    </w:p>
    <w:p w:rsidR="0033182A" w:rsidP="00923A14" w:rsidRDefault="0033182A" w14:paraId="44CB985F" w14:textId="51A14895">
      <w:pPr>
        <w:ind w:left="284"/>
        <w:rPr>
          <w:rFonts w:ascii="Arial" w:hAnsi="Arial" w:cs="Arial"/>
          <w:sz w:val="24"/>
        </w:rPr>
      </w:pPr>
    </w:p>
    <w:p w:rsidR="0033182A" w:rsidP="00923A14" w:rsidRDefault="0033182A" w14:paraId="336A4E54" w14:textId="104BA9F6">
      <w:pPr>
        <w:ind w:left="284"/>
        <w:rPr>
          <w:rFonts w:ascii="Arial" w:hAnsi="Arial" w:cs="Arial"/>
          <w:sz w:val="24"/>
        </w:rPr>
      </w:pPr>
    </w:p>
    <w:p w:rsidR="0033182A" w:rsidP="00923A14" w:rsidRDefault="0033182A" w14:paraId="41C3F3BF" w14:textId="156AB4C4">
      <w:pPr>
        <w:ind w:left="284"/>
        <w:rPr>
          <w:rFonts w:ascii="Arial" w:hAnsi="Arial" w:cs="Arial"/>
          <w:sz w:val="24"/>
        </w:rPr>
      </w:pPr>
    </w:p>
    <w:p w:rsidR="0033182A" w:rsidP="00923A14" w:rsidRDefault="0033182A" w14:paraId="39A57688" w14:textId="1BC10325">
      <w:pPr>
        <w:ind w:left="284"/>
        <w:rPr>
          <w:rFonts w:ascii="Arial" w:hAnsi="Arial" w:cs="Arial"/>
          <w:sz w:val="24"/>
        </w:rPr>
      </w:pPr>
    </w:p>
    <w:p w:rsidRPr="004A1148" w:rsidR="0033182A" w:rsidP="00923A14" w:rsidRDefault="0033182A" w14:paraId="56A25DB5" w14:textId="77777777">
      <w:pPr>
        <w:ind w:left="284"/>
        <w:rPr>
          <w:rFonts w:ascii="Arial" w:hAnsi="Arial" w:cs="Arial"/>
          <w:sz w:val="24"/>
        </w:rPr>
      </w:pPr>
    </w:p>
    <w:p w:rsidRPr="004A1148" w:rsidR="00C868FA" w:rsidP="00923A14" w:rsidRDefault="00C868FA" w14:paraId="7B37C63E" w14:textId="77777777">
      <w:pPr>
        <w:ind w:left="284"/>
        <w:rPr>
          <w:rFonts w:ascii="Arial" w:hAnsi="Arial" w:cs="Arial"/>
          <w:sz w:val="24"/>
        </w:rPr>
      </w:pPr>
    </w:p>
    <w:p w:rsidRPr="004A1148" w:rsidR="00923A14" w:rsidP="00923A14" w:rsidRDefault="00923A14" w14:paraId="035DEC35" w14:textId="611D59D2">
      <w:pPr>
        <w:ind w:left="284"/>
        <w:rPr>
          <w:rFonts w:ascii="Arial" w:hAnsi="Arial" w:cs="Arial"/>
          <w:sz w:val="24"/>
        </w:rPr>
      </w:pPr>
      <w:r w:rsidRPr="004A1148">
        <w:rPr>
          <w:rFonts w:ascii="Arial" w:hAnsi="Arial" w:cs="Arial"/>
          <w:sz w:val="24"/>
        </w:rPr>
        <w:t xml:space="preserve">Using the Network address 172.16.2.0/24, VLSM the network to support </w:t>
      </w:r>
      <w:r w:rsidRPr="004A1148" w:rsidR="00E020C0">
        <w:rPr>
          <w:rFonts w:ascii="Arial" w:hAnsi="Arial" w:cs="Arial"/>
          <w:sz w:val="24"/>
        </w:rPr>
        <w:t xml:space="preserve">the following requirements: </w:t>
      </w:r>
    </w:p>
    <w:p w:rsidRPr="004A1148" w:rsidR="00923A14" w:rsidP="00923A14" w:rsidRDefault="00923A14" w14:paraId="453B630D" w14:textId="2C97F3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Pr="004A1148" w:rsidR="004A7D3D">
        <w:rPr>
          <w:rFonts w:ascii="Arial" w:hAnsi="Arial" w:cs="Arial"/>
          <w:sz w:val="24"/>
        </w:rPr>
        <w:t xml:space="preserve">       </w:t>
      </w:r>
    </w:p>
    <w:p w:rsidRPr="004A1148" w:rsidR="00923A14" w:rsidP="00923A14" w:rsidRDefault="00923A14" w14:paraId="1253D399" w14:textId="1D3E879C">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rsidRPr="004A1148" w:rsidR="004A7D3D" w:rsidP="00923A14" w:rsidRDefault="004A7D3D" w14:paraId="541BAFAD" w14:textId="467DB387">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rsidRPr="004A1148" w:rsidR="004A7D3D" w:rsidP="00923A14" w:rsidRDefault="004A7D3D" w14:paraId="6D5E6372" w14:textId="56D57041">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rsidRPr="004A1148" w:rsidR="004A7D3D" w:rsidP="00923A14" w:rsidRDefault="004A7D3D" w14:paraId="4D88227B" w14:textId="13B30BB9">
      <w:pPr>
        <w:ind w:left="284"/>
        <w:rPr>
          <w:rFonts w:ascii="Arial" w:hAnsi="Arial" w:cs="Arial"/>
          <w:sz w:val="24"/>
        </w:rPr>
      </w:pPr>
      <w:r w:rsidRPr="004A1148">
        <w:rPr>
          <w:rFonts w:ascii="Arial" w:hAnsi="Arial" w:cs="Arial"/>
          <w:sz w:val="24"/>
        </w:rPr>
        <w:lastRenderedPageBreak/>
        <w:t xml:space="preserve">Subnet E: </w:t>
      </w:r>
      <w:r w:rsidR="00302C6F">
        <w:rPr>
          <w:rFonts w:ascii="Arial" w:hAnsi="Arial" w:cs="Arial"/>
          <w:sz w:val="24"/>
        </w:rPr>
        <w:t>60</w:t>
      </w:r>
      <w:r w:rsidRPr="004A1148">
        <w:rPr>
          <w:rFonts w:ascii="Arial" w:hAnsi="Arial" w:cs="Arial"/>
          <w:sz w:val="24"/>
        </w:rPr>
        <w:t xml:space="preserve"> hosts</w:t>
      </w:r>
    </w:p>
    <w:p w:rsidRPr="00B2590E" w:rsidR="00B2590E" w:rsidP="00B2590E" w:rsidRDefault="004A7D3D" w14:paraId="275E64C4" w14:textId="5355A380">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rsidRPr="00B2590E" w:rsidR="004A7D3D" w:rsidP="00B2590E" w:rsidRDefault="00B2590E" w14:paraId="3E89FE00" w14:textId="4EE2163F">
      <w:pPr>
        <w:tabs>
          <w:tab w:val="left" w:pos="1665"/>
        </w:tabs>
        <w:rPr>
          <w:lang w:val="en-US" w:eastAsia="en-US"/>
        </w:rPr>
        <w:sectPr w:rsidRPr="00B2590E" w:rsidR="004A7D3D" w:rsidSect="00B943CE">
          <w:footerReference w:type="default" r:id="rId10"/>
          <w:pgSz w:w="11894" w:h="16834" w:orient="portrait"/>
          <w:pgMar w:top="993" w:right="695" w:bottom="1418" w:left="1418" w:header="709" w:footer="709" w:gutter="0"/>
          <w:paperSrc w:first="1" w:other="1"/>
          <w:cols w:space="720"/>
        </w:sectPr>
      </w:pPr>
      <w:r>
        <w:rPr>
          <w:lang w:val="en-US" w:eastAsia="en-US"/>
        </w:rPr>
        <w:tab/>
      </w:r>
    </w:p>
    <w:p w:rsidRPr="004A1148" w:rsidR="00E020C0" w:rsidP="00E020C0" w:rsidRDefault="00E020C0" w14:paraId="15F42AE9" w14:textId="2B898968">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Pr="004A1148" w:rsidR="004A7D3D" w:rsidTr="646516DA" w14:paraId="0ADBC58B" w14:textId="77777777">
        <w:trPr>
          <w:cantSplit/>
          <w:trHeight w:val="510"/>
          <w:jc w:val="center"/>
        </w:trPr>
        <w:tc>
          <w:tcPr>
            <w:tcW w:w="1412" w:type="dxa"/>
            <w:tcBorders>
              <w:top w:val="single" w:color="auto" w:sz="2" w:space="0"/>
              <w:left w:val="single" w:color="auto" w:sz="2" w:space="0"/>
              <w:bottom w:val="single" w:color="auto" w:sz="2" w:space="0"/>
              <w:right w:val="single" w:color="auto" w:sz="2" w:space="0"/>
              <w:tl2br w:val="nil"/>
              <w:tr2bl w:val="nil"/>
            </w:tcBorders>
            <w:shd w:val="clear" w:color="auto" w:fill="DBE5F1" w:themeFill="accent1" w:themeFillTint="33"/>
            <w:vAlign w:val="bottom"/>
          </w:tcPr>
          <w:p w:rsidRPr="004A1148" w:rsidR="004A7D3D" w:rsidP="00F5276B" w:rsidRDefault="004A7D3D" w14:paraId="0ED9F061" w14:textId="2D11C09C">
            <w:pPr>
              <w:pStyle w:val="TableHeading"/>
              <w:jc w:val="left"/>
              <w:rPr>
                <w:rFonts w:cs="Arial"/>
              </w:rPr>
            </w:pPr>
            <w:r w:rsidRPr="004A1148">
              <w:rPr>
                <w:rFonts w:cs="Arial"/>
              </w:rPr>
              <w:t>Subnet</w:t>
            </w:r>
          </w:p>
        </w:tc>
        <w:tc>
          <w:tcPr>
            <w:tcW w:w="2561" w:type="dxa"/>
            <w:tcBorders>
              <w:top w:val="single" w:color="auto" w:sz="2" w:space="0"/>
              <w:left w:val="single" w:color="auto" w:sz="2" w:space="0"/>
              <w:bottom w:val="single" w:color="auto" w:sz="2" w:space="0"/>
              <w:right w:val="single" w:color="auto" w:sz="2" w:space="0"/>
              <w:tl2br w:val="nil"/>
              <w:tr2bl w:val="nil"/>
            </w:tcBorders>
            <w:shd w:val="clear" w:color="auto" w:fill="DBE5F1" w:themeFill="accent1" w:themeFillTint="33"/>
            <w:vAlign w:val="bottom"/>
          </w:tcPr>
          <w:p w:rsidRPr="004A1148" w:rsidR="004A7D3D" w:rsidP="00F5276B" w:rsidRDefault="004A7D3D" w14:paraId="59E76F09" w14:textId="23C9F9BA">
            <w:pPr>
              <w:pStyle w:val="TableHeading"/>
              <w:jc w:val="left"/>
              <w:rPr>
                <w:rFonts w:cs="Arial"/>
              </w:rPr>
            </w:pPr>
            <w:r w:rsidRPr="004A1148">
              <w:rPr>
                <w:rFonts w:cs="Arial"/>
              </w:rPr>
              <w:t>Network Address</w:t>
            </w:r>
          </w:p>
        </w:tc>
        <w:tc>
          <w:tcPr>
            <w:tcW w:w="2552" w:type="dxa"/>
            <w:tcBorders>
              <w:top w:val="single" w:color="auto" w:sz="2" w:space="0"/>
              <w:left w:val="single" w:color="auto" w:sz="2" w:space="0"/>
              <w:bottom w:val="single" w:color="auto" w:sz="2" w:space="0"/>
              <w:right w:val="single" w:color="auto" w:sz="2" w:space="0"/>
              <w:tl2br w:val="nil"/>
              <w:tr2bl w:val="nil"/>
            </w:tcBorders>
            <w:shd w:val="clear" w:color="auto" w:fill="DBE5F1" w:themeFill="accent1" w:themeFillTint="33"/>
          </w:tcPr>
          <w:p w:rsidRPr="004A1148" w:rsidR="004A7D3D" w:rsidP="00F5276B" w:rsidRDefault="004A7D3D" w14:paraId="42D9DA04" w14:textId="44987675">
            <w:pPr>
              <w:pStyle w:val="TableHeading"/>
              <w:jc w:val="left"/>
              <w:rPr>
                <w:rFonts w:cs="Arial"/>
              </w:rPr>
            </w:pPr>
            <w:r w:rsidRPr="004A1148">
              <w:rPr>
                <w:rFonts w:cs="Arial"/>
              </w:rPr>
              <w:t>Subnet mask</w:t>
            </w:r>
          </w:p>
        </w:tc>
        <w:tc>
          <w:tcPr>
            <w:tcW w:w="2724" w:type="dxa"/>
            <w:tcBorders>
              <w:top w:val="single" w:color="auto" w:sz="2" w:space="0"/>
              <w:left w:val="single" w:color="auto" w:sz="2" w:space="0"/>
              <w:bottom w:val="single" w:color="auto" w:sz="2" w:space="0"/>
              <w:right w:val="single" w:color="auto" w:sz="2" w:space="0"/>
              <w:tl2br w:val="nil"/>
              <w:tr2bl w:val="nil"/>
            </w:tcBorders>
            <w:shd w:val="clear" w:color="auto" w:fill="DBE5F1" w:themeFill="accent1" w:themeFillTint="33"/>
            <w:vAlign w:val="bottom"/>
          </w:tcPr>
          <w:p w:rsidRPr="004A1148" w:rsidR="004A7D3D" w:rsidP="00F5276B" w:rsidRDefault="004A7D3D" w14:paraId="1E9B9625" w14:textId="5BA422DA">
            <w:pPr>
              <w:pStyle w:val="TableHeading"/>
              <w:jc w:val="left"/>
              <w:rPr>
                <w:rFonts w:cs="Arial"/>
              </w:rPr>
            </w:pPr>
            <w:r w:rsidRPr="004A1148">
              <w:rPr>
                <w:rFonts w:cs="Arial"/>
              </w:rPr>
              <w:t>First Address</w:t>
            </w:r>
          </w:p>
        </w:tc>
        <w:tc>
          <w:tcPr>
            <w:tcW w:w="2922" w:type="dxa"/>
            <w:tcBorders>
              <w:top w:val="single" w:color="auto" w:sz="2" w:space="0"/>
              <w:left w:val="single" w:color="auto" w:sz="2" w:space="0"/>
              <w:bottom w:val="single" w:color="auto" w:sz="2" w:space="0"/>
              <w:right w:val="single" w:color="auto" w:sz="2" w:space="0"/>
              <w:tl2br w:val="nil"/>
              <w:tr2bl w:val="nil"/>
            </w:tcBorders>
            <w:shd w:val="clear" w:color="auto" w:fill="DBE5F1" w:themeFill="accent1" w:themeFillTint="33"/>
            <w:vAlign w:val="bottom"/>
          </w:tcPr>
          <w:p w:rsidRPr="004A1148" w:rsidR="004A7D3D" w:rsidP="00F5276B" w:rsidRDefault="004A7D3D" w14:paraId="51DBD62B" w14:textId="743692A5">
            <w:pPr>
              <w:pStyle w:val="TableHeading"/>
              <w:jc w:val="left"/>
              <w:rPr>
                <w:rFonts w:cs="Arial"/>
              </w:rPr>
            </w:pPr>
            <w:r w:rsidRPr="004A1148">
              <w:rPr>
                <w:rFonts w:cs="Arial"/>
              </w:rPr>
              <w:t>Last Address</w:t>
            </w:r>
          </w:p>
        </w:tc>
        <w:tc>
          <w:tcPr>
            <w:tcW w:w="2905" w:type="dxa"/>
            <w:tcBorders>
              <w:top w:val="single" w:color="auto" w:sz="2" w:space="0"/>
              <w:left w:val="single" w:color="auto" w:sz="2" w:space="0"/>
              <w:bottom w:val="single" w:color="auto" w:sz="2" w:space="0"/>
              <w:right w:val="single" w:color="auto" w:sz="2" w:space="0"/>
              <w:tl2br w:val="nil"/>
              <w:tr2bl w:val="nil"/>
            </w:tcBorders>
            <w:shd w:val="clear" w:color="auto" w:fill="DBE5F1" w:themeFill="accent1" w:themeFillTint="33"/>
            <w:vAlign w:val="bottom"/>
          </w:tcPr>
          <w:p w:rsidRPr="004A1148" w:rsidR="004A7D3D" w:rsidP="00F5276B" w:rsidRDefault="004A7D3D" w14:paraId="79B40975" w14:textId="27DE6ADE">
            <w:pPr>
              <w:pStyle w:val="TableHeading"/>
              <w:ind w:left="284"/>
              <w:rPr>
                <w:rFonts w:cs="Arial"/>
              </w:rPr>
            </w:pPr>
            <w:r w:rsidRPr="004A1148">
              <w:rPr>
                <w:rFonts w:cs="Arial"/>
              </w:rPr>
              <w:t>Broadcast Address</w:t>
            </w:r>
          </w:p>
        </w:tc>
      </w:tr>
      <w:tr w:rsidRPr="004A1148" w:rsidR="004A7D3D" w:rsidTr="646516DA" w14:paraId="166CE3E7" w14:textId="77777777">
        <w:trPr>
          <w:cantSplit/>
          <w:trHeight w:val="510"/>
          <w:jc w:val="center"/>
        </w:trPr>
        <w:tc>
          <w:tcPr>
            <w:tcW w:w="1412" w:type="dxa"/>
            <w:vAlign w:val="bottom"/>
          </w:tcPr>
          <w:p w:rsidRPr="004A1148" w:rsidR="004A7D3D" w:rsidP="00F5276B" w:rsidRDefault="00696736" w14:paraId="2C3618AC" w14:textId="35511334">
            <w:pPr>
              <w:pStyle w:val="TableText"/>
              <w:ind w:left="284"/>
              <w:rPr>
                <w:rFonts w:cs="Arial"/>
              </w:rPr>
            </w:pPr>
            <w:r>
              <w:rPr>
                <w:rFonts w:cs="Arial"/>
              </w:rPr>
              <w:t>B</w:t>
            </w:r>
          </w:p>
        </w:tc>
        <w:tc>
          <w:tcPr>
            <w:tcW w:w="2561" w:type="dxa"/>
            <w:vAlign w:val="bottom"/>
          </w:tcPr>
          <w:p w:rsidRPr="004A1148" w:rsidR="004A7D3D" w:rsidP="00F5276B" w:rsidRDefault="00696736" w14:paraId="325D5AA6" w14:textId="6758EEF9">
            <w:pPr>
              <w:pStyle w:val="TableText"/>
              <w:rPr>
                <w:rFonts w:cs="Arial"/>
              </w:rPr>
            </w:pPr>
            <w:r>
              <w:rPr>
                <w:rFonts w:cs="Arial"/>
              </w:rPr>
              <w:t>172.16.2.0/21</w:t>
            </w:r>
          </w:p>
        </w:tc>
        <w:tc>
          <w:tcPr>
            <w:tcW w:w="2552" w:type="dxa"/>
          </w:tcPr>
          <w:p w:rsidRPr="004A1148" w:rsidR="004A7D3D" w:rsidP="00F5276B" w:rsidRDefault="00696736" w14:paraId="64D79944" w14:textId="41712E8A">
            <w:pPr>
              <w:pStyle w:val="TableText"/>
              <w:rPr>
                <w:rFonts w:cs="Arial"/>
              </w:rPr>
            </w:pPr>
            <w:r>
              <w:rPr>
                <w:rFonts w:cs="Arial"/>
              </w:rPr>
              <w:t>255.255.248.0</w:t>
            </w:r>
          </w:p>
        </w:tc>
        <w:tc>
          <w:tcPr>
            <w:tcW w:w="2724" w:type="dxa"/>
            <w:vAlign w:val="bottom"/>
          </w:tcPr>
          <w:p w:rsidRPr="004A1148" w:rsidR="004A7D3D" w:rsidP="00F5276B" w:rsidRDefault="00AC26FE" w14:paraId="426B55D1" w14:textId="719A6866">
            <w:pPr>
              <w:pStyle w:val="TableText"/>
              <w:rPr>
                <w:rFonts w:cs="Arial"/>
              </w:rPr>
            </w:pPr>
            <w:r>
              <w:rPr>
                <w:rFonts w:cs="Arial"/>
              </w:rPr>
              <w:t>172.16.2.1</w:t>
            </w:r>
          </w:p>
        </w:tc>
        <w:tc>
          <w:tcPr>
            <w:tcW w:w="2922" w:type="dxa"/>
            <w:vAlign w:val="bottom"/>
          </w:tcPr>
          <w:p w:rsidRPr="004A1148" w:rsidR="004A7D3D" w:rsidP="00F5276B" w:rsidRDefault="00AC26FE" w14:paraId="2AC7FFA7" w14:textId="17F3A48D">
            <w:pPr>
              <w:pStyle w:val="TableText"/>
              <w:rPr>
                <w:rFonts w:cs="Arial"/>
              </w:rPr>
            </w:pPr>
            <w:r>
              <w:rPr>
                <w:rFonts w:cs="Arial"/>
              </w:rPr>
              <w:t>172.16.9.254</w:t>
            </w:r>
          </w:p>
        </w:tc>
        <w:tc>
          <w:tcPr>
            <w:tcW w:w="2905" w:type="dxa"/>
            <w:vAlign w:val="bottom"/>
          </w:tcPr>
          <w:p w:rsidRPr="004A1148" w:rsidR="004A7D3D" w:rsidP="00F5276B" w:rsidRDefault="00696736" w14:paraId="55A78382" w14:textId="0319B63B">
            <w:pPr>
              <w:pStyle w:val="TableText"/>
              <w:ind w:left="284"/>
              <w:rPr>
                <w:rFonts w:cs="Arial"/>
              </w:rPr>
            </w:pPr>
            <w:r>
              <w:rPr>
                <w:rFonts w:cs="Arial"/>
              </w:rPr>
              <w:t>172.16.9.255</w:t>
            </w:r>
          </w:p>
        </w:tc>
      </w:tr>
      <w:tr w:rsidRPr="004A1148" w:rsidR="004A7D3D" w:rsidTr="646516DA" w14:paraId="25431512" w14:textId="77777777">
        <w:trPr>
          <w:cantSplit/>
          <w:trHeight w:val="510"/>
          <w:jc w:val="center"/>
        </w:trPr>
        <w:tc>
          <w:tcPr>
            <w:tcW w:w="1412" w:type="dxa"/>
            <w:vAlign w:val="bottom"/>
          </w:tcPr>
          <w:p w:rsidRPr="004A1148" w:rsidR="004A7D3D" w:rsidP="00F5276B" w:rsidRDefault="00696736" w14:paraId="6A6FC7F1" w14:textId="0C70B859">
            <w:pPr>
              <w:pStyle w:val="TableText"/>
              <w:ind w:left="284"/>
              <w:rPr>
                <w:rFonts w:cs="Arial"/>
              </w:rPr>
            </w:pPr>
            <w:r>
              <w:rPr>
                <w:rFonts w:cs="Arial"/>
              </w:rPr>
              <w:t>D</w:t>
            </w:r>
          </w:p>
        </w:tc>
        <w:tc>
          <w:tcPr>
            <w:tcW w:w="2561" w:type="dxa"/>
            <w:vAlign w:val="bottom"/>
          </w:tcPr>
          <w:p w:rsidRPr="004A1148" w:rsidR="004A7D3D" w:rsidP="00F5276B" w:rsidRDefault="00696736" w14:paraId="5D565D23" w14:textId="66893DED">
            <w:pPr>
              <w:pStyle w:val="TableText"/>
              <w:rPr>
                <w:rFonts w:cs="Arial"/>
              </w:rPr>
            </w:pPr>
            <w:r>
              <w:rPr>
                <w:rFonts w:cs="Arial"/>
              </w:rPr>
              <w:t>172.16.10.0</w:t>
            </w:r>
            <w:r w:rsidR="00AC26FE">
              <w:rPr>
                <w:rFonts w:cs="Arial"/>
              </w:rPr>
              <w:t>/23</w:t>
            </w:r>
          </w:p>
        </w:tc>
        <w:tc>
          <w:tcPr>
            <w:tcW w:w="2552" w:type="dxa"/>
          </w:tcPr>
          <w:p w:rsidRPr="004A1148" w:rsidR="004A7D3D" w:rsidP="646516DA" w:rsidRDefault="646516DA" w14:paraId="5E77A652" w14:textId="0169586B">
            <w:pPr>
              <w:pStyle w:val="TableText"/>
              <w:rPr>
                <w:rFonts w:cs="Arial"/>
              </w:rPr>
            </w:pPr>
            <w:r w:rsidRPr="646516DA">
              <w:rPr>
                <w:rFonts w:cs="Arial"/>
              </w:rPr>
              <w:t>255.255.254.0</w:t>
            </w:r>
          </w:p>
        </w:tc>
        <w:tc>
          <w:tcPr>
            <w:tcW w:w="2724" w:type="dxa"/>
            <w:vAlign w:val="bottom"/>
          </w:tcPr>
          <w:p w:rsidRPr="004A1148" w:rsidR="004A7D3D" w:rsidP="00F5276B" w:rsidRDefault="00AC26FE" w14:paraId="553FF9D4" w14:textId="5929B575">
            <w:pPr>
              <w:pStyle w:val="TableText"/>
              <w:rPr>
                <w:rFonts w:cs="Arial"/>
              </w:rPr>
            </w:pPr>
            <w:r>
              <w:rPr>
                <w:rFonts w:cs="Arial"/>
              </w:rPr>
              <w:t>172.16.10.1</w:t>
            </w:r>
          </w:p>
        </w:tc>
        <w:tc>
          <w:tcPr>
            <w:tcW w:w="2922" w:type="dxa"/>
            <w:vAlign w:val="bottom"/>
          </w:tcPr>
          <w:p w:rsidRPr="004A1148" w:rsidR="004A7D3D" w:rsidP="00F5276B" w:rsidRDefault="00AC26FE" w14:paraId="12602C5C" w14:textId="362EE2E9">
            <w:pPr>
              <w:pStyle w:val="TableText"/>
              <w:rPr>
                <w:rFonts w:cs="Arial"/>
              </w:rPr>
            </w:pPr>
            <w:r>
              <w:rPr>
                <w:rFonts w:cs="Arial"/>
              </w:rPr>
              <w:t>172.16.11.254</w:t>
            </w:r>
          </w:p>
        </w:tc>
        <w:tc>
          <w:tcPr>
            <w:tcW w:w="2905" w:type="dxa"/>
            <w:vAlign w:val="bottom"/>
          </w:tcPr>
          <w:p w:rsidRPr="004A1148" w:rsidR="004A7D3D" w:rsidP="00F5276B" w:rsidRDefault="00AC26FE" w14:paraId="0E927FF2" w14:textId="20E953E1">
            <w:pPr>
              <w:pStyle w:val="TableText"/>
              <w:ind w:left="284"/>
              <w:rPr>
                <w:rFonts w:cs="Arial"/>
              </w:rPr>
            </w:pPr>
            <w:r>
              <w:rPr>
                <w:rFonts w:cs="Arial"/>
              </w:rPr>
              <w:t>172.16.11.255</w:t>
            </w:r>
          </w:p>
        </w:tc>
      </w:tr>
      <w:tr w:rsidRPr="004A1148" w:rsidR="004A7D3D" w:rsidTr="646516DA" w14:paraId="1804910C" w14:textId="77777777">
        <w:trPr>
          <w:cantSplit/>
          <w:trHeight w:val="510"/>
          <w:jc w:val="center"/>
        </w:trPr>
        <w:tc>
          <w:tcPr>
            <w:tcW w:w="1412" w:type="dxa"/>
            <w:vAlign w:val="bottom"/>
          </w:tcPr>
          <w:p w:rsidRPr="004A1148" w:rsidR="004A7D3D" w:rsidP="00F5276B" w:rsidRDefault="00AC26FE" w14:paraId="198C292F" w14:textId="205EDCF8">
            <w:pPr>
              <w:pStyle w:val="TableText"/>
              <w:ind w:left="284"/>
              <w:rPr>
                <w:rFonts w:cs="Arial"/>
              </w:rPr>
            </w:pPr>
            <w:r>
              <w:rPr>
                <w:rFonts w:cs="Arial"/>
              </w:rPr>
              <w:t>F</w:t>
            </w:r>
          </w:p>
        </w:tc>
        <w:tc>
          <w:tcPr>
            <w:tcW w:w="2561" w:type="dxa"/>
            <w:vAlign w:val="bottom"/>
          </w:tcPr>
          <w:p w:rsidRPr="004A1148" w:rsidR="004A7D3D" w:rsidP="00F5276B" w:rsidRDefault="00AC26FE" w14:paraId="3114BB27" w14:textId="33EC3DC0">
            <w:pPr>
              <w:pStyle w:val="TableText"/>
              <w:rPr>
                <w:rFonts w:cs="Arial"/>
              </w:rPr>
            </w:pPr>
            <w:r>
              <w:rPr>
                <w:rFonts w:cs="Arial"/>
              </w:rPr>
              <w:t>172.16.12.0/24</w:t>
            </w:r>
          </w:p>
        </w:tc>
        <w:tc>
          <w:tcPr>
            <w:tcW w:w="2552" w:type="dxa"/>
          </w:tcPr>
          <w:p w:rsidRPr="004A1148" w:rsidR="004A7D3D" w:rsidP="00F5276B" w:rsidRDefault="00AC26FE" w14:paraId="0D8FD5C7" w14:textId="4A6FCEB7">
            <w:pPr>
              <w:pStyle w:val="TableText"/>
              <w:rPr>
                <w:rFonts w:cs="Arial"/>
              </w:rPr>
            </w:pPr>
            <w:r>
              <w:rPr>
                <w:rFonts w:cs="Arial"/>
              </w:rPr>
              <w:t>255.255.255.0</w:t>
            </w:r>
          </w:p>
        </w:tc>
        <w:tc>
          <w:tcPr>
            <w:tcW w:w="2724" w:type="dxa"/>
            <w:vAlign w:val="bottom"/>
          </w:tcPr>
          <w:p w:rsidRPr="004A1148" w:rsidR="004A7D3D" w:rsidP="00F5276B" w:rsidRDefault="00AC26FE" w14:paraId="035CA129" w14:textId="09863525">
            <w:pPr>
              <w:pStyle w:val="TableText"/>
              <w:rPr>
                <w:rFonts w:cs="Arial"/>
              </w:rPr>
            </w:pPr>
            <w:r>
              <w:rPr>
                <w:rFonts w:cs="Arial"/>
              </w:rPr>
              <w:t>172.16.12.1</w:t>
            </w:r>
          </w:p>
        </w:tc>
        <w:tc>
          <w:tcPr>
            <w:tcW w:w="2922" w:type="dxa"/>
            <w:vAlign w:val="bottom"/>
          </w:tcPr>
          <w:p w:rsidRPr="004A1148" w:rsidR="004A7D3D" w:rsidP="00F5276B" w:rsidRDefault="00AC26FE" w14:paraId="139F5B25" w14:textId="51516692">
            <w:pPr>
              <w:pStyle w:val="TableText"/>
              <w:rPr>
                <w:rFonts w:cs="Arial"/>
              </w:rPr>
            </w:pPr>
            <w:r>
              <w:rPr>
                <w:rFonts w:cs="Arial"/>
              </w:rPr>
              <w:t>172.16.12.254</w:t>
            </w:r>
          </w:p>
        </w:tc>
        <w:tc>
          <w:tcPr>
            <w:tcW w:w="2905" w:type="dxa"/>
            <w:vAlign w:val="bottom"/>
          </w:tcPr>
          <w:p w:rsidRPr="004A1148" w:rsidR="004A7D3D" w:rsidP="00F5276B" w:rsidRDefault="00AC26FE" w14:paraId="63784539" w14:textId="5DEDA9BE">
            <w:pPr>
              <w:pStyle w:val="TableText"/>
              <w:ind w:left="284"/>
              <w:rPr>
                <w:rFonts w:cs="Arial"/>
              </w:rPr>
            </w:pPr>
            <w:r>
              <w:rPr>
                <w:rFonts w:cs="Arial"/>
              </w:rPr>
              <w:t>172.16.12.255</w:t>
            </w:r>
          </w:p>
        </w:tc>
      </w:tr>
      <w:tr w:rsidRPr="004A1148" w:rsidR="004A7D3D" w:rsidTr="646516DA" w14:paraId="6FCEA750" w14:textId="77777777">
        <w:trPr>
          <w:cantSplit/>
          <w:trHeight w:val="510"/>
          <w:jc w:val="center"/>
        </w:trPr>
        <w:tc>
          <w:tcPr>
            <w:tcW w:w="1412" w:type="dxa"/>
            <w:vAlign w:val="bottom"/>
          </w:tcPr>
          <w:p w:rsidRPr="004A1148" w:rsidR="004A7D3D" w:rsidP="00F5276B" w:rsidRDefault="00AC26FE" w14:paraId="023D3E13" w14:textId="3FC3DFE8">
            <w:pPr>
              <w:pStyle w:val="TableText"/>
              <w:ind w:left="284"/>
              <w:rPr>
                <w:rFonts w:cs="Arial"/>
              </w:rPr>
            </w:pPr>
            <w:r>
              <w:rPr>
                <w:rFonts w:cs="Arial"/>
              </w:rPr>
              <w:t>E</w:t>
            </w:r>
          </w:p>
        </w:tc>
        <w:tc>
          <w:tcPr>
            <w:tcW w:w="2561" w:type="dxa"/>
            <w:vAlign w:val="bottom"/>
          </w:tcPr>
          <w:p w:rsidRPr="004A1148" w:rsidR="004A7D3D" w:rsidP="00F5276B" w:rsidRDefault="00AC26FE" w14:paraId="028301AC" w14:textId="6ADB6DEA">
            <w:pPr>
              <w:pStyle w:val="TableText"/>
              <w:rPr>
                <w:rFonts w:cs="Arial"/>
              </w:rPr>
            </w:pPr>
            <w:r>
              <w:rPr>
                <w:rFonts w:cs="Arial"/>
              </w:rPr>
              <w:t>172.16.13.0/26</w:t>
            </w:r>
          </w:p>
        </w:tc>
        <w:tc>
          <w:tcPr>
            <w:tcW w:w="2552" w:type="dxa"/>
          </w:tcPr>
          <w:p w:rsidRPr="004A1148" w:rsidR="004A7D3D" w:rsidP="00F5276B" w:rsidRDefault="00AC26FE" w14:paraId="0E107CA2" w14:textId="08E1A547">
            <w:pPr>
              <w:pStyle w:val="TableText"/>
              <w:rPr>
                <w:rFonts w:cs="Arial"/>
              </w:rPr>
            </w:pPr>
            <w:r>
              <w:rPr>
                <w:rFonts w:cs="Arial"/>
              </w:rPr>
              <w:t>255.255.255.192</w:t>
            </w:r>
          </w:p>
        </w:tc>
        <w:tc>
          <w:tcPr>
            <w:tcW w:w="2724" w:type="dxa"/>
            <w:vAlign w:val="bottom"/>
          </w:tcPr>
          <w:p w:rsidRPr="004A1148" w:rsidR="004A7D3D" w:rsidP="00F5276B" w:rsidRDefault="00BB58CE" w14:paraId="76E3E1C0" w14:textId="0F00EBD6">
            <w:pPr>
              <w:pStyle w:val="TableText"/>
              <w:rPr>
                <w:rFonts w:cs="Arial"/>
              </w:rPr>
            </w:pPr>
            <w:r>
              <w:rPr>
                <w:rFonts w:cs="Arial"/>
              </w:rPr>
              <w:t>172.16.13.1</w:t>
            </w:r>
          </w:p>
        </w:tc>
        <w:tc>
          <w:tcPr>
            <w:tcW w:w="2922" w:type="dxa"/>
            <w:vAlign w:val="bottom"/>
          </w:tcPr>
          <w:p w:rsidRPr="004A1148" w:rsidR="004A7D3D" w:rsidP="00F5276B" w:rsidRDefault="00BB58CE" w14:paraId="1F58716B" w14:textId="3D612B5A">
            <w:pPr>
              <w:pStyle w:val="TableText"/>
              <w:rPr>
                <w:rFonts w:cs="Arial"/>
              </w:rPr>
            </w:pPr>
            <w:r>
              <w:rPr>
                <w:rFonts w:cs="Arial"/>
              </w:rPr>
              <w:t>172.16.13.62</w:t>
            </w:r>
          </w:p>
        </w:tc>
        <w:tc>
          <w:tcPr>
            <w:tcW w:w="2905" w:type="dxa"/>
            <w:vAlign w:val="bottom"/>
          </w:tcPr>
          <w:p w:rsidRPr="004A1148" w:rsidR="004A7D3D" w:rsidP="00F5276B" w:rsidRDefault="00AC26FE" w14:paraId="1F03CCA5" w14:textId="108A5316">
            <w:pPr>
              <w:pStyle w:val="TableText"/>
              <w:ind w:left="284"/>
              <w:rPr>
                <w:rFonts w:cs="Arial"/>
              </w:rPr>
            </w:pPr>
            <w:r>
              <w:rPr>
                <w:rFonts w:cs="Arial"/>
              </w:rPr>
              <w:t>172.16.13.</w:t>
            </w:r>
            <w:r w:rsidR="00981176">
              <w:rPr>
                <w:rFonts w:cs="Arial"/>
              </w:rPr>
              <w:t>63</w:t>
            </w:r>
          </w:p>
        </w:tc>
      </w:tr>
      <w:tr w:rsidRPr="004A1148" w:rsidR="004A7D3D" w:rsidTr="646516DA" w14:paraId="6B34B8B1" w14:textId="77777777">
        <w:trPr>
          <w:cantSplit/>
          <w:trHeight w:val="510"/>
          <w:jc w:val="center"/>
        </w:trPr>
        <w:tc>
          <w:tcPr>
            <w:tcW w:w="1412" w:type="dxa"/>
            <w:vAlign w:val="bottom"/>
          </w:tcPr>
          <w:p w:rsidRPr="004A1148" w:rsidR="004A7D3D" w:rsidP="00F5276B" w:rsidRDefault="00BB58CE" w14:paraId="65F58BF1" w14:textId="53C8F9A8">
            <w:pPr>
              <w:pStyle w:val="TableText"/>
              <w:ind w:left="284"/>
              <w:rPr>
                <w:rFonts w:cs="Arial"/>
              </w:rPr>
            </w:pPr>
            <w:r>
              <w:rPr>
                <w:rFonts w:cs="Arial"/>
              </w:rPr>
              <w:t>A</w:t>
            </w:r>
          </w:p>
        </w:tc>
        <w:tc>
          <w:tcPr>
            <w:tcW w:w="2561" w:type="dxa"/>
            <w:vAlign w:val="bottom"/>
          </w:tcPr>
          <w:p w:rsidRPr="004A1148" w:rsidR="004A7D3D" w:rsidP="00F5276B" w:rsidRDefault="00BB58CE" w14:paraId="18067B56" w14:textId="3829C257">
            <w:pPr>
              <w:pStyle w:val="TableText"/>
              <w:rPr>
                <w:rFonts w:cs="Arial"/>
              </w:rPr>
            </w:pPr>
            <w:r>
              <w:rPr>
                <w:rFonts w:cs="Arial"/>
              </w:rPr>
              <w:t>172.16.13.64</w:t>
            </w:r>
            <w:r w:rsidR="00F439B9">
              <w:rPr>
                <w:rFonts w:cs="Arial"/>
              </w:rPr>
              <w:t>/27</w:t>
            </w:r>
          </w:p>
        </w:tc>
        <w:tc>
          <w:tcPr>
            <w:tcW w:w="2552" w:type="dxa"/>
          </w:tcPr>
          <w:p w:rsidRPr="004A1148" w:rsidR="004A7D3D" w:rsidP="00F5276B" w:rsidRDefault="00BB58CE" w14:paraId="309D051E" w14:textId="6ED6B470">
            <w:pPr>
              <w:pStyle w:val="TableText"/>
              <w:rPr>
                <w:rFonts w:cs="Arial"/>
              </w:rPr>
            </w:pPr>
            <w:r>
              <w:rPr>
                <w:rFonts w:cs="Arial"/>
              </w:rPr>
              <w:t>255.255.255.224</w:t>
            </w:r>
          </w:p>
        </w:tc>
        <w:tc>
          <w:tcPr>
            <w:tcW w:w="2724" w:type="dxa"/>
            <w:vAlign w:val="bottom"/>
          </w:tcPr>
          <w:p w:rsidRPr="004A1148" w:rsidR="004A7D3D" w:rsidP="00F5276B" w:rsidRDefault="00BB58CE" w14:paraId="4BB66377" w14:textId="2BA1A97A">
            <w:pPr>
              <w:pStyle w:val="TableText"/>
              <w:rPr>
                <w:rFonts w:cs="Arial"/>
              </w:rPr>
            </w:pPr>
            <w:r>
              <w:rPr>
                <w:rFonts w:cs="Arial"/>
              </w:rPr>
              <w:t>172.16.13.65</w:t>
            </w:r>
          </w:p>
        </w:tc>
        <w:tc>
          <w:tcPr>
            <w:tcW w:w="2922" w:type="dxa"/>
            <w:vAlign w:val="bottom"/>
          </w:tcPr>
          <w:p w:rsidRPr="004A1148" w:rsidR="004A7D3D" w:rsidP="00F5276B" w:rsidRDefault="00BB58CE" w14:paraId="2F12A22D" w14:textId="0BA6795B">
            <w:pPr>
              <w:pStyle w:val="TableText"/>
              <w:rPr>
                <w:rFonts w:cs="Arial"/>
              </w:rPr>
            </w:pPr>
            <w:r>
              <w:rPr>
                <w:rFonts w:cs="Arial"/>
              </w:rPr>
              <w:t>172.16.13.94</w:t>
            </w:r>
          </w:p>
        </w:tc>
        <w:tc>
          <w:tcPr>
            <w:tcW w:w="2905" w:type="dxa"/>
            <w:vAlign w:val="bottom"/>
          </w:tcPr>
          <w:p w:rsidRPr="004A1148" w:rsidR="004A7D3D" w:rsidP="00F5276B" w:rsidRDefault="00F439B9" w14:paraId="78E458EF" w14:textId="0BCF3364">
            <w:pPr>
              <w:pStyle w:val="TableText"/>
              <w:ind w:left="284"/>
              <w:rPr>
                <w:rFonts w:cs="Arial"/>
              </w:rPr>
            </w:pPr>
            <w:r>
              <w:rPr>
                <w:rFonts w:cs="Arial"/>
              </w:rPr>
              <w:t>172.16.13.95</w:t>
            </w:r>
          </w:p>
        </w:tc>
      </w:tr>
      <w:tr w:rsidRPr="004A1148" w:rsidR="004A7D3D" w:rsidTr="646516DA" w14:paraId="0B4ED2B0" w14:textId="77777777">
        <w:trPr>
          <w:cantSplit/>
          <w:trHeight w:val="510"/>
          <w:jc w:val="center"/>
        </w:trPr>
        <w:tc>
          <w:tcPr>
            <w:tcW w:w="1412" w:type="dxa"/>
            <w:vAlign w:val="bottom"/>
          </w:tcPr>
          <w:p w:rsidRPr="004A1148" w:rsidR="004A7D3D" w:rsidP="00F5276B" w:rsidRDefault="00F439B9" w14:paraId="609E3F7B" w14:textId="26F327F8">
            <w:pPr>
              <w:pStyle w:val="TableText"/>
              <w:ind w:left="284"/>
              <w:rPr>
                <w:rFonts w:cs="Arial"/>
              </w:rPr>
            </w:pPr>
            <w:r>
              <w:rPr>
                <w:rFonts w:cs="Arial"/>
              </w:rPr>
              <w:t>C</w:t>
            </w:r>
          </w:p>
        </w:tc>
        <w:tc>
          <w:tcPr>
            <w:tcW w:w="2561" w:type="dxa"/>
            <w:vAlign w:val="bottom"/>
          </w:tcPr>
          <w:p w:rsidRPr="004A1148" w:rsidR="004A7D3D" w:rsidP="00F5276B" w:rsidRDefault="00F439B9" w14:paraId="31F64227" w14:textId="6A397CFC">
            <w:pPr>
              <w:pStyle w:val="TableText"/>
              <w:rPr>
                <w:rFonts w:cs="Arial"/>
              </w:rPr>
            </w:pPr>
            <w:r>
              <w:rPr>
                <w:rFonts w:cs="Arial"/>
              </w:rPr>
              <w:t>172.16.13.96/29</w:t>
            </w:r>
          </w:p>
        </w:tc>
        <w:tc>
          <w:tcPr>
            <w:tcW w:w="2552" w:type="dxa"/>
          </w:tcPr>
          <w:p w:rsidRPr="004A1148" w:rsidR="004A7D3D" w:rsidP="00F5276B" w:rsidRDefault="00F439B9" w14:paraId="55665601" w14:textId="1650E984">
            <w:pPr>
              <w:pStyle w:val="TableText"/>
              <w:rPr>
                <w:rFonts w:cs="Arial"/>
              </w:rPr>
            </w:pPr>
            <w:r>
              <w:rPr>
                <w:rFonts w:cs="Arial"/>
              </w:rPr>
              <w:t>255.255.255.248</w:t>
            </w:r>
          </w:p>
        </w:tc>
        <w:tc>
          <w:tcPr>
            <w:tcW w:w="2724" w:type="dxa"/>
            <w:vAlign w:val="bottom"/>
          </w:tcPr>
          <w:p w:rsidRPr="004A1148" w:rsidR="004A7D3D" w:rsidP="00F5276B" w:rsidRDefault="00F439B9" w14:paraId="4F549E4B" w14:textId="328E5D2C">
            <w:pPr>
              <w:pStyle w:val="TableText"/>
              <w:rPr>
                <w:rFonts w:cs="Arial"/>
              </w:rPr>
            </w:pPr>
            <w:r>
              <w:rPr>
                <w:rFonts w:cs="Arial"/>
              </w:rPr>
              <w:t>172.16.13.96</w:t>
            </w:r>
          </w:p>
        </w:tc>
        <w:tc>
          <w:tcPr>
            <w:tcW w:w="2922" w:type="dxa"/>
            <w:vAlign w:val="bottom"/>
          </w:tcPr>
          <w:p w:rsidRPr="004A1148" w:rsidR="004A7D3D" w:rsidP="00F5276B" w:rsidRDefault="00F439B9" w14:paraId="7C499210" w14:textId="13A4E299">
            <w:pPr>
              <w:pStyle w:val="TableText"/>
              <w:rPr>
                <w:rFonts w:cs="Arial"/>
              </w:rPr>
            </w:pPr>
            <w:r>
              <w:rPr>
                <w:rFonts w:cs="Arial"/>
              </w:rPr>
              <w:t>172.16.13.102</w:t>
            </w:r>
          </w:p>
        </w:tc>
        <w:tc>
          <w:tcPr>
            <w:tcW w:w="2905" w:type="dxa"/>
            <w:vAlign w:val="bottom"/>
          </w:tcPr>
          <w:p w:rsidRPr="004A1148" w:rsidR="004A7D3D" w:rsidP="00F5276B" w:rsidRDefault="006035D1" w14:paraId="2D756274" w14:textId="3BCC818B">
            <w:pPr>
              <w:pStyle w:val="TableText"/>
              <w:ind w:left="284"/>
              <w:rPr>
                <w:rFonts w:cs="Arial"/>
              </w:rPr>
            </w:pPr>
            <w:r>
              <w:rPr>
                <w:rFonts w:cs="Arial"/>
              </w:rPr>
              <w:t>1</w:t>
            </w:r>
            <w:r w:rsidR="00F439B9">
              <w:rPr>
                <w:rFonts w:cs="Arial"/>
              </w:rPr>
              <w:t>72.16.</w:t>
            </w:r>
            <w:r>
              <w:rPr>
                <w:rFonts w:cs="Arial"/>
              </w:rPr>
              <w:t>13.</w:t>
            </w:r>
            <w:r w:rsidR="00F439B9">
              <w:rPr>
                <w:rFonts w:cs="Arial"/>
              </w:rPr>
              <w:t>103</w:t>
            </w:r>
          </w:p>
        </w:tc>
      </w:tr>
      <w:tr w:rsidRPr="004A1148" w:rsidR="004A7D3D" w:rsidTr="646516DA" w14:paraId="27709968" w14:textId="77777777">
        <w:trPr>
          <w:cantSplit/>
          <w:trHeight w:val="510"/>
          <w:jc w:val="center"/>
        </w:trPr>
        <w:tc>
          <w:tcPr>
            <w:tcW w:w="1412" w:type="dxa"/>
            <w:vAlign w:val="bottom"/>
          </w:tcPr>
          <w:p w:rsidRPr="004A1148" w:rsidR="004A7D3D" w:rsidP="00F5276B" w:rsidRDefault="004E4BF7" w14:paraId="20984A5F" w14:textId="78A2DCCE">
            <w:pPr>
              <w:pStyle w:val="TableText"/>
              <w:ind w:left="284"/>
              <w:rPr>
                <w:rFonts w:cs="Arial"/>
              </w:rPr>
            </w:pPr>
            <w:r>
              <w:rPr>
                <w:rFonts w:cs="Arial"/>
              </w:rPr>
              <w:t>G</w:t>
            </w:r>
          </w:p>
        </w:tc>
        <w:tc>
          <w:tcPr>
            <w:tcW w:w="2561" w:type="dxa"/>
            <w:vAlign w:val="bottom"/>
          </w:tcPr>
          <w:p w:rsidRPr="004A1148" w:rsidR="004A7D3D" w:rsidP="00F5276B" w:rsidRDefault="004E4BF7" w14:paraId="0D69D9DC" w14:textId="1193E048">
            <w:pPr>
              <w:pStyle w:val="TableText"/>
              <w:rPr>
                <w:rFonts w:cs="Arial"/>
              </w:rPr>
            </w:pPr>
            <w:r>
              <w:rPr>
                <w:rFonts w:cs="Arial"/>
              </w:rPr>
              <w:t>172.16.13.104/30</w:t>
            </w:r>
          </w:p>
        </w:tc>
        <w:tc>
          <w:tcPr>
            <w:tcW w:w="2552" w:type="dxa"/>
          </w:tcPr>
          <w:p w:rsidRPr="004A1148" w:rsidR="004A7D3D" w:rsidP="00F5276B" w:rsidRDefault="004E4BF7" w14:paraId="30D77B01" w14:textId="037BFC9C">
            <w:pPr>
              <w:pStyle w:val="TableText"/>
              <w:rPr>
                <w:rFonts w:cs="Arial"/>
              </w:rPr>
            </w:pPr>
            <w:r>
              <w:rPr>
                <w:rFonts w:cs="Arial"/>
              </w:rPr>
              <w:t>255.255.255.</w:t>
            </w:r>
            <w:r w:rsidR="006035D1">
              <w:rPr>
                <w:rFonts w:cs="Arial"/>
              </w:rPr>
              <w:t>252</w:t>
            </w:r>
          </w:p>
        </w:tc>
        <w:tc>
          <w:tcPr>
            <w:tcW w:w="2724" w:type="dxa"/>
            <w:vAlign w:val="bottom"/>
          </w:tcPr>
          <w:p w:rsidRPr="004A1148" w:rsidR="004A7D3D" w:rsidP="00F5276B" w:rsidRDefault="006035D1" w14:paraId="5596A409" w14:textId="2C5E402C">
            <w:pPr>
              <w:pStyle w:val="TableText"/>
              <w:rPr>
                <w:rFonts w:cs="Arial"/>
              </w:rPr>
            </w:pPr>
            <w:r>
              <w:rPr>
                <w:rFonts w:cs="Arial"/>
              </w:rPr>
              <w:t>172.16.13.105</w:t>
            </w:r>
          </w:p>
        </w:tc>
        <w:tc>
          <w:tcPr>
            <w:tcW w:w="2922" w:type="dxa"/>
            <w:vAlign w:val="bottom"/>
          </w:tcPr>
          <w:p w:rsidRPr="004A1148" w:rsidR="004A7D3D" w:rsidP="00F5276B" w:rsidRDefault="006035D1" w14:paraId="0F1FE2D6" w14:textId="21FA28C3">
            <w:pPr>
              <w:pStyle w:val="TableText"/>
              <w:rPr>
                <w:rFonts w:cs="Arial"/>
              </w:rPr>
            </w:pPr>
            <w:r>
              <w:rPr>
                <w:rFonts w:cs="Arial"/>
              </w:rPr>
              <w:t>172.16.13.106</w:t>
            </w:r>
          </w:p>
        </w:tc>
        <w:tc>
          <w:tcPr>
            <w:tcW w:w="2905" w:type="dxa"/>
            <w:vAlign w:val="bottom"/>
          </w:tcPr>
          <w:p w:rsidRPr="004A1148" w:rsidR="004A7D3D" w:rsidP="00F5276B" w:rsidRDefault="006035D1" w14:paraId="554DDEFE" w14:textId="21C327B8">
            <w:pPr>
              <w:pStyle w:val="TableText"/>
              <w:ind w:left="284"/>
              <w:rPr>
                <w:rFonts w:cs="Arial"/>
              </w:rPr>
            </w:pPr>
            <w:r>
              <w:rPr>
                <w:rFonts w:cs="Arial"/>
              </w:rPr>
              <w:t>172.16.13.107</w:t>
            </w:r>
          </w:p>
        </w:tc>
      </w:tr>
      <w:tr w:rsidRPr="004A1148" w:rsidR="004A7D3D" w:rsidTr="646516DA" w14:paraId="0B6C4A12" w14:textId="77777777">
        <w:trPr>
          <w:cantSplit/>
          <w:trHeight w:val="510"/>
          <w:jc w:val="center"/>
        </w:trPr>
        <w:tc>
          <w:tcPr>
            <w:tcW w:w="1412" w:type="dxa"/>
            <w:vAlign w:val="bottom"/>
          </w:tcPr>
          <w:p w:rsidRPr="004A1148" w:rsidR="004A7D3D" w:rsidP="00F5276B" w:rsidRDefault="006035D1" w14:paraId="61BCB553" w14:textId="56D78BEB">
            <w:pPr>
              <w:pStyle w:val="TableText"/>
              <w:ind w:left="284"/>
              <w:rPr>
                <w:rFonts w:cs="Arial"/>
              </w:rPr>
            </w:pPr>
            <w:r>
              <w:rPr>
                <w:rFonts w:cs="Arial"/>
              </w:rPr>
              <w:t>H</w:t>
            </w:r>
          </w:p>
        </w:tc>
        <w:tc>
          <w:tcPr>
            <w:tcW w:w="2561" w:type="dxa"/>
            <w:vAlign w:val="bottom"/>
          </w:tcPr>
          <w:p w:rsidRPr="004A1148" w:rsidR="004A7D3D" w:rsidP="00F5276B" w:rsidRDefault="006035D1" w14:paraId="1F850D77" w14:textId="5F8EC2D1">
            <w:pPr>
              <w:pStyle w:val="TableText"/>
              <w:rPr>
                <w:rFonts w:cs="Arial"/>
              </w:rPr>
            </w:pPr>
            <w:r>
              <w:rPr>
                <w:rFonts w:cs="Arial"/>
              </w:rPr>
              <w:t>172.16.13.108/30</w:t>
            </w:r>
          </w:p>
        </w:tc>
        <w:tc>
          <w:tcPr>
            <w:tcW w:w="2552" w:type="dxa"/>
          </w:tcPr>
          <w:p w:rsidRPr="004A1148" w:rsidR="004A7D3D" w:rsidP="00F5276B" w:rsidRDefault="006035D1" w14:paraId="4E625FAD" w14:textId="56632FE5">
            <w:pPr>
              <w:pStyle w:val="TableText"/>
              <w:rPr>
                <w:rFonts w:cs="Arial"/>
              </w:rPr>
            </w:pPr>
            <w:r>
              <w:rPr>
                <w:rFonts w:cs="Arial"/>
              </w:rPr>
              <w:t>255.255.255.252</w:t>
            </w:r>
          </w:p>
        </w:tc>
        <w:tc>
          <w:tcPr>
            <w:tcW w:w="2724" w:type="dxa"/>
            <w:vAlign w:val="bottom"/>
          </w:tcPr>
          <w:p w:rsidRPr="004A1148" w:rsidR="004A7D3D" w:rsidP="00F5276B" w:rsidRDefault="006035D1" w14:paraId="2EFD5AB2" w14:textId="0280C73F">
            <w:pPr>
              <w:pStyle w:val="TableText"/>
              <w:rPr>
                <w:rFonts w:cs="Arial"/>
              </w:rPr>
            </w:pPr>
            <w:r>
              <w:rPr>
                <w:rFonts w:cs="Arial"/>
              </w:rPr>
              <w:t>172.16.13.109</w:t>
            </w:r>
          </w:p>
        </w:tc>
        <w:tc>
          <w:tcPr>
            <w:tcW w:w="2922" w:type="dxa"/>
            <w:vAlign w:val="bottom"/>
          </w:tcPr>
          <w:p w:rsidRPr="004A1148" w:rsidR="004A7D3D" w:rsidP="00F5276B" w:rsidRDefault="006035D1" w14:paraId="488D3941" w14:textId="00CFB89E">
            <w:pPr>
              <w:pStyle w:val="TableText"/>
              <w:rPr>
                <w:rFonts w:cs="Arial"/>
              </w:rPr>
            </w:pPr>
            <w:r>
              <w:rPr>
                <w:rFonts w:cs="Arial"/>
              </w:rPr>
              <w:t>172.16.13.110</w:t>
            </w:r>
          </w:p>
        </w:tc>
        <w:tc>
          <w:tcPr>
            <w:tcW w:w="2905" w:type="dxa"/>
            <w:vAlign w:val="bottom"/>
          </w:tcPr>
          <w:p w:rsidRPr="004A1148" w:rsidR="004A7D3D" w:rsidP="00F5276B" w:rsidRDefault="006035D1" w14:paraId="6CDA3D3D" w14:textId="1172AAE4">
            <w:pPr>
              <w:pStyle w:val="TableText"/>
              <w:ind w:left="284"/>
              <w:rPr>
                <w:rFonts w:cs="Arial"/>
              </w:rPr>
            </w:pPr>
            <w:r>
              <w:rPr>
                <w:rFonts w:cs="Arial"/>
              </w:rPr>
              <w:t>172.16.13.111</w:t>
            </w:r>
          </w:p>
        </w:tc>
      </w:tr>
      <w:tr w:rsidRPr="004A1148" w:rsidR="004A7D3D" w:rsidTr="646516DA" w14:paraId="7FC18FDC" w14:textId="77777777">
        <w:trPr>
          <w:cantSplit/>
          <w:trHeight w:val="510"/>
          <w:jc w:val="center"/>
        </w:trPr>
        <w:tc>
          <w:tcPr>
            <w:tcW w:w="1412" w:type="dxa"/>
            <w:vAlign w:val="bottom"/>
          </w:tcPr>
          <w:p w:rsidRPr="004A1148" w:rsidR="004A7D3D" w:rsidP="00F5276B" w:rsidRDefault="004A7D3D" w14:paraId="1FB33D0A" w14:textId="77777777">
            <w:pPr>
              <w:pStyle w:val="TableText"/>
              <w:ind w:left="284"/>
              <w:rPr>
                <w:rFonts w:cs="Arial"/>
              </w:rPr>
            </w:pPr>
          </w:p>
        </w:tc>
        <w:tc>
          <w:tcPr>
            <w:tcW w:w="2561" w:type="dxa"/>
            <w:vAlign w:val="bottom"/>
          </w:tcPr>
          <w:p w:rsidRPr="004A1148" w:rsidR="004A7D3D" w:rsidP="00F5276B" w:rsidRDefault="004A7D3D" w14:paraId="3A3974FC" w14:textId="77777777">
            <w:pPr>
              <w:pStyle w:val="TableText"/>
              <w:rPr>
                <w:rFonts w:cs="Arial"/>
              </w:rPr>
            </w:pPr>
          </w:p>
        </w:tc>
        <w:tc>
          <w:tcPr>
            <w:tcW w:w="2552" w:type="dxa"/>
          </w:tcPr>
          <w:p w:rsidRPr="004A1148" w:rsidR="004A7D3D" w:rsidP="00F5276B" w:rsidRDefault="004A7D3D" w14:paraId="4949C4E8" w14:textId="77777777">
            <w:pPr>
              <w:pStyle w:val="TableText"/>
              <w:rPr>
                <w:rFonts w:cs="Arial"/>
              </w:rPr>
            </w:pPr>
          </w:p>
        </w:tc>
        <w:tc>
          <w:tcPr>
            <w:tcW w:w="2724" w:type="dxa"/>
            <w:vAlign w:val="bottom"/>
          </w:tcPr>
          <w:p w:rsidRPr="004A1148" w:rsidR="004A7D3D" w:rsidP="00F5276B" w:rsidRDefault="004A7D3D" w14:paraId="2E13DE8F" w14:textId="77777777">
            <w:pPr>
              <w:pStyle w:val="TableText"/>
              <w:rPr>
                <w:rFonts w:cs="Arial"/>
              </w:rPr>
            </w:pPr>
          </w:p>
        </w:tc>
        <w:tc>
          <w:tcPr>
            <w:tcW w:w="2922" w:type="dxa"/>
            <w:vAlign w:val="bottom"/>
          </w:tcPr>
          <w:p w:rsidRPr="004A1148" w:rsidR="004A7D3D" w:rsidP="00F5276B" w:rsidRDefault="004A7D3D" w14:paraId="4B4DEB77" w14:textId="77777777">
            <w:pPr>
              <w:pStyle w:val="TableText"/>
              <w:rPr>
                <w:rFonts w:cs="Arial"/>
              </w:rPr>
            </w:pPr>
          </w:p>
        </w:tc>
        <w:tc>
          <w:tcPr>
            <w:tcW w:w="2905" w:type="dxa"/>
            <w:vAlign w:val="bottom"/>
          </w:tcPr>
          <w:p w:rsidRPr="004A1148" w:rsidR="004A7D3D" w:rsidP="00F5276B" w:rsidRDefault="004A7D3D" w14:paraId="074F1411" w14:textId="77777777">
            <w:pPr>
              <w:pStyle w:val="TableText"/>
              <w:ind w:left="284"/>
              <w:rPr>
                <w:rFonts w:cs="Arial"/>
              </w:rPr>
            </w:pPr>
          </w:p>
        </w:tc>
      </w:tr>
    </w:tbl>
    <w:p w:rsidRPr="004A1148" w:rsidR="004A7D3D" w:rsidP="00751CB8" w:rsidRDefault="004A7D3D" w14:paraId="2B2E510D" w14:textId="77777777">
      <w:pPr>
        <w:rPr>
          <w:rFonts w:ascii="Arial" w:hAnsi="Arial" w:cs="Arial"/>
          <w:sz w:val="24"/>
        </w:rPr>
        <w:sectPr w:rsidRPr="004A1148" w:rsidR="004A7D3D" w:rsidSect="00E020C0">
          <w:pgSz w:w="16840" w:h="11907" w:orient="landscape" w:code="9"/>
          <w:pgMar w:top="1418" w:right="992" w:bottom="697" w:left="1418" w:header="709" w:footer="709" w:gutter="0"/>
          <w:paperSrc w:first="15" w:other="15"/>
          <w:cols w:space="720"/>
        </w:sectPr>
      </w:pPr>
    </w:p>
    <w:p w:rsidR="00B2590E" w:rsidP="00B2590E" w:rsidRDefault="00B2590E" w14:paraId="1E73DA66" w14:textId="77777777">
      <w:pPr>
        <w:pStyle w:val="Title"/>
      </w:pPr>
      <w:r>
        <w:lastRenderedPageBreak/>
        <w:t>IPV6 Addresses</w:t>
      </w:r>
    </w:p>
    <w:p w:rsidR="00B2590E" w:rsidP="00B2590E" w:rsidRDefault="00B2590E" w14:paraId="5D8E3220" w14:textId="77777777"/>
    <w:p w:rsidR="00B2590E" w:rsidP="00B2590E" w:rsidRDefault="00B2590E" w14:paraId="3325E2DF" w14:textId="77777777">
      <w:pPr>
        <w:pStyle w:val="Heading1"/>
      </w:pPr>
      <w:r>
        <w:t>By Gareth Evans (1810612)</w:t>
      </w:r>
    </w:p>
    <w:p w:rsidR="00B2590E" w:rsidP="00B2590E" w:rsidRDefault="00B2590E" w14:paraId="4F7D5868" w14:textId="77777777"/>
    <w:p w:rsidR="00B2590E" w:rsidP="00B2590E" w:rsidRDefault="00B2590E" w14:paraId="16B56DFE" w14:textId="77777777"/>
    <w:p w:rsidR="00B2590E" w:rsidP="00B2590E" w:rsidRDefault="00B2590E" w14:paraId="49496571" w14:textId="77777777"/>
    <w:p w:rsidR="00B2590E" w:rsidP="00B2590E" w:rsidRDefault="00B2590E" w14:paraId="1FC5746C" w14:textId="77777777"/>
    <w:p w:rsidR="00B2590E" w:rsidP="00B2590E" w:rsidRDefault="00B2590E" w14:paraId="75101AF0" w14:textId="77777777"/>
    <w:p w:rsidR="00B2590E" w:rsidP="00B2590E" w:rsidRDefault="00B2590E" w14:paraId="05E662E0" w14:textId="77777777"/>
    <w:p w:rsidR="00B2590E" w:rsidP="00B2590E" w:rsidRDefault="00B2590E" w14:paraId="726BDE40" w14:textId="77777777"/>
    <w:p w:rsidR="00B2590E" w:rsidP="00B2590E" w:rsidRDefault="00B2590E" w14:paraId="2F3A23E7" w14:textId="77777777"/>
    <w:p w:rsidR="00B2590E" w:rsidP="00B2590E" w:rsidRDefault="00B2590E" w14:paraId="6480290F" w14:textId="77777777">
      <w:pPr>
        <w:pStyle w:val="Heading1"/>
      </w:pPr>
      <w:r>
        <w:t xml:space="preserve">Introduction </w:t>
      </w:r>
    </w:p>
    <w:p w:rsidRPr="0073229F" w:rsidR="00B2590E" w:rsidP="00B2590E" w:rsidRDefault="00B2590E" w14:paraId="23B423FB" w14:textId="77777777"/>
    <w:p w:rsidR="00B2590E" w:rsidP="00B2590E" w:rsidRDefault="00B2590E" w14:paraId="50D50D81" w14:textId="77777777">
      <w:r>
        <w:t xml:space="preserve">An Internet Protocol address (IP address) is considered to be a “digital address” for any device that is connected to the internet, without an IP address a device cannot establish a connection. It is a network layer protocol that allows packets of data to be sent over a network. Until recently, IPv4 address was the only type of IP address available, however these are beginning to run out. All websites and network devices have an IP address, therefore with the rapid increase in use of the internet in our daily lives, it was inevitable that these addresses would run out. </w:t>
      </w:r>
      <w:proofErr w:type="gramStart"/>
      <w:r>
        <w:t>Therefore,  Internet</w:t>
      </w:r>
      <w:proofErr w:type="gramEnd"/>
      <w:r>
        <w:t xml:space="preserve"> Protocol version 6 (IPv6) addresses are being developed. The exhaustion of IPv4 addresses means that some parts of the world are already using IPv6 addresses</w:t>
      </w:r>
      <w:sdt>
        <w:sdtPr>
          <w:id w:val="1160581587"/>
          <w:citation/>
        </w:sdtPr>
        <w:sdtContent>
          <w:r>
            <w:fldChar w:fldCharType="begin"/>
          </w:r>
          <w:r>
            <w:instrText xml:space="preserve"> CITATION Ray11 \l 2057 </w:instrText>
          </w:r>
          <w:r>
            <w:fldChar w:fldCharType="separate"/>
          </w:r>
          <w:r>
            <w:rPr>
              <w:noProof/>
            </w:rPr>
            <w:t xml:space="preserve"> [1]</w:t>
          </w:r>
          <w:r>
            <w:fldChar w:fldCharType="end"/>
          </w:r>
        </w:sdtContent>
      </w:sdt>
      <w:r>
        <w:t>. This report will investigate why IPv6 addresses will be seen more in the future, the features the use and the benefits they bring when compared to IPv4 addresses.</w:t>
      </w:r>
    </w:p>
    <w:p w:rsidR="00B2590E" w:rsidP="00B2590E" w:rsidRDefault="00B2590E" w14:paraId="1873E5FB" w14:textId="77777777"/>
    <w:p w:rsidR="00B2590E" w:rsidP="00B2590E" w:rsidRDefault="00B2590E" w14:paraId="314A990A" w14:textId="77777777"/>
    <w:p w:rsidR="00B2590E" w:rsidP="00B2590E" w:rsidRDefault="00B2590E" w14:paraId="15DDD9B8" w14:textId="77777777"/>
    <w:p w:rsidR="00B2590E" w:rsidP="00B2590E" w:rsidRDefault="00B2590E" w14:paraId="7AF62D73" w14:textId="77777777">
      <w:pPr>
        <w:pStyle w:val="Heading1"/>
        <w:keepLines/>
        <w:numPr>
          <w:ilvl w:val="0"/>
          <w:numId w:val="24"/>
        </w:numPr>
        <w:pBdr>
          <w:top w:val="none" w:color="auto" w:sz="0" w:space="0"/>
          <w:left w:val="none" w:color="auto" w:sz="0" w:space="0"/>
          <w:bottom w:val="none" w:color="auto" w:sz="0" w:space="0"/>
          <w:right w:val="none" w:color="auto" w:sz="0" w:space="0"/>
        </w:pBdr>
        <w:shd w:val="clear" w:color="auto" w:fill="auto"/>
        <w:spacing w:before="240"/>
        <w:jc w:val="left"/>
      </w:pPr>
      <w:r>
        <w:t>Why use IPv6?</w:t>
      </w:r>
    </w:p>
    <w:p w:rsidR="00B2590E" w:rsidP="00B2590E" w:rsidRDefault="00B2590E" w14:paraId="513A8B2A" w14:textId="77777777"/>
    <w:p w:rsidR="00B2590E" w:rsidP="00B2590E" w:rsidRDefault="00B2590E" w14:paraId="4DF9A3CC" w14:textId="77777777">
      <w:r>
        <w:t xml:space="preserve">During a time when the use of internet was expanding and protocols were having to be more defined, IPv6 was seen as a solution to the growing problem with Ipv4 addresses. The main advantage of IPv6 is that it offered a greater range of usable addresses. Where Ipv4 used 32-bit addressing formats, which allowed for 4 billion available addresses, IPv6 uses a </w:t>
      </w:r>
      <w:proofErr w:type="gramStart"/>
      <w:r>
        <w:t>128 bit</w:t>
      </w:r>
      <w:proofErr w:type="gramEnd"/>
      <w:r>
        <w:t xml:space="preserve"> addressing system, allowing for the demand for addresses to be met.</w:t>
      </w:r>
      <w:r w:rsidRPr="002B1892">
        <w:t xml:space="preserve"> </w:t>
      </w:r>
      <w:r>
        <w:t>IPV6 allows for hierarchical addressing and uses a simplified configuration compared to its predecessor. Data fragmentation is no longer carried out by the router, making routing far more efficient.</w:t>
      </w:r>
    </w:p>
    <w:p w:rsidR="00B2590E" w:rsidP="00B2590E" w:rsidRDefault="00B2590E" w14:paraId="7D0DA545" w14:textId="77777777"/>
    <w:p w:rsidR="00B2590E" w:rsidP="00B2590E" w:rsidRDefault="00B2590E" w14:paraId="0F8A31F2" w14:textId="77777777">
      <w:r>
        <w:t>The security of IPv6 is greater than IPv4, again to meet the demand in growth of personal devices. In IPv4, security had to be included through additional components, whereas IPv6 has security fully integrated. The growth in use of IPv6 address means we have seen new threats arise, the new security features are designed to counteract these threats. Most importantly, IPv6 was developed with the CIA triad in mind, ensuring it provides confidentiality, integrity and availability</w:t>
      </w:r>
      <w:sdt>
        <w:sdtPr>
          <w:id w:val="330650592"/>
          <w:citation/>
        </w:sdtPr>
        <w:sdtContent>
          <w:r>
            <w:fldChar w:fldCharType="begin"/>
          </w:r>
          <w:r>
            <w:instrText xml:space="preserve"> CITATION Jam04 \l 2057 </w:instrText>
          </w:r>
          <w:r>
            <w:fldChar w:fldCharType="separate"/>
          </w:r>
          <w:r>
            <w:rPr>
              <w:noProof/>
            </w:rPr>
            <w:t xml:space="preserve"> [2]</w:t>
          </w:r>
          <w:r>
            <w:fldChar w:fldCharType="end"/>
          </w:r>
        </w:sdtContent>
      </w:sdt>
      <w:r>
        <w:t>.</w:t>
      </w:r>
    </w:p>
    <w:p w:rsidR="00B2590E" w:rsidP="00B2590E" w:rsidRDefault="00B2590E" w14:paraId="43AAB75A" w14:textId="77777777"/>
    <w:p w:rsidR="00B2590E" w:rsidP="00B2590E" w:rsidRDefault="00B2590E" w14:paraId="0748D882" w14:textId="77777777"/>
    <w:p w:rsidR="00B2590E" w:rsidP="00B2590E" w:rsidRDefault="00B2590E" w14:paraId="10A69A6B" w14:textId="77777777">
      <w:pPr>
        <w:pStyle w:val="Heading1"/>
        <w:keepLines/>
        <w:numPr>
          <w:ilvl w:val="0"/>
          <w:numId w:val="24"/>
        </w:numPr>
        <w:pBdr>
          <w:top w:val="none" w:color="auto" w:sz="0" w:space="0"/>
          <w:left w:val="none" w:color="auto" w:sz="0" w:space="0"/>
          <w:bottom w:val="none" w:color="auto" w:sz="0" w:space="0"/>
          <w:right w:val="none" w:color="auto" w:sz="0" w:space="0"/>
        </w:pBdr>
        <w:shd w:val="clear" w:color="auto" w:fill="auto"/>
        <w:spacing w:before="240"/>
        <w:jc w:val="left"/>
      </w:pPr>
      <w:r>
        <w:t>Types of IPv6 addresses</w:t>
      </w:r>
    </w:p>
    <w:p w:rsidR="00B2590E" w:rsidP="00B2590E" w:rsidRDefault="00B2590E" w14:paraId="627EAE45" w14:textId="77777777"/>
    <w:p w:rsidR="00B2590E" w:rsidP="00B2590E" w:rsidRDefault="00B2590E" w14:paraId="30F07E22" w14:textId="77777777">
      <w:r>
        <w:t>Like IPv4, IPv6 uses three different types of addresses. The addresses they share are unicast and multicast, however it also adds a new address called anycast.</w:t>
      </w:r>
    </w:p>
    <w:p w:rsidR="00B2590E" w:rsidP="00B2590E" w:rsidRDefault="00B2590E" w14:paraId="1523BBDD" w14:textId="77777777"/>
    <w:p w:rsidR="00B2590E" w:rsidP="00B2590E" w:rsidRDefault="00B2590E" w14:paraId="16EADB23" w14:textId="77777777">
      <w:pPr>
        <w:pStyle w:val="ListParagraph"/>
        <w:numPr>
          <w:ilvl w:val="0"/>
          <w:numId w:val="21"/>
        </w:numPr>
      </w:pPr>
      <w:r w:rsidRPr="009955DC">
        <w:rPr>
          <w:b/>
          <w:bCs/>
        </w:rPr>
        <w:t>Unicast</w:t>
      </w:r>
      <w:r>
        <w:t xml:space="preserve"> addresses are an identifier for a single interface, a packet that is sent to a unicast address is delivered to the interface that is identified by that address</w:t>
      </w:r>
    </w:p>
    <w:p w:rsidR="00B2590E" w:rsidP="00B2590E" w:rsidRDefault="00B2590E" w14:paraId="4AE59CFD" w14:textId="77777777">
      <w:pPr>
        <w:pStyle w:val="ListParagraph"/>
        <w:numPr>
          <w:ilvl w:val="0"/>
          <w:numId w:val="21"/>
        </w:numPr>
      </w:pPr>
      <w:r w:rsidRPr="009955DC">
        <w:rPr>
          <w:b/>
          <w:bCs/>
        </w:rPr>
        <w:t>Multicast</w:t>
      </w:r>
      <w:r>
        <w:t xml:space="preserve"> addresses is used as an identifier for a set of interfaces. A packet that is sent to a multicast address is delivered to all interfaces that are identified by the address</w:t>
      </w:r>
    </w:p>
    <w:p w:rsidR="00B2590E" w:rsidP="00B2590E" w:rsidRDefault="00B2590E" w14:paraId="65C4767E" w14:textId="270A7B1F">
      <w:pPr>
        <w:pStyle w:val="ListParagraph"/>
        <w:numPr>
          <w:ilvl w:val="0"/>
          <w:numId w:val="21"/>
        </w:numPr>
        <w:rPr/>
      </w:pPr>
      <w:r w:rsidRPr="009955DC">
        <w:rPr>
          <w:b w:val="1"/>
          <w:bCs w:val="1"/>
        </w:rPr>
        <w:t>Anycast</w:t>
      </w:r>
      <w:r>
        <w:rPr/>
        <w:t xml:space="preserve"> addresses is similar to multicast in that it is also an identifier for a set of interfaces.  The difference is that the packet sent to a multicast address is delivered to one of the interfaces that are identified by the address. This means that a unicast address may be classed as </w:t>
      </w:r>
      <w:r>
        <w:rPr/>
        <w:t>a</w:t>
      </w:r>
      <w:r>
        <w:rPr/>
        <w:t>n</w:t>
      </w:r>
      <w:r>
        <w:rPr/>
        <w:t xml:space="preserve"> anycast address as long as all interfaces are aware of its status</w:t>
      </w:r>
      <w:sdt>
        <w:sdtPr>
          <w:id w:val="-472450591"/>
          <w:citation/>
        </w:sdtPr>
        <w:sdtContent>
          <w:r>
            <w:fldChar w:fldCharType="begin"/>
          </w:r>
          <w:r>
            <w:instrText xml:space="preserve"> CITATION Pet04 \l 2057 </w:instrText>
          </w:r>
          <w:r>
            <w:fldChar w:fldCharType="separate"/>
          </w:r>
          <w:r>
            <w:rPr>
              <w:noProof/>
            </w:rPr>
            <w:t xml:space="preserve"> [3]</w:t>
          </w:r>
          <w:r>
            <w:fldChar w:fldCharType="end"/>
          </w:r>
        </w:sdtContent>
      </w:sdt>
    </w:p>
    <w:p w:rsidR="00B2590E" w:rsidP="00B2590E" w:rsidRDefault="00B2590E" w14:paraId="3D029EC8" w14:textId="77777777"/>
    <w:p w:rsidR="00B2590E" w:rsidP="00B2590E" w:rsidRDefault="00B2590E" w14:paraId="289244C9" w14:textId="77777777"/>
    <w:p w:rsidR="00B2590E" w:rsidP="00B2590E" w:rsidRDefault="00B2590E" w14:paraId="0E659C9A" w14:textId="77777777">
      <w:r>
        <w:t>IPv4 would use broadcast rather than anycast, this used to consider every device as its intended recipient. This function is now completed by sending packets to all nodes in the multi cast address.</w:t>
      </w:r>
    </w:p>
    <w:p w:rsidR="00B2590E" w:rsidP="00B2590E" w:rsidRDefault="00B2590E" w14:paraId="6B3581A8" w14:textId="77777777"/>
    <w:p w:rsidR="00B2590E" w:rsidP="00B2590E" w:rsidRDefault="00B2590E" w14:paraId="7EBBEF55" w14:textId="77777777">
      <w:r>
        <w:t>IPv6 features three unicast address assignments:</w:t>
      </w:r>
    </w:p>
    <w:p w:rsidR="00B2590E" w:rsidP="00B2590E" w:rsidRDefault="00B2590E" w14:paraId="0AD97FE6" w14:textId="77777777"/>
    <w:p w:rsidR="00B2590E" w:rsidP="00B2590E" w:rsidRDefault="00B2590E" w14:paraId="550C634F" w14:textId="77777777">
      <w:pPr>
        <w:pStyle w:val="ListParagraph"/>
        <w:numPr>
          <w:ilvl w:val="0"/>
          <w:numId w:val="23"/>
        </w:numPr>
      </w:pPr>
      <w:r>
        <w:t>Global Unicast Address – globally unique to the internet, figure 1 below is an example of a global unicast address</w:t>
      </w:r>
    </w:p>
    <w:p w:rsidR="00B2590E" w:rsidP="00B2590E" w:rsidRDefault="00B2590E" w14:paraId="574AB5D9" w14:textId="77777777">
      <w:pPr>
        <w:pStyle w:val="ListParagraph"/>
      </w:pPr>
    </w:p>
    <w:p w:rsidR="00B2590E" w:rsidP="00B2590E" w:rsidRDefault="00B2590E" w14:paraId="682F321A" w14:textId="77777777">
      <w:pPr>
        <w:pStyle w:val="ListParagraph"/>
        <w:numPr>
          <w:ilvl w:val="0"/>
          <w:numId w:val="23"/>
        </w:numPr>
      </w:pPr>
      <w:r>
        <w:t>Transitional Unicast Address – this protocol includes the ability to embed IPv4 addresses within an IPv6 address</w:t>
      </w:r>
    </w:p>
    <w:p w:rsidR="00B2590E" w:rsidP="00B2590E" w:rsidRDefault="00B2590E" w14:paraId="75A1FB57" w14:textId="77777777">
      <w:pPr>
        <w:pStyle w:val="ListParagraph"/>
      </w:pPr>
    </w:p>
    <w:p w:rsidR="00B2590E" w:rsidP="00B2590E" w:rsidRDefault="00B2590E" w14:paraId="62342806" w14:textId="77777777">
      <w:pPr>
        <w:pStyle w:val="ListParagraph"/>
      </w:pPr>
    </w:p>
    <w:p w:rsidR="00B2590E" w:rsidP="00B2590E" w:rsidRDefault="00B2590E" w14:paraId="05F04BEB" w14:textId="77777777">
      <w:pPr>
        <w:pStyle w:val="ListParagraph"/>
        <w:numPr>
          <w:ilvl w:val="0"/>
          <w:numId w:val="23"/>
        </w:numPr>
      </w:pPr>
      <w:r>
        <w:t xml:space="preserve">Link Local Address </w:t>
      </w:r>
      <w:proofErr w:type="gramStart"/>
      <w:r>
        <w:t>-  this</w:t>
      </w:r>
      <w:proofErr w:type="gramEnd"/>
      <w:r>
        <w:t xml:space="preserve"> can only be used on local network links, they are not valid outside of an enterprise and have a different structure compared to global unicast addresses</w:t>
      </w:r>
    </w:p>
    <w:p w:rsidR="00B2590E" w:rsidP="00B2590E" w:rsidRDefault="00B2590E" w14:paraId="6E9D32C3" w14:textId="77777777"/>
    <w:p w:rsidR="00B2590E" w:rsidP="00B2590E" w:rsidRDefault="00B2590E" w14:paraId="1FB14C1E" w14:textId="77777777"/>
    <w:p w:rsidR="00B2590E" w:rsidP="00B2590E" w:rsidRDefault="00B2590E" w14:paraId="6FC1D650" w14:textId="77777777"/>
    <w:p w:rsidR="00B2590E" w:rsidP="00B2590E" w:rsidRDefault="00B2590E" w14:paraId="7A47BCD6" w14:textId="77777777"/>
    <w:p w:rsidR="00B2590E" w:rsidP="00B2590E" w:rsidRDefault="00B2590E" w14:paraId="2D244EA9" w14:textId="77777777">
      <w:pPr>
        <w:pStyle w:val="Heading1"/>
        <w:keepLines/>
        <w:numPr>
          <w:ilvl w:val="0"/>
          <w:numId w:val="24"/>
        </w:numPr>
        <w:pBdr>
          <w:top w:val="none" w:color="auto" w:sz="0" w:space="0"/>
          <w:left w:val="none" w:color="auto" w:sz="0" w:space="0"/>
          <w:bottom w:val="none" w:color="auto" w:sz="0" w:space="0"/>
          <w:right w:val="none" w:color="auto" w:sz="0" w:space="0"/>
        </w:pBdr>
        <w:shd w:val="clear" w:color="auto" w:fill="auto"/>
        <w:spacing w:before="240"/>
        <w:jc w:val="left"/>
      </w:pPr>
      <w:r>
        <w:t>Structure of IPv6 addresses</w:t>
      </w:r>
    </w:p>
    <w:p w:rsidR="00B2590E" w:rsidP="00B2590E" w:rsidRDefault="00B2590E" w14:paraId="64EA790B" w14:textId="77777777"/>
    <w:p w:rsidR="00B2590E" w:rsidP="00B2590E" w:rsidRDefault="00B2590E" w14:paraId="1232780F" w14:textId="77777777"/>
    <w:p w:rsidR="00B2590E" w:rsidP="00B2590E" w:rsidRDefault="00B2590E" w14:paraId="3534A1DB" w14:textId="77777777">
      <w:r>
        <w:t xml:space="preserve">The address is split into two </w:t>
      </w:r>
      <w:proofErr w:type="gramStart"/>
      <w:r>
        <w:t>64 bit</w:t>
      </w:r>
      <w:proofErr w:type="gramEnd"/>
      <w:r>
        <w:t xml:space="preserve"> segments, the top being the network part and the bottom being the node part. The network part is used for routing and the bottom is used for identifying the node</w:t>
      </w:r>
      <w:sdt>
        <w:sdtPr>
          <w:id w:val="-2130695279"/>
          <w:citation/>
        </w:sdtPr>
        <w:sdtContent>
          <w:r>
            <w:fldChar w:fldCharType="begin"/>
          </w:r>
          <w:r>
            <w:instrText xml:space="preserve"> CITATION Ste19 \l 2057 </w:instrText>
          </w:r>
          <w:r>
            <w:fldChar w:fldCharType="separate"/>
          </w:r>
          <w:r>
            <w:rPr>
              <w:noProof/>
            </w:rPr>
            <w:t xml:space="preserve"> [4]</w:t>
          </w:r>
          <w:r>
            <w:fldChar w:fldCharType="end"/>
          </w:r>
        </w:sdtContent>
      </w:sdt>
      <w:r>
        <w:t xml:space="preserve">. There are eight </w:t>
      </w:r>
      <w:proofErr w:type="gramStart"/>
      <w:r>
        <w:t>16 bit</w:t>
      </w:r>
      <w:proofErr w:type="gramEnd"/>
      <w:r>
        <w:t xml:space="preserve"> fields, each bounded by a colon and containing a hexadecimal number. Figure 1 below shows an example IPv6 address.</w:t>
      </w:r>
    </w:p>
    <w:p w:rsidR="00B2590E" w:rsidP="00B2590E" w:rsidRDefault="00B2590E" w14:paraId="3F321032" w14:textId="77777777"/>
    <w:p w:rsidR="00B2590E" w:rsidP="00B2590E" w:rsidRDefault="00B2590E" w14:paraId="7EA42C7F" w14:textId="77777777">
      <w:r>
        <w:rPr>
          <w:noProof/>
        </w:rPr>
        <w:drawing>
          <wp:anchor distT="0" distB="0" distL="114300" distR="114300" simplePos="0" relativeHeight="251662848" behindDoc="1" locked="0" layoutInCell="1" allowOverlap="1" wp14:anchorId="2AAE0794" wp14:editId="71657A2D">
            <wp:simplePos x="0" y="0"/>
            <wp:positionH relativeFrom="margin">
              <wp:align>left</wp:align>
            </wp:positionH>
            <wp:positionV relativeFrom="paragraph">
              <wp:posOffset>5080</wp:posOffset>
            </wp:positionV>
            <wp:extent cx="2868930" cy="1333500"/>
            <wp:effectExtent l="0" t="0" r="7620" b="0"/>
            <wp:wrapTight wrapText="bothSides">
              <wp:wrapPolygon edited="0">
                <wp:start x="0" y="0"/>
                <wp:lineTo x="0" y="21291"/>
                <wp:lineTo x="21514" y="21291"/>
                <wp:lineTo x="21514" y="0"/>
                <wp:lineTo x="0" y="0"/>
              </wp:wrapPolygon>
            </wp:wrapTight>
            <wp:docPr id="4" name="Picture 4" descr="The figure shows the three parts of an IPv6 address, which are described in the nex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gure shows the three parts of an IPv6 address, which are described in the next text."/>
                    <pic:cNvPicPr>
                      <a:picLocks noChangeAspect="1" noChangeArrowheads="1"/>
                    </pic:cNvPicPr>
                  </pic:nvPicPr>
                  <pic:blipFill rotWithShape="1">
                    <a:blip r:embed="rId11">
                      <a:extLst>
                        <a:ext uri="{28A0092B-C50C-407E-A947-70E740481C1C}">
                          <a14:useLocalDpi xmlns:a14="http://schemas.microsoft.com/office/drawing/2010/main" val="0"/>
                        </a:ext>
                      </a:extLst>
                    </a:blip>
                    <a:srcRect t="50257"/>
                    <a:stretch/>
                  </pic:blipFill>
                  <pic:spPr bwMode="auto">
                    <a:xfrm>
                      <a:off x="0" y="0"/>
                      <a:ext cx="2868930" cy="1333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site prefix makes up the first 48 bits, this describes the public topology that has been allocated by an ISP. The next 16 bits is the subnet ID which describes the site topology, this would be allocated by an administrator. The remaining 64 bits contain the interface ID, this tends to be configured from the interfaces MAC address</w:t>
      </w:r>
      <w:sdt>
        <w:sdtPr>
          <w:id w:val="1099453297"/>
          <w:citation/>
        </w:sdtPr>
        <w:sdtContent>
          <w:r>
            <w:fldChar w:fldCharType="begin"/>
          </w:r>
          <w:r>
            <w:instrText xml:space="preserve"> CITATION Ora01 \l 2057 </w:instrText>
          </w:r>
          <w:r>
            <w:fldChar w:fldCharType="separate"/>
          </w:r>
          <w:r>
            <w:rPr>
              <w:noProof/>
            </w:rPr>
            <w:t xml:space="preserve"> [5]</w:t>
          </w:r>
          <w:r>
            <w:fldChar w:fldCharType="end"/>
          </w:r>
        </w:sdtContent>
      </w:sdt>
      <w:r>
        <w:t>.</w:t>
      </w:r>
    </w:p>
    <w:p w:rsidR="00B2590E" w:rsidP="00B2590E" w:rsidRDefault="00B2590E" w14:paraId="7B4BF846" w14:textId="77777777"/>
    <w:p w:rsidR="00B2590E" w:rsidP="00B2590E" w:rsidRDefault="00B2590E" w14:paraId="2C808440" w14:textId="77777777"/>
    <w:p w:rsidR="00B2590E" w:rsidP="00B2590E" w:rsidRDefault="00B2590E" w14:paraId="595E579A" w14:textId="77777777">
      <w:r>
        <w:rPr>
          <w:noProof/>
        </w:rPr>
        <mc:AlternateContent>
          <mc:Choice Requires="wps">
            <w:drawing>
              <wp:anchor distT="0" distB="0" distL="114300" distR="114300" simplePos="0" relativeHeight="251663872" behindDoc="1" locked="0" layoutInCell="1" allowOverlap="1" wp14:anchorId="5D0D0024" wp14:editId="56CB3F37">
                <wp:simplePos x="0" y="0"/>
                <wp:positionH relativeFrom="margin">
                  <wp:align>left</wp:align>
                </wp:positionH>
                <wp:positionV relativeFrom="paragraph">
                  <wp:posOffset>81280</wp:posOffset>
                </wp:positionV>
                <wp:extent cx="1238250" cy="381000"/>
                <wp:effectExtent l="0" t="0" r="0" b="0"/>
                <wp:wrapTight wrapText="bothSides">
                  <wp:wrapPolygon edited="0">
                    <wp:start x="0" y="0"/>
                    <wp:lineTo x="0" y="20520"/>
                    <wp:lineTo x="21268" y="20520"/>
                    <wp:lineTo x="2126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238250" cy="381000"/>
                        </a:xfrm>
                        <a:prstGeom prst="rect">
                          <a:avLst/>
                        </a:prstGeom>
                        <a:solidFill>
                          <a:prstClr val="white"/>
                        </a:solidFill>
                        <a:ln>
                          <a:noFill/>
                        </a:ln>
                      </wps:spPr>
                      <wps:txbx>
                        <w:txbxContent>
                          <w:p w:rsidRPr="00532A23" w:rsidR="00B2590E" w:rsidP="00B2590E" w:rsidRDefault="00B2590E" w14:paraId="176E51B3" w14:textId="77777777">
                            <w:pPr>
                              <w:pStyle w:val="Caption"/>
                              <w:rPr>
                                <w:noProof/>
                                <w:sz w:val="20"/>
                                <w:szCs w:val="20"/>
                              </w:rPr>
                            </w:pPr>
                            <w:r>
                              <w:t xml:space="preserve">Figure </w:t>
                            </w:r>
                            <w:r>
                              <w:fldChar w:fldCharType="begin"/>
                            </w:r>
                            <w:r>
                              <w:instrText xml:space="preserve"> SEQ Figure \* ARABIC </w:instrText>
                            </w:r>
                            <w:r>
                              <w:fldChar w:fldCharType="separate"/>
                            </w:r>
                            <w:r>
                              <w:rPr>
                                <w:noProof/>
                              </w:rPr>
                              <w:t>1</w:t>
                            </w:r>
                            <w:r>
                              <w:fldChar w:fldCharType="end"/>
                            </w:r>
                            <w:r>
                              <w:t xml:space="preserve"> IPv6 Structure</w:t>
                            </w:r>
                            <w:sdt>
                              <w:sdtPr>
                                <w:id w:val="-234397689"/>
                                <w:citation/>
                              </w:sdtPr>
                              <w:sdtContent>
                                <w:r>
                                  <w:fldChar w:fldCharType="begin"/>
                                </w:r>
                                <w:r>
                                  <w:instrText xml:space="preserve"> CITATION Ora01 \l 2057 </w:instrText>
                                </w:r>
                                <w:r>
                                  <w:fldChar w:fldCharType="separate"/>
                                </w:r>
                                <w:r>
                                  <w:rPr>
                                    <w:noProof/>
                                  </w:rPr>
                                  <w:t xml:space="preserve"> [5]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D0D0024">
                <v:stroke joinstyle="miter"/>
                <v:path gradientshapeok="t" o:connecttype="rect"/>
              </v:shapetype>
              <v:shape id="Text Box 2" style="position:absolute;margin-left:0;margin-top:6.4pt;width:97.5pt;height:30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">
                <v:textbox inset="0,0,0,0">
                  <w:txbxContent>
                    <w:p w:rsidRPr="00532A23" w:rsidR="00B2590E" w:rsidP="00B2590E" w:rsidRDefault="00B2590E" w14:paraId="176E51B3" w14:textId="77777777">
                      <w:pPr>
                        <w:pStyle w:val="Caption"/>
                        <w:rPr>
                          <w:noProof/>
                          <w:sz w:val="20"/>
                          <w:szCs w:val="20"/>
                        </w:rPr>
                      </w:pPr>
                      <w:r>
                        <w:t xml:space="preserve">Figure </w:t>
                      </w:r>
                      <w:r>
                        <w:fldChar w:fldCharType="begin"/>
                      </w:r>
                      <w:r>
                        <w:instrText xml:space="preserve"> SEQ Figure \* ARABIC </w:instrText>
                      </w:r>
                      <w:r>
                        <w:fldChar w:fldCharType="separate"/>
                      </w:r>
                      <w:r>
                        <w:rPr>
                          <w:noProof/>
                        </w:rPr>
                        <w:t>1</w:t>
                      </w:r>
                      <w:r>
                        <w:fldChar w:fldCharType="end"/>
                      </w:r>
                      <w:r>
                        <w:t xml:space="preserve"> IPv6 Structure</w:t>
                      </w:r>
                      <w:sdt>
                        <w:sdtPr>
                          <w:id w:val="-234397689"/>
                          <w:citation/>
                        </w:sdtPr>
                        <w:sdtContent>
                          <w:r>
                            <w:fldChar w:fldCharType="begin"/>
                          </w:r>
                          <w:r>
                            <w:instrText xml:space="preserve"> CITATION Ora01 \l 2057 </w:instrText>
                          </w:r>
                          <w:r>
                            <w:fldChar w:fldCharType="separate"/>
                          </w:r>
                          <w:r>
                            <w:rPr>
                              <w:noProof/>
                            </w:rPr>
                            <w:t xml:space="preserve"> [5]</w:t>
                          </w:r>
                          <w:r>
                            <w:fldChar w:fldCharType="end"/>
                          </w:r>
                        </w:sdtContent>
                      </w:sdt>
                    </w:p>
                  </w:txbxContent>
                </v:textbox>
                <w10:wrap type="tight" anchorx="margin"/>
              </v:shape>
            </w:pict>
          </mc:Fallback>
        </mc:AlternateContent>
      </w:r>
    </w:p>
    <w:p w:rsidRPr="00590E95" w:rsidR="00B2590E" w:rsidP="00B2590E" w:rsidRDefault="00B2590E" w14:paraId="13538C4F" w14:textId="77777777"/>
    <w:p w:rsidR="00B2590E" w:rsidP="00B2590E" w:rsidRDefault="00B2590E" w14:paraId="073A729E" w14:textId="77777777"/>
    <w:p w:rsidR="00B2590E" w:rsidP="00B2590E" w:rsidRDefault="00B2590E" w14:paraId="684BC88D" w14:textId="77777777"/>
    <w:p w:rsidR="00B2590E" w:rsidP="00B2590E" w:rsidRDefault="00B2590E" w14:paraId="3E59A90E" w14:textId="77777777">
      <w:pPr>
        <w:rPr>
          <w:noProof/>
        </w:rPr>
      </w:pPr>
    </w:p>
    <w:p w:rsidR="00B2590E" w:rsidP="00B2590E" w:rsidRDefault="00B2590E" w14:paraId="10B76424" w14:textId="77777777"/>
    <w:p w:rsidR="00B2590E" w:rsidP="00B2590E" w:rsidRDefault="00B2590E" w14:paraId="66897BB0" w14:textId="77777777"/>
    <w:p w:rsidR="00B2590E" w:rsidP="00B2590E" w:rsidRDefault="00B2590E" w14:paraId="435AFB22" w14:textId="77777777"/>
    <w:p w:rsidR="00B2590E" w:rsidP="00B2590E" w:rsidRDefault="00B2590E" w14:paraId="14612C48" w14:textId="77777777">
      <w:r>
        <w:t>IPv6 introduced changes to the following areas:</w:t>
      </w:r>
    </w:p>
    <w:p w:rsidR="00B2590E" w:rsidP="00B2590E" w:rsidRDefault="00B2590E" w14:paraId="6EEC9354" w14:textId="77777777"/>
    <w:p w:rsidR="00B2590E" w:rsidP="00B2590E" w:rsidRDefault="00B2590E" w14:paraId="04DD012B" w14:textId="77777777">
      <w:pPr>
        <w:pStyle w:val="ListParagraph"/>
        <w:numPr>
          <w:ilvl w:val="0"/>
          <w:numId w:val="22"/>
        </w:numPr>
      </w:pPr>
      <w:r>
        <w:t>Expanded addressing</w:t>
      </w:r>
    </w:p>
    <w:p w:rsidR="00B2590E" w:rsidP="00B2590E" w:rsidRDefault="00B2590E" w14:paraId="2D8287A5" w14:textId="77777777">
      <w:pPr>
        <w:pStyle w:val="ListParagraph"/>
        <w:numPr>
          <w:ilvl w:val="0"/>
          <w:numId w:val="22"/>
        </w:numPr>
      </w:pPr>
      <w:r>
        <w:t>Simplified header format</w:t>
      </w:r>
    </w:p>
    <w:p w:rsidR="00B2590E" w:rsidP="00B2590E" w:rsidRDefault="00B2590E" w14:paraId="039A8130" w14:textId="77777777">
      <w:pPr>
        <w:pStyle w:val="ListParagraph"/>
        <w:numPr>
          <w:ilvl w:val="0"/>
          <w:numId w:val="22"/>
        </w:numPr>
      </w:pPr>
      <w:r>
        <w:t>Improved extension and option support</w:t>
      </w:r>
    </w:p>
    <w:p w:rsidR="00B2590E" w:rsidP="00B2590E" w:rsidRDefault="00B2590E" w14:paraId="595AC369" w14:textId="77777777"/>
    <w:p w:rsidR="00B2590E" w:rsidP="00B2590E" w:rsidRDefault="00B2590E" w14:paraId="0A077D19" w14:textId="77777777">
      <w:r>
        <w:t>The expansion of the address space means that IP can grow without being concerned about taking up resources, improving the routing efficiency. The simplified header also improves routing efficiency as it requires less processing of packets. The improvements in extension means that special circumstances can be accommodated without significantly affecting performance</w:t>
      </w:r>
      <w:sdt>
        <w:sdtPr>
          <w:id w:val="-2100176086"/>
          <w:citation/>
        </w:sdtPr>
        <w:sdtContent>
          <w:r>
            <w:fldChar w:fldCharType="begin"/>
          </w:r>
          <w:r>
            <w:instrText xml:space="preserve"> CITATION Pet04 \l 2057 </w:instrText>
          </w:r>
          <w:r>
            <w:fldChar w:fldCharType="separate"/>
          </w:r>
          <w:r>
            <w:rPr>
              <w:noProof/>
            </w:rPr>
            <w:t xml:space="preserve"> [3]</w:t>
          </w:r>
          <w:r>
            <w:fldChar w:fldCharType="end"/>
          </w:r>
        </w:sdtContent>
      </w:sdt>
      <w:r>
        <w:t>.</w:t>
      </w:r>
    </w:p>
    <w:p w:rsidRPr="00014A69" w:rsidR="00B2590E" w:rsidP="00B2590E" w:rsidRDefault="00B2590E" w14:paraId="5C56D56A" w14:textId="77777777"/>
    <w:p w:rsidR="00B2590E" w:rsidP="00B2590E" w:rsidRDefault="00B2590E" w14:paraId="0A46193B" w14:textId="77777777"/>
    <w:p w:rsidRPr="00807E02" w:rsidR="00B2590E" w:rsidP="00B2590E" w:rsidRDefault="00B2590E" w14:paraId="3E42981E" w14:textId="77777777"/>
    <w:p w:rsidR="00B2590E" w:rsidP="00B2590E" w:rsidRDefault="00B2590E" w14:paraId="1BD28CC5" w14:textId="77777777"/>
    <w:p w:rsidR="00B2590E" w:rsidP="00B2590E" w:rsidRDefault="00B2590E" w14:paraId="776F1B2F" w14:textId="620BA6BA"/>
    <w:p w:rsidR="00B2590E" w:rsidP="00B2590E" w:rsidRDefault="00B2590E" w14:paraId="74081412" w14:textId="74F6E2F5"/>
    <w:p w:rsidR="00B2590E" w:rsidP="00B2590E" w:rsidRDefault="00B2590E" w14:paraId="3E6DCAEA" w14:textId="77777777">
      <w:bookmarkStart w:name="_GoBack" w:id="0"/>
      <w:bookmarkEnd w:id="0"/>
    </w:p>
    <w:p w:rsidR="00B2590E" w:rsidP="00B2590E" w:rsidRDefault="00B2590E" w14:paraId="7C72CE0F" w14:textId="77777777">
      <w:pPr>
        <w:pStyle w:val="Heading1"/>
      </w:pPr>
      <w:r>
        <w:lastRenderedPageBreak/>
        <w:t>Conclusion</w:t>
      </w:r>
    </w:p>
    <w:p w:rsidR="00B2590E" w:rsidP="00B2590E" w:rsidRDefault="00B2590E" w14:paraId="5B581C8B" w14:textId="77777777"/>
    <w:p w:rsidR="00B2590E" w:rsidP="00B2590E" w:rsidRDefault="00B2590E" w14:paraId="5E4BED84" w14:textId="77777777">
      <w:r>
        <w:t xml:space="preserve">IPv6 is a result of the inevitable, the exhaustion of IPv4 addresses combined with the huge increase in devices that now depend on network connections. The high demand and advancements made inn technology, such as media streaming services, means that IPv6 not only has to be more efficient, but also more secure. It is evident that by incorporating security protocols into IPv6 rather than having to add them in, a higher level of security has been achieved. IPv6 appears to meet the criteria that was set for it when it was evident that a new protocol was going to be needed, it is now a matter of implementing it correctly to those that see it as a priority. </w:t>
      </w:r>
    </w:p>
    <w:p w:rsidR="00B2590E" w:rsidP="00B2590E" w:rsidRDefault="00B2590E" w14:paraId="21E3C5CF" w14:textId="77777777"/>
    <w:p w:rsidR="00B2590E" w:rsidP="00B2590E" w:rsidRDefault="00B2590E" w14:paraId="3A285C68" w14:textId="77777777"/>
    <w:p w:rsidR="00B2590E" w:rsidP="00B2590E" w:rsidRDefault="00B2590E" w14:paraId="396DE330" w14:textId="77777777"/>
    <w:sdt>
      <w:sdtPr>
        <w:rPr>
          <w:sz w:val="20"/>
        </w:rPr>
        <w:id w:val="833107861"/>
        <w:docPartObj>
          <w:docPartGallery w:val="Bibliographies"/>
          <w:docPartUnique/>
        </w:docPartObj>
      </w:sdtPr>
      <w:sdtEndPr>
        <w:rPr>
          <w:b w:val="0"/>
        </w:rPr>
      </w:sdtEndPr>
      <w:sdtContent>
        <w:p w:rsidR="00B2590E" w:rsidP="00B2590E" w:rsidRDefault="00B2590E" w14:paraId="47B1875F" w14:textId="77777777">
          <w:pPr>
            <w:pStyle w:val="Heading1"/>
          </w:pPr>
          <w:r>
            <w:t>References</w:t>
          </w:r>
        </w:p>
        <w:sdt>
          <w:sdtPr>
            <w:id w:val="-573587230"/>
            <w:bibliography/>
          </w:sdtPr>
          <w:sdtContent>
            <w:p w:rsidR="00B2590E" w:rsidP="00B2590E" w:rsidRDefault="00B2590E" w14:paraId="00A326AD" w14:textId="77777777">
              <w:pPr>
                <w:rPr>
                  <w:rFonts w:asciiTheme="minorHAnsi" w:hAnsiTheme="minorHAnsi" w:eastAsia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472"/>
              </w:tblGrid>
              <w:tr w:rsidR="00B2590E" w:rsidTr="00442CD8" w14:paraId="6AC37C41" w14:textId="77777777">
                <w:trPr>
                  <w:tblCellSpacing w:w="15" w:type="dxa"/>
                </w:trPr>
                <w:tc>
                  <w:tcPr>
                    <w:tcW w:w="50" w:type="pct"/>
                    <w:hideMark/>
                  </w:tcPr>
                  <w:p w:rsidR="00B2590E" w:rsidP="00442CD8" w:rsidRDefault="00B2590E" w14:paraId="0E0F6230" w14:textId="77777777">
                    <w:pPr>
                      <w:pStyle w:val="Bibliography"/>
                      <w:rPr>
                        <w:noProof/>
                        <w:sz w:val="24"/>
                        <w:szCs w:val="24"/>
                      </w:rPr>
                    </w:pPr>
                    <w:r>
                      <w:rPr>
                        <w:noProof/>
                      </w:rPr>
                      <w:t xml:space="preserve">[1] </w:t>
                    </w:r>
                  </w:p>
                </w:tc>
                <w:tc>
                  <w:tcPr>
                    <w:tcW w:w="0" w:type="auto"/>
                    <w:hideMark/>
                  </w:tcPr>
                  <w:p w:rsidR="00B2590E" w:rsidP="00442CD8" w:rsidRDefault="00B2590E" w14:paraId="7F368CC6" w14:textId="77777777">
                    <w:pPr>
                      <w:pStyle w:val="Bibliography"/>
                      <w:rPr>
                        <w:noProof/>
                      </w:rPr>
                    </w:pPr>
                    <w:r>
                      <w:rPr>
                        <w:noProof/>
                      </w:rPr>
                      <w:t xml:space="preserve">R. T. Ray Bernard, “IPv6,” </w:t>
                    </w:r>
                    <w:r>
                      <w:rPr>
                        <w:i/>
                        <w:iCs/>
                        <w:noProof/>
                      </w:rPr>
                      <w:t xml:space="preserve">Security Technology Executive, </w:t>
                    </w:r>
                    <w:r>
                      <w:rPr>
                        <w:noProof/>
                      </w:rPr>
                      <w:t xml:space="preserve">vol. 21, no. 9, pp. 34-38, 2011. </w:t>
                    </w:r>
                  </w:p>
                </w:tc>
              </w:tr>
              <w:tr w:rsidR="00B2590E" w:rsidTr="00442CD8" w14:paraId="55096AF6" w14:textId="77777777">
                <w:trPr>
                  <w:tblCellSpacing w:w="15" w:type="dxa"/>
                </w:trPr>
                <w:tc>
                  <w:tcPr>
                    <w:tcW w:w="50" w:type="pct"/>
                    <w:hideMark/>
                  </w:tcPr>
                  <w:p w:rsidR="00B2590E" w:rsidP="00442CD8" w:rsidRDefault="00B2590E" w14:paraId="6882B6A2" w14:textId="77777777">
                    <w:pPr>
                      <w:pStyle w:val="Bibliography"/>
                      <w:rPr>
                        <w:noProof/>
                      </w:rPr>
                    </w:pPr>
                    <w:r>
                      <w:rPr>
                        <w:noProof/>
                      </w:rPr>
                      <w:t xml:space="preserve">[2] </w:t>
                    </w:r>
                  </w:p>
                </w:tc>
                <w:tc>
                  <w:tcPr>
                    <w:tcW w:w="0" w:type="auto"/>
                    <w:hideMark/>
                  </w:tcPr>
                  <w:p w:rsidR="00B2590E" w:rsidP="00442CD8" w:rsidRDefault="00B2590E" w14:paraId="79A549B4" w14:textId="77777777">
                    <w:pPr>
                      <w:pStyle w:val="Bibliography"/>
                      <w:rPr>
                        <w:noProof/>
                      </w:rPr>
                    </w:pPr>
                    <w:r>
                      <w:rPr>
                        <w:noProof/>
                      </w:rPr>
                      <w:t xml:space="preserve">J. Kempf, “Mobile IPv6 Security,” </w:t>
                    </w:r>
                    <w:r>
                      <w:rPr>
                        <w:i/>
                        <w:iCs/>
                        <w:noProof/>
                      </w:rPr>
                      <w:t xml:space="preserve">Mobile IPv6 Security, </w:t>
                    </w:r>
                    <w:r>
                      <w:rPr>
                        <w:noProof/>
                      </w:rPr>
                      <w:t xml:space="preserve">vol. 29, no. 3, pp. 389-414, 2004. </w:t>
                    </w:r>
                  </w:p>
                </w:tc>
              </w:tr>
              <w:tr w:rsidR="00B2590E" w:rsidTr="00442CD8" w14:paraId="6FB7C955" w14:textId="77777777">
                <w:trPr>
                  <w:tblCellSpacing w:w="15" w:type="dxa"/>
                </w:trPr>
                <w:tc>
                  <w:tcPr>
                    <w:tcW w:w="50" w:type="pct"/>
                    <w:hideMark/>
                  </w:tcPr>
                  <w:p w:rsidR="00B2590E" w:rsidP="00442CD8" w:rsidRDefault="00B2590E" w14:paraId="655940D9" w14:textId="77777777">
                    <w:pPr>
                      <w:pStyle w:val="Bibliography"/>
                      <w:rPr>
                        <w:noProof/>
                      </w:rPr>
                    </w:pPr>
                    <w:r>
                      <w:rPr>
                        <w:noProof/>
                      </w:rPr>
                      <w:t xml:space="preserve">[3] </w:t>
                    </w:r>
                  </w:p>
                </w:tc>
                <w:tc>
                  <w:tcPr>
                    <w:tcW w:w="0" w:type="auto"/>
                    <w:hideMark/>
                  </w:tcPr>
                  <w:p w:rsidR="00B2590E" w:rsidP="00442CD8" w:rsidRDefault="00B2590E" w14:paraId="2C19AABC" w14:textId="77777777">
                    <w:pPr>
                      <w:pStyle w:val="Bibliography"/>
                      <w:rPr>
                        <w:noProof/>
                      </w:rPr>
                    </w:pPr>
                    <w:r>
                      <w:rPr>
                        <w:noProof/>
                      </w:rPr>
                      <w:t xml:space="preserve">P. Loshin, “IPv6: Theory, Protocl and Pracitce,” in </w:t>
                    </w:r>
                    <w:r>
                      <w:rPr>
                        <w:i/>
                        <w:iCs/>
                        <w:noProof/>
                      </w:rPr>
                      <w:t>IPv6: Theory, Protocl and Pracitce</w:t>
                    </w:r>
                    <w:r>
                      <w:rPr>
                        <w:noProof/>
                      </w:rPr>
                      <w:t>, Elsevier, 2004, pp. 140-143.</w:t>
                    </w:r>
                  </w:p>
                </w:tc>
              </w:tr>
              <w:tr w:rsidR="00B2590E" w:rsidTr="00442CD8" w14:paraId="66C33F58" w14:textId="77777777">
                <w:trPr>
                  <w:tblCellSpacing w:w="15" w:type="dxa"/>
                </w:trPr>
                <w:tc>
                  <w:tcPr>
                    <w:tcW w:w="50" w:type="pct"/>
                    <w:hideMark/>
                  </w:tcPr>
                  <w:p w:rsidR="00B2590E" w:rsidP="00442CD8" w:rsidRDefault="00B2590E" w14:paraId="78B3B650" w14:textId="77777777">
                    <w:pPr>
                      <w:pStyle w:val="Bibliography"/>
                      <w:rPr>
                        <w:noProof/>
                      </w:rPr>
                    </w:pPr>
                    <w:r>
                      <w:rPr>
                        <w:noProof/>
                      </w:rPr>
                      <w:t xml:space="preserve">[4] </w:t>
                    </w:r>
                  </w:p>
                </w:tc>
                <w:tc>
                  <w:tcPr>
                    <w:tcW w:w="0" w:type="auto"/>
                    <w:hideMark/>
                  </w:tcPr>
                  <w:p w:rsidR="00B2590E" w:rsidP="00442CD8" w:rsidRDefault="00B2590E" w14:paraId="216625C2" w14:textId="77777777">
                    <w:pPr>
                      <w:pStyle w:val="Bibliography"/>
                      <w:rPr>
                        <w:noProof/>
                      </w:rPr>
                    </w:pPr>
                    <w:r>
                      <w:rPr>
                        <w:noProof/>
                      </w:rPr>
                      <w:t xml:space="preserve">S. Cope, “IPv6 Explained for Beginners,” </w:t>
                    </w:r>
                    <w:r>
                      <w:rPr>
                        <w:i/>
                        <w:iCs/>
                        <w:noProof/>
                      </w:rPr>
                      <w:t xml:space="preserve">IPv6 Explained for Beginners, </w:t>
                    </w:r>
                    <w:r>
                      <w:rPr>
                        <w:noProof/>
                      </w:rPr>
                      <w:t xml:space="preserve">8 Aug 2019. </w:t>
                    </w:r>
                  </w:p>
                </w:tc>
              </w:tr>
              <w:tr w:rsidR="00B2590E" w:rsidTr="00442CD8" w14:paraId="076B0528" w14:textId="77777777">
                <w:trPr>
                  <w:tblCellSpacing w:w="15" w:type="dxa"/>
                </w:trPr>
                <w:tc>
                  <w:tcPr>
                    <w:tcW w:w="50" w:type="pct"/>
                    <w:hideMark/>
                  </w:tcPr>
                  <w:p w:rsidR="00B2590E" w:rsidP="00442CD8" w:rsidRDefault="00B2590E" w14:paraId="6B61F1D3" w14:textId="77777777">
                    <w:pPr>
                      <w:pStyle w:val="Bibliography"/>
                      <w:rPr>
                        <w:noProof/>
                      </w:rPr>
                    </w:pPr>
                    <w:r>
                      <w:rPr>
                        <w:noProof/>
                      </w:rPr>
                      <w:t xml:space="preserve">[5] </w:t>
                    </w:r>
                  </w:p>
                </w:tc>
                <w:tc>
                  <w:tcPr>
                    <w:tcW w:w="0" w:type="auto"/>
                    <w:hideMark/>
                  </w:tcPr>
                  <w:p w:rsidR="00B2590E" w:rsidP="00442CD8" w:rsidRDefault="00B2590E" w14:paraId="27872A35" w14:textId="77777777">
                    <w:pPr>
                      <w:pStyle w:val="Bibliography"/>
                      <w:rPr>
                        <w:noProof/>
                      </w:rPr>
                    </w:pPr>
                    <w:r>
                      <w:rPr>
                        <w:noProof/>
                      </w:rPr>
                      <w:t>Oracle, “IP Services,” Aug 2001. [Online]. Available: https://docs.oracle.com/cd/E18752_01/html/816-4554/ipv6-overview-10.html. [Accessed 03 Dec 2019].</w:t>
                    </w:r>
                  </w:p>
                </w:tc>
              </w:tr>
            </w:tbl>
            <w:p w:rsidR="00B2590E" w:rsidP="00B2590E" w:rsidRDefault="00B2590E" w14:paraId="2FB1711A" w14:textId="77777777">
              <w:pPr>
                <w:rPr>
                  <w:noProof/>
                </w:rPr>
              </w:pPr>
            </w:p>
            <w:p w:rsidR="00B2590E" w:rsidP="00B2590E" w:rsidRDefault="00B2590E" w14:paraId="454CB44F" w14:textId="77777777">
              <w:r>
                <w:rPr>
                  <w:b/>
                  <w:bCs/>
                  <w:noProof/>
                </w:rPr>
                <w:fldChar w:fldCharType="end"/>
              </w:r>
            </w:p>
          </w:sdtContent>
        </w:sdt>
      </w:sdtContent>
    </w:sdt>
    <w:p w:rsidRPr="004A1148" w:rsidR="006D5DA8" w:rsidP="00771EE2" w:rsidRDefault="006D5DA8" w14:paraId="46804FC5" w14:textId="77777777">
      <w:pPr>
        <w:rPr>
          <w:rFonts w:ascii="Arial" w:hAnsi="Arial" w:cs="Arial"/>
          <w:b/>
          <w:sz w:val="32"/>
          <w:szCs w:val="22"/>
          <w:u w:val="single"/>
        </w:rPr>
      </w:pPr>
    </w:p>
    <w:sectPr w:rsidRPr="004A1148" w:rsidR="006D5DA8" w:rsidSect="00B943CE">
      <w:pgSz w:w="11894" w:h="16834" w:orient="portrait"/>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10C3" w:rsidRDefault="006110C3" w14:paraId="02AA2265" w14:textId="77777777">
      <w:r>
        <w:separator/>
      </w:r>
    </w:p>
  </w:endnote>
  <w:endnote w:type="continuationSeparator" w:id="0">
    <w:p w:rsidR="006110C3" w:rsidRDefault="006110C3" w14:paraId="2546E2F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F841F7" w:rsidR="008B7721" w:rsidP="009E183D" w:rsidRDefault="001F16E4" w14:paraId="5D08B282" w14:textId="3E876A2A">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Pr="00F841F7" w:rsidR="008B7721">
      <w:rPr>
        <w:rFonts w:ascii="Arial" w:hAnsi="Arial" w:cs="Arial"/>
        <w:b/>
        <w:i/>
        <w:lang w:val="en-US"/>
      </w:rPr>
      <w:t xml:space="preserve">Page </w:t>
    </w:r>
    <w:r w:rsidRPr="00F841F7" w:rsidR="00E52A80">
      <w:rPr>
        <w:rFonts w:ascii="Arial" w:hAnsi="Arial" w:cs="Arial"/>
        <w:b/>
        <w:i/>
        <w:lang w:val="en-US"/>
      </w:rPr>
      <w:fldChar w:fldCharType="begin"/>
    </w:r>
    <w:r w:rsidRPr="00F841F7" w:rsidR="008B7721">
      <w:rPr>
        <w:rFonts w:ascii="Arial" w:hAnsi="Arial" w:cs="Arial"/>
        <w:b/>
        <w:i/>
        <w:lang w:val="en-US"/>
      </w:rPr>
      <w:instrText xml:space="preserve"> PAGE </w:instrText>
    </w:r>
    <w:r w:rsidRPr="00F841F7" w:rsidR="00E52A80">
      <w:rPr>
        <w:rFonts w:ascii="Arial" w:hAnsi="Arial" w:cs="Arial"/>
        <w:b/>
        <w:i/>
        <w:lang w:val="en-US"/>
      </w:rPr>
      <w:fldChar w:fldCharType="separate"/>
    </w:r>
    <w:r w:rsidR="00E068B8">
      <w:rPr>
        <w:rFonts w:ascii="Arial" w:hAnsi="Arial" w:cs="Arial"/>
        <w:b/>
        <w:i/>
        <w:noProof/>
        <w:lang w:val="en-US"/>
      </w:rPr>
      <w:t>4</w:t>
    </w:r>
    <w:r w:rsidRPr="00F841F7" w:rsidR="00E52A80">
      <w:rPr>
        <w:rFonts w:ascii="Arial" w:hAnsi="Arial" w:cs="Arial"/>
        <w:b/>
        <w:i/>
        <w:lang w:val="en-US"/>
      </w:rPr>
      <w:fldChar w:fldCharType="end"/>
    </w:r>
    <w:r w:rsidRPr="00F841F7" w:rsidR="008B7721">
      <w:rPr>
        <w:rFonts w:ascii="Arial" w:hAnsi="Arial" w:cs="Arial"/>
        <w:b/>
        <w:i/>
        <w:lang w:val="en-US"/>
      </w:rPr>
      <w:t xml:space="preserve"> of </w:t>
    </w:r>
    <w:r w:rsidRPr="00F841F7" w:rsidR="00E52A80">
      <w:rPr>
        <w:rFonts w:ascii="Arial" w:hAnsi="Arial" w:cs="Arial"/>
        <w:b/>
        <w:i/>
        <w:lang w:val="en-US"/>
      </w:rPr>
      <w:fldChar w:fldCharType="begin"/>
    </w:r>
    <w:r w:rsidRPr="00F841F7" w:rsidR="008B7721">
      <w:rPr>
        <w:rFonts w:ascii="Arial" w:hAnsi="Arial" w:cs="Arial"/>
        <w:b/>
        <w:i/>
        <w:lang w:val="en-US"/>
      </w:rPr>
      <w:instrText xml:space="preserve"> NUMPAGES </w:instrText>
    </w:r>
    <w:r w:rsidRPr="00F841F7" w:rsidR="00E52A80">
      <w:rPr>
        <w:rFonts w:ascii="Arial" w:hAnsi="Arial" w:cs="Arial"/>
        <w:b/>
        <w:i/>
        <w:lang w:val="en-US"/>
      </w:rPr>
      <w:fldChar w:fldCharType="separate"/>
    </w:r>
    <w:r w:rsidR="00E068B8">
      <w:rPr>
        <w:rFonts w:ascii="Arial" w:hAnsi="Arial" w:cs="Arial"/>
        <w:b/>
        <w:i/>
        <w:noProof/>
        <w:lang w:val="en-US"/>
      </w:rPr>
      <w:t>6</w:t>
    </w:r>
    <w:r w:rsidRPr="00F841F7" w:rsidR="00E52A80">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10C3" w:rsidRDefault="006110C3" w14:paraId="469BF007" w14:textId="77777777">
      <w:r>
        <w:separator/>
      </w:r>
    </w:p>
  </w:footnote>
  <w:footnote w:type="continuationSeparator" w:id="0">
    <w:p w:rsidR="006110C3" w:rsidRDefault="006110C3" w14:paraId="1F6A251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71132DD"/>
    <w:multiLevelType w:val="hybridMultilevel"/>
    <w:tmpl w:val="28D849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86E19AB"/>
    <w:multiLevelType w:val="hybridMultilevel"/>
    <w:tmpl w:val="F9D02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25D1BA4"/>
    <w:multiLevelType w:val="hybridMultilevel"/>
    <w:tmpl w:val="A5F2C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15:restartNumberingAfterBreak="0">
    <w:nsid w:val="7DE51954"/>
    <w:multiLevelType w:val="hybridMultilevel"/>
    <w:tmpl w:val="ABF8EE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7"/>
  </w:num>
  <w:num w:numId="3">
    <w:abstractNumId w:val="15"/>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7"/>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6"/>
  </w:num>
  <w:num w:numId="20">
    <w:abstractNumId w:val="8"/>
  </w:num>
  <w:num w:numId="21">
    <w:abstractNumId w:val="18"/>
  </w:num>
  <w:num w:numId="22">
    <w:abstractNumId w:val="13"/>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06566"/>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4BF7"/>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35D1"/>
    <w:rsid w:val="00605FFC"/>
    <w:rsid w:val="006110C3"/>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96736"/>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117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C26FE"/>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590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00E2"/>
    <w:rsid w:val="00B92BCE"/>
    <w:rsid w:val="00B92F75"/>
    <w:rsid w:val="00B943CE"/>
    <w:rsid w:val="00BA1309"/>
    <w:rsid w:val="00BA2586"/>
    <w:rsid w:val="00BA590F"/>
    <w:rsid w:val="00BB45E7"/>
    <w:rsid w:val="00BB58CE"/>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C5FB4"/>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39B9"/>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 w:val="0BE9F541"/>
    <w:rsid w:val="646516D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styleId="BalloonTextChar" w:customStyle="1">
    <w:name w:val="Balloon Text Char"/>
    <w:basedOn w:val="DefaultParagraphFont"/>
    <w:link w:val="BalloonText"/>
    <w:rsid w:val="00EC79B3"/>
    <w:rPr>
      <w:rFonts w:ascii="Lucida Grande" w:hAnsi="Lucida Grande"/>
      <w:sz w:val="18"/>
      <w:szCs w:val="18"/>
      <w:lang w:eastAsia="en-GB"/>
    </w:rPr>
  </w:style>
  <w:style w:type="paragraph" w:styleId="TableText" w:customStyle="1">
    <w:name w:val="Table Text"/>
    <w:basedOn w:val="Normal"/>
    <w:link w:val="TableTextChar"/>
    <w:qFormat/>
    <w:rsid w:val="00C40BC6"/>
    <w:pPr>
      <w:keepNext/>
      <w:spacing w:before="60" w:after="60"/>
    </w:pPr>
    <w:rPr>
      <w:rFonts w:ascii="Arial" w:hAnsi="Arial" w:eastAsia="Calibri"/>
      <w:lang w:val="en-US" w:eastAsia="en-US"/>
    </w:rPr>
  </w:style>
  <w:style w:type="character" w:styleId="TableTextChar" w:customStyle="1">
    <w:name w:val="Table Text Char"/>
    <w:link w:val="TableText"/>
    <w:rsid w:val="00C40BC6"/>
    <w:rPr>
      <w:rFonts w:ascii="Arial" w:hAnsi="Arial" w:eastAsia="Calibri"/>
      <w:lang w:val="en-US"/>
    </w:rPr>
  </w:style>
  <w:style w:type="paragraph" w:styleId="TableHeading" w:customStyle="1">
    <w:name w:val="Table Heading"/>
    <w:basedOn w:val="Normal"/>
    <w:qFormat/>
    <w:rsid w:val="00C40BC6"/>
    <w:pPr>
      <w:keepNext/>
      <w:spacing w:before="120" w:after="120" w:line="276" w:lineRule="auto"/>
      <w:jc w:val="center"/>
    </w:pPr>
    <w:rPr>
      <w:rFonts w:ascii="Arial" w:hAnsi="Arial" w:eastAsia="Calibri"/>
      <w:b/>
      <w:szCs w:val="22"/>
      <w:lang w:val="en-US" w:eastAsia="en-US"/>
    </w:rPr>
  </w:style>
  <w:style w:type="paragraph" w:styleId="StepHead" w:customStyle="1">
    <w:name w:val="Step Head"/>
    <w:basedOn w:val="Normal"/>
    <w:next w:val="Normal"/>
    <w:qFormat/>
    <w:rsid w:val="00AE2ACC"/>
    <w:pPr>
      <w:keepNext/>
      <w:numPr>
        <w:ilvl w:val="1"/>
        <w:numId w:val="8"/>
      </w:numPr>
      <w:spacing w:before="240" w:after="120" w:line="276" w:lineRule="auto"/>
    </w:pPr>
    <w:rPr>
      <w:rFonts w:ascii="Arial" w:hAnsi="Arial" w:eastAsia="Calibri"/>
      <w:b/>
      <w:sz w:val="22"/>
      <w:szCs w:val="22"/>
      <w:lang w:val="en-US" w:eastAsia="en-US"/>
    </w:rPr>
  </w:style>
  <w:style w:type="paragraph" w:styleId="PartHead" w:customStyle="1">
    <w:name w:val="Part Head"/>
    <w:basedOn w:val="ListParagraph"/>
    <w:next w:val="Normal"/>
    <w:qFormat/>
    <w:rsid w:val="00AE2ACC"/>
    <w:pPr>
      <w:keepNext/>
      <w:numPr>
        <w:numId w:val="8"/>
      </w:numPr>
      <w:spacing w:before="240" w:after="60" w:line="276" w:lineRule="auto"/>
      <w:contextualSpacing w:val="0"/>
      <w:outlineLvl w:val="0"/>
    </w:pPr>
    <w:rPr>
      <w:rFonts w:ascii="Arial" w:hAnsi="Arial" w:eastAsia="Calibri"/>
      <w:b/>
      <w:sz w:val="28"/>
      <w:szCs w:val="22"/>
      <w:lang w:val="en-US" w:eastAsia="en-US"/>
    </w:rPr>
  </w:style>
  <w:style w:type="paragraph" w:styleId="SubStepAlpha" w:customStyle="1">
    <w:name w:val="SubStep Alpha"/>
    <w:basedOn w:val="Normal"/>
    <w:qFormat/>
    <w:rsid w:val="00AE2ACC"/>
    <w:pPr>
      <w:numPr>
        <w:ilvl w:val="2"/>
        <w:numId w:val="8"/>
      </w:numPr>
      <w:spacing w:before="120" w:after="120"/>
    </w:pPr>
    <w:rPr>
      <w:rFonts w:ascii="Arial" w:hAnsi="Arial" w:eastAsia="Calibri"/>
      <w:szCs w:val="22"/>
      <w:lang w:val="en-US" w:eastAsia="en-US"/>
    </w:rPr>
  </w:style>
  <w:style w:type="paragraph" w:styleId="SubStepNum" w:customStyle="1">
    <w:name w:val="SubStep Num"/>
    <w:basedOn w:val="SubStepAlpha"/>
    <w:qFormat/>
    <w:rsid w:val="00AE2ACC"/>
    <w:pPr>
      <w:numPr>
        <w:ilvl w:val="3"/>
      </w:numPr>
    </w:pPr>
  </w:style>
  <w:style w:type="numbering" w:styleId="PartStepSubStepList" w:customStyle="1">
    <w:name w:val="Part_Step_SubStep_List"/>
    <w:basedOn w:val="NoList"/>
    <w:uiPriority w:val="99"/>
    <w:rsid w:val="00AE2ACC"/>
    <w:pPr>
      <w:numPr>
        <w:numId w:val="8"/>
      </w:numPr>
    </w:pPr>
  </w:style>
  <w:style w:type="paragraph" w:styleId="ListParagraph">
    <w:name w:val="List Paragraph"/>
    <w:basedOn w:val="Normal"/>
    <w:uiPriority w:val="34"/>
    <w:qFormat/>
    <w:rsid w:val="00AE2ACC"/>
    <w:pPr>
      <w:ind w:left="720"/>
      <w:contextualSpacing/>
    </w:pPr>
  </w:style>
  <w:style w:type="paragraph" w:styleId="CMD" w:customStyle="1">
    <w:name w:val="CMD"/>
    <w:basedOn w:val="Normal"/>
    <w:qFormat/>
    <w:rsid w:val="007C4C48"/>
    <w:pPr>
      <w:spacing w:before="60" w:after="60"/>
      <w:ind w:left="720"/>
    </w:pPr>
    <w:rPr>
      <w:rFonts w:ascii="Courier New" w:hAnsi="Courier New" w:eastAsia="Calibri"/>
      <w:szCs w:val="22"/>
      <w:lang w:val="en-US" w:eastAsia="en-US"/>
    </w:rPr>
  </w:style>
  <w:style w:type="paragraph" w:styleId="CMDOutput" w:customStyle="1">
    <w:name w:val="CMD Output"/>
    <w:basedOn w:val="CMD"/>
    <w:qFormat/>
    <w:rsid w:val="007C4C48"/>
    <w:rPr>
      <w:sz w:val="18"/>
    </w:rPr>
  </w:style>
  <w:style w:type="paragraph" w:styleId="BodyTextL50" w:customStyle="1">
    <w:name w:val="Body Text L50"/>
    <w:basedOn w:val="Normal"/>
    <w:qFormat/>
    <w:rsid w:val="002237DA"/>
    <w:pPr>
      <w:spacing w:before="120" w:after="60"/>
      <w:ind w:left="720"/>
    </w:pPr>
    <w:rPr>
      <w:rFonts w:ascii="Arial" w:hAnsi="Arial" w:eastAsia="Calibri"/>
      <w:szCs w:val="22"/>
      <w:lang w:val="en-US" w:eastAsia="en-US"/>
    </w:rPr>
  </w:style>
  <w:style w:type="paragraph" w:styleId="Year" w:customStyle="1">
    <w:name w:val="Year"/>
    <w:basedOn w:val="Normal"/>
    <w:next w:val="Exam"/>
    <w:rsid w:val="005F3E76"/>
    <w:pPr>
      <w:spacing w:after="240"/>
    </w:pPr>
    <w:rPr>
      <w:b/>
      <w:caps/>
      <w:sz w:val="28"/>
    </w:rPr>
  </w:style>
  <w:style w:type="paragraph" w:styleId="Exam" w:customStyle="1">
    <w:name w:val="Exam"/>
    <w:basedOn w:val="Normal"/>
    <w:next w:val="Month"/>
    <w:rsid w:val="005F3E76"/>
    <w:rPr>
      <w:b/>
      <w:caps/>
      <w:sz w:val="24"/>
    </w:rPr>
  </w:style>
  <w:style w:type="paragraph" w:styleId="Modcode" w:customStyle="1">
    <w:name w:val="Modcode"/>
    <w:basedOn w:val="Normal"/>
    <w:rsid w:val="005F3E76"/>
    <w:pPr>
      <w:jc w:val="center"/>
    </w:pPr>
    <w:rPr>
      <w:b/>
      <w:caps/>
      <w:sz w:val="28"/>
    </w:rPr>
  </w:style>
  <w:style w:type="paragraph" w:styleId="Modname" w:customStyle="1">
    <w:name w:val="Modname"/>
    <w:basedOn w:val="Normal"/>
    <w:next w:val="Time"/>
    <w:rsid w:val="005F3E76"/>
    <w:pPr>
      <w:spacing w:after="240"/>
      <w:jc w:val="center"/>
    </w:pPr>
    <w:rPr>
      <w:b/>
      <w:sz w:val="28"/>
    </w:rPr>
  </w:style>
  <w:style w:type="paragraph" w:styleId="Time" w:customStyle="1">
    <w:name w:val="Time"/>
    <w:basedOn w:val="Normal"/>
    <w:next w:val="Answer"/>
    <w:rsid w:val="005F3E76"/>
    <w:pPr>
      <w:spacing w:after="240"/>
    </w:pPr>
    <w:rPr>
      <w:b/>
      <w:caps/>
      <w:sz w:val="28"/>
    </w:rPr>
  </w:style>
  <w:style w:type="paragraph" w:styleId="Answer" w:customStyle="1">
    <w:name w:val="Answer"/>
    <w:basedOn w:val="Normal"/>
    <w:next w:val="BodyText"/>
    <w:rsid w:val="005F3E76"/>
    <w:rPr>
      <w:b/>
      <w:caps/>
      <w:sz w:val="28"/>
    </w:rPr>
  </w:style>
  <w:style w:type="paragraph" w:styleId="Trinity" w:customStyle="1">
    <w:name w:val="Trinity"/>
    <w:basedOn w:val="Normal"/>
    <w:next w:val="Year"/>
    <w:rsid w:val="005F3E76"/>
    <w:pPr>
      <w:spacing w:after="240"/>
    </w:pPr>
    <w:rPr>
      <w:b/>
      <w:sz w:val="24"/>
    </w:rPr>
  </w:style>
  <w:style w:type="paragraph" w:styleId="Month" w:customStyle="1">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styleId="BodyTextChar" w:customStyle="1">
    <w:name w:val="Body Text Char"/>
    <w:basedOn w:val="DefaultParagraphFont"/>
    <w:link w:val="BodyText"/>
    <w:rsid w:val="005F3E76"/>
    <w:rPr>
      <w:sz w:val="24"/>
      <w:lang w:eastAsia="en-GB"/>
    </w:rPr>
  </w:style>
  <w:style w:type="paragraph" w:styleId="Caption">
    <w:name w:val="caption"/>
    <w:basedOn w:val="Normal"/>
    <w:next w:val="Normal"/>
    <w:uiPriority w:val="35"/>
    <w:unhideWhenUsed/>
    <w:qFormat/>
    <w:rsid w:val="008E2C67"/>
    <w:pPr>
      <w:spacing w:after="200"/>
    </w:pPr>
    <w:rPr>
      <w:i/>
      <w:iCs/>
      <w:color w:val="1F497D" w:themeColor="text2"/>
      <w:sz w:val="18"/>
      <w:szCs w:val="18"/>
    </w:rPr>
  </w:style>
  <w:style w:type="paragraph" w:styleId="Title">
    <w:name w:val="Title"/>
    <w:basedOn w:val="Normal"/>
    <w:next w:val="Normal"/>
    <w:link w:val="TitleChar"/>
    <w:uiPriority w:val="10"/>
    <w:qFormat/>
    <w:rsid w:val="00B2590E"/>
    <w:pPr>
      <w:contextualSpacing/>
    </w:pPr>
    <w:rPr>
      <w:rFonts w:eastAsiaTheme="majorEastAsia" w:cstheme="majorBidi"/>
      <w:color w:val="4F81BD" w:themeColor="accent1"/>
      <w:spacing w:val="-10"/>
      <w:kern w:val="28"/>
      <w:sz w:val="56"/>
      <w:szCs w:val="56"/>
      <w:u w:val="single"/>
    </w:rPr>
  </w:style>
  <w:style w:type="character" w:styleId="TitleChar" w:customStyle="1">
    <w:name w:val="Title Char"/>
    <w:basedOn w:val="DefaultParagraphFont"/>
    <w:link w:val="Title"/>
    <w:uiPriority w:val="10"/>
    <w:rsid w:val="00B2590E"/>
    <w:rPr>
      <w:rFonts w:eastAsiaTheme="majorEastAsia" w:cstheme="majorBidi"/>
      <w:color w:val="4F81BD" w:themeColor="accent1"/>
      <w:spacing w:val="-10"/>
      <w:kern w:val="28"/>
      <w:sz w:val="56"/>
      <w:szCs w:val="56"/>
      <w:u w:val="single"/>
      <w:lang w:eastAsia="en-GB"/>
    </w:rPr>
  </w:style>
  <w:style w:type="paragraph" w:styleId="Bibliography">
    <w:name w:val="Bibliography"/>
    <w:basedOn w:val="Normal"/>
    <w:next w:val="Normal"/>
    <w:uiPriority w:val="37"/>
    <w:unhideWhenUsed/>
    <w:rsid w:val="00B25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word/glossary/document.xml" Id="Ree897cbdf7a5488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29a9743-1fbe-424a-bac0-a61ee9aed1d0}"/>
      </w:docPartPr>
      <w:docPartBody>
        <w:p w14:paraId="20DB77B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Ray11</b:Tag>
    <b:SourceType>JournalArticle</b:SourceType>
    <b:Guid>{B4F09A9E-3A2A-492B-B126-D67B036319FE}</b:Guid>
    <b:Title>IPv6</b:Title>
    <b:Year>2011</b:Year>
    <b:Author>
      <b:Author>
        <b:NameList>
          <b:Person>
            <b:Last>Ray Bernard</b:Last>
            <b:First>Rodney</b:First>
            <b:Middle>Thayer</b:Middle>
          </b:Person>
        </b:NameList>
      </b:Author>
    </b:Author>
    <b:JournalName>Security Technology Executive</b:JournalName>
    <b:Pages>34-38</b:Pages>
    <b:Volume>21</b:Volume>
    <b:Issue>9</b:Issue>
    <b:RefOrder>1</b:RefOrder>
  </b:Source>
  <b:Source>
    <b:Tag>Jam04</b:Tag>
    <b:SourceType>JournalArticle</b:SourceType>
    <b:Guid>{2807CEF8-DF49-46F5-87F4-1381BB0C029F}</b:Guid>
    <b:Title>Mobile IPv6 Security</b:Title>
    <b:Year>2004</b:Year>
    <b:Pages>389-414</b:Pages>
    <b:Author>
      <b:Author>
        <b:NameList>
          <b:Person>
            <b:Last>Kempf</b:Last>
            <b:First>James</b:First>
          </b:Person>
        </b:NameList>
      </b:Author>
    </b:Author>
    <b:JournalName>Mobile IPv6 Security</b:JournalName>
    <b:Volume>29</b:Volume>
    <b:Issue>3</b:Issue>
    <b:RefOrder>2</b:RefOrder>
  </b:Source>
  <b:Source>
    <b:Tag>Pet04</b:Tag>
    <b:SourceType>BookSection</b:SourceType>
    <b:Guid>{89768234-8A38-4666-81BF-3F4B308D629D}</b:Guid>
    <b:Title>IPv6: Theory, Protocl and Pracitce</b:Title>
    <b:Year>2004</b:Year>
    <b:Pages>140-143</b:Pages>
    <b:BookTitle>IPv6: Theory, Protocl and Pracitce</b:BookTitle>
    <b:Publisher>Elsevier</b:Publisher>
    <b:Author>
      <b:Author>
        <b:NameList>
          <b:Person>
            <b:Last>Loshin</b:Last>
            <b:First>Peter</b:First>
          </b:Person>
        </b:NameList>
      </b:Author>
    </b:Author>
    <b:RefOrder>3</b:RefOrder>
  </b:Source>
  <b:Source>
    <b:Tag>Ste19</b:Tag>
    <b:SourceType>ArticleInAPeriodical</b:SourceType>
    <b:Guid>{FEDF30AA-4A9A-4879-95CA-F07196A5E6D3}</b:Guid>
    <b:Title>IPv6 Explained for Beginners</b:Title>
    <b:Year>2019</b:Year>
    <b:Author>
      <b:Author>
        <b:NameList>
          <b:Person>
            <b:Last>Cope</b:Last>
            <b:First>Steve</b:First>
          </b:Person>
        </b:NameList>
      </b:Author>
    </b:Author>
    <b:PeriodicalTitle>IPv6 Explained for Beginners</b:PeriodicalTitle>
    <b:Month>Aug</b:Month>
    <b:Day>8</b:Day>
    <b:RefOrder>4</b:RefOrder>
  </b:Source>
  <b:Source>
    <b:Tag>Ora01</b:Tag>
    <b:SourceType>DocumentFromInternetSite</b:SourceType>
    <b:Guid>{BEEB822C-84C4-487E-9362-C92A7E3809EF}</b:Guid>
    <b:Title>IP Services</b:Title>
    <b:Year>2001</b:Year>
    <b:Author>
      <b:Author>
        <b:Corporate>Oracle</b:Corporate>
      </b:Author>
    </b:Author>
    <b:Month>Aug</b:Month>
    <b:YearAccessed>2019</b:YearAccessed>
    <b:MonthAccessed>Dec</b:MonthAccessed>
    <b:DayAccessed>03</b:DayAccessed>
    <b:URL>https://docs.oracle.com/cd/E18752_01/html/816-4554/ipv6-overview-10.html</b:URL>
    <b:RefOrder>5</b:RefOrder>
  </b:Source>
</b:Sources>
</file>

<file path=customXml/itemProps1.xml><?xml version="1.0" encoding="utf-8"?>
<ds:datastoreItem xmlns:ds="http://schemas.openxmlformats.org/officeDocument/2006/customXml" ds:itemID="{578CFD71-5D64-42BD-8311-60C24DCE2A7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Gareth Evans (1810612)</lastModifiedBy>
  <revision>6</revision>
  <lastPrinted>2014-11-07T14:47:00.0000000Z</lastPrinted>
  <dcterms:created xsi:type="dcterms:W3CDTF">2019-12-03T20:53:00.0000000Z</dcterms:created>
  <dcterms:modified xsi:type="dcterms:W3CDTF">2019-12-10T15:58:57.9502646Z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