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E60CC" w14:textId="588F4533" w:rsidR="007C6F4F" w:rsidRPr="00322BED" w:rsidRDefault="007C6F4F" w:rsidP="007C6F4F">
      <w:pPr>
        <w:rPr>
          <w:b/>
          <w:bCs/>
        </w:rPr>
      </w:pPr>
      <w:r w:rsidRPr="00322BED">
        <w:rPr>
          <w:b/>
          <w:bCs/>
        </w:rPr>
        <w:t>(AC 1.1)</w:t>
      </w:r>
    </w:p>
    <w:p w14:paraId="6F9377F5" w14:textId="04B81E88" w:rsidR="007C6F4F" w:rsidRDefault="00DA4604" w:rsidP="007C6F4F">
      <w:r w:rsidRPr="00DA4604">
        <w:t>Evidence suggests that employment regulation in the UK creates a labour market that, overall, strikes the balance between providing flexibility for employers, and job opportunities and security for individuals</w:t>
      </w:r>
      <w:r>
        <w:t xml:space="preserve"> (CIPD).  CIPD also states that e</w:t>
      </w:r>
      <w:r w:rsidRPr="00DA4604">
        <w:t>mployment law regulates the relationship between employers and employees</w:t>
      </w:r>
      <w:r>
        <w:t xml:space="preserve">. </w:t>
      </w:r>
      <w:r w:rsidRPr="00DA4604">
        <w:t>It regulates the rights of workers at work, as well as what employers can ask of them and what they can expect from them.</w:t>
      </w:r>
    </w:p>
    <w:p w14:paraId="076DD909" w14:textId="47AA1D50" w:rsidR="007C6F4F" w:rsidRDefault="0052113D" w:rsidP="00984EF4">
      <w:r w:rsidRPr="0052113D">
        <w:t>Key pieces of legislation, such as the Employment Rights Act 1996, the Equality Act 2010, and the Health and Safety at Work Act 1974, set out the minimum standards employers must adhere to, promoting a balanced and fair working environment</w:t>
      </w:r>
      <w:r w:rsidR="00984EF4">
        <w:t xml:space="preserve"> (Morris, 2025). </w:t>
      </w:r>
      <w:r w:rsidR="00984EF4">
        <w:t>Employers can avoid legal issues, promote a pleasant workplace culture, and protect workers' welfare by adhering to these rules.</w:t>
      </w:r>
      <w:r w:rsidR="00984EF4">
        <w:t xml:space="preserve"> </w:t>
      </w:r>
      <w:r w:rsidR="00984EF4">
        <w:t>Serious legal repercussions, harm to the organization's reputation, and a drop in staff morale might arise from noncompliance.</w:t>
      </w:r>
      <w:r w:rsidR="00984EF4">
        <w:t xml:space="preserve"> </w:t>
      </w:r>
    </w:p>
    <w:p w14:paraId="2E1B5B63" w14:textId="0A1191EB" w:rsidR="000C5AC1" w:rsidRDefault="000C5AC1" w:rsidP="00984EF4">
      <w:r>
        <w:t>H</w:t>
      </w:r>
      <w:r w:rsidRPr="000C5AC1">
        <w:t>aving breadth of employment law does not mean that employees will always be treated well. It certainly puts penalties in place if an employer does do something unlawful, but it does not necessarily mean that nothing unlawful will happen</w:t>
      </w:r>
      <w:r>
        <w:t xml:space="preserve"> (Daniels, 2022).</w:t>
      </w:r>
    </w:p>
    <w:p w14:paraId="3879DE9D" w14:textId="0F17EEAA" w:rsidR="00D41C7D" w:rsidRDefault="00D41C7D" w:rsidP="00D41C7D">
      <w:proofErr w:type="gramStart"/>
      <w:r w:rsidRPr="00D41C7D">
        <w:t>The majority of</w:t>
      </w:r>
      <w:proofErr w:type="gramEnd"/>
      <w:r w:rsidRPr="00D41C7D">
        <w:t xml:space="preserve"> employment law is under the purview of civil law. The goal of civil law is to settle disagreements between two parties. The work Tribunal, which handles exclusively civil matters, will decide </w:t>
      </w:r>
      <w:proofErr w:type="gramStart"/>
      <w:r w:rsidRPr="00D41C7D">
        <w:t>the majority of</w:t>
      </w:r>
      <w:proofErr w:type="gramEnd"/>
      <w:r w:rsidRPr="00D41C7D">
        <w:t xml:space="preserve"> work issues.</w:t>
      </w:r>
      <w:r>
        <w:t xml:space="preserve"> </w:t>
      </w:r>
      <w:r w:rsidRPr="00D41C7D">
        <w:t>According to employment law, a</w:t>
      </w:r>
      <w:r>
        <w:t xml:space="preserve"> contract</w:t>
      </w:r>
      <w:r w:rsidRPr="00D41C7D">
        <w:t xml:space="preserve"> between an employer and employees entails </w:t>
      </w:r>
      <w:proofErr w:type="gramStart"/>
      <w:r w:rsidRPr="00D41C7D">
        <w:t>a number of</w:t>
      </w:r>
      <w:proofErr w:type="gramEnd"/>
      <w:r w:rsidRPr="00D41C7D">
        <w:t xml:space="preserve"> duties on both parties. Under contract law, there may be a disagreement if any of those duties are broken.</w:t>
      </w:r>
      <w:r>
        <w:t xml:space="preserve"> </w:t>
      </w:r>
      <w:r>
        <w:t>For example:</w:t>
      </w:r>
    </w:p>
    <w:p w14:paraId="365DFDF5" w14:textId="77777777" w:rsidR="00D41C7D" w:rsidRDefault="00D41C7D" w:rsidP="00D41C7D">
      <w:r>
        <w:t>Morrow v Safeway Stores plc (2002) – IRLR 9</w:t>
      </w:r>
    </w:p>
    <w:p w14:paraId="33A58130" w14:textId="3A547778" w:rsidR="00D41C7D" w:rsidRDefault="00D41C7D" w:rsidP="00D41C7D">
      <w:r>
        <w:t xml:space="preserve">Morrow was a bakery production manager and had been criticised on </w:t>
      </w:r>
      <w:proofErr w:type="gramStart"/>
      <w:r>
        <w:t>a number of</w:t>
      </w:r>
      <w:proofErr w:type="gramEnd"/>
      <w:r>
        <w:t xml:space="preserve"> occasions for not doing her job correctly. On one occasion her manager gave her a public ‘dressing down’ in front of colleagues and a customer. She resigned and successfully claimed constructive dismissal, arguing that the humiliating treatment was a breach of her contract, namely the implied term of mutual trust and confidence</w:t>
      </w:r>
      <w:r>
        <w:t xml:space="preserve"> (Daniels, 2022).</w:t>
      </w:r>
    </w:p>
    <w:p w14:paraId="25886442" w14:textId="451D21FD" w:rsidR="000C5AC1" w:rsidRDefault="000C5AC1" w:rsidP="000F0893">
      <w:r>
        <w:t>The CIPD survey report (2017) states that a</w:t>
      </w:r>
      <w:r>
        <w:t xml:space="preserve"> significant proportion of employers also believe employment regulation can have a positive impact in supporting their strategic HR and/or business goals</w:t>
      </w:r>
      <w:r w:rsidR="000F0893">
        <w:t xml:space="preserve"> but m</w:t>
      </w:r>
      <w:r w:rsidR="000F0893">
        <w:t>ain barriers to implementing employment law</w:t>
      </w:r>
      <w:r w:rsidR="000F0893">
        <w:t xml:space="preserve">, for employers could be </w:t>
      </w:r>
      <w:r w:rsidR="000F0893">
        <w:t>a lack of resources (staff/budget/time)</w:t>
      </w:r>
      <w:r w:rsidR="000F0893">
        <w:t xml:space="preserve">, </w:t>
      </w:r>
      <w:r w:rsidR="000F0893">
        <w:t>too much legislation</w:t>
      </w:r>
      <w:r w:rsidR="000F0893">
        <w:t xml:space="preserve"> or </w:t>
      </w:r>
      <w:r w:rsidR="000F0893">
        <w:t>a lack of awareness of changes to legislation</w:t>
      </w:r>
      <w:r w:rsidR="000F0893">
        <w:t>.</w:t>
      </w:r>
    </w:p>
    <w:p w14:paraId="2BEAB24A" w14:textId="6744627B" w:rsidR="000F0893" w:rsidRDefault="000E1BE3" w:rsidP="000F0893">
      <w:r w:rsidRPr="000E1BE3">
        <w:t xml:space="preserve">The primary targets are better </w:t>
      </w:r>
      <w:r>
        <w:t>protected</w:t>
      </w:r>
      <w:r w:rsidRPr="000E1BE3">
        <w:t xml:space="preserve"> through employment legislation. Workers also benefit from stable employment, fair compensation, and workplace safety. Fair workplace regulations combined with stronger employee safety measures result in more motivated workers who produce more.</w:t>
      </w:r>
      <w:r>
        <w:t xml:space="preserve"> </w:t>
      </w:r>
    </w:p>
    <w:p w14:paraId="591BBE18" w14:textId="6882C449" w:rsidR="007C6F4F" w:rsidRPr="00E613D5" w:rsidRDefault="007C6F4F" w:rsidP="007C6F4F">
      <w:pPr>
        <w:rPr>
          <w:b/>
          <w:bCs/>
        </w:rPr>
      </w:pPr>
      <w:r w:rsidRPr="00E613D5">
        <w:rPr>
          <w:b/>
          <w:bCs/>
        </w:rPr>
        <w:t>(AC 1.2)</w:t>
      </w:r>
    </w:p>
    <w:p w14:paraId="117322E1" w14:textId="5B3099BA" w:rsidR="007C6F4F" w:rsidRDefault="008C000D" w:rsidP="007C6F4F">
      <w:r w:rsidRPr="008C000D">
        <w:t xml:space="preserve">The Court of Justice of the European Union (CJEU) </w:t>
      </w:r>
      <w:r>
        <w:t>was established in 1952, in Luxembourg and i</w:t>
      </w:r>
      <w:r w:rsidRPr="008C000D">
        <w:t>ts responsibilities include resolving legal disputes between national governments and EU institutions and interpreting EU law to ensure that it is enforced uniformly throughout all EU nations.</w:t>
      </w:r>
      <w:r>
        <w:t xml:space="preserve"> CIPD (2024) states that t</w:t>
      </w:r>
      <w:r w:rsidRPr="008C000D">
        <w:t>his meant that it could overrule the UK's Supreme Court (UKSC) on questions of European law, and that UK courts were obliged to follow its rulings on points of principle when deciding cases in the UK.</w:t>
      </w:r>
    </w:p>
    <w:p w14:paraId="5C576F31" w14:textId="428E8717" w:rsidR="00E709B0" w:rsidRDefault="00E709B0" w:rsidP="007C6F4F">
      <w:r>
        <w:lastRenderedPageBreak/>
        <w:t>The U</w:t>
      </w:r>
      <w:r w:rsidR="00E613D5">
        <w:t>K</w:t>
      </w:r>
      <w:r>
        <w:t xml:space="preserve"> left the European Union on 31 December 2020. </w:t>
      </w:r>
      <w:r w:rsidRPr="00E709B0">
        <w:t xml:space="preserve">Employment law did not immediately alter </w:t>
      </w:r>
      <w:proofErr w:type="gramStart"/>
      <w:r w:rsidRPr="00E709B0">
        <w:t>as a result of</w:t>
      </w:r>
      <w:proofErr w:type="gramEnd"/>
      <w:r w:rsidRPr="00E709B0">
        <w:t xml:space="preserve"> this, as all laws that had been previously adopted </w:t>
      </w:r>
      <w:proofErr w:type="gramStart"/>
      <w:r w:rsidRPr="00E709B0">
        <w:t>as a result of</w:t>
      </w:r>
      <w:proofErr w:type="gramEnd"/>
      <w:r w:rsidRPr="00E709B0">
        <w:t xml:space="preserve"> the UK's membership in the EU remained in effect at the time of Brexit</w:t>
      </w:r>
      <w:r w:rsidR="009E41B4">
        <w:t xml:space="preserve"> and </w:t>
      </w:r>
      <w:proofErr w:type="gramStart"/>
      <w:r w:rsidR="009E41B4">
        <w:t>still remained</w:t>
      </w:r>
      <w:proofErr w:type="gramEnd"/>
      <w:r w:rsidR="009E41B4">
        <w:t xml:space="preserve"> ‘good law’</w:t>
      </w:r>
      <w:r w:rsidRPr="00E709B0">
        <w:t>.</w:t>
      </w:r>
    </w:p>
    <w:p w14:paraId="6893F427" w14:textId="204F3A51" w:rsidR="009E41B4" w:rsidRDefault="009E41B4" w:rsidP="007C6F4F">
      <w:r w:rsidRPr="008C000D">
        <w:t>In the legal context, “good law” and “bad law” are anything but a subjective evaluation of a given law. If a proposition of law from a case is a valid, citable legal proposition in your jurisdiction, it is “good law</w:t>
      </w:r>
      <w:r>
        <w:t>” (Passmore, 2017).</w:t>
      </w:r>
    </w:p>
    <w:p w14:paraId="54710BCD" w14:textId="1C152765" w:rsidR="00551A8B" w:rsidRDefault="00551A8B" w:rsidP="007C6F4F">
      <w:r w:rsidRPr="00551A8B">
        <w:t>According to the agreement, the ECJ lost its constitutional function in the UK on January 1, 2021, and new decisions made after that date are not required to be followed by UK courts. As a result, the UK Supreme Court became the ultimate authority on all issues, including employment regulation.</w:t>
      </w:r>
    </w:p>
    <w:p w14:paraId="59889E39" w14:textId="15818B4D" w:rsidR="00551A8B" w:rsidRDefault="00551A8B" w:rsidP="007C6F4F">
      <w:r>
        <w:t>CIPD (2024) states that approximately 800 laws were codified into UK law at the end of the transition, meaning that they ended in December 2023.</w:t>
      </w:r>
      <w:r w:rsidR="00CB049F">
        <w:t xml:space="preserve"> However, if the UK wanted to continue with any export dealings with the EU, it would need to comply with the EU standards, which are ultimately decided by the ECJ.</w:t>
      </w:r>
    </w:p>
    <w:p w14:paraId="2F3821D6" w14:textId="07076D9B" w:rsidR="00CD5D6D" w:rsidRDefault="00CD5D6D" w:rsidP="007C6F4F">
      <w:r w:rsidRPr="00CD5D6D">
        <w:t>For the remaining laws, the Retained EU Law (Revocation and Reform) Act 2023 (Revocation and Sunset Disapplication) Regulations 2023 (RUEL) were brought forward to state that almost all existing EU law, including significant areas of employment law, remained in the UK statute book unless (and until) a future government decided to repeal or amend any of it</w:t>
      </w:r>
      <w:r>
        <w:t xml:space="preserve"> (CIPD, 2024).</w:t>
      </w:r>
    </w:p>
    <w:p w14:paraId="69DC114B" w14:textId="17E2A7E2" w:rsidR="00E613D5" w:rsidRDefault="009E41B4" w:rsidP="007C6F4F">
      <w:r w:rsidRPr="009E41B4">
        <w:t>In November 2023 the Government announced a host of changes to the current rules surrounding holiday pay, together with draft legislation to implement the changes</w:t>
      </w:r>
      <w:r>
        <w:t xml:space="preserve"> (Cunningham, 2024). </w:t>
      </w:r>
      <w:r w:rsidRPr="009E41B4">
        <w:t>The</w:t>
      </w:r>
      <w:r>
        <w:t xml:space="preserve"> following</w:t>
      </w:r>
      <w:r w:rsidRPr="009E41B4">
        <w:t xml:space="preserve"> changes w</w:t>
      </w:r>
      <w:r>
        <w:t>ere</w:t>
      </w:r>
      <w:r w:rsidRPr="009E41B4">
        <w:t xml:space="preserve"> implemented for holiday years starting on </w:t>
      </w:r>
      <w:r>
        <w:t xml:space="preserve">01 April </w:t>
      </w:r>
      <w:r w:rsidRPr="009E41B4">
        <w:t>2024:</w:t>
      </w:r>
    </w:p>
    <w:p w14:paraId="16CD892B" w14:textId="6EFF89BD" w:rsidR="009E41B4" w:rsidRDefault="009E41B4" w:rsidP="007C6F4F">
      <w:r w:rsidRPr="009E41B4">
        <w:rPr>
          <w:noProof/>
        </w:rPr>
        <w:drawing>
          <wp:inline distT="0" distB="0" distL="0" distR="0" wp14:anchorId="5C53F82B" wp14:editId="4CF9CB2D">
            <wp:extent cx="5731510" cy="1327785"/>
            <wp:effectExtent l="0" t="0" r="2540" b="5715"/>
            <wp:docPr id="160923602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36024" name="Picture 1" descr="A white background with black text&#10;&#10;AI-generated content may be incorrect."/>
                    <pic:cNvPicPr/>
                  </pic:nvPicPr>
                  <pic:blipFill>
                    <a:blip r:embed="rId5"/>
                    <a:stretch>
                      <a:fillRect/>
                    </a:stretch>
                  </pic:blipFill>
                  <pic:spPr>
                    <a:xfrm>
                      <a:off x="0" y="0"/>
                      <a:ext cx="5731510" cy="1327785"/>
                    </a:xfrm>
                    <a:prstGeom prst="rect">
                      <a:avLst/>
                    </a:prstGeom>
                  </pic:spPr>
                </pic:pic>
              </a:graphicData>
            </a:graphic>
          </wp:inline>
        </w:drawing>
      </w:r>
    </w:p>
    <w:p w14:paraId="2CCC9B10" w14:textId="20A780B3" w:rsidR="009E41B4" w:rsidRDefault="009E41B4" w:rsidP="007C6F4F">
      <w:r>
        <w:t xml:space="preserve">Appendix </w:t>
      </w:r>
      <w:r w:rsidR="008841FC">
        <w:t>1</w:t>
      </w:r>
      <w:r>
        <w:t xml:space="preserve"> – Cunningham, T (2024). </w:t>
      </w:r>
      <w:r w:rsidRPr="009E41B4">
        <w:rPr>
          <w:i/>
          <w:iCs/>
        </w:rPr>
        <w:t>Key changes to holiday pay in 2024</w:t>
      </w:r>
      <w:r>
        <w:rPr>
          <w:i/>
          <w:iCs/>
        </w:rPr>
        <w:t xml:space="preserve">. </w:t>
      </w:r>
      <w:hyperlink r:id="rId6" w:history="1">
        <w:r w:rsidRPr="003535BF">
          <w:rPr>
            <w:rStyle w:val="Hyperlink"/>
          </w:rPr>
          <w:t>https://parissmith.co.uk/blog/key-changes-to-holiday-pay-in-2024/</w:t>
        </w:r>
      </w:hyperlink>
      <w:r>
        <w:t xml:space="preserve"> </w:t>
      </w:r>
    </w:p>
    <w:p w14:paraId="71B530BE" w14:textId="568E01ED" w:rsidR="007C6F4F" w:rsidRPr="00322BED" w:rsidRDefault="007C6F4F" w:rsidP="007C6F4F">
      <w:pPr>
        <w:rPr>
          <w:b/>
          <w:bCs/>
        </w:rPr>
      </w:pPr>
      <w:r w:rsidRPr="00322BED">
        <w:rPr>
          <w:b/>
          <w:bCs/>
        </w:rPr>
        <w:t xml:space="preserve">(AC 2.1) </w:t>
      </w:r>
    </w:p>
    <w:p w14:paraId="7B84969C" w14:textId="3B5FAD87" w:rsidR="007C6F4F" w:rsidRDefault="00EE1340" w:rsidP="007C6F4F">
      <w:r w:rsidRPr="00EE1340">
        <w:t>Under s39(1)(a) of the Equality Act, an employer can commit an act of unlawful discrimination in arrangements for advertising jobs, the actual content of the job ad, the job description or person specification. Poor wording in advertisements (including wording or images which are not inclusive) can be used as evidence of an intention to discriminate</w:t>
      </w:r>
      <w:r>
        <w:t xml:space="preserve"> (</w:t>
      </w:r>
      <w:r>
        <w:t>CIPD, 2025)</w:t>
      </w:r>
      <w:r w:rsidRPr="00EE1340">
        <w:t>. A discrimination claim may be filed by a job applicant who is turned down or chooses not to apply because they don't fit the requirements, which seems discriminatory or violates section 39</w:t>
      </w:r>
      <w:r>
        <w:t xml:space="preserve">. </w:t>
      </w:r>
    </w:p>
    <w:p w14:paraId="59E0A321" w14:textId="5A145B60" w:rsidR="00E971E5" w:rsidRDefault="00A660A8" w:rsidP="007C6F4F">
      <w:r w:rsidRPr="00A660A8">
        <w:t xml:space="preserve">The ‘protected characteristics’ </w:t>
      </w:r>
      <w:r w:rsidRPr="00A660A8">
        <w:t>are</w:t>
      </w:r>
      <w:r w:rsidRPr="00A660A8">
        <w:t xml:space="preserve"> age; disability; gender reassignment; marriage and civil partnership; pregnancy and maternity; race; religion or belief; sex; and sexual orientation</w:t>
      </w:r>
      <w:r>
        <w:t xml:space="preserve"> (</w:t>
      </w:r>
      <w:r w:rsidRPr="00A660A8">
        <w:t>Employment: Code of Practice</w:t>
      </w:r>
      <w:r>
        <w:t>, 2015).</w:t>
      </w:r>
    </w:p>
    <w:p w14:paraId="5781CBE4" w14:textId="620F4820" w:rsidR="00A660A8" w:rsidRDefault="00A660A8" w:rsidP="00A660A8">
      <w:r w:rsidRPr="00A660A8">
        <w:lastRenderedPageBreak/>
        <w:t>You must follow the law on discrimination when advertising, interviewing and deciding on new staff</w:t>
      </w:r>
      <w:r>
        <w:t xml:space="preserve"> (ACAS, 202</w:t>
      </w:r>
      <w:r w:rsidR="00F21CD1">
        <w:t>5</w:t>
      </w:r>
      <w:r>
        <w:t>). ACAS also states that d</w:t>
      </w:r>
      <w:r w:rsidRPr="00A660A8">
        <w:t>iscrimination includes both direct and indirect discrimination</w:t>
      </w:r>
      <w:r>
        <w:t xml:space="preserve">. </w:t>
      </w:r>
      <w:r>
        <w:t>When someone is treated less favo</w:t>
      </w:r>
      <w:r>
        <w:t>u</w:t>
      </w:r>
      <w:r>
        <w:t xml:space="preserve">rably or at a disadvantage due to a protected trait, this is known as direct discrimination. When a regulation, policy, or working practice is the same for everyone yet negatively impacts one person due to a protected characteristic, this is </w:t>
      </w:r>
      <w:r>
        <w:t>an example of</w:t>
      </w:r>
      <w:r>
        <w:t xml:space="preserve"> indirect discrimination.</w:t>
      </w:r>
      <w:r>
        <w:t xml:space="preserve"> </w:t>
      </w:r>
    </w:p>
    <w:p w14:paraId="400C5BA3" w14:textId="38010643" w:rsidR="0063438E" w:rsidRDefault="0063438E" w:rsidP="0063438E">
      <w:r>
        <w:t xml:space="preserve">Companies </w:t>
      </w:r>
      <w:r w:rsidRPr="0063438E">
        <w:t>are not allowed to request or exclude someone with a protected trait while posting a job. There may be discrimination here.</w:t>
      </w:r>
    </w:p>
    <w:p w14:paraId="0D165946" w14:textId="73E76A6C" w:rsidR="0063438E" w:rsidRDefault="0063438E" w:rsidP="0063438E">
      <w:r>
        <w:t>T</w:t>
      </w:r>
      <w:r w:rsidRPr="0063438E">
        <w:t>here can be occasions where there is a reason for needing someone of a specific protected characteristic because of the nature of the role. This is known as an ‘occupational requirement’</w:t>
      </w:r>
      <w:r>
        <w:t xml:space="preserve"> (Daniels, 2022). Examples of this include:</w:t>
      </w:r>
    </w:p>
    <w:p w14:paraId="3A0D62C7" w14:textId="39E43347" w:rsidR="0063438E" w:rsidRDefault="00ED62F2" w:rsidP="0063438E">
      <w:r w:rsidRPr="00ED62F2">
        <w:drawing>
          <wp:inline distT="0" distB="0" distL="0" distR="0" wp14:anchorId="028FFFC4" wp14:editId="24AD3693">
            <wp:extent cx="5731510" cy="2821940"/>
            <wp:effectExtent l="0" t="0" r="2540" b="0"/>
            <wp:docPr id="83522169"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2169" name="Picture 1" descr="A close up of a text&#10;&#10;AI-generated content may be incorrect."/>
                    <pic:cNvPicPr/>
                  </pic:nvPicPr>
                  <pic:blipFill>
                    <a:blip r:embed="rId7"/>
                    <a:stretch>
                      <a:fillRect/>
                    </a:stretch>
                  </pic:blipFill>
                  <pic:spPr>
                    <a:xfrm>
                      <a:off x="0" y="0"/>
                      <a:ext cx="5731510" cy="2821940"/>
                    </a:xfrm>
                    <a:prstGeom prst="rect">
                      <a:avLst/>
                    </a:prstGeom>
                  </pic:spPr>
                </pic:pic>
              </a:graphicData>
            </a:graphic>
          </wp:inline>
        </w:drawing>
      </w:r>
    </w:p>
    <w:p w14:paraId="165C54DE" w14:textId="5A7DA2EF" w:rsidR="00ED62F2" w:rsidRPr="0063438E" w:rsidRDefault="00ED62F2" w:rsidP="0063438E">
      <w:r>
        <w:t xml:space="preserve">Appendix </w:t>
      </w:r>
      <w:r w:rsidR="00571900">
        <w:t>2</w:t>
      </w:r>
      <w:r>
        <w:t xml:space="preserve"> – </w:t>
      </w:r>
      <w:r w:rsidRPr="00C415B5">
        <w:t>Daniels, K. (2022) </w:t>
      </w:r>
      <w:r w:rsidRPr="00C415B5">
        <w:rPr>
          <w:i/>
          <w:iCs/>
        </w:rPr>
        <w:t>Introduction to Employment Law</w:t>
      </w:r>
      <w:r w:rsidRPr="00C415B5">
        <w:t xml:space="preserve">. 6th </w:t>
      </w:r>
      <w:proofErr w:type="spellStart"/>
      <w:r w:rsidRPr="00C415B5">
        <w:t>edn</w:t>
      </w:r>
      <w:proofErr w:type="spellEnd"/>
      <w:r>
        <w:t xml:space="preserve">, </w:t>
      </w:r>
      <w:proofErr w:type="spellStart"/>
      <w:r>
        <w:t>pg</w:t>
      </w:r>
      <w:proofErr w:type="spellEnd"/>
      <w:r>
        <w:t xml:space="preserve"> 158</w:t>
      </w:r>
      <w:r w:rsidRPr="00C415B5">
        <w:t>. London: Kogan Page.</w:t>
      </w:r>
    </w:p>
    <w:p w14:paraId="0F20C21A" w14:textId="5693E4A4" w:rsidR="00ED62F2" w:rsidRDefault="00ED62F2" w:rsidP="00ED62F2">
      <w:r>
        <w:t>ACAS (2025) states that u</w:t>
      </w:r>
      <w:r>
        <w:t>nder the law, there can be objective justification if the employer can prove both of the following:</w:t>
      </w:r>
    </w:p>
    <w:p w14:paraId="76C320A1" w14:textId="77777777" w:rsidR="00ED62F2" w:rsidRDefault="00ED62F2" w:rsidP="00ED62F2">
      <w:pPr>
        <w:pStyle w:val="ListParagraph"/>
        <w:numPr>
          <w:ilvl w:val="0"/>
          <w:numId w:val="10"/>
        </w:numPr>
      </w:pPr>
      <w:r>
        <w:t>there's a 'legitimate aim' – for example, a genuine business need or a health and safety need</w:t>
      </w:r>
    </w:p>
    <w:p w14:paraId="1BED2BB9" w14:textId="36C7C1BE" w:rsidR="0063438E" w:rsidRDefault="00ED62F2" w:rsidP="00ED62F2">
      <w:pPr>
        <w:pStyle w:val="ListParagraph"/>
        <w:numPr>
          <w:ilvl w:val="0"/>
          <w:numId w:val="10"/>
        </w:numPr>
      </w:pPr>
      <w:r>
        <w:t>the discrimination is 'proportionate, appropriate and necessary' – this means the legitimate aim is more important than any discriminatory effect</w:t>
      </w:r>
    </w:p>
    <w:p w14:paraId="39F52687" w14:textId="2FB9A1C1" w:rsidR="005573B0" w:rsidRPr="00A660A8" w:rsidRDefault="005573B0" w:rsidP="005573B0">
      <w:r>
        <w:t xml:space="preserve">An example of this could be: </w:t>
      </w:r>
      <w:r>
        <w:t xml:space="preserve">A support </w:t>
      </w:r>
      <w:r>
        <w:t>centre</w:t>
      </w:r>
      <w:r>
        <w:t xml:space="preserve"> posts a job opening for a </w:t>
      </w:r>
      <w:r>
        <w:t>counsellor</w:t>
      </w:r>
      <w:r>
        <w:t xml:space="preserve"> to assist women who have been sexually abused. According to the advertisement, candidates must be female and not trans</w:t>
      </w:r>
      <w:r>
        <w:t>gender</w:t>
      </w:r>
      <w:r>
        <w:t>.</w:t>
      </w:r>
      <w:r>
        <w:t xml:space="preserve"> </w:t>
      </w:r>
      <w:r>
        <w:t xml:space="preserve">Gender reassignment and sex are protected traits. However, if the employer needs to keep the </w:t>
      </w:r>
      <w:proofErr w:type="gramStart"/>
      <w:r>
        <w:t>women</w:t>
      </w:r>
      <w:proofErr w:type="gramEnd"/>
      <w:r>
        <w:t xml:space="preserve"> they help from experiencing further distress, then this </w:t>
      </w:r>
      <w:r>
        <w:t>may be deemed as</w:t>
      </w:r>
      <w:r>
        <w:t xml:space="preserve"> justifiable.</w:t>
      </w:r>
    </w:p>
    <w:p w14:paraId="2AF90D5C" w14:textId="19DF0C59" w:rsidR="007C6F4F" w:rsidRPr="00E971E5" w:rsidRDefault="007C6F4F" w:rsidP="007C6F4F">
      <w:pPr>
        <w:rPr>
          <w:b/>
          <w:bCs/>
        </w:rPr>
      </w:pPr>
      <w:r w:rsidRPr="00642478">
        <w:rPr>
          <w:b/>
          <w:bCs/>
        </w:rPr>
        <w:t>(AC 2.2)</w:t>
      </w:r>
    </w:p>
    <w:p w14:paraId="5C5F6796" w14:textId="077BED79" w:rsidR="00A43BD8" w:rsidRDefault="00A43BD8" w:rsidP="007C6F4F">
      <w:r>
        <w:t xml:space="preserve">The Equal Pay Act of 1970 was created following an Equal Pay demonstration held by </w:t>
      </w:r>
      <w:r w:rsidRPr="00AE7FF4">
        <w:t>the National Joint Action Campaign Committee for Women’s Equal Rights</w:t>
      </w:r>
      <w:r>
        <w:t xml:space="preserve"> in May 1969. This </w:t>
      </w:r>
      <w:r>
        <w:lastRenderedPageBreak/>
        <w:t xml:space="preserve">committee was founded by </w:t>
      </w:r>
      <w:r w:rsidRPr="00AE7FF4">
        <w:t>women trade unionists</w:t>
      </w:r>
      <w:r>
        <w:t xml:space="preserve"> that were inspire by the Ford sewing machinist strikes in June 1968.</w:t>
      </w:r>
    </w:p>
    <w:p w14:paraId="16A44BA3" w14:textId="15CFB4FF" w:rsidR="007C6F4F" w:rsidRDefault="00DD1621" w:rsidP="007C6F4F">
      <w:r w:rsidRPr="00DD1621">
        <w:t xml:space="preserve">Equal pay for equal work refers to the right for men and women in the same employment and performing equal work, to have equal terms and conditions of employment, and </w:t>
      </w:r>
      <w:proofErr w:type="gramStart"/>
      <w:r w:rsidRPr="00DD1621">
        <w:t>in particular to</w:t>
      </w:r>
      <w:proofErr w:type="gramEnd"/>
      <w:r w:rsidRPr="00DD1621">
        <w:t xml:space="preserve"> receive equal pay. This right is enforced under the Equality Act 2010</w:t>
      </w:r>
      <w:r>
        <w:t xml:space="preserve"> (CIPD, 2025). </w:t>
      </w:r>
    </w:p>
    <w:p w14:paraId="7AD83096" w14:textId="45056186" w:rsidR="00AE7FF4" w:rsidRDefault="009B5F78" w:rsidP="007C6F4F">
      <w:r w:rsidRPr="009B5F78">
        <w:t xml:space="preserve">This implies that a person cannot be paid less than someone who is both their </w:t>
      </w:r>
      <w:r>
        <w:t xml:space="preserve">opposite </w:t>
      </w:r>
      <w:r w:rsidRPr="009B5F78">
        <w:t>sex and who works equally for the same employer or a "associated" employer.</w:t>
      </w:r>
      <w:r>
        <w:t xml:space="preserve"> </w:t>
      </w:r>
    </w:p>
    <w:p w14:paraId="679730A0" w14:textId="418476AB" w:rsidR="00CF6B0F" w:rsidRDefault="00CF6B0F" w:rsidP="007C6F4F">
      <w:r w:rsidRPr="00CF6B0F">
        <w:t xml:space="preserve">The Equal Pay Law covers compensation as well as the terms and </w:t>
      </w:r>
      <w:r>
        <w:t>the contractual terms and conditions</w:t>
      </w:r>
      <w:r w:rsidRPr="00CF6B0F">
        <w:t>, such as:</w:t>
      </w:r>
      <w:r w:rsidR="00826303">
        <w:t xml:space="preserve"> </w:t>
      </w:r>
    </w:p>
    <w:p w14:paraId="37F65FD7" w14:textId="749C1539" w:rsidR="007C6F4F" w:rsidRDefault="00826303" w:rsidP="007C6F4F">
      <w:r w:rsidRPr="00826303">
        <w:rPr>
          <w:noProof/>
        </w:rPr>
        <w:drawing>
          <wp:inline distT="0" distB="0" distL="0" distR="0" wp14:anchorId="22E713EF" wp14:editId="79C9ED04">
            <wp:extent cx="5731510" cy="3394075"/>
            <wp:effectExtent l="0" t="0" r="2540" b="0"/>
            <wp:docPr id="194534509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345090" name="Picture 1" descr="A white background with black text&#10;&#10;AI-generated content may be incorrect."/>
                    <pic:cNvPicPr/>
                  </pic:nvPicPr>
                  <pic:blipFill>
                    <a:blip r:embed="rId8"/>
                    <a:stretch>
                      <a:fillRect/>
                    </a:stretch>
                  </pic:blipFill>
                  <pic:spPr>
                    <a:xfrm>
                      <a:off x="0" y="0"/>
                      <a:ext cx="5731510" cy="3394075"/>
                    </a:xfrm>
                    <a:prstGeom prst="rect">
                      <a:avLst/>
                    </a:prstGeom>
                  </pic:spPr>
                </pic:pic>
              </a:graphicData>
            </a:graphic>
          </wp:inline>
        </w:drawing>
      </w:r>
    </w:p>
    <w:p w14:paraId="7A70476D" w14:textId="1B1138D7" w:rsidR="00826303" w:rsidRDefault="00826303" w:rsidP="007C6F4F">
      <w:r>
        <w:t xml:space="preserve">Appendix </w:t>
      </w:r>
      <w:r w:rsidR="00571900">
        <w:t>3</w:t>
      </w:r>
      <w:r>
        <w:t xml:space="preserve"> – ACAS (2024). </w:t>
      </w:r>
      <w:r w:rsidRPr="00826303">
        <w:rPr>
          <w:i/>
          <w:iCs/>
        </w:rPr>
        <w:t>Equal pay and the law</w:t>
      </w:r>
      <w:r>
        <w:rPr>
          <w:i/>
          <w:iCs/>
        </w:rPr>
        <w:t>.</w:t>
      </w:r>
      <w:r w:rsidRPr="00826303">
        <w:t xml:space="preserve"> </w:t>
      </w:r>
      <w:hyperlink r:id="rId9" w:history="1">
        <w:r w:rsidRPr="003535BF">
          <w:rPr>
            <w:rStyle w:val="Hyperlink"/>
          </w:rPr>
          <w:t>https://www.acas.org.uk/equal-pay/equal-pay-law</w:t>
        </w:r>
      </w:hyperlink>
      <w:r>
        <w:t xml:space="preserve"> </w:t>
      </w:r>
    </w:p>
    <w:p w14:paraId="149A20F8" w14:textId="7374C9D3" w:rsidR="001620A6" w:rsidRPr="00E971E5" w:rsidRDefault="001620A6" w:rsidP="001620A6">
      <w:r>
        <w:t>Equal pay also applies to employees, workers, apprentices, agency workers, full-time, part-time or temporary contracts and self-employed people who are hired to personally do the work.</w:t>
      </w:r>
    </w:p>
    <w:p w14:paraId="4FFE3F0B" w14:textId="379EB4EC" w:rsidR="00826303" w:rsidRDefault="001620A6" w:rsidP="007C6F4F">
      <w:r>
        <w:t xml:space="preserve">Daniels (2022) states that ‘like work’ </w:t>
      </w:r>
      <w:r w:rsidRPr="001620A6">
        <w:t>is defined as ‘work of the same or a broadly similar nature’. Generally, the Employment Tribunals take quite a broad view of this concept. They are not looking for identical work but an overall similarity in the work that is done.</w:t>
      </w:r>
      <w:r w:rsidR="00F33CD0">
        <w:t xml:space="preserve"> </w:t>
      </w:r>
      <w:r w:rsidR="00F33CD0" w:rsidRPr="00F33CD0">
        <w:t xml:space="preserve">Examining the entire amount of work is crucial, and minor activities that are infrequently completed should not receive too much attention. Additionally, rather of concentrating only on what the contract indicates will occur, it is crucial to focus on what </w:t>
      </w:r>
      <w:proofErr w:type="gramStart"/>
      <w:r w:rsidR="00F33CD0" w:rsidRPr="00F33CD0">
        <w:t>actually occurs</w:t>
      </w:r>
      <w:proofErr w:type="gramEnd"/>
      <w:r w:rsidR="00F33CD0" w:rsidRPr="00F33CD0">
        <w:t xml:space="preserve"> on a regular basis in the workplace.</w:t>
      </w:r>
      <w:r w:rsidR="00F33CD0">
        <w:t xml:space="preserve"> </w:t>
      </w:r>
      <w:r w:rsidR="00F33CD0" w:rsidRPr="00F33CD0">
        <w:t xml:space="preserve">The comparison focuses on the tasks in question and not on the individuals carrying </w:t>
      </w:r>
      <w:r w:rsidR="00F33CD0">
        <w:t>them out</w:t>
      </w:r>
      <w:r w:rsidR="00F33CD0" w:rsidRPr="00F33CD0">
        <w:t>.</w:t>
      </w:r>
    </w:p>
    <w:p w14:paraId="59F3F697" w14:textId="29813CAB" w:rsidR="00F33CD0" w:rsidRDefault="00F33CD0" w:rsidP="00F33CD0">
      <w:r>
        <w:t xml:space="preserve">CIPD (2025) states that there are three main ways organisations can defend an equal pay claim, by showing: </w:t>
      </w:r>
    </w:p>
    <w:p w14:paraId="7F47D7DE" w14:textId="77777777" w:rsidR="00F33CD0" w:rsidRDefault="00F33CD0" w:rsidP="00F33CD0">
      <w:pPr>
        <w:pStyle w:val="ListParagraph"/>
        <w:numPr>
          <w:ilvl w:val="0"/>
          <w:numId w:val="9"/>
        </w:numPr>
      </w:pPr>
      <w:r>
        <w:t>the claimant and the comparator are not doing equal work,</w:t>
      </w:r>
    </w:p>
    <w:p w14:paraId="023157C3" w14:textId="77777777" w:rsidR="00F33CD0" w:rsidRDefault="00F33CD0" w:rsidP="00F33CD0">
      <w:pPr>
        <w:pStyle w:val="ListParagraph"/>
        <w:numPr>
          <w:ilvl w:val="0"/>
          <w:numId w:val="9"/>
        </w:numPr>
      </w:pPr>
      <w:r>
        <w:lastRenderedPageBreak/>
        <w:t>the chosen comparator is not legally valid (for example, they are not in the same employment),</w:t>
      </w:r>
    </w:p>
    <w:p w14:paraId="46056B70" w14:textId="3A008DE9" w:rsidR="00F33CD0" w:rsidRDefault="00F33CD0" w:rsidP="00F33CD0">
      <w:pPr>
        <w:pStyle w:val="ListParagraph"/>
        <w:numPr>
          <w:ilvl w:val="0"/>
          <w:numId w:val="9"/>
        </w:numPr>
      </w:pPr>
      <w:r>
        <w:t>the difference in pay is due to a material factor.</w:t>
      </w:r>
    </w:p>
    <w:p w14:paraId="1A761D07" w14:textId="31165193" w:rsidR="00826303" w:rsidRDefault="00F33CD0" w:rsidP="007C6F4F">
      <w:r w:rsidRPr="00F33CD0">
        <w:t xml:space="preserve">According to the EHRC, all employers should conduct equal pay audits or reviews to gather detailed information about their pay and benefit systems and how they affect individuals of a specific sex </w:t>
      </w:r>
      <w:proofErr w:type="gramStart"/>
      <w:r w:rsidRPr="00F33CD0">
        <w:t>in order to</w:t>
      </w:r>
      <w:proofErr w:type="gramEnd"/>
      <w:r w:rsidRPr="00F33CD0">
        <w:t xml:space="preserve"> thwart equal pay claims.</w:t>
      </w:r>
      <w:r>
        <w:t xml:space="preserve"> CIPD (2025) states that t</w:t>
      </w:r>
      <w:r w:rsidRPr="00F33CD0">
        <w:t xml:space="preserve">hese reviews can also operate as a risk management tool to highlight areas such as race, religion, disability or age discrimination.  </w:t>
      </w:r>
    </w:p>
    <w:p w14:paraId="1397DEF2" w14:textId="74BEDC24" w:rsidR="00F33CD0" w:rsidRDefault="00F33CD0" w:rsidP="007C6F4F">
      <w:r w:rsidRPr="00F33CD0">
        <w:t>A model for conducting an equal pay audit and a comprehensive section on best practices are included in the EHRC's Code of Practice on Equal Pay. In addition to offering employers direction, the Code can be used as evidence in an employment tribunal.</w:t>
      </w:r>
      <w:r>
        <w:t xml:space="preserve"> </w:t>
      </w:r>
      <w:r w:rsidRPr="00F33CD0">
        <w:t>Although data from audits, reviews, or reports cannot bring about change, organi</w:t>
      </w:r>
      <w:r>
        <w:t>s</w:t>
      </w:r>
      <w:r w:rsidRPr="00F33CD0">
        <w:t>ations should take all reasonable measures to eliminate any patterns of pay disparities that are found.</w:t>
      </w:r>
    </w:p>
    <w:p w14:paraId="01C79AB8" w14:textId="5D74E48F" w:rsidR="007C6F4F" w:rsidRPr="00CF396E" w:rsidRDefault="007C6F4F" w:rsidP="007C6F4F">
      <w:pPr>
        <w:rPr>
          <w:b/>
          <w:bCs/>
        </w:rPr>
      </w:pPr>
      <w:r w:rsidRPr="00CF396E">
        <w:rPr>
          <w:b/>
          <w:bCs/>
        </w:rPr>
        <w:t xml:space="preserve">(AC 3.1)    </w:t>
      </w:r>
    </w:p>
    <w:p w14:paraId="64DA6AF1" w14:textId="2A1E07C4" w:rsidR="007C6F4F" w:rsidRDefault="00B40C6C" w:rsidP="007C6F4F">
      <w:r w:rsidRPr="00B40C6C">
        <w:t>Constructive dismissal is where an employee resigns and shows they were forced to do so by the conduct of their employer</w:t>
      </w:r>
      <w:r>
        <w:t xml:space="preserve"> (Landy, 2017).</w:t>
      </w:r>
    </w:p>
    <w:p w14:paraId="3229BC39" w14:textId="49937FD0" w:rsidR="00B40C6C" w:rsidRDefault="00FE2C2B" w:rsidP="007C6F4F">
      <w:r w:rsidRPr="00FE2C2B">
        <w:t xml:space="preserve">To prove that a constructive dismissal has occurred, the </w:t>
      </w:r>
      <w:r>
        <w:t>employee</w:t>
      </w:r>
      <w:r w:rsidRPr="00FE2C2B">
        <w:t xml:space="preserve"> must establish that:</w:t>
      </w:r>
    </w:p>
    <w:p w14:paraId="255B24F0" w14:textId="40976EF7" w:rsidR="00FE2C2B" w:rsidRDefault="00FE2C2B" w:rsidP="00FE2C2B">
      <w:pPr>
        <w:pStyle w:val="ListParagraph"/>
        <w:numPr>
          <w:ilvl w:val="0"/>
          <w:numId w:val="5"/>
        </w:numPr>
      </w:pPr>
      <w:r>
        <w:t>there was a fundamental breach of the contract on the part of the employer</w:t>
      </w:r>
    </w:p>
    <w:p w14:paraId="32EAC6A0" w14:textId="25DAD810" w:rsidR="00FE2C2B" w:rsidRDefault="00FE2C2B" w:rsidP="00FE2C2B">
      <w:pPr>
        <w:pStyle w:val="ListParagraph"/>
        <w:numPr>
          <w:ilvl w:val="0"/>
          <w:numId w:val="5"/>
        </w:numPr>
      </w:pPr>
      <w:r>
        <w:t>the breach of the contract caused the employee to resign</w:t>
      </w:r>
    </w:p>
    <w:p w14:paraId="6C10D89B" w14:textId="6AF56285" w:rsidR="00FE2C2B" w:rsidRDefault="00FE2C2B" w:rsidP="00FE2C2B">
      <w:pPr>
        <w:pStyle w:val="ListParagraph"/>
        <w:numPr>
          <w:ilvl w:val="0"/>
          <w:numId w:val="5"/>
        </w:numPr>
      </w:pPr>
      <w:r>
        <w:t>the employee does not delay in resigning</w:t>
      </w:r>
      <w:r w:rsidR="00C6123C">
        <w:t xml:space="preserve"> </w:t>
      </w:r>
      <w:proofErr w:type="gramStart"/>
      <w:r w:rsidR="00C6123C">
        <w:t>and also</w:t>
      </w:r>
      <w:proofErr w:type="gramEnd"/>
      <w:r w:rsidR="00C6123C">
        <w:t xml:space="preserve"> states clearly in their resignation the reasons for leaving.</w:t>
      </w:r>
    </w:p>
    <w:p w14:paraId="2A4585FB" w14:textId="088624DC" w:rsidR="007C6F4F" w:rsidRDefault="00FE2C2B" w:rsidP="007C6F4F">
      <w:r>
        <w:t>Landy (2017) also states that a</w:t>
      </w:r>
      <w:r w:rsidRPr="00FE2C2B">
        <w:t>n employee may only bring a claim for constructive dismissal if they have a qualifying period of service of two years’ continuous employment.</w:t>
      </w:r>
      <w:r w:rsidR="00A255AE">
        <w:t xml:space="preserve"> </w:t>
      </w:r>
    </w:p>
    <w:p w14:paraId="7D6C8EDA" w14:textId="44563069" w:rsidR="004F259A" w:rsidRDefault="004F259A" w:rsidP="007C6F4F">
      <w:r>
        <w:t xml:space="preserve">There are </w:t>
      </w:r>
      <w:r w:rsidR="004C5F0E">
        <w:t>several</w:t>
      </w:r>
      <w:r>
        <w:t xml:space="preserve"> examples in which an employee could show a breach of contract by the employer and claim constructive dismissal. ACAS (2024) states that</w:t>
      </w:r>
      <w:r w:rsidR="004C5F0E">
        <w:t xml:space="preserve"> an</w:t>
      </w:r>
      <w:r>
        <w:t xml:space="preserve"> example of these could include </w:t>
      </w:r>
      <w:r w:rsidRPr="004F259A">
        <w:t>making unreasonable changes to working patterns or place of work without agreement</w:t>
      </w:r>
      <w:r>
        <w:t>.</w:t>
      </w:r>
    </w:p>
    <w:p w14:paraId="201D3333" w14:textId="2CA24E0B" w:rsidR="004F259A" w:rsidRDefault="004F259A" w:rsidP="007C6F4F">
      <w:r>
        <w:t>When making changes to a contract of employment</w:t>
      </w:r>
      <w:r w:rsidR="004C5F0E">
        <w:t xml:space="preserve">, the employee must always be consulted. The contract of employment is a legally binding document between two parties and a change cannot be made with just one party’s knowledge. The terms of consultation differ based on the number of employees affected by the change. </w:t>
      </w:r>
      <w:r w:rsidR="004C5F0E" w:rsidRPr="004C5F0E">
        <w:t>If the changes affect 20–99 employees, the consultation should be with representatives and should be for a minimum of 30 days. If the changes affect 100+ employees, the consultation should be for a minimum of 45 days. If fewer than 20 employees are affected there is no requirement to consult with representatives but there should be consultation with the individuals affected, regardless of the numbers affected</w:t>
      </w:r>
      <w:r w:rsidR="004C5F0E">
        <w:t xml:space="preserve"> (Daniels, 2022). </w:t>
      </w:r>
    </w:p>
    <w:p w14:paraId="0A7BE282" w14:textId="72D06A7B" w:rsidR="002354D2" w:rsidRDefault="002354D2" w:rsidP="007C6F4F">
      <w:r w:rsidRPr="002354D2">
        <w:t xml:space="preserve">The employer </w:t>
      </w:r>
      <w:r>
        <w:t>would be better</w:t>
      </w:r>
      <w:r w:rsidRPr="002354D2">
        <w:t xml:space="preserve"> able to defend </w:t>
      </w:r>
      <w:r>
        <w:t xml:space="preserve">against </w:t>
      </w:r>
      <w:r w:rsidRPr="002354D2">
        <w:t xml:space="preserve">the </w:t>
      </w:r>
      <w:r>
        <w:t>change</w:t>
      </w:r>
      <w:r w:rsidRPr="002354D2">
        <w:t xml:space="preserve"> and the constructive dismissal claim would be rejected if they had tried their best to consult and could demonstrate that there was a compelling business rationale for the </w:t>
      </w:r>
      <w:r>
        <w:t>change</w:t>
      </w:r>
      <w:r w:rsidRPr="002354D2">
        <w:t>.</w:t>
      </w:r>
    </w:p>
    <w:p w14:paraId="2AFBA820" w14:textId="2F269F5E" w:rsidR="00FE2C2B" w:rsidRDefault="002354D2" w:rsidP="007C6F4F">
      <w:r>
        <w:t>There are strict time limits for making a claim to an employment tribunal. In most cases, you have 3 months minus 1 day from either the last day of your notice period or the day you resigned, if you did not give your employer notice (ACAS, 2024).</w:t>
      </w:r>
    </w:p>
    <w:p w14:paraId="34D12E06" w14:textId="469CDA60" w:rsidR="007C6F4F" w:rsidRPr="00F2175A" w:rsidRDefault="007C6F4F" w:rsidP="007C6F4F">
      <w:pPr>
        <w:rPr>
          <w:b/>
          <w:bCs/>
        </w:rPr>
      </w:pPr>
      <w:r w:rsidRPr="00F2175A">
        <w:rPr>
          <w:b/>
          <w:bCs/>
        </w:rPr>
        <w:lastRenderedPageBreak/>
        <w:t>(AC 3.2)</w:t>
      </w:r>
    </w:p>
    <w:p w14:paraId="4A6A38DF" w14:textId="29E7B653" w:rsidR="006A738B" w:rsidRDefault="006A738B" w:rsidP="007C6F4F">
      <w:r>
        <w:t xml:space="preserve">CIPD (2024) states that the </w:t>
      </w:r>
      <w:r w:rsidRPr="006A738B">
        <w:t>definition of redundancy is set out in section 139 (1) of the Employment Rights Act 1996 an employee is dismissed by reason of redundancy if the dismissal is wholly or mainly attributable to th</w:t>
      </w:r>
      <w:r>
        <w:t>e following three facts:</w:t>
      </w:r>
    </w:p>
    <w:p w14:paraId="72D5775D" w14:textId="41E9F1C2" w:rsidR="006A738B" w:rsidRDefault="006A738B" w:rsidP="006A738B">
      <w:pPr>
        <w:pStyle w:val="ListParagraph"/>
        <w:numPr>
          <w:ilvl w:val="0"/>
          <w:numId w:val="6"/>
        </w:numPr>
      </w:pPr>
      <w:r w:rsidRPr="006A738B">
        <w:t>The employer has stopped, or plans to stop, operating the company for the reasons the employee was hired.</w:t>
      </w:r>
    </w:p>
    <w:p w14:paraId="7992231C" w14:textId="33E13DBF" w:rsidR="006A738B" w:rsidRDefault="006A738B" w:rsidP="006A738B">
      <w:pPr>
        <w:pStyle w:val="ListParagraph"/>
        <w:numPr>
          <w:ilvl w:val="0"/>
          <w:numId w:val="6"/>
        </w:numPr>
      </w:pPr>
      <w:r w:rsidRPr="006A738B">
        <w:t>The employer has stopped, or plans to stop, operating that business at the location where the worker was employed.</w:t>
      </w:r>
    </w:p>
    <w:p w14:paraId="26A8A327" w14:textId="24FD4A9C" w:rsidR="006A738B" w:rsidRDefault="006A738B" w:rsidP="006A738B">
      <w:pPr>
        <w:pStyle w:val="ListParagraph"/>
        <w:numPr>
          <w:ilvl w:val="0"/>
          <w:numId w:val="6"/>
        </w:numPr>
      </w:pPr>
      <w:r w:rsidRPr="006A738B">
        <w:t>It is anticipated that the employer's "requirements for employees to carry out work of a particular kind in the place where the employee was employed" will either end or d</w:t>
      </w:r>
      <w:r>
        <w:t>iminish</w:t>
      </w:r>
      <w:r w:rsidRPr="006A738B">
        <w:t>.</w:t>
      </w:r>
    </w:p>
    <w:p w14:paraId="16AED30D" w14:textId="28CBD10D" w:rsidR="006A738B" w:rsidRDefault="006A738B" w:rsidP="006A738B">
      <w:r>
        <w:t xml:space="preserve">A company </w:t>
      </w:r>
      <w:r w:rsidRPr="006A738B">
        <w:t>should think about every possibility to cut down on or even eliminate redundancies before beginning a redundancy proce</w:t>
      </w:r>
      <w:r>
        <w:t>ss</w:t>
      </w:r>
      <w:r w:rsidR="000A0CC2">
        <w:t xml:space="preserve">, such as </w:t>
      </w:r>
      <w:r w:rsidR="005163C5">
        <w:t>voluntary redundancies, moving employees into different roles in non-effected departments or letting go of temporary workers.</w:t>
      </w:r>
    </w:p>
    <w:p w14:paraId="4868B43F" w14:textId="555B0EFF" w:rsidR="005163C5" w:rsidRDefault="005163C5" w:rsidP="005163C5">
      <w:r>
        <w:t>ACAS (2025) states that employers should check if they have a collective agreement with a trade union with details of what must be done.</w:t>
      </w:r>
    </w:p>
    <w:p w14:paraId="0CE6C437" w14:textId="10E64E36" w:rsidR="00F16667" w:rsidRDefault="00F16667" w:rsidP="005163C5">
      <w:r w:rsidRPr="00F16667">
        <w:t xml:space="preserve">Even if there is to be collective consultation, employers still need to meet with each person who may be </w:t>
      </w:r>
      <w:r>
        <w:t>made redundant,</w:t>
      </w:r>
      <w:r w:rsidRPr="00F16667">
        <w:t xml:space="preserve"> individually.</w:t>
      </w:r>
      <w:r>
        <w:t xml:space="preserve"> </w:t>
      </w:r>
      <w:r w:rsidRPr="00F16667">
        <w:t>Previous case law has shown that dismissals are unfair if a union is consulted but not the individual concerned</w:t>
      </w:r>
      <w:r>
        <w:t xml:space="preserve"> (CIPD, 2024). </w:t>
      </w:r>
    </w:p>
    <w:p w14:paraId="07AD75EF" w14:textId="11E36F3B" w:rsidR="00F16667" w:rsidRDefault="00F16667" w:rsidP="005163C5">
      <w:r>
        <w:t xml:space="preserve">If there are 19 or less employees at risk of redundancy then there is a requirement to individually consult, only. </w:t>
      </w:r>
      <w:r w:rsidRPr="00F16667">
        <w:t>Collective dismissals of 20 or more employees are covered by specific statutory procedures set out in TULR(C)A)</w:t>
      </w:r>
      <w:r>
        <w:t xml:space="preserve"> (CIPD, 2024). Collective consultation is a consultation where an employee representative is selected – this can either be a trade union representative or an employee that has been elected. </w:t>
      </w:r>
    </w:p>
    <w:p w14:paraId="6B76D4A2" w14:textId="60BBD053" w:rsidR="00F16667" w:rsidRDefault="00F16667" w:rsidP="005163C5">
      <w:r w:rsidRPr="00F16667">
        <w:t>The length of time that must be spent in collective consultation is laid down in the Trade Union and Labour Relations (Consolidation) Act 1992</w:t>
      </w:r>
      <w:r>
        <w:t xml:space="preserve"> (Daniels, 2022).</w:t>
      </w:r>
    </w:p>
    <w:p w14:paraId="009AB2D0" w14:textId="0CE91959" w:rsidR="00F16667" w:rsidRDefault="008077A7" w:rsidP="005163C5">
      <w:r w:rsidRPr="008077A7">
        <w:rPr>
          <w:noProof/>
        </w:rPr>
        <w:drawing>
          <wp:inline distT="0" distB="0" distL="0" distR="0" wp14:anchorId="657E1690" wp14:editId="557FBEEF">
            <wp:extent cx="5731510" cy="852170"/>
            <wp:effectExtent l="0" t="0" r="2540" b="5080"/>
            <wp:docPr id="1495588753"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588753" name="Picture 1" descr="A close up of text&#10;&#10;AI-generated content may be incorrect."/>
                    <pic:cNvPicPr/>
                  </pic:nvPicPr>
                  <pic:blipFill>
                    <a:blip r:embed="rId10"/>
                    <a:stretch>
                      <a:fillRect/>
                    </a:stretch>
                  </pic:blipFill>
                  <pic:spPr>
                    <a:xfrm>
                      <a:off x="0" y="0"/>
                      <a:ext cx="5731510" cy="852170"/>
                    </a:xfrm>
                    <a:prstGeom prst="rect">
                      <a:avLst/>
                    </a:prstGeom>
                  </pic:spPr>
                </pic:pic>
              </a:graphicData>
            </a:graphic>
          </wp:inline>
        </w:drawing>
      </w:r>
    </w:p>
    <w:p w14:paraId="668E47D8" w14:textId="38C1B5D8" w:rsidR="008077A7" w:rsidRDefault="008077A7" w:rsidP="005163C5">
      <w:r>
        <w:t xml:space="preserve">Appendix </w:t>
      </w:r>
      <w:r w:rsidR="00571900">
        <w:t xml:space="preserve">4 </w:t>
      </w:r>
      <w:r>
        <w:t>– Daniels, K (2022),</w:t>
      </w:r>
      <w:r w:rsidR="000A0CC2" w:rsidRPr="000A0CC2">
        <w:rPr>
          <w:i/>
          <w:iCs/>
        </w:rPr>
        <w:t xml:space="preserve"> Introduction to employment law: fundamentals for HR and business students</w:t>
      </w:r>
      <w:r w:rsidR="000A0CC2">
        <w:t xml:space="preserve"> -</w:t>
      </w:r>
      <w:r>
        <w:t xml:space="preserve"> </w:t>
      </w:r>
      <w:proofErr w:type="spellStart"/>
      <w:r>
        <w:t>pg</w:t>
      </w:r>
      <w:proofErr w:type="spellEnd"/>
      <w:r>
        <w:t xml:space="preserve"> 253.</w:t>
      </w:r>
    </w:p>
    <w:p w14:paraId="6DE6AEDD" w14:textId="09331B93" w:rsidR="007C6F4F" w:rsidRDefault="000A0CC2" w:rsidP="007C6F4F">
      <w:r w:rsidRPr="000A0CC2">
        <w:t>When selecting employees for redundancy or deciding on the criteria to include within any written redundancy procedures, you should always try to use objective criteria that are easily measurable and capable of being applied in an independent way, rather than based solely on opinion</w:t>
      </w:r>
      <w:r>
        <w:t xml:space="preserve"> (Morris, 2025). These could include an employee’s standard of work or performance, their skills/qualifications, their attendance record (</w:t>
      </w:r>
      <w:r w:rsidRPr="000A0CC2">
        <w:t>excluding any absences due to pregnancy or disability</w:t>
      </w:r>
      <w:r>
        <w:t xml:space="preserve">), or their disciplinary record (current offences). </w:t>
      </w:r>
    </w:p>
    <w:p w14:paraId="387CE2A4" w14:textId="420623BD" w:rsidR="000A0CC2" w:rsidRDefault="000A0CC2" w:rsidP="007C6F4F">
      <w:r w:rsidRPr="000A0CC2">
        <w:t>Redundancy selection criterion must be uniformly applied and objective.</w:t>
      </w:r>
    </w:p>
    <w:p w14:paraId="45CF3CF6" w14:textId="44F3849F" w:rsidR="007C6F4F" w:rsidRPr="00405270" w:rsidRDefault="007C6F4F" w:rsidP="007C6F4F">
      <w:pPr>
        <w:rPr>
          <w:b/>
          <w:bCs/>
        </w:rPr>
      </w:pPr>
      <w:r w:rsidRPr="00405270">
        <w:rPr>
          <w:b/>
          <w:bCs/>
        </w:rPr>
        <w:t xml:space="preserve">(AC 3.3)   </w:t>
      </w:r>
    </w:p>
    <w:p w14:paraId="0EEE9444" w14:textId="306516D5" w:rsidR="007C6F4F" w:rsidRDefault="00477F08" w:rsidP="007C6F4F">
      <w:r w:rsidRPr="00477F08">
        <w:lastRenderedPageBreak/>
        <w:t xml:space="preserve">The Transfer of Undertakings (Protection of Employment) Regulations 1981 (known as TUPE) were introduced </w:t>
      </w:r>
      <w:proofErr w:type="gramStart"/>
      <w:r w:rsidRPr="00477F08">
        <w:t>as a result of</w:t>
      </w:r>
      <w:proofErr w:type="gramEnd"/>
      <w:r w:rsidRPr="00477F08">
        <w:t xml:space="preserve"> the Acquired Rights Directive 77/187/EEC. These regulations were replaced by the Transfer of Undertakings (Protection of Employment) Regulations 2006, and it is the 2006 regulations that we now refer to</w:t>
      </w:r>
      <w:r>
        <w:t xml:space="preserve"> (Daniels, 2022).</w:t>
      </w:r>
    </w:p>
    <w:p w14:paraId="71BABA29" w14:textId="3D4BB24D" w:rsidR="007C6F4F" w:rsidRDefault="00393C5A" w:rsidP="007C6F4F">
      <w:r w:rsidRPr="00393C5A">
        <w:t xml:space="preserve">All UK </w:t>
      </w:r>
      <w:r>
        <w:t>businesses</w:t>
      </w:r>
      <w:r w:rsidRPr="00393C5A">
        <w:t xml:space="preserve"> must abide by these </w:t>
      </w:r>
      <w:r>
        <w:t>laws</w:t>
      </w:r>
      <w:r w:rsidRPr="00393C5A">
        <w:t>. Transfers inside the public sector are exempt from them, but TUPE will be applicable if the private sector is engaged in the public sector change.</w:t>
      </w:r>
    </w:p>
    <w:p w14:paraId="7C064775" w14:textId="5D56CF75" w:rsidR="00393C5A" w:rsidRDefault="00393C5A" w:rsidP="00393C5A">
      <w:r>
        <w:t xml:space="preserve">The picture below shows the full details of </w:t>
      </w:r>
      <w:r w:rsidR="00B63F5A">
        <w:t>a ‘relevant transfer’, taken</w:t>
      </w:r>
      <w:r>
        <w:t xml:space="preserve"> from </w:t>
      </w:r>
      <w:r w:rsidRPr="00393C5A">
        <w:t>The Transfer of Undertakings (Protection of Employment) Regulations 2006</w:t>
      </w:r>
      <w:r>
        <w:t xml:space="preserve"> – clause 3:</w:t>
      </w:r>
    </w:p>
    <w:p w14:paraId="2EE69DAD" w14:textId="6444EDC5" w:rsidR="00393C5A" w:rsidRDefault="00393C5A" w:rsidP="00393C5A">
      <w:r w:rsidRPr="00393C5A">
        <w:rPr>
          <w:noProof/>
        </w:rPr>
        <w:drawing>
          <wp:inline distT="0" distB="0" distL="0" distR="0" wp14:anchorId="43629B8C" wp14:editId="71FA6067">
            <wp:extent cx="5731510" cy="4046220"/>
            <wp:effectExtent l="0" t="0" r="2540" b="0"/>
            <wp:docPr id="25087738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77385" name="Picture 1" descr="A screenshot of a computer screen&#10;&#10;AI-generated content may be incorrect."/>
                    <pic:cNvPicPr/>
                  </pic:nvPicPr>
                  <pic:blipFill>
                    <a:blip r:embed="rId11"/>
                    <a:stretch>
                      <a:fillRect/>
                    </a:stretch>
                  </pic:blipFill>
                  <pic:spPr>
                    <a:xfrm>
                      <a:off x="0" y="0"/>
                      <a:ext cx="5731510" cy="4046220"/>
                    </a:xfrm>
                    <a:prstGeom prst="rect">
                      <a:avLst/>
                    </a:prstGeom>
                  </pic:spPr>
                </pic:pic>
              </a:graphicData>
            </a:graphic>
          </wp:inline>
        </w:drawing>
      </w:r>
    </w:p>
    <w:p w14:paraId="23E3F306" w14:textId="79F526E5" w:rsidR="00393C5A" w:rsidRDefault="00393C5A" w:rsidP="00393C5A">
      <w:r>
        <w:t xml:space="preserve">Appendix </w:t>
      </w:r>
      <w:r w:rsidR="00571900">
        <w:t>5</w:t>
      </w:r>
      <w:r>
        <w:t xml:space="preserve"> – Clause 3 from </w:t>
      </w:r>
      <w:hyperlink r:id="rId12" w:history="1">
        <w:r w:rsidRPr="00393C5A">
          <w:rPr>
            <w:rStyle w:val="Hyperlink"/>
          </w:rPr>
          <w:t>The Transfer of Undertakings (Protection of Employment) Regulations 2006</w:t>
        </w:r>
      </w:hyperlink>
    </w:p>
    <w:p w14:paraId="3586AF32" w14:textId="7A23883E" w:rsidR="00393C5A" w:rsidRDefault="00B63F5A" w:rsidP="00393C5A">
      <w:r w:rsidRPr="00B63F5A">
        <w:t xml:space="preserve">Pension rights do not automatically transfer with shifting employees because </w:t>
      </w:r>
      <w:proofErr w:type="gramStart"/>
      <w:r w:rsidRPr="00B63F5A">
        <w:t>the majority of</w:t>
      </w:r>
      <w:proofErr w:type="gramEnd"/>
      <w:r w:rsidRPr="00B63F5A">
        <w:t xml:space="preserve"> occupational pension scheme entitlements are entirely excluded from TUPE. Rather, pensions are safeguarded by pension </w:t>
      </w:r>
      <w:r>
        <w:t xml:space="preserve">legislation </w:t>
      </w:r>
      <w:r w:rsidRPr="00B63F5A">
        <w:t>(Pensions Act 2004).</w:t>
      </w:r>
      <w:r>
        <w:t xml:space="preserve"> </w:t>
      </w:r>
      <w:r w:rsidRPr="00B63F5A">
        <w:t xml:space="preserve">However, </w:t>
      </w:r>
      <w:r>
        <w:t xml:space="preserve">CIPD (2024) states, </w:t>
      </w:r>
      <w:r w:rsidRPr="00B63F5A">
        <w:t>where transferring employees are members of an occupational pension scheme (or are entitled to join one), any contractual rights to a certain level of contribution will transfer. Transferees do not have to replicate occupational schemes or contribute to the transferor's pension scheme</w:t>
      </w:r>
      <w:r>
        <w:t>,</w:t>
      </w:r>
      <w:r w:rsidRPr="00B63F5A">
        <w:t xml:space="preserve"> but transferees must provide a reasonable alternative and a minimum level of future pension benefit</w:t>
      </w:r>
      <w:r>
        <w:t xml:space="preserve"> (CIPD, 2024).</w:t>
      </w:r>
    </w:p>
    <w:p w14:paraId="5B09D5A0" w14:textId="0E164B31" w:rsidR="00B63F5A" w:rsidRDefault="00B63F5A" w:rsidP="00B63F5A">
      <w:r>
        <w:t>One thing to note with transfers is that a</w:t>
      </w:r>
      <w:r w:rsidRPr="00B63F5A">
        <w:t>ll obligations and liabilities for actions and inactions prior to the transfer are inherited by the transferee.</w:t>
      </w:r>
      <w:r>
        <w:t xml:space="preserve"> These can include but are not limited to, liability for contractual rights, personal injury claims, liability for discrimination and liability for any breach of contract claims.</w:t>
      </w:r>
    </w:p>
    <w:p w14:paraId="17C126DF" w14:textId="21E53225" w:rsidR="00693CEE" w:rsidRDefault="00693CEE" w:rsidP="00693CEE">
      <w:r w:rsidRPr="00693CEE">
        <w:lastRenderedPageBreak/>
        <w:t>According to the regulations, the appropriate employee representatives must be consulted. These representatives could be elected employee representatives or representatives of trade unions.</w:t>
      </w:r>
      <w:r>
        <w:t xml:space="preserve"> Daniels (2022) states that the following information must be supplied to the representatives:</w:t>
      </w:r>
    </w:p>
    <w:p w14:paraId="701725E7" w14:textId="571E01A4" w:rsidR="00693CEE" w:rsidRDefault="00693CEE" w:rsidP="00693CEE">
      <w:pPr>
        <w:pStyle w:val="ListParagraph"/>
        <w:numPr>
          <w:ilvl w:val="0"/>
          <w:numId w:val="8"/>
        </w:numPr>
      </w:pPr>
      <w:r>
        <w:t>that a transfer is to take place</w:t>
      </w:r>
    </w:p>
    <w:p w14:paraId="3EFBB945" w14:textId="0AEC2EAA" w:rsidR="00693CEE" w:rsidRDefault="00693CEE" w:rsidP="00693CEE">
      <w:pPr>
        <w:pStyle w:val="ListParagraph"/>
        <w:numPr>
          <w:ilvl w:val="0"/>
          <w:numId w:val="8"/>
        </w:numPr>
      </w:pPr>
      <w:r>
        <w:t>the reason for the transfer and when it is expected to take place</w:t>
      </w:r>
    </w:p>
    <w:p w14:paraId="3512312C" w14:textId="7D5FA893" w:rsidR="00693CEE" w:rsidRDefault="00693CEE" w:rsidP="00693CEE">
      <w:pPr>
        <w:pStyle w:val="ListParagraph"/>
        <w:numPr>
          <w:ilvl w:val="0"/>
          <w:numId w:val="8"/>
        </w:numPr>
      </w:pPr>
      <w:r>
        <w:t>the implications for the employees (legal, social and economic)</w:t>
      </w:r>
    </w:p>
    <w:p w14:paraId="7972B91C" w14:textId="1AE83F21" w:rsidR="00693CEE" w:rsidRDefault="00693CEE" w:rsidP="00693CEE">
      <w:pPr>
        <w:pStyle w:val="ListParagraph"/>
        <w:numPr>
          <w:ilvl w:val="0"/>
          <w:numId w:val="8"/>
        </w:numPr>
      </w:pPr>
      <w:r>
        <w:t>the measures that the employer expects to take in relation to the employees</w:t>
      </w:r>
    </w:p>
    <w:p w14:paraId="63156C28" w14:textId="5ACA955A" w:rsidR="00B63F5A" w:rsidRDefault="00693CEE" w:rsidP="00693CEE">
      <w:pPr>
        <w:pStyle w:val="ListParagraph"/>
        <w:numPr>
          <w:ilvl w:val="0"/>
          <w:numId w:val="8"/>
        </w:numPr>
      </w:pPr>
      <w:r>
        <w:t>the measures that the transferee expects to take in relation to the employees.</w:t>
      </w:r>
    </w:p>
    <w:p w14:paraId="32635CE3" w14:textId="365893BD" w:rsidR="00693CEE" w:rsidRDefault="00693CEE" w:rsidP="00693CEE">
      <w:r w:rsidRPr="00693CEE">
        <w:t>Unless they receive contrary legal advice, the new employer should presume that all employee terms and conditions transfer.</w:t>
      </w:r>
      <w:r>
        <w:t xml:space="preserve"> ACAS (2024) states that the below list of terms and conditions might be included:</w:t>
      </w:r>
    </w:p>
    <w:p w14:paraId="5386FD79" w14:textId="1F76EEC2" w:rsidR="00693CEE" w:rsidRDefault="00693CEE" w:rsidP="00693CEE">
      <w:r w:rsidRPr="00693CEE">
        <w:rPr>
          <w:noProof/>
        </w:rPr>
        <w:drawing>
          <wp:inline distT="0" distB="0" distL="0" distR="0" wp14:anchorId="30B24399" wp14:editId="1B4EE63A">
            <wp:extent cx="3613150" cy="2869784"/>
            <wp:effectExtent l="0" t="0" r="6350" b="6985"/>
            <wp:docPr id="1701049322" name="Picture 1" descr="A list of word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49322" name="Picture 1" descr="A list of words on a white background&#10;&#10;AI-generated content may be incorrect."/>
                    <pic:cNvPicPr/>
                  </pic:nvPicPr>
                  <pic:blipFill>
                    <a:blip r:embed="rId13"/>
                    <a:stretch>
                      <a:fillRect/>
                    </a:stretch>
                  </pic:blipFill>
                  <pic:spPr>
                    <a:xfrm>
                      <a:off x="0" y="0"/>
                      <a:ext cx="3619130" cy="2874533"/>
                    </a:xfrm>
                    <a:prstGeom prst="rect">
                      <a:avLst/>
                    </a:prstGeom>
                  </pic:spPr>
                </pic:pic>
              </a:graphicData>
            </a:graphic>
          </wp:inline>
        </w:drawing>
      </w:r>
    </w:p>
    <w:p w14:paraId="6A93AA1D" w14:textId="3D28BDE4" w:rsidR="00693CEE" w:rsidRPr="00693CEE" w:rsidRDefault="00693CEE" w:rsidP="00693CEE">
      <w:r>
        <w:t xml:space="preserve">Appendix </w:t>
      </w:r>
      <w:r w:rsidR="00571900">
        <w:t>6</w:t>
      </w:r>
      <w:r>
        <w:t xml:space="preserve"> – ACAS, 2024. </w:t>
      </w:r>
      <w:r w:rsidRPr="00693CEE">
        <w:rPr>
          <w:i/>
          <w:iCs/>
        </w:rPr>
        <w:t>TUPE</w:t>
      </w:r>
      <w:r>
        <w:rPr>
          <w:i/>
          <w:iCs/>
        </w:rPr>
        <w:t xml:space="preserve">. </w:t>
      </w:r>
      <w:hyperlink r:id="rId14" w:history="1">
        <w:r w:rsidRPr="00DB4129">
          <w:rPr>
            <w:rStyle w:val="Hyperlink"/>
          </w:rPr>
          <w:t>https://www.acas.org.uk/tupe/advice-for-employers-and-employees/transferring-to-your-new-employer</w:t>
        </w:r>
      </w:hyperlink>
      <w:r>
        <w:t xml:space="preserve"> </w:t>
      </w:r>
    </w:p>
    <w:p w14:paraId="31E1D4E7" w14:textId="504A568B" w:rsidR="007C6F4F" w:rsidRPr="0071496D" w:rsidRDefault="007C6F4F" w:rsidP="007C6F4F">
      <w:pPr>
        <w:rPr>
          <w:b/>
          <w:bCs/>
        </w:rPr>
      </w:pPr>
      <w:r w:rsidRPr="0071496D">
        <w:rPr>
          <w:b/>
          <w:bCs/>
        </w:rPr>
        <w:t>(AC 4.1)</w:t>
      </w:r>
    </w:p>
    <w:p w14:paraId="1E66C98B" w14:textId="46FF6C8A" w:rsidR="007C6F4F" w:rsidRDefault="00197B5A" w:rsidP="007C6F4F">
      <w:r w:rsidRPr="00197B5A">
        <w:t>The UK's Working Time Regulations 1998 lay down the minimum conditions relating to weekly working time, rest entitlements and annual leave in the UK</w:t>
      </w:r>
      <w:r>
        <w:t xml:space="preserve"> (Ayling &amp; </w:t>
      </w:r>
      <w:proofErr w:type="spellStart"/>
      <w:r>
        <w:t>Suff</w:t>
      </w:r>
      <w:proofErr w:type="spellEnd"/>
      <w:r>
        <w:t xml:space="preserve">, 2025). Ayling and </w:t>
      </w:r>
      <w:proofErr w:type="spellStart"/>
      <w:r>
        <w:t>Suff</w:t>
      </w:r>
      <w:proofErr w:type="spellEnd"/>
      <w:r>
        <w:t xml:space="preserve"> go on to state that e</w:t>
      </w:r>
      <w:r w:rsidRPr="00197B5A">
        <w:t>mployees are entitled to 28 days</w:t>
      </w:r>
      <w:r>
        <w:t xml:space="preserve"> </w:t>
      </w:r>
      <w:r w:rsidRPr="00197B5A">
        <w:t xml:space="preserve">paid statutory annual leave </w:t>
      </w:r>
      <w:r>
        <w:t>which can include bank holidays. Part-time employees are entitled to a reduced pro-rated amount of annual leave which is based on the number of days the employee works.</w:t>
      </w:r>
    </w:p>
    <w:p w14:paraId="55503D86" w14:textId="55A7CD85" w:rsidR="00197B5A" w:rsidRDefault="00197B5A" w:rsidP="007C6F4F">
      <w:r>
        <w:t xml:space="preserve">Calculating holiday pay for irregular hours workers is done differently and is based on the average pay for the employee over a 52-week period. </w:t>
      </w:r>
      <w:r w:rsidRPr="00197B5A">
        <w:t>This rule applies regardless of when the worker's leave year starts</w:t>
      </w:r>
      <w:r>
        <w:t xml:space="preserve"> (ACAS, 2024).</w:t>
      </w:r>
    </w:p>
    <w:p w14:paraId="7D0D5A4C" w14:textId="2951A29E" w:rsidR="00856B90" w:rsidRDefault="00856B90" w:rsidP="007C6F4F">
      <w:r>
        <w:t xml:space="preserve">If an employee has not been employed for a 52-week period yet, the employer should calculate their annual leave pay from an average of the number of full weeks that the employee has worked. ACAS (2024) provides an example that if an employee has only been employed for 26 </w:t>
      </w:r>
      <w:r>
        <w:lastRenderedPageBreak/>
        <w:t>weeks, then their annual leave pay should be based on the average earnings from that 26-week period.</w:t>
      </w:r>
    </w:p>
    <w:p w14:paraId="3B47512A" w14:textId="5E529025" w:rsidR="00B84EC4" w:rsidRDefault="00B84EC4" w:rsidP="007C6F4F">
      <w:r>
        <w:t xml:space="preserve">If there have been weeks in which an employee has not worked, then the employer is expected to use an earlier week in its place. </w:t>
      </w:r>
      <w:r w:rsidRPr="00B84EC4">
        <w:t>An employer should only count back as far as needed to get 52 weeks of a worker's usual pay. If necessary, they can look at the pay the worker got over the previous 104 weeks, but no further</w:t>
      </w:r>
      <w:r>
        <w:t xml:space="preserve"> (ACAS, 2024).</w:t>
      </w:r>
    </w:p>
    <w:p w14:paraId="22EC6E88" w14:textId="778330C6" w:rsidR="00B84EC4" w:rsidRDefault="00B84EC4" w:rsidP="007C6F4F">
      <w:r w:rsidRPr="00B84EC4">
        <w:t xml:space="preserve">As an alternative, employers have the option to use rolled-up holiday pay for irregular and part-year workers. This involves adding a holiday pay amount to each payslip rather than paying it when the employee </w:t>
      </w:r>
      <w:proofErr w:type="gramStart"/>
      <w:r w:rsidRPr="00B84EC4">
        <w:t>actually takes</w:t>
      </w:r>
      <w:proofErr w:type="gramEnd"/>
      <w:r w:rsidRPr="00B84EC4">
        <w:t xml:space="preserve"> their annual leave</w:t>
      </w:r>
      <w:r>
        <w:t xml:space="preserve"> (Morris, 2025).</w:t>
      </w:r>
    </w:p>
    <w:p w14:paraId="50E126C8" w14:textId="2D91FA16" w:rsidR="00B84EC4" w:rsidRDefault="00B84EC4" w:rsidP="007C6F4F">
      <w:r>
        <w:t xml:space="preserve">Following an update to the </w:t>
      </w:r>
      <w:r w:rsidRPr="00197B5A">
        <w:t>Working Time Regulations 1998</w:t>
      </w:r>
      <w:r>
        <w:t xml:space="preserve"> legislation on 1</w:t>
      </w:r>
      <w:r w:rsidRPr="00B84EC4">
        <w:rPr>
          <w:vertAlign w:val="superscript"/>
        </w:rPr>
        <w:t>st</w:t>
      </w:r>
      <w:r>
        <w:t xml:space="preserve"> April 2024, employers can now choose to pay employees their annual leave </w:t>
      </w:r>
      <w:r w:rsidRPr="00B84EC4">
        <w:t>by adding an amount on top of someone's normal pay</w:t>
      </w:r>
      <w:r>
        <w:t xml:space="preserve">. The employers </w:t>
      </w:r>
      <w:r w:rsidR="007665EF">
        <w:t>are</w:t>
      </w:r>
      <w:r>
        <w:t xml:space="preserve"> expected to calculate this at a rate of at least 12.07% of the employee’s pay during that pay-period. For example, if Jennie earns £1</w:t>
      </w:r>
      <w:r w:rsidR="007665EF">
        <w:t>,</w:t>
      </w:r>
      <w:r>
        <w:t>250 in March 2025</w:t>
      </w:r>
      <w:r w:rsidR="007665EF">
        <w:t>, she will receive an additional £150.88 on top for annual leave. Employers must also clearly distinguish this payment separately on employee’s payslips.</w:t>
      </w:r>
    </w:p>
    <w:p w14:paraId="68A638D3" w14:textId="2FCBF23D" w:rsidR="007665EF" w:rsidRDefault="007665EF" w:rsidP="007C6F4F">
      <w:r w:rsidRPr="007665EF">
        <w:t xml:space="preserve">While workers must still </w:t>
      </w:r>
      <w:proofErr w:type="gramStart"/>
      <w:r w:rsidRPr="007665EF">
        <w:t>have the opportunity to</w:t>
      </w:r>
      <w:proofErr w:type="gramEnd"/>
      <w:r w:rsidRPr="007665EF">
        <w:t xml:space="preserve"> take their holidays, they will not receive their holiday pay at the time of leave</w:t>
      </w:r>
      <w:r>
        <w:t xml:space="preserve"> (Morris, 2025).</w:t>
      </w:r>
      <w:r w:rsidR="00440566">
        <w:t xml:space="preserve"> Unfortunately, this could lead to employees not taking any time off. ACAS (2024) explains that an employer has a legal responsibility to make sure employees take the holidays that they are entitled to and to actively encourage workers to take their holidays.</w:t>
      </w:r>
    </w:p>
    <w:p w14:paraId="684EA88B" w14:textId="77777777" w:rsidR="007C6F4F" w:rsidRDefault="007C6F4F" w:rsidP="007C6F4F"/>
    <w:p w14:paraId="2CA4CE8A" w14:textId="2BC0529F" w:rsidR="007C6F4F" w:rsidRPr="00B64A9D" w:rsidRDefault="007C6F4F" w:rsidP="007C6F4F">
      <w:pPr>
        <w:rPr>
          <w:b/>
          <w:bCs/>
        </w:rPr>
      </w:pPr>
      <w:r w:rsidRPr="00B64A9D">
        <w:rPr>
          <w:b/>
          <w:bCs/>
        </w:rPr>
        <w:t>(AC 4.2)</w:t>
      </w:r>
    </w:p>
    <w:p w14:paraId="6A661CE4" w14:textId="25ACDF98" w:rsidR="00D74A90" w:rsidRPr="00D74A90" w:rsidRDefault="00D74A90" w:rsidP="007C6F4F">
      <w:pPr>
        <w:rPr>
          <w:b/>
          <w:bCs/>
        </w:rPr>
      </w:pPr>
      <w:r w:rsidRPr="00D74A90">
        <w:rPr>
          <w:b/>
          <w:bCs/>
        </w:rPr>
        <w:t>Maternity Pay</w:t>
      </w:r>
    </w:p>
    <w:p w14:paraId="5E032CC6" w14:textId="285A221E" w:rsidR="007C6F4F" w:rsidRDefault="00647874" w:rsidP="007C6F4F">
      <w:r>
        <w:t>Daniels (</w:t>
      </w:r>
      <w:r w:rsidR="00B64A9D">
        <w:t>2022</w:t>
      </w:r>
      <w:r>
        <w:t xml:space="preserve">) states that there are three </w:t>
      </w:r>
      <w:r w:rsidR="00885BBB">
        <w:t>periods</w:t>
      </w:r>
      <w:r>
        <w:t xml:space="preserve"> of maternity leave. </w:t>
      </w:r>
      <w:r w:rsidR="00885BBB">
        <w:t>Compulsory Maternity Leave, Ordinary Maternity Leave (OML) and Additional Maternity Leave (AML).</w:t>
      </w:r>
    </w:p>
    <w:p w14:paraId="7C70AA92" w14:textId="5580CB0D" w:rsidR="00DD2610" w:rsidRDefault="00D74A90" w:rsidP="007C6F4F">
      <w:r w:rsidRPr="00D74A90">
        <w:t>Compulsory Maternity Leave</w:t>
      </w:r>
      <w:r w:rsidR="00DD2610">
        <w:t xml:space="preserve"> </w:t>
      </w:r>
      <w:r>
        <w:t>is</w:t>
      </w:r>
      <w:r w:rsidR="00DD2610" w:rsidRPr="00DD2610">
        <w:t xml:space="preserve"> the two weeks (four weeks for industrial or workshop workers) </w:t>
      </w:r>
      <w:r w:rsidR="00DD2610">
        <w:t>immediately</w:t>
      </w:r>
      <w:r w:rsidR="00DD2610" w:rsidRPr="00DD2610">
        <w:t xml:space="preserve"> after giving birth, </w:t>
      </w:r>
      <w:r>
        <w:t xml:space="preserve">whereby </w:t>
      </w:r>
      <w:r w:rsidR="00DD2610" w:rsidRPr="00DD2610">
        <w:t xml:space="preserve">no employee is permitted to work for her employer. This two-week period is included in </w:t>
      </w:r>
      <w:r w:rsidR="00F140B9">
        <w:t>the</w:t>
      </w:r>
      <w:r w:rsidR="00DD2610" w:rsidRPr="00DD2610">
        <w:t xml:space="preserve"> regular maternity leave.</w:t>
      </w:r>
    </w:p>
    <w:p w14:paraId="411D2163" w14:textId="573D8344" w:rsidR="00D74A90" w:rsidRDefault="00D74A90" w:rsidP="007C6F4F">
      <w:r w:rsidRPr="00D74A90">
        <w:t>Regardless of length of service, all pregnant women are eligible to 26 weeks of OML</w:t>
      </w:r>
      <w:r>
        <w:t xml:space="preserve"> and an additional 26 weeks of AML. AML starts immediately after the OML has finished.</w:t>
      </w:r>
    </w:p>
    <w:p w14:paraId="606B83C1" w14:textId="4152E251" w:rsidR="00345442" w:rsidRDefault="00345442" w:rsidP="00345442">
      <w:r>
        <w:t xml:space="preserve">CIPD </w:t>
      </w:r>
      <w:r w:rsidR="00AE4FF8">
        <w:t xml:space="preserve">(2025) </w:t>
      </w:r>
      <w:r>
        <w:t>states that mothers are entitled to up to 39 weeks of statutory maternity pay</w:t>
      </w:r>
      <w:r w:rsidR="009C6444">
        <w:t xml:space="preserve"> (SMP)</w:t>
      </w:r>
      <w:r>
        <w:t xml:space="preserve"> providing </w:t>
      </w:r>
      <w:proofErr w:type="gramStart"/>
      <w:r>
        <w:t>as long as</w:t>
      </w:r>
      <w:proofErr w:type="gramEnd"/>
      <w:r>
        <w:t xml:space="preserve"> they meet certain National Insurance contributions lower earnings limit requirements and have 26 weeks' continuous service (assessed at the 15th week before the baby is due).</w:t>
      </w:r>
      <w:r w:rsidR="009C6444">
        <w:t xml:space="preserve"> </w:t>
      </w:r>
      <w:r w:rsidR="009C6444" w:rsidRPr="009C6444">
        <w:t>Many organisations have more generous contractual terms for pay during the entire leave period</w:t>
      </w:r>
      <w:r w:rsidR="009C6444">
        <w:t xml:space="preserve"> but the statutory rate for the first six weeks of SMP is paid at 90% of average weekly earnings. Following the first six weeks, the rate of pay is £187.18 per week </w:t>
      </w:r>
      <w:r w:rsidR="009C6444" w:rsidRPr="009C6444">
        <w:t>or 90% of earnings if lower.</w:t>
      </w:r>
    </w:p>
    <w:p w14:paraId="03416BB5" w14:textId="3F7AF39D" w:rsidR="00D74A90" w:rsidRDefault="00D74A90" w:rsidP="00345442">
      <w:r>
        <w:t>Even though mothers are entitled to take 52 weeks of maternity leave in total, SMP is only paid for 39 weeks, so the final 13 weeks is unpaid.</w:t>
      </w:r>
    </w:p>
    <w:p w14:paraId="473ED1ED" w14:textId="3F749693" w:rsidR="00D74A90" w:rsidRPr="00D74A90" w:rsidRDefault="00D74A90" w:rsidP="00345442">
      <w:pPr>
        <w:rPr>
          <w:b/>
          <w:bCs/>
        </w:rPr>
      </w:pPr>
      <w:r w:rsidRPr="00D74A90">
        <w:rPr>
          <w:b/>
          <w:bCs/>
        </w:rPr>
        <w:t>Shared Parental Leave</w:t>
      </w:r>
    </w:p>
    <w:p w14:paraId="7E6D42A9" w14:textId="44C7BE33" w:rsidR="00815BE3" w:rsidRDefault="00815BE3" w:rsidP="007C6F4F">
      <w:r w:rsidRPr="00815BE3">
        <w:lastRenderedPageBreak/>
        <w:t>SPL was introduced by the Shared Parental Leave Regulations 2014</w:t>
      </w:r>
      <w:r>
        <w:t xml:space="preserve"> (Daniels, 2022).</w:t>
      </w:r>
    </w:p>
    <w:p w14:paraId="3AD98118" w14:textId="6B823D0E" w:rsidR="007C6F4F" w:rsidRDefault="00F140B9" w:rsidP="007C6F4F">
      <w:r w:rsidRPr="00F140B9">
        <w:t>The system of Shared Parental Leave (</w:t>
      </w:r>
      <w:proofErr w:type="spellStart"/>
      <w:r w:rsidRPr="00F140B9">
        <w:t>ShPL</w:t>
      </w:r>
      <w:proofErr w:type="spellEnd"/>
      <w:r w:rsidRPr="00F140B9">
        <w:t>) allows parents to share leave between them. The right applies to both opposite-sex and same-sex couples and includes when the individual has carried the child, when parent/s have had a child through a surrogacy arrangement and parent/s have adopted a child</w:t>
      </w:r>
      <w:r>
        <w:t xml:space="preserve"> (CIPD, 2025).</w:t>
      </w:r>
    </w:p>
    <w:p w14:paraId="6287B450" w14:textId="2C34A738" w:rsidR="00023061" w:rsidRDefault="00023061" w:rsidP="007C6F4F">
      <w:r>
        <w:t>Daniels (</w:t>
      </w:r>
      <w:r w:rsidR="000C3E81">
        <w:t>2022</w:t>
      </w:r>
      <w:r>
        <w:t xml:space="preserve">) states that to be entitled to </w:t>
      </w:r>
      <w:proofErr w:type="spellStart"/>
      <w:r>
        <w:t>ShPL</w:t>
      </w:r>
      <w:proofErr w:type="spellEnd"/>
      <w:r>
        <w:t xml:space="preserve">, </w:t>
      </w:r>
      <w:r w:rsidRPr="00023061">
        <w:t xml:space="preserve">the employee must be eligible to take SAL or </w:t>
      </w:r>
      <w:r w:rsidR="000E2ADE" w:rsidRPr="00023061">
        <w:t>SML or</w:t>
      </w:r>
      <w:r w:rsidRPr="00023061">
        <w:t xml:space="preserve"> be entitled to Statutory Maternity Pay (SMP), Statutory Adoption Pay (SAP) or Maternity Allowance (MA). Also, to be eligible, the mother or adopter must share responsibility for raising the child with the child’s father or her partner.</w:t>
      </w:r>
      <w:r>
        <w:t xml:space="preserve"> Daniels (</w:t>
      </w:r>
      <w:r w:rsidR="000C3E81">
        <w:t>2022</w:t>
      </w:r>
      <w:r>
        <w:t>) also states that b</w:t>
      </w:r>
      <w:r w:rsidRPr="00023061">
        <w:t xml:space="preserve">y the conclusion of the 15th week prior to the week the </w:t>
      </w:r>
      <w:r>
        <w:t>child</w:t>
      </w:r>
      <w:r w:rsidRPr="00023061">
        <w:t xml:space="preserve"> is due or the week the adopter is informed that they have been matched with a child, the employee must also have been employed by the same company for a minimum of 26 weeks. The other parent must have earned more than the Maternity Allowance criteria in 13 of the 66 weeks before to the baby's due date and must have worked for 26 of those weeks.</w:t>
      </w:r>
    </w:p>
    <w:p w14:paraId="38CB83CF" w14:textId="08E2304E" w:rsidR="00F140B9" w:rsidRDefault="00F140B9" w:rsidP="007C6F4F">
      <w:r>
        <w:t xml:space="preserve">The Compulsory Maternity Leave is still required to be taken by the mother and cannot be part of the </w:t>
      </w:r>
      <w:proofErr w:type="spellStart"/>
      <w:r>
        <w:t>ShPL</w:t>
      </w:r>
      <w:proofErr w:type="spellEnd"/>
      <w:r>
        <w:t xml:space="preserve">, which means that there is 50 weeks available to take as </w:t>
      </w:r>
      <w:proofErr w:type="spellStart"/>
      <w:r>
        <w:t>ShPL</w:t>
      </w:r>
      <w:proofErr w:type="spellEnd"/>
      <w:r>
        <w:t>. If any Statutory Maternity Leave or Statutory Adoption leave is taken</w:t>
      </w:r>
      <w:r w:rsidR="00023061">
        <w:t xml:space="preserve"> by the mother</w:t>
      </w:r>
      <w:r>
        <w:t>, then this amount of time is to be deducted</w:t>
      </w:r>
      <w:r w:rsidR="00023061">
        <w:t xml:space="preserve"> from the </w:t>
      </w:r>
      <w:proofErr w:type="spellStart"/>
      <w:r w:rsidR="00023061">
        <w:t>ShPL</w:t>
      </w:r>
      <w:proofErr w:type="spellEnd"/>
      <w:r w:rsidR="00023061">
        <w:t xml:space="preserve">. </w:t>
      </w:r>
    </w:p>
    <w:p w14:paraId="5A6B1118" w14:textId="632BE654" w:rsidR="00023061" w:rsidRDefault="00023061" w:rsidP="007C6F4F">
      <w:r>
        <w:t xml:space="preserve">The rate of pay for </w:t>
      </w:r>
      <w:proofErr w:type="spellStart"/>
      <w:r>
        <w:t>ShPL</w:t>
      </w:r>
      <w:proofErr w:type="spellEnd"/>
      <w:r>
        <w:t xml:space="preserve"> is the same rate as Statutory Maternity Pay</w:t>
      </w:r>
      <w:r w:rsidR="000C3E81">
        <w:t xml:space="preserve"> and the total period of paid </w:t>
      </w:r>
      <w:proofErr w:type="spellStart"/>
      <w:r w:rsidR="000C3E81">
        <w:t>ShPL</w:t>
      </w:r>
      <w:proofErr w:type="spellEnd"/>
      <w:r w:rsidR="000C3E81">
        <w:t xml:space="preserve"> will not exceed 37 weeks (plus the 2 weeks Compulsory Maternity Leave).</w:t>
      </w:r>
    </w:p>
    <w:p w14:paraId="453A5567" w14:textId="00483857" w:rsidR="007C6F4F" w:rsidRPr="004F6CAC" w:rsidRDefault="007C6F4F" w:rsidP="007C6F4F">
      <w:pPr>
        <w:rPr>
          <w:b/>
          <w:bCs/>
        </w:rPr>
      </w:pPr>
      <w:r w:rsidRPr="004F6CAC">
        <w:rPr>
          <w:b/>
          <w:bCs/>
        </w:rPr>
        <w:t>(AC 4.3)</w:t>
      </w:r>
    </w:p>
    <w:p w14:paraId="1E1A53CB" w14:textId="7F7BFA51" w:rsidR="008C4FC7" w:rsidRDefault="0000702A" w:rsidP="007C6F4F">
      <w:r w:rsidRPr="0000702A">
        <w:t>‘Flexible working’ describes a type of working arrangement which gives a degree of flexibility on how long, where, when and at what times employees work</w:t>
      </w:r>
      <w:r>
        <w:t xml:space="preserve"> (CIPD, 2025).</w:t>
      </w:r>
    </w:p>
    <w:p w14:paraId="0999EE2E" w14:textId="03C0B32C" w:rsidR="000810E4" w:rsidRDefault="000810E4" w:rsidP="000810E4">
      <w:r>
        <w:t>ACAS (2024) states that b</w:t>
      </w:r>
      <w:r w:rsidRPr="000810E4">
        <w:t>y law (Employment Rights Act 1996), employees have a statutory (legal) right to request flexible working</w:t>
      </w:r>
      <w:r>
        <w:t xml:space="preserve"> and can do so from the first day of employment with a company. </w:t>
      </w:r>
      <w:r w:rsidRPr="000810E4">
        <w:t>An employee may request flexible work arrangements in a variety of ways.</w:t>
      </w:r>
      <w:r>
        <w:t xml:space="preserve"> These can include, but are not limited </w:t>
      </w:r>
      <w:r w:rsidR="00506F63">
        <w:t>to</w:t>
      </w:r>
      <w:r>
        <w:t xml:space="preserve"> part-time hours, staggered hours, remote working, working from home or hybrid</w:t>
      </w:r>
      <w:r w:rsidR="00E36BE2">
        <w:t>-</w:t>
      </w:r>
      <w:r>
        <w:t xml:space="preserve">working. </w:t>
      </w:r>
    </w:p>
    <w:p w14:paraId="714CB778" w14:textId="334140B3" w:rsidR="00506F63" w:rsidRDefault="00506F63" w:rsidP="000810E4">
      <w:r>
        <w:t>If an employee wants to make a flexible working request, they must submit their request in writing, either by letter or email and state that it is statutory request for flexible working. ACAS (2024) also states that the request must include:</w:t>
      </w:r>
    </w:p>
    <w:p w14:paraId="4C46EA5E" w14:textId="3F65CA62" w:rsidR="00506F63" w:rsidRPr="00506F63" w:rsidRDefault="00506F63" w:rsidP="00506F63">
      <w:pPr>
        <w:numPr>
          <w:ilvl w:val="0"/>
          <w:numId w:val="2"/>
        </w:numPr>
      </w:pPr>
      <w:r w:rsidRPr="00506F63">
        <w:t xml:space="preserve">the date of </w:t>
      </w:r>
      <w:r>
        <w:t xml:space="preserve">the </w:t>
      </w:r>
      <w:r w:rsidRPr="00506F63">
        <w:t>request</w:t>
      </w:r>
    </w:p>
    <w:p w14:paraId="5799F43C" w14:textId="0796DD3B" w:rsidR="00506F63" w:rsidRPr="00506F63" w:rsidRDefault="00506F63" w:rsidP="00506F63">
      <w:pPr>
        <w:numPr>
          <w:ilvl w:val="0"/>
          <w:numId w:val="2"/>
        </w:numPr>
      </w:pPr>
      <w:r w:rsidRPr="00506F63">
        <w:t xml:space="preserve">the change </w:t>
      </w:r>
      <w:r>
        <w:t>the employee is</w:t>
      </w:r>
      <w:r w:rsidRPr="00506F63">
        <w:t xml:space="preserve"> requesting – </w:t>
      </w:r>
      <w:r>
        <w:t xml:space="preserve">e.g. </w:t>
      </w:r>
      <w:r w:rsidRPr="00506F63">
        <w:t>the change in hours or place of work</w:t>
      </w:r>
    </w:p>
    <w:p w14:paraId="483B84B4" w14:textId="35D92904" w:rsidR="00506F63" w:rsidRPr="00506F63" w:rsidRDefault="00506F63" w:rsidP="00506F63">
      <w:pPr>
        <w:numPr>
          <w:ilvl w:val="0"/>
          <w:numId w:val="2"/>
        </w:numPr>
      </w:pPr>
      <w:r w:rsidRPr="00506F63">
        <w:t xml:space="preserve">when </w:t>
      </w:r>
      <w:r>
        <w:t>the employee would</w:t>
      </w:r>
      <w:r w:rsidRPr="00506F63">
        <w:t xml:space="preserve"> like the change to start</w:t>
      </w:r>
    </w:p>
    <w:p w14:paraId="2E5EBE3D" w14:textId="6A5F754E" w:rsidR="00506F63" w:rsidRPr="00506F63" w:rsidRDefault="00506F63" w:rsidP="00506F63">
      <w:pPr>
        <w:numPr>
          <w:ilvl w:val="0"/>
          <w:numId w:val="2"/>
        </w:numPr>
      </w:pPr>
      <w:r w:rsidRPr="00506F63">
        <w:t xml:space="preserve">if </w:t>
      </w:r>
      <w:r>
        <w:t>the employee has</w:t>
      </w:r>
      <w:r w:rsidRPr="00506F63">
        <w:t xml:space="preserve"> made any previous statutory flexible working requests</w:t>
      </w:r>
    </w:p>
    <w:p w14:paraId="03B503A1" w14:textId="6B243150" w:rsidR="00506F63" w:rsidRDefault="00506F63" w:rsidP="00506F63">
      <w:pPr>
        <w:numPr>
          <w:ilvl w:val="0"/>
          <w:numId w:val="2"/>
        </w:numPr>
      </w:pPr>
      <w:r w:rsidRPr="00506F63">
        <w:t>the date of any previous requests</w:t>
      </w:r>
      <w:r>
        <w:t>.</w:t>
      </w:r>
    </w:p>
    <w:p w14:paraId="69732A25" w14:textId="2F495F8F" w:rsidR="00506F63" w:rsidRDefault="00A72786" w:rsidP="00506F63">
      <w:r>
        <w:t xml:space="preserve">By having </w:t>
      </w:r>
      <w:proofErr w:type="gramStart"/>
      <w:r>
        <w:t>all of</w:t>
      </w:r>
      <w:proofErr w:type="gramEnd"/>
      <w:r>
        <w:t xml:space="preserve"> the above information, it gives the employer the right information to understand if the employee is eligible to make this request. Employees are entitled to make 2 flexible working requests within any 12-month period and can only have one request live at a time.</w:t>
      </w:r>
    </w:p>
    <w:p w14:paraId="56B88509" w14:textId="43925694" w:rsidR="00A72786" w:rsidRDefault="00A72786" w:rsidP="00506F63">
      <w:r w:rsidRPr="00A72786">
        <w:lastRenderedPageBreak/>
        <w:t>Once the employer has received the request, they must arrange a meeting with the employee to discuss it. The employee has the right to be accompanied to this meeting by a fellow worker or a trade union representative</w:t>
      </w:r>
      <w:r>
        <w:t xml:space="preserve"> (Daniels, 2022). The employer must </w:t>
      </w:r>
      <w:proofErr w:type="gramStart"/>
      <w:r>
        <w:t>make a decision</w:t>
      </w:r>
      <w:proofErr w:type="gramEnd"/>
      <w:r>
        <w:t xml:space="preserve"> and include time for any appeal, within a maximum of 2 months.</w:t>
      </w:r>
    </w:p>
    <w:p w14:paraId="6C1FD368" w14:textId="3BAF62AE" w:rsidR="00A72786" w:rsidRDefault="00A72786" w:rsidP="00506F63">
      <w:r w:rsidRPr="00A72786">
        <w:t xml:space="preserve">The Employment Rights Act of 1996 stipulates that a request must </w:t>
      </w:r>
      <w:r>
        <w:t xml:space="preserve">only </w:t>
      </w:r>
      <w:r w:rsidRPr="00A72786">
        <w:t>be denied for one or more of the following business grounds</w:t>
      </w:r>
      <w:r>
        <w:t>:</w:t>
      </w:r>
    </w:p>
    <w:p w14:paraId="2EAFD373" w14:textId="77777777" w:rsidR="008A6E45" w:rsidRPr="008A6E45" w:rsidRDefault="008A6E45" w:rsidP="008A6E45">
      <w:pPr>
        <w:numPr>
          <w:ilvl w:val="0"/>
          <w:numId w:val="3"/>
        </w:numPr>
      </w:pPr>
      <w:r w:rsidRPr="008A6E45">
        <w:t>a detrimental effect on ability to meet customer demand</w:t>
      </w:r>
    </w:p>
    <w:p w14:paraId="2A4FB38D" w14:textId="77777777" w:rsidR="008A6E45" w:rsidRPr="008A6E45" w:rsidRDefault="008A6E45" w:rsidP="008A6E45">
      <w:pPr>
        <w:numPr>
          <w:ilvl w:val="0"/>
          <w:numId w:val="3"/>
        </w:numPr>
      </w:pPr>
      <w:r w:rsidRPr="008A6E45">
        <w:t>insufficient work available for the periods the employee proposes to work</w:t>
      </w:r>
    </w:p>
    <w:p w14:paraId="4EA7FAB8" w14:textId="77777777" w:rsidR="008A6E45" w:rsidRPr="008A6E45" w:rsidRDefault="008A6E45" w:rsidP="008A6E45">
      <w:pPr>
        <w:numPr>
          <w:ilvl w:val="0"/>
          <w:numId w:val="3"/>
        </w:numPr>
      </w:pPr>
      <w:r w:rsidRPr="008A6E45">
        <w:t>planned structural changes to the employer's business</w:t>
      </w:r>
    </w:p>
    <w:p w14:paraId="654BF4B7" w14:textId="77777777" w:rsidR="008A6E45" w:rsidRPr="008A6E45" w:rsidRDefault="008A6E45" w:rsidP="008A6E45">
      <w:pPr>
        <w:numPr>
          <w:ilvl w:val="0"/>
          <w:numId w:val="3"/>
        </w:numPr>
      </w:pPr>
      <w:r w:rsidRPr="008A6E45">
        <w:t>an inability to recruit additional staff</w:t>
      </w:r>
    </w:p>
    <w:p w14:paraId="2DF803A6" w14:textId="77777777" w:rsidR="008A6E45" w:rsidRPr="008A6E45" w:rsidRDefault="008A6E45" w:rsidP="008A6E45">
      <w:pPr>
        <w:numPr>
          <w:ilvl w:val="0"/>
          <w:numId w:val="3"/>
        </w:numPr>
      </w:pPr>
      <w:r w:rsidRPr="008A6E45">
        <w:t>a detrimental impact on quality</w:t>
      </w:r>
    </w:p>
    <w:p w14:paraId="1EB0B1C0" w14:textId="77777777" w:rsidR="008A6E45" w:rsidRDefault="008A6E45" w:rsidP="008A6E45">
      <w:pPr>
        <w:numPr>
          <w:ilvl w:val="0"/>
          <w:numId w:val="3"/>
        </w:numPr>
      </w:pPr>
      <w:r w:rsidRPr="008A6E45">
        <w:t>a detrimental impact on performance</w:t>
      </w:r>
    </w:p>
    <w:p w14:paraId="5978A8F4" w14:textId="77777777" w:rsidR="008A6E45" w:rsidRDefault="008A6E45" w:rsidP="008A6E45">
      <w:pPr>
        <w:numPr>
          <w:ilvl w:val="0"/>
          <w:numId w:val="3"/>
        </w:numPr>
      </w:pPr>
      <w:r>
        <w:t>an inability to recruit additional staff</w:t>
      </w:r>
    </w:p>
    <w:p w14:paraId="04F66D77" w14:textId="77777777" w:rsidR="008A6E45" w:rsidRDefault="008A6E45" w:rsidP="008A6E45">
      <w:pPr>
        <w:numPr>
          <w:ilvl w:val="0"/>
          <w:numId w:val="3"/>
        </w:numPr>
      </w:pPr>
      <w:r>
        <w:t>a detrimental impact on quality</w:t>
      </w:r>
    </w:p>
    <w:p w14:paraId="1FD27ED9" w14:textId="2C993F31" w:rsidR="008A6E45" w:rsidRDefault="008A6E45" w:rsidP="008A6E45">
      <w:pPr>
        <w:numPr>
          <w:ilvl w:val="0"/>
          <w:numId w:val="3"/>
        </w:numPr>
      </w:pPr>
      <w:r>
        <w:t>a detrimental impact on performance.</w:t>
      </w:r>
    </w:p>
    <w:p w14:paraId="119C5AF0" w14:textId="2C7FB858" w:rsidR="008C4FC7" w:rsidRDefault="008A6E45" w:rsidP="007C6F4F">
      <w:r>
        <w:t xml:space="preserve">Accepting flexible working requests have the potential to create direct and indirect business benefits. The direct benefits can include </w:t>
      </w:r>
      <w:r w:rsidRPr="008A6E45">
        <w:t>sav</w:t>
      </w:r>
      <w:r>
        <w:t>ing</w:t>
      </w:r>
      <w:r w:rsidRPr="008A6E45">
        <w:t xml:space="preserve"> on office space, for instance, by enabling hot desking and remote working. Additionally, flexible working enables a better alignment of business resources with demand, such as providing round-the-clock customer service.</w:t>
      </w:r>
      <w:r>
        <w:t xml:space="preserve"> </w:t>
      </w:r>
      <w:r w:rsidRPr="008A6E45">
        <w:t xml:space="preserve">Benefits to the </w:t>
      </w:r>
      <w:r>
        <w:t>company</w:t>
      </w:r>
      <w:r w:rsidRPr="008A6E45">
        <w:t xml:space="preserve"> are indirectly obtained through increased </w:t>
      </w:r>
      <w:r>
        <w:t>employee</w:t>
      </w:r>
      <w:r w:rsidRPr="008A6E45">
        <w:t xml:space="preserve"> welfare and job satisfaction.</w:t>
      </w:r>
      <w:r>
        <w:t xml:space="preserve"> </w:t>
      </w:r>
      <w:r w:rsidRPr="008A6E45">
        <w:t>Research shows that flexible workers have a higher level of job satisfaction, commitment and are more likely to increase discretionary effort compared to those who do not work flexibly</w:t>
      </w:r>
      <w:r>
        <w:t xml:space="preserve"> (CIPD, 2025)</w:t>
      </w:r>
      <w:r w:rsidR="004F6CAC">
        <w:t>.</w:t>
      </w:r>
    </w:p>
    <w:p w14:paraId="1EC0265C" w14:textId="77777777" w:rsidR="008C4FC7" w:rsidRDefault="008C4FC7" w:rsidP="007C6F4F"/>
    <w:p w14:paraId="41C835B0" w14:textId="14BC8A53" w:rsidR="008C4FC7" w:rsidRPr="00AD2F4F" w:rsidRDefault="008C4FC7" w:rsidP="007C6F4F">
      <w:pPr>
        <w:rPr>
          <w:b/>
          <w:bCs/>
          <w:u w:val="single"/>
        </w:rPr>
      </w:pPr>
      <w:r w:rsidRPr="00AD2F4F">
        <w:rPr>
          <w:b/>
          <w:bCs/>
          <w:u w:val="single"/>
        </w:rPr>
        <w:t>Bibliography</w:t>
      </w:r>
    </w:p>
    <w:p w14:paraId="69434368" w14:textId="130A78CB" w:rsidR="00EA512E" w:rsidRPr="00EA512E" w:rsidRDefault="00EA512E" w:rsidP="008C4FC7">
      <w:r>
        <w:t xml:space="preserve">ACAS (2024) </w:t>
      </w:r>
      <w:proofErr w:type="spellStart"/>
      <w:r w:rsidRPr="00EA512E">
        <w:rPr>
          <w:i/>
          <w:iCs/>
        </w:rPr>
        <w:t>Acas</w:t>
      </w:r>
      <w:proofErr w:type="spellEnd"/>
      <w:r w:rsidRPr="00EA512E">
        <w:rPr>
          <w:i/>
          <w:iCs/>
        </w:rPr>
        <w:t xml:space="preserve"> Code of Practice on requests for flexible working</w:t>
      </w:r>
      <w:r>
        <w:rPr>
          <w:i/>
          <w:iCs/>
        </w:rPr>
        <w:t xml:space="preserve">. </w:t>
      </w:r>
      <w:r>
        <w:t xml:space="preserve">Available at: </w:t>
      </w:r>
      <w:hyperlink r:id="rId15" w:history="1">
        <w:r w:rsidRPr="00716D8D">
          <w:rPr>
            <w:rStyle w:val="Hyperlink"/>
          </w:rPr>
          <w:t>https://www.acas.org.uk/acas-code-of-practice-on-flexible-working-requests/</w:t>
        </w:r>
      </w:hyperlink>
      <w:r>
        <w:t xml:space="preserve"> (Accessed: 24 May 2025).</w:t>
      </w:r>
    </w:p>
    <w:p w14:paraId="7D9A0FF0" w14:textId="5D78402F" w:rsidR="00EA512E" w:rsidRDefault="00EA512E" w:rsidP="008C4FC7">
      <w:r w:rsidRPr="00EA512E">
        <w:t>ACAS (2024) </w:t>
      </w:r>
      <w:r w:rsidRPr="00EA512E">
        <w:rPr>
          <w:i/>
          <w:iCs/>
        </w:rPr>
        <w:t>Constructive dismissal</w:t>
      </w:r>
      <w:r w:rsidRPr="00EA512E">
        <w:t>. Available at: </w:t>
      </w:r>
      <w:hyperlink r:id="rId16" w:history="1">
        <w:r w:rsidRPr="004B79DA">
          <w:rPr>
            <w:rStyle w:val="Hyperlink"/>
          </w:rPr>
          <w:t>https://www.acas.org.uk/dismissals/constructive-dismissal</w:t>
        </w:r>
      </w:hyperlink>
      <w:r>
        <w:t xml:space="preserve"> </w:t>
      </w:r>
      <w:r w:rsidRPr="00EA512E">
        <w:t>(Accessed: 25 May 2025).</w:t>
      </w:r>
    </w:p>
    <w:p w14:paraId="71D6976F" w14:textId="29FDA3ED" w:rsidR="00006C79" w:rsidRDefault="00006C79" w:rsidP="008C4FC7">
      <w:r w:rsidRPr="00EA512E">
        <w:t>ACAS (2024) </w:t>
      </w:r>
      <w:r w:rsidRPr="00006C79">
        <w:rPr>
          <w:i/>
          <w:iCs/>
        </w:rPr>
        <w:t>Equal pay and the law</w:t>
      </w:r>
      <w:r w:rsidRPr="00EA512E">
        <w:t>. Available at: </w:t>
      </w:r>
      <w:hyperlink r:id="rId17" w:history="1">
        <w:r w:rsidRPr="003535BF">
          <w:rPr>
            <w:rStyle w:val="Hyperlink"/>
          </w:rPr>
          <w:t>https://www.acas.org.uk/equal-pay/equal-pay-law</w:t>
        </w:r>
      </w:hyperlink>
      <w:r>
        <w:t xml:space="preserve"> </w:t>
      </w:r>
      <w:r w:rsidRPr="00EA512E">
        <w:t xml:space="preserve">(Accessed: </w:t>
      </w:r>
      <w:r>
        <w:t>01 June</w:t>
      </w:r>
      <w:r w:rsidRPr="00EA512E">
        <w:t xml:space="preserve"> 2025).</w:t>
      </w:r>
    </w:p>
    <w:p w14:paraId="76C480C0" w14:textId="1767A10C" w:rsidR="00AD2F4F" w:rsidRDefault="00AD2F4F" w:rsidP="008C4FC7">
      <w:r>
        <w:t>ACAS</w:t>
      </w:r>
      <w:r w:rsidRPr="00EE46FF">
        <w:t xml:space="preserve"> (202</w:t>
      </w:r>
      <w:r>
        <w:t>4</w:t>
      </w:r>
      <w:r w:rsidRPr="00EE46FF">
        <w:t xml:space="preserve">) </w:t>
      </w:r>
      <w:r w:rsidRPr="00AD2F4F">
        <w:t>Irregular hours and part-year workers</w:t>
      </w:r>
      <w:r>
        <w:t xml:space="preserve"> – Holiday pay. </w:t>
      </w:r>
      <w:r w:rsidRPr="00EE46FF">
        <w:t xml:space="preserve">Available at: </w:t>
      </w:r>
      <w:hyperlink r:id="rId18" w:history="1">
        <w:r w:rsidRPr="00D86A45">
          <w:rPr>
            <w:rStyle w:val="Hyperlink"/>
          </w:rPr>
          <w:t>https://www.acas.org.uk/irregular-hours-and-part-year-workers/calculating-holiday-pay</w:t>
        </w:r>
      </w:hyperlink>
      <w:r>
        <w:t xml:space="preserve"> </w:t>
      </w:r>
      <w:r w:rsidRPr="00EE46FF">
        <w:t xml:space="preserve">(Accessed: </w:t>
      </w:r>
      <w:r>
        <w:t>27</w:t>
      </w:r>
      <w:r w:rsidRPr="00EE46FF">
        <w:t xml:space="preserve"> April 2025).</w:t>
      </w:r>
    </w:p>
    <w:p w14:paraId="5FF0A5E4" w14:textId="39C4AE56" w:rsidR="00AD2F4F" w:rsidRDefault="00AD2F4F" w:rsidP="008C4FC7">
      <w:r>
        <w:t>ACAS</w:t>
      </w:r>
      <w:r w:rsidRPr="00EE46FF">
        <w:t xml:space="preserve"> (202</w:t>
      </w:r>
      <w:r>
        <w:t>4</w:t>
      </w:r>
      <w:r w:rsidRPr="00EE46FF">
        <w:t xml:space="preserve">) </w:t>
      </w:r>
      <w:r w:rsidRPr="00AD2F4F">
        <w:t>Irregular hours and part-year workers</w:t>
      </w:r>
      <w:r>
        <w:t xml:space="preserve"> – Rolled-up pay. </w:t>
      </w:r>
      <w:r w:rsidRPr="00EE46FF">
        <w:t>Available at:</w:t>
      </w:r>
      <w:r>
        <w:t xml:space="preserve"> </w:t>
      </w:r>
      <w:hyperlink r:id="rId19" w:history="1">
        <w:r w:rsidRPr="00D86A45">
          <w:rPr>
            <w:rStyle w:val="Hyperlink"/>
          </w:rPr>
          <w:t>https://www.acas.org.uk/irregular-hours-and-part-year-workers/rolled-up-holiday-pay</w:t>
        </w:r>
      </w:hyperlink>
      <w:r>
        <w:t xml:space="preserve"> </w:t>
      </w:r>
      <w:r w:rsidRPr="00EE46FF">
        <w:t xml:space="preserve">(Accessed: </w:t>
      </w:r>
      <w:r>
        <w:t>27</w:t>
      </w:r>
      <w:r w:rsidRPr="00EE46FF">
        <w:t xml:space="preserve"> April 2025).</w:t>
      </w:r>
    </w:p>
    <w:p w14:paraId="6D57A9D5" w14:textId="4CE94A9C" w:rsidR="00EA512E" w:rsidRDefault="00EA512E" w:rsidP="008C4FC7">
      <w:r w:rsidRPr="00EA512E">
        <w:lastRenderedPageBreak/>
        <w:t>ACAS (2024) </w:t>
      </w:r>
      <w:r w:rsidRPr="00EA512E">
        <w:rPr>
          <w:i/>
          <w:iCs/>
        </w:rPr>
        <w:t>Making a request</w:t>
      </w:r>
      <w:r w:rsidRPr="00EA512E">
        <w:t>. Available at: </w:t>
      </w:r>
      <w:hyperlink r:id="rId20" w:history="1">
        <w:r w:rsidRPr="004B79DA">
          <w:rPr>
            <w:rStyle w:val="Hyperlink"/>
          </w:rPr>
          <w:t>https://www.acas.org.uk/statutory-flexible-working-requests/making-a-request</w:t>
        </w:r>
      </w:hyperlink>
      <w:r>
        <w:t xml:space="preserve"> (</w:t>
      </w:r>
      <w:r w:rsidRPr="00EA512E">
        <w:t>Accessed: 2</w:t>
      </w:r>
      <w:r>
        <w:t>4</w:t>
      </w:r>
      <w:r w:rsidRPr="00EA512E">
        <w:t xml:space="preserve"> May 2025).</w:t>
      </w:r>
    </w:p>
    <w:p w14:paraId="5A0C1DA7" w14:textId="077EB22D" w:rsidR="00C6691D" w:rsidRDefault="00C6691D" w:rsidP="00C6691D">
      <w:r w:rsidRPr="00EA512E">
        <w:t>ACAS (202</w:t>
      </w:r>
      <w:r>
        <w:t>5</w:t>
      </w:r>
      <w:r w:rsidRPr="00EA512E">
        <w:t>) </w:t>
      </w:r>
      <w:r w:rsidRPr="00C6691D">
        <w:rPr>
          <w:i/>
          <w:iCs/>
        </w:rPr>
        <w:t>Managing staff redundancies</w:t>
      </w:r>
      <w:r>
        <w:rPr>
          <w:i/>
          <w:iCs/>
        </w:rPr>
        <w:t xml:space="preserve"> </w:t>
      </w:r>
      <w:r w:rsidRPr="00EA512E">
        <w:t>Available at: </w:t>
      </w:r>
      <w:hyperlink r:id="rId21" w:history="1">
        <w:r w:rsidRPr="00B30581">
          <w:rPr>
            <w:rStyle w:val="Hyperlink"/>
          </w:rPr>
          <w:t>https://www.acas.org.uk/manage-staff-redundancies</w:t>
        </w:r>
      </w:hyperlink>
      <w:r>
        <w:t xml:space="preserve"> (</w:t>
      </w:r>
      <w:r w:rsidRPr="00EA512E">
        <w:t>Accessed: 2</w:t>
      </w:r>
      <w:r>
        <w:t>5</w:t>
      </w:r>
      <w:r w:rsidRPr="00EA512E">
        <w:t xml:space="preserve"> May 2025).</w:t>
      </w:r>
    </w:p>
    <w:p w14:paraId="2A12ACA0" w14:textId="712B7FA2" w:rsidR="00606576" w:rsidRDefault="00606576" w:rsidP="00C6691D">
      <w:r w:rsidRPr="00EA512E">
        <w:t>ACAS (202</w:t>
      </w:r>
      <w:r>
        <w:t>5</w:t>
      </w:r>
      <w:r w:rsidRPr="00EA512E">
        <w:t>) </w:t>
      </w:r>
      <w:r>
        <w:rPr>
          <w:i/>
          <w:iCs/>
        </w:rPr>
        <w:t>Recruitment</w:t>
      </w:r>
      <w:r>
        <w:rPr>
          <w:i/>
          <w:iCs/>
        </w:rPr>
        <w:t xml:space="preserve"> </w:t>
      </w:r>
      <w:r w:rsidRPr="00EA512E">
        <w:t>Available at: </w:t>
      </w:r>
      <w:hyperlink r:id="rId22" w:history="1">
        <w:r w:rsidRPr="005200BE">
          <w:rPr>
            <w:rStyle w:val="Hyperlink"/>
          </w:rPr>
          <w:t>https://www.acas.org.uk/recruitment</w:t>
        </w:r>
      </w:hyperlink>
      <w:r>
        <w:t xml:space="preserve"> </w:t>
      </w:r>
      <w:r>
        <w:t>(</w:t>
      </w:r>
      <w:r w:rsidRPr="00EA512E">
        <w:t xml:space="preserve">Accessed: </w:t>
      </w:r>
      <w:r>
        <w:t>02 June</w:t>
      </w:r>
      <w:r w:rsidRPr="00EA512E">
        <w:t xml:space="preserve"> 2025).</w:t>
      </w:r>
    </w:p>
    <w:p w14:paraId="6FEF624B" w14:textId="2F534F37" w:rsidR="00EC4551" w:rsidRPr="00C6691D" w:rsidRDefault="00EC4551" w:rsidP="00C6691D">
      <w:pPr>
        <w:rPr>
          <w:i/>
          <w:iCs/>
        </w:rPr>
      </w:pPr>
      <w:r w:rsidRPr="00EA512E">
        <w:t>ACAS (202</w:t>
      </w:r>
      <w:r>
        <w:t>4</w:t>
      </w:r>
      <w:r w:rsidRPr="00EA512E">
        <w:t>) </w:t>
      </w:r>
      <w:r w:rsidRPr="00EC4551">
        <w:rPr>
          <w:i/>
          <w:iCs/>
        </w:rPr>
        <w:t>TUPE</w:t>
      </w:r>
      <w:r>
        <w:rPr>
          <w:i/>
          <w:iCs/>
        </w:rPr>
        <w:t xml:space="preserve"> </w:t>
      </w:r>
      <w:r w:rsidRPr="00EA512E">
        <w:t>Available at: </w:t>
      </w:r>
      <w:hyperlink r:id="rId23" w:history="1">
        <w:r w:rsidRPr="003535BF">
          <w:rPr>
            <w:rStyle w:val="Hyperlink"/>
          </w:rPr>
          <w:t>https://www.acas.org.uk/tupe/advice-for-employers-and-employees</w:t>
        </w:r>
      </w:hyperlink>
      <w:r>
        <w:t xml:space="preserve"> (</w:t>
      </w:r>
      <w:r w:rsidRPr="00EA512E">
        <w:t>Accessed: 2</w:t>
      </w:r>
      <w:r>
        <w:t>9</w:t>
      </w:r>
      <w:r w:rsidRPr="00EA512E">
        <w:t xml:space="preserve"> May 2025).</w:t>
      </w:r>
    </w:p>
    <w:p w14:paraId="1BFE20AA" w14:textId="35541C0A" w:rsidR="008C4FC7" w:rsidRDefault="008C4FC7" w:rsidP="008C4FC7">
      <w:r>
        <w:t xml:space="preserve">Ayling, L, and </w:t>
      </w:r>
      <w:proofErr w:type="spellStart"/>
      <w:r>
        <w:t>Suff</w:t>
      </w:r>
      <w:proofErr w:type="spellEnd"/>
      <w:r>
        <w:t>, R</w:t>
      </w:r>
      <w:r w:rsidRPr="009415FB">
        <w:t>. (202</w:t>
      </w:r>
      <w:r>
        <w:t>4</w:t>
      </w:r>
      <w:r w:rsidRPr="009415FB">
        <w:t>) </w:t>
      </w:r>
      <w:r w:rsidRPr="008C4FC7">
        <w:rPr>
          <w:i/>
          <w:iCs/>
        </w:rPr>
        <w:t>Working hours and time off work</w:t>
      </w:r>
      <w:r>
        <w:rPr>
          <w:i/>
          <w:iCs/>
        </w:rPr>
        <w:t xml:space="preserve">. </w:t>
      </w:r>
      <w:r w:rsidRPr="009415FB">
        <w:t>Available at: </w:t>
      </w:r>
      <w:hyperlink r:id="rId24" w:history="1">
        <w:r w:rsidRPr="00D86A45">
          <w:rPr>
            <w:rStyle w:val="Hyperlink"/>
          </w:rPr>
          <w:t>https://www.cipd.org/uk/knowledge/factsheets/working-time-factsheet/</w:t>
        </w:r>
      </w:hyperlink>
      <w:r>
        <w:t xml:space="preserve"> </w:t>
      </w:r>
      <w:r w:rsidRPr="009415FB">
        <w:t xml:space="preserve">(Accessed: </w:t>
      </w:r>
      <w:r>
        <w:t>27 April</w:t>
      </w:r>
      <w:r w:rsidRPr="009415FB">
        <w:t xml:space="preserve"> 202</w:t>
      </w:r>
      <w:r>
        <w:t>5</w:t>
      </w:r>
      <w:r w:rsidRPr="009415FB">
        <w:t>).</w:t>
      </w:r>
    </w:p>
    <w:p w14:paraId="1CF5CA9E" w14:textId="07A5FD92" w:rsidR="00571900" w:rsidRDefault="00571900" w:rsidP="008C4FC7">
      <w:r>
        <w:t>CIPD</w:t>
      </w:r>
      <w:r>
        <w:t>.</w:t>
      </w:r>
      <w:r w:rsidRPr="00EA512E">
        <w:t> </w:t>
      </w:r>
      <w:r>
        <w:rPr>
          <w:i/>
          <w:iCs/>
        </w:rPr>
        <w:t>E</w:t>
      </w:r>
      <w:r w:rsidRPr="00892CAF">
        <w:rPr>
          <w:i/>
          <w:iCs/>
        </w:rPr>
        <w:t>mployment law</w:t>
      </w:r>
      <w:r>
        <w:rPr>
          <w:i/>
          <w:iCs/>
        </w:rPr>
        <w:t xml:space="preserve">. </w:t>
      </w:r>
      <w:r w:rsidRPr="00EA512E">
        <w:t>Available at: </w:t>
      </w:r>
      <w:hyperlink r:id="rId25" w:history="1">
        <w:r w:rsidRPr="005200BE">
          <w:rPr>
            <w:rStyle w:val="Hyperlink"/>
          </w:rPr>
          <w:t>https://www.cipd.org/uk/knowledge/employment-law/</w:t>
        </w:r>
      </w:hyperlink>
      <w:r>
        <w:t xml:space="preserve"> </w:t>
      </w:r>
      <w:r>
        <w:t>(</w:t>
      </w:r>
      <w:r w:rsidRPr="00EA512E">
        <w:t xml:space="preserve">Accessed: </w:t>
      </w:r>
      <w:r>
        <w:t>0</w:t>
      </w:r>
      <w:r>
        <w:t>2</w:t>
      </w:r>
      <w:r>
        <w:t xml:space="preserve"> June</w:t>
      </w:r>
      <w:r w:rsidRPr="00EA512E">
        <w:t xml:space="preserve"> 2025).</w:t>
      </w:r>
    </w:p>
    <w:p w14:paraId="3CDC2E46" w14:textId="2D931217" w:rsidR="00006C79" w:rsidRDefault="00006C79" w:rsidP="008C4FC7">
      <w:r>
        <w:t xml:space="preserve">CIPD </w:t>
      </w:r>
      <w:r w:rsidRPr="00EA512E">
        <w:t>(202</w:t>
      </w:r>
      <w:r>
        <w:t>5</w:t>
      </w:r>
      <w:r w:rsidRPr="00EA512E">
        <w:t>) </w:t>
      </w:r>
      <w:r w:rsidRPr="00006C79">
        <w:rPr>
          <w:i/>
          <w:iCs/>
        </w:rPr>
        <w:t>Equal pay: UK employment law</w:t>
      </w:r>
      <w:r>
        <w:rPr>
          <w:i/>
          <w:iCs/>
        </w:rPr>
        <w:t xml:space="preserve">. </w:t>
      </w:r>
      <w:r w:rsidRPr="00EA512E">
        <w:t>Available at: </w:t>
      </w:r>
      <w:hyperlink r:id="rId26" w:history="1">
        <w:r w:rsidRPr="003535BF">
          <w:rPr>
            <w:rStyle w:val="Hyperlink"/>
          </w:rPr>
          <w:t>https://www.cipd.org/uk/knowledge/employment-law/equal-pay/</w:t>
        </w:r>
      </w:hyperlink>
      <w:r>
        <w:t xml:space="preserve">  (</w:t>
      </w:r>
      <w:r w:rsidRPr="00EA512E">
        <w:t xml:space="preserve">Accessed: </w:t>
      </w:r>
      <w:r>
        <w:t>01 June</w:t>
      </w:r>
      <w:r w:rsidRPr="00EA512E">
        <w:t xml:space="preserve"> 2025).</w:t>
      </w:r>
    </w:p>
    <w:p w14:paraId="73FDE45D" w14:textId="4D318192" w:rsidR="00EA512E" w:rsidRDefault="00EA512E" w:rsidP="008C4FC7">
      <w:r>
        <w:t xml:space="preserve">CIPD </w:t>
      </w:r>
      <w:r w:rsidRPr="00EA512E">
        <w:t>(202</w:t>
      </w:r>
      <w:r>
        <w:t>5</w:t>
      </w:r>
      <w:r w:rsidRPr="00EA512E">
        <w:t>) </w:t>
      </w:r>
      <w:r w:rsidRPr="00EA512E">
        <w:rPr>
          <w:i/>
          <w:iCs/>
        </w:rPr>
        <w:t>Flexible working practices</w:t>
      </w:r>
      <w:r w:rsidRPr="00EA512E">
        <w:t>. Available at: </w:t>
      </w:r>
      <w:hyperlink r:id="rId27" w:history="1">
        <w:r w:rsidRPr="004B79DA">
          <w:rPr>
            <w:rStyle w:val="Hyperlink"/>
          </w:rPr>
          <w:t>https://www.cipd.org/uk/knowledge/factsheets/flexible-working-factsheet/</w:t>
        </w:r>
      </w:hyperlink>
      <w:r>
        <w:t xml:space="preserve"> (</w:t>
      </w:r>
      <w:r w:rsidRPr="00EA512E">
        <w:t>Accessed: 2</w:t>
      </w:r>
      <w:r>
        <w:t>4</w:t>
      </w:r>
      <w:r w:rsidRPr="00EA512E">
        <w:t xml:space="preserve"> May 2025).</w:t>
      </w:r>
    </w:p>
    <w:p w14:paraId="50668E31" w14:textId="5B96976D" w:rsidR="00EB44F6" w:rsidRDefault="00EB44F6" w:rsidP="008C4FC7">
      <w:r>
        <w:t xml:space="preserve">CIPD </w:t>
      </w:r>
      <w:r w:rsidRPr="00EA512E">
        <w:t>(202</w:t>
      </w:r>
      <w:r>
        <w:t>5</w:t>
      </w:r>
      <w:r w:rsidRPr="00EA512E">
        <w:t>) </w:t>
      </w:r>
      <w:r w:rsidRPr="00EB44F6">
        <w:rPr>
          <w:i/>
          <w:iCs/>
        </w:rPr>
        <w:t>Maternity, paternity and adoption rights</w:t>
      </w:r>
      <w:r>
        <w:rPr>
          <w:i/>
          <w:iCs/>
        </w:rPr>
        <w:t xml:space="preserve">. </w:t>
      </w:r>
      <w:r w:rsidRPr="00EA512E">
        <w:t>Available at: </w:t>
      </w:r>
      <w:hyperlink r:id="rId28" w:anchor="maternitypaternityadoption" w:history="1">
        <w:r w:rsidRPr="004B79DA">
          <w:rPr>
            <w:rStyle w:val="Hyperlink"/>
          </w:rPr>
          <w:t>https://www.cipd.org/uk/knowledge/factsheets/maternity-paternity-rights-factsheet/#maternitypaternityadoption</w:t>
        </w:r>
      </w:hyperlink>
      <w:r>
        <w:t xml:space="preserve"> (</w:t>
      </w:r>
      <w:r w:rsidRPr="00EA512E">
        <w:t>Accessed: 2</w:t>
      </w:r>
      <w:r>
        <w:t>4</w:t>
      </w:r>
      <w:r w:rsidRPr="00EA512E">
        <w:t xml:space="preserve"> May 2025).</w:t>
      </w:r>
    </w:p>
    <w:p w14:paraId="56A5B1F1" w14:textId="09BDF1AE" w:rsidR="00EB44F6" w:rsidRDefault="00EB44F6" w:rsidP="008C4FC7">
      <w:r>
        <w:t xml:space="preserve">CIPD </w:t>
      </w:r>
      <w:r w:rsidRPr="00EA512E">
        <w:t>(202</w:t>
      </w:r>
      <w:r>
        <w:t>5</w:t>
      </w:r>
      <w:r w:rsidRPr="00EA512E">
        <w:t>) </w:t>
      </w:r>
      <w:r w:rsidRPr="00EB44F6">
        <w:rPr>
          <w:i/>
          <w:iCs/>
        </w:rPr>
        <w:t>Maternity, paternity, shared parental and adoption leave and pay: UK employment law</w:t>
      </w:r>
      <w:r>
        <w:rPr>
          <w:i/>
          <w:iCs/>
        </w:rPr>
        <w:t xml:space="preserve">. </w:t>
      </w:r>
      <w:r w:rsidRPr="00EA512E">
        <w:t>Available at: </w:t>
      </w:r>
      <w:hyperlink r:id="rId29" w:history="1">
        <w:r w:rsidRPr="004B79DA">
          <w:rPr>
            <w:rStyle w:val="Hyperlink"/>
          </w:rPr>
          <w:t>https://www.cipd.org/uk/knowledge/employment-law/maternity-paternity-rights/</w:t>
        </w:r>
      </w:hyperlink>
      <w:r>
        <w:t xml:space="preserve"> (</w:t>
      </w:r>
      <w:r w:rsidRPr="00EA512E">
        <w:t>Accessed: 2</w:t>
      </w:r>
      <w:r>
        <w:t>4</w:t>
      </w:r>
      <w:r w:rsidRPr="00EA512E">
        <w:t xml:space="preserve"> May 2025).</w:t>
      </w:r>
    </w:p>
    <w:p w14:paraId="7AE8177D" w14:textId="29A27DAB" w:rsidR="002348E5" w:rsidRDefault="002348E5" w:rsidP="008C4FC7">
      <w:r>
        <w:t xml:space="preserve">CIPD </w:t>
      </w:r>
      <w:r w:rsidRPr="00EA512E">
        <w:t>(202</w:t>
      </w:r>
      <w:r>
        <w:t>5</w:t>
      </w:r>
      <w:r w:rsidRPr="00EA512E">
        <w:t>) </w:t>
      </w:r>
      <w:r w:rsidRPr="002348E5">
        <w:rPr>
          <w:i/>
          <w:iCs/>
        </w:rPr>
        <w:t>Recruitment: UK employment law</w:t>
      </w:r>
      <w:r>
        <w:rPr>
          <w:i/>
          <w:iCs/>
        </w:rPr>
        <w:t xml:space="preserve">. </w:t>
      </w:r>
      <w:r w:rsidRPr="00EA512E">
        <w:t>Available at: </w:t>
      </w:r>
      <w:hyperlink r:id="rId30" w:history="1">
        <w:r w:rsidRPr="005200BE">
          <w:rPr>
            <w:rStyle w:val="Hyperlink"/>
          </w:rPr>
          <w:t>https://www.cipd.org/uk/knowledge/employment-law/recruitment/</w:t>
        </w:r>
      </w:hyperlink>
      <w:r>
        <w:t xml:space="preserve"> </w:t>
      </w:r>
      <w:r>
        <w:t>(</w:t>
      </w:r>
      <w:r w:rsidRPr="00EA512E">
        <w:t xml:space="preserve">Accessed: </w:t>
      </w:r>
      <w:r>
        <w:t>02 June</w:t>
      </w:r>
      <w:r w:rsidRPr="00EA512E">
        <w:t xml:space="preserve"> 2025).</w:t>
      </w:r>
    </w:p>
    <w:p w14:paraId="50CDEFFC" w14:textId="04251B66" w:rsidR="00C6691D" w:rsidRDefault="00C6691D" w:rsidP="008C4FC7">
      <w:r>
        <w:t xml:space="preserve">CIPD </w:t>
      </w:r>
      <w:r w:rsidRPr="00EA512E">
        <w:t>(202</w:t>
      </w:r>
      <w:r>
        <w:t>4</w:t>
      </w:r>
      <w:r w:rsidRPr="00EA512E">
        <w:t>) </w:t>
      </w:r>
      <w:r w:rsidRPr="00C6691D">
        <w:rPr>
          <w:i/>
          <w:iCs/>
        </w:rPr>
        <w:t>Redundancy: UK employment law</w:t>
      </w:r>
      <w:r>
        <w:rPr>
          <w:i/>
          <w:iCs/>
        </w:rPr>
        <w:t xml:space="preserve">. </w:t>
      </w:r>
      <w:r w:rsidRPr="00EA512E">
        <w:t>Available at: </w:t>
      </w:r>
      <w:hyperlink r:id="rId31" w:history="1">
        <w:r w:rsidRPr="00B30581">
          <w:rPr>
            <w:rStyle w:val="Hyperlink"/>
          </w:rPr>
          <w:t>https://www.cipd.org/uk/knowledge/employment-law/redundancy/</w:t>
        </w:r>
      </w:hyperlink>
      <w:r>
        <w:t xml:space="preserve"> (</w:t>
      </w:r>
      <w:r w:rsidRPr="00EA512E">
        <w:t>Accessed: 2</w:t>
      </w:r>
      <w:r>
        <w:t>5</w:t>
      </w:r>
      <w:r w:rsidRPr="00EA512E">
        <w:t xml:space="preserve"> May 2025).</w:t>
      </w:r>
    </w:p>
    <w:p w14:paraId="51105C01" w14:textId="48160AF3" w:rsidR="002F0E1E" w:rsidRDefault="002F0E1E" w:rsidP="008C4FC7">
      <w:r>
        <w:t xml:space="preserve">CIPD </w:t>
      </w:r>
      <w:r w:rsidRPr="00EA512E">
        <w:t>(20</w:t>
      </w:r>
      <w:r>
        <w:t>17</w:t>
      </w:r>
      <w:r w:rsidRPr="00EA512E">
        <w:t>) </w:t>
      </w:r>
      <w:r>
        <w:rPr>
          <w:i/>
          <w:iCs/>
        </w:rPr>
        <w:t>Survey Report</w:t>
      </w:r>
      <w:r>
        <w:rPr>
          <w:i/>
          <w:iCs/>
        </w:rPr>
        <w:t xml:space="preserve">. </w:t>
      </w:r>
      <w:r w:rsidRPr="00EA512E">
        <w:t>Available at: </w:t>
      </w:r>
      <w:hyperlink r:id="rId32" w:history="1">
        <w:r w:rsidRPr="005200BE">
          <w:rPr>
            <w:rStyle w:val="Hyperlink"/>
          </w:rPr>
          <w:t>https://www.cipd.org/globalassets/media/knowledge/knowledge-hub/reports/2017-pdfs/2017-employment-regulation-in-the-uk-burden-or-benefit-report-21622.pdf</w:t>
        </w:r>
      </w:hyperlink>
      <w:r>
        <w:t xml:space="preserve"> (</w:t>
      </w:r>
      <w:r w:rsidRPr="00EA512E">
        <w:t xml:space="preserve">Accessed: </w:t>
      </w:r>
      <w:r>
        <w:t>0</w:t>
      </w:r>
      <w:r>
        <w:t>2</w:t>
      </w:r>
      <w:r>
        <w:t xml:space="preserve"> June</w:t>
      </w:r>
      <w:r w:rsidRPr="00EA512E">
        <w:t xml:space="preserve"> 2025).</w:t>
      </w:r>
    </w:p>
    <w:p w14:paraId="27B9E35D" w14:textId="7324C662" w:rsidR="00EC4551" w:rsidRDefault="00EC4551" w:rsidP="008C4FC7">
      <w:r>
        <w:t xml:space="preserve">CIPD </w:t>
      </w:r>
      <w:r w:rsidRPr="00EA512E">
        <w:t>(202</w:t>
      </w:r>
      <w:r>
        <w:t>4</w:t>
      </w:r>
      <w:r w:rsidRPr="00EA512E">
        <w:t>) </w:t>
      </w:r>
      <w:r w:rsidRPr="00EC4551">
        <w:rPr>
          <w:i/>
          <w:iCs/>
        </w:rPr>
        <w:t>TUPE: UK employment law</w:t>
      </w:r>
      <w:r>
        <w:rPr>
          <w:i/>
          <w:iCs/>
        </w:rPr>
        <w:t xml:space="preserve">. </w:t>
      </w:r>
      <w:r w:rsidRPr="00EA512E">
        <w:t>Available at: </w:t>
      </w:r>
      <w:hyperlink r:id="rId33" w:history="1">
        <w:r w:rsidRPr="003535BF">
          <w:rPr>
            <w:rStyle w:val="Hyperlink"/>
          </w:rPr>
          <w:t>https://www.cipd.org/uk/knowledge/employment-law/tupe/</w:t>
        </w:r>
      </w:hyperlink>
      <w:r>
        <w:t xml:space="preserve"> (</w:t>
      </w:r>
      <w:r w:rsidRPr="00EA512E">
        <w:t xml:space="preserve">Accessed: </w:t>
      </w:r>
      <w:r>
        <w:t>29</w:t>
      </w:r>
      <w:r w:rsidRPr="00EA512E">
        <w:t xml:space="preserve"> May 2025).</w:t>
      </w:r>
    </w:p>
    <w:p w14:paraId="68B290E4" w14:textId="5A269DE9" w:rsidR="00892CAF" w:rsidRDefault="00892CAF" w:rsidP="008C4FC7">
      <w:r>
        <w:t xml:space="preserve">CIPD </w:t>
      </w:r>
      <w:r w:rsidRPr="00EA512E">
        <w:t>(202</w:t>
      </w:r>
      <w:r>
        <w:t>4</w:t>
      </w:r>
      <w:r w:rsidRPr="00EA512E">
        <w:t>) </w:t>
      </w:r>
      <w:r w:rsidRPr="00892CAF">
        <w:rPr>
          <w:i/>
          <w:iCs/>
        </w:rPr>
        <w:t>UK employment law and the EU</w:t>
      </w:r>
      <w:r>
        <w:rPr>
          <w:i/>
          <w:iCs/>
        </w:rPr>
        <w:t xml:space="preserve">. </w:t>
      </w:r>
      <w:r w:rsidRPr="00EA512E">
        <w:t>Available at: </w:t>
      </w:r>
      <w:hyperlink r:id="rId34" w:history="1">
        <w:r w:rsidRPr="003535BF">
          <w:rPr>
            <w:rStyle w:val="Hyperlink"/>
          </w:rPr>
          <w:t>https://www.cipd.org/uk/knowledge/employment-law/uk-employment-law-eu/</w:t>
        </w:r>
      </w:hyperlink>
      <w:r>
        <w:t xml:space="preserve">  (</w:t>
      </w:r>
      <w:r w:rsidRPr="00EA512E">
        <w:t xml:space="preserve">Accessed: </w:t>
      </w:r>
      <w:r>
        <w:t>01 June</w:t>
      </w:r>
      <w:r w:rsidRPr="00EA512E">
        <w:t xml:space="preserve"> 2025).</w:t>
      </w:r>
    </w:p>
    <w:p w14:paraId="042EE2F4" w14:textId="0B93F6B9" w:rsidR="00AB4CD8" w:rsidRDefault="00AB4CD8" w:rsidP="008C4FC7">
      <w:r>
        <w:lastRenderedPageBreak/>
        <w:t>Cunningham, T</w:t>
      </w:r>
      <w:r w:rsidRPr="009415FB">
        <w:t>. (202</w:t>
      </w:r>
      <w:r>
        <w:t>4</w:t>
      </w:r>
      <w:r w:rsidRPr="009415FB">
        <w:t>) </w:t>
      </w:r>
      <w:r w:rsidRPr="00AB4CD8">
        <w:rPr>
          <w:i/>
          <w:iCs/>
        </w:rPr>
        <w:t>Key changes to holiday pay in 2024</w:t>
      </w:r>
      <w:r>
        <w:rPr>
          <w:i/>
          <w:iCs/>
        </w:rPr>
        <w:t xml:space="preserve">. </w:t>
      </w:r>
      <w:r w:rsidRPr="009415FB">
        <w:t>Available at: </w:t>
      </w:r>
      <w:hyperlink r:id="rId35" w:history="1">
        <w:r w:rsidRPr="003535BF">
          <w:rPr>
            <w:rStyle w:val="Hyperlink"/>
          </w:rPr>
          <w:t>https://parissmith.co.uk/blog/key-changes-to-holiday-pay-in-2024/</w:t>
        </w:r>
      </w:hyperlink>
      <w:r>
        <w:t xml:space="preserve"> </w:t>
      </w:r>
      <w:r w:rsidRPr="009415FB">
        <w:t xml:space="preserve">(Accessed: </w:t>
      </w:r>
      <w:r>
        <w:t>01 June</w:t>
      </w:r>
      <w:r w:rsidRPr="009415FB">
        <w:t xml:space="preserve"> 202</w:t>
      </w:r>
      <w:r>
        <w:t>5</w:t>
      </w:r>
      <w:r w:rsidRPr="009415FB">
        <w:t>).</w:t>
      </w:r>
    </w:p>
    <w:p w14:paraId="056B4408" w14:textId="1002A704" w:rsidR="00C415B5" w:rsidRDefault="00C415B5" w:rsidP="008C4FC7">
      <w:r w:rsidRPr="00C415B5">
        <w:t>Daniels, K. (2022) </w:t>
      </w:r>
      <w:r w:rsidRPr="00C415B5">
        <w:rPr>
          <w:i/>
          <w:iCs/>
        </w:rPr>
        <w:t>Introduction to Employment Law</w:t>
      </w:r>
      <w:r w:rsidRPr="00C415B5">
        <w:t xml:space="preserve">. 6th </w:t>
      </w:r>
      <w:proofErr w:type="spellStart"/>
      <w:r w:rsidRPr="00C415B5">
        <w:t>edn</w:t>
      </w:r>
      <w:proofErr w:type="spellEnd"/>
      <w:r w:rsidRPr="00C415B5">
        <w:t>. London: Kogan Page.</w:t>
      </w:r>
    </w:p>
    <w:p w14:paraId="40F5B3D7" w14:textId="60CA1130" w:rsidR="00CE67E4" w:rsidRPr="00CE67E4" w:rsidRDefault="00CE67E4" w:rsidP="008C4FC7">
      <w:r>
        <w:t xml:space="preserve">Equality and Human Rights Commission (2015) </w:t>
      </w:r>
      <w:r w:rsidRPr="00CE67E4">
        <w:rPr>
          <w:i/>
          <w:iCs/>
        </w:rPr>
        <w:t>Employment: Code of Practice</w:t>
      </w:r>
      <w:r>
        <w:rPr>
          <w:i/>
          <w:iCs/>
        </w:rPr>
        <w:t xml:space="preserve">. </w:t>
      </w:r>
      <w:r>
        <w:t xml:space="preserve">Available at: </w:t>
      </w:r>
      <w:hyperlink r:id="rId36" w:history="1">
        <w:r w:rsidRPr="005200BE">
          <w:rPr>
            <w:rStyle w:val="Hyperlink"/>
          </w:rPr>
          <w:t>https://www.equalityhumanrights.com/equality/equality-act-2010/codes-practice/employment-code-practice-0</w:t>
        </w:r>
      </w:hyperlink>
      <w:r>
        <w:t xml:space="preserve"> (Accessed: 02 June 2025).</w:t>
      </w:r>
    </w:p>
    <w:p w14:paraId="50909785" w14:textId="347134A8" w:rsidR="002B24E6" w:rsidRDefault="002B24E6" w:rsidP="008C4FC7">
      <w:r w:rsidRPr="002B24E6">
        <w:t>Landy, M. (2017) </w:t>
      </w:r>
      <w:r w:rsidRPr="002B24E6">
        <w:rPr>
          <w:i/>
          <w:iCs/>
        </w:rPr>
        <w:t>Constructive dismissal: a guide for employers</w:t>
      </w:r>
      <w:r w:rsidRPr="002B24E6">
        <w:t xml:space="preserve">. Available at: </w:t>
      </w:r>
      <w:hyperlink r:id="rId37" w:history="1">
        <w:r w:rsidRPr="004B79DA">
          <w:rPr>
            <w:rStyle w:val="Hyperlink"/>
          </w:rPr>
          <w:t>https://www.peoplemanagement.co.uk/article/1743377/constructive-dismissal-guide</w:t>
        </w:r>
      </w:hyperlink>
      <w:r>
        <w:t xml:space="preserve"> </w:t>
      </w:r>
      <w:r w:rsidRPr="002B24E6">
        <w:t>(Accessed: 25 May 2025).</w:t>
      </w:r>
    </w:p>
    <w:p w14:paraId="3DD68AFD" w14:textId="66AAE202" w:rsidR="002F0E1E" w:rsidRDefault="002F0E1E" w:rsidP="008C4FC7">
      <w:r>
        <w:t>Morris, A</w:t>
      </w:r>
      <w:r w:rsidRPr="009415FB">
        <w:t>. (202</w:t>
      </w:r>
      <w:r>
        <w:t>5</w:t>
      </w:r>
      <w:r w:rsidRPr="009415FB">
        <w:t>) </w:t>
      </w:r>
      <w:r w:rsidRPr="002F0E1E">
        <w:rPr>
          <w:i/>
          <w:iCs/>
        </w:rPr>
        <w:t>Employment Law for Employers</w:t>
      </w:r>
      <w:r>
        <w:rPr>
          <w:i/>
          <w:iCs/>
        </w:rPr>
        <w:t xml:space="preserve"> </w:t>
      </w:r>
      <w:r w:rsidRPr="009415FB">
        <w:t>Available at: </w:t>
      </w:r>
      <w:hyperlink r:id="rId38" w:history="1">
        <w:r w:rsidRPr="005200BE">
          <w:rPr>
            <w:rStyle w:val="Hyperlink"/>
          </w:rPr>
          <w:t>https://www.davidsonmorris.com/employment-law/</w:t>
        </w:r>
      </w:hyperlink>
      <w:r>
        <w:t xml:space="preserve"> </w:t>
      </w:r>
      <w:r w:rsidRPr="009415FB">
        <w:t xml:space="preserve">(Accessed: </w:t>
      </w:r>
      <w:r>
        <w:t>02 June</w:t>
      </w:r>
      <w:r w:rsidRPr="009415FB">
        <w:t xml:space="preserve"> 202</w:t>
      </w:r>
      <w:r>
        <w:t>5</w:t>
      </w:r>
      <w:r w:rsidRPr="009415FB">
        <w:t>).</w:t>
      </w:r>
    </w:p>
    <w:p w14:paraId="756250A8" w14:textId="0ECF5BFB" w:rsidR="00793124" w:rsidRDefault="00793124" w:rsidP="008C4FC7">
      <w:r>
        <w:t>Morris, A</w:t>
      </w:r>
      <w:r w:rsidRPr="009415FB">
        <w:t>. (202</w:t>
      </w:r>
      <w:r>
        <w:t>5</w:t>
      </w:r>
      <w:r w:rsidRPr="009415FB">
        <w:t>) </w:t>
      </w:r>
      <w:r w:rsidRPr="00F81BD1">
        <w:rPr>
          <w:i/>
          <w:iCs/>
        </w:rPr>
        <w:t>Understanding Holiday Entitlement for Irregular Hours</w:t>
      </w:r>
      <w:r>
        <w:rPr>
          <w:i/>
          <w:iCs/>
        </w:rPr>
        <w:t xml:space="preserve">. </w:t>
      </w:r>
      <w:r w:rsidRPr="009415FB">
        <w:t>Available at: </w:t>
      </w:r>
      <w:hyperlink r:id="rId39" w:history="1">
        <w:r w:rsidRPr="00D86A45">
          <w:rPr>
            <w:rStyle w:val="Hyperlink"/>
          </w:rPr>
          <w:t>https://www.davidsonmorris.com/holiday-entitlement-for-irregular-hours/</w:t>
        </w:r>
      </w:hyperlink>
      <w:r>
        <w:t xml:space="preserve"> </w:t>
      </w:r>
      <w:r w:rsidRPr="009415FB">
        <w:t xml:space="preserve">(Accessed: </w:t>
      </w:r>
      <w:r>
        <w:t>27 April</w:t>
      </w:r>
      <w:r w:rsidRPr="009415FB">
        <w:t xml:space="preserve"> 202</w:t>
      </w:r>
      <w:r>
        <w:t>5</w:t>
      </w:r>
      <w:r w:rsidRPr="009415FB">
        <w:t>).</w:t>
      </w:r>
    </w:p>
    <w:p w14:paraId="1A22E95E" w14:textId="359DB50B" w:rsidR="00F81BD1" w:rsidRDefault="00F81BD1" w:rsidP="008C4FC7">
      <w:r>
        <w:t>Morris, A</w:t>
      </w:r>
      <w:r w:rsidRPr="009415FB">
        <w:t>. (202</w:t>
      </w:r>
      <w:r>
        <w:t>5</w:t>
      </w:r>
      <w:r w:rsidRPr="009415FB">
        <w:t>) </w:t>
      </w:r>
      <w:r w:rsidR="00793124" w:rsidRPr="00793124">
        <w:rPr>
          <w:i/>
          <w:iCs/>
        </w:rPr>
        <w:t>What Are Fair Redundancy Selection Criteria?</w:t>
      </w:r>
      <w:r w:rsidR="00793124">
        <w:rPr>
          <w:i/>
          <w:iCs/>
        </w:rPr>
        <w:t xml:space="preserve"> </w:t>
      </w:r>
      <w:r w:rsidRPr="009415FB">
        <w:t>Available at: </w:t>
      </w:r>
      <w:hyperlink r:id="rId40" w:history="1">
        <w:r w:rsidR="00793124" w:rsidRPr="00B30581">
          <w:rPr>
            <w:rStyle w:val="Hyperlink"/>
          </w:rPr>
          <w:t>https://www.davidsonmorris.com/redundancy-selection-criteria/</w:t>
        </w:r>
      </w:hyperlink>
      <w:r w:rsidR="00793124">
        <w:t xml:space="preserve"> </w:t>
      </w:r>
      <w:r w:rsidRPr="009415FB">
        <w:t xml:space="preserve">(Accessed: </w:t>
      </w:r>
      <w:r>
        <w:t>2</w:t>
      </w:r>
      <w:r w:rsidR="00793124">
        <w:t>5 May</w:t>
      </w:r>
      <w:r w:rsidRPr="009415FB">
        <w:t xml:space="preserve"> 202</w:t>
      </w:r>
      <w:r>
        <w:t>5</w:t>
      </w:r>
      <w:r w:rsidRPr="009415FB">
        <w:t>).</w:t>
      </w:r>
    </w:p>
    <w:p w14:paraId="17474521" w14:textId="41C430A6" w:rsidR="006F4C3D" w:rsidRDefault="006F4C3D" w:rsidP="008C4FC7">
      <w:r>
        <w:t>Passmore, J</w:t>
      </w:r>
      <w:r w:rsidRPr="009415FB">
        <w:t>. (20</w:t>
      </w:r>
      <w:r>
        <w:t>17</w:t>
      </w:r>
      <w:r w:rsidRPr="009415FB">
        <w:t>) </w:t>
      </w:r>
      <w:r w:rsidRPr="006F4C3D">
        <w:rPr>
          <w:i/>
          <w:iCs/>
        </w:rPr>
        <w:t>“Good Law” vs “Bad Law” Explained</w:t>
      </w:r>
      <w:r>
        <w:rPr>
          <w:i/>
          <w:iCs/>
        </w:rPr>
        <w:t xml:space="preserve">. </w:t>
      </w:r>
      <w:r w:rsidRPr="009415FB">
        <w:t>Available at: </w:t>
      </w:r>
      <w:hyperlink r:id="rId41" w:history="1">
        <w:r w:rsidRPr="003535BF">
          <w:rPr>
            <w:rStyle w:val="Hyperlink"/>
          </w:rPr>
          <w:t>https://lawschooltoolbox.com/good-law-vs-bad-law-explained/</w:t>
        </w:r>
      </w:hyperlink>
      <w:r>
        <w:t xml:space="preserve">  </w:t>
      </w:r>
      <w:r w:rsidRPr="009415FB">
        <w:t xml:space="preserve">(Accessed: </w:t>
      </w:r>
      <w:r>
        <w:t>01 June</w:t>
      </w:r>
      <w:r w:rsidRPr="009415FB">
        <w:t xml:space="preserve"> 202</w:t>
      </w:r>
      <w:r>
        <w:t>5</w:t>
      </w:r>
      <w:r w:rsidRPr="009415FB">
        <w:t>).</w:t>
      </w:r>
    </w:p>
    <w:p w14:paraId="09B2197B" w14:textId="05FD805E" w:rsidR="00AD0196" w:rsidRDefault="00AD0196" w:rsidP="007C6F4F">
      <w:r>
        <w:t xml:space="preserve"> </w:t>
      </w:r>
    </w:p>
    <w:sectPr w:rsidR="00AD0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C572A"/>
    <w:multiLevelType w:val="multilevel"/>
    <w:tmpl w:val="6E80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894AEC"/>
    <w:multiLevelType w:val="hybridMultilevel"/>
    <w:tmpl w:val="2FAE9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64A6A"/>
    <w:multiLevelType w:val="hybridMultilevel"/>
    <w:tmpl w:val="F2A41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0737B"/>
    <w:multiLevelType w:val="multilevel"/>
    <w:tmpl w:val="E9D6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6D6A2B"/>
    <w:multiLevelType w:val="hybridMultilevel"/>
    <w:tmpl w:val="A53C7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233266"/>
    <w:multiLevelType w:val="hybridMultilevel"/>
    <w:tmpl w:val="655E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E95B38"/>
    <w:multiLevelType w:val="multilevel"/>
    <w:tmpl w:val="906C1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4E36233"/>
    <w:multiLevelType w:val="hybridMultilevel"/>
    <w:tmpl w:val="15E4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32EDA"/>
    <w:multiLevelType w:val="multilevel"/>
    <w:tmpl w:val="4418D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E900872"/>
    <w:multiLevelType w:val="hybridMultilevel"/>
    <w:tmpl w:val="44E80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137150">
    <w:abstractNumId w:val="0"/>
  </w:num>
  <w:num w:numId="2" w16cid:durableId="264851127">
    <w:abstractNumId w:val="6"/>
  </w:num>
  <w:num w:numId="3" w16cid:durableId="2088766477">
    <w:abstractNumId w:val="3"/>
  </w:num>
  <w:num w:numId="4" w16cid:durableId="132140580">
    <w:abstractNumId w:val="8"/>
  </w:num>
  <w:num w:numId="5" w16cid:durableId="1033730810">
    <w:abstractNumId w:val="2"/>
  </w:num>
  <w:num w:numId="6" w16cid:durableId="1148672390">
    <w:abstractNumId w:val="4"/>
  </w:num>
  <w:num w:numId="7" w16cid:durableId="1433433786">
    <w:abstractNumId w:val="1"/>
  </w:num>
  <w:num w:numId="8" w16cid:durableId="1595279175">
    <w:abstractNumId w:val="9"/>
  </w:num>
  <w:num w:numId="9" w16cid:durableId="789592573">
    <w:abstractNumId w:val="5"/>
  </w:num>
  <w:num w:numId="10" w16cid:durableId="7212515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F4F"/>
    <w:rsid w:val="00004801"/>
    <w:rsid w:val="00006C79"/>
    <w:rsid w:val="0000702A"/>
    <w:rsid w:val="00023061"/>
    <w:rsid w:val="000810E4"/>
    <w:rsid w:val="000A0CC2"/>
    <w:rsid w:val="000C3E81"/>
    <w:rsid w:val="000C5AC1"/>
    <w:rsid w:val="000E1BE3"/>
    <w:rsid w:val="000E2ADE"/>
    <w:rsid w:val="000F0893"/>
    <w:rsid w:val="000F0E43"/>
    <w:rsid w:val="001620A6"/>
    <w:rsid w:val="00171452"/>
    <w:rsid w:val="00197B5A"/>
    <w:rsid w:val="001C3B29"/>
    <w:rsid w:val="002348E5"/>
    <w:rsid w:val="002354D2"/>
    <w:rsid w:val="00241F5F"/>
    <w:rsid w:val="002B24E6"/>
    <w:rsid w:val="002F0E1E"/>
    <w:rsid w:val="00322BED"/>
    <w:rsid w:val="00345442"/>
    <w:rsid w:val="00393C5A"/>
    <w:rsid w:val="00393DC3"/>
    <w:rsid w:val="00405270"/>
    <w:rsid w:val="00440566"/>
    <w:rsid w:val="00477F08"/>
    <w:rsid w:val="004C5F0E"/>
    <w:rsid w:val="004F259A"/>
    <w:rsid w:val="004F6CAC"/>
    <w:rsid w:val="00506F63"/>
    <w:rsid w:val="0051122A"/>
    <w:rsid w:val="005163C5"/>
    <w:rsid w:val="0052113D"/>
    <w:rsid w:val="00551A8B"/>
    <w:rsid w:val="005573B0"/>
    <w:rsid w:val="00571900"/>
    <w:rsid w:val="00586C06"/>
    <w:rsid w:val="00606576"/>
    <w:rsid w:val="0063438E"/>
    <w:rsid w:val="00642478"/>
    <w:rsid w:val="00647874"/>
    <w:rsid w:val="0066216C"/>
    <w:rsid w:val="00693CEE"/>
    <w:rsid w:val="006A738B"/>
    <w:rsid w:val="006C72A4"/>
    <w:rsid w:val="006F4C3D"/>
    <w:rsid w:val="0071496D"/>
    <w:rsid w:val="0072026D"/>
    <w:rsid w:val="00732A3E"/>
    <w:rsid w:val="007665EF"/>
    <w:rsid w:val="00793124"/>
    <w:rsid w:val="007976FD"/>
    <w:rsid w:val="007C4E66"/>
    <w:rsid w:val="007C6F4F"/>
    <w:rsid w:val="007E421A"/>
    <w:rsid w:val="008077A7"/>
    <w:rsid w:val="00815BE3"/>
    <w:rsid w:val="00826303"/>
    <w:rsid w:val="00856B90"/>
    <w:rsid w:val="008841FC"/>
    <w:rsid w:val="00885BBB"/>
    <w:rsid w:val="00892CAF"/>
    <w:rsid w:val="008A6E45"/>
    <w:rsid w:val="008C000D"/>
    <w:rsid w:val="008C4FC7"/>
    <w:rsid w:val="00952567"/>
    <w:rsid w:val="00984EF4"/>
    <w:rsid w:val="009B5F78"/>
    <w:rsid w:val="009C6444"/>
    <w:rsid w:val="009E41B4"/>
    <w:rsid w:val="00A255AE"/>
    <w:rsid w:val="00A43BD8"/>
    <w:rsid w:val="00A660A8"/>
    <w:rsid w:val="00A72786"/>
    <w:rsid w:val="00AB4CD8"/>
    <w:rsid w:val="00AD0196"/>
    <w:rsid w:val="00AD2F4F"/>
    <w:rsid w:val="00AE4FF8"/>
    <w:rsid w:val="00AE7FF4"/>
    <w:rsid w:val="00B0686C"/>
    <w:rsid w:val="00B40C6C"/>
    <w:rsid w:val="00B63F5A"/>
    <w:rsid w:val="00B64A9D"/>
    <w:rsid w:val="00B84EC4"/>
    <w:rsid w:val="00B962A3"/>
    <w:rsid w:val="00C22E33"/>
    <w:rsid w:val="00C3274A"/>
    <w:rsid w:val="00C415B5"/>
    <w:rsid w:val="00C6123C"/>
    <w:rsid w:val="00C6691D"/>
    <w:rsid w:val="00C72BC4"/>
    <w:rsid w:val="00CB049F"/>
    <w:rsid w:val="00CD5D6D"/>
    <w:rsid w:val="00CE67E4"/>
    <w:rsid w:val="00CF396E"/>
    <w:rsid w:val="00CF5E12"/>
    <w:rsid w:val="00CF6B0F"/>
    <w:rsid w:val="00D41C7D"/>
    <w:rsid w:val="00D6545E"/>
    <w:rsid w:val="00D74A90"/>
    <w:rsid w:val="00DA4604"/>
    <w:rsid w:val="00DC10AF"/>
    <w:rsid w:val="00DD1621"/>
    <w:rsid w:val="00DD2610"/>
    <w:rsid w:val="00E36BE2"/>
    <w:rsid w:val="00E613D5"/>
    <w:rsid w:val="00E709B0"/>
    <w:rsid w:val="00E971E5"/>
    <w:rsid w:val="00EA430C"/>
    <w:rsid w:val="00EA512E"/>
    <w:rsid w:val="00EA571C"/>
    <w:rsid w:val="00EB44F6"/>
    <w:rsid w:val="00EB5AEC"/>
    <w:rsid w:val="00EC4551"/>
    <w:rsid w:val="00ED62F2"/>
    <w:rsid w:val="00EE1340"/>
    <w:rsid w:val="00F120B6"/>
    <w:rsid w:val="00F140B9"/>
    <w:rsid w:val="00F16667"/>
    <w:rsid w:val="00F2175A"/>
    <w:rsid w:val="00F21CD1"/>
    <w:rsid w:val="00F33CD0"/>
    <w:rsid w:val="00F81BD1"/>
    <w:rsid w:val="00FE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AF27D"/>
  <w15:chartTrackingRefBased/>
  <w15:docId w15:val="{B86D8C0F-5392-4BDC-845B-265720AA0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F4F"/>
    <w:rPr>
      <w:rFonts w:eastAsiaTheme="majorEastAsia" w:cstheme="majorBidi"/>
      <w:color w:val="272727" w:themeColor="text1" w:themeTint="D8"/>
    </w:rPr>
  </w:style>
  <w:style w:type="paragraph" w:styleId="Title">
    <w:name w:val="Title"/>
    <w:basedOn w:val="Normal"/>
    <w:next w:val="Normal"/>
    <w:link w:val="TitleChar"/>
    <w:uiPriority w:val="10"/>
    <w:qFormat/>
    <w:rsid w:val="007C6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F4F"/>
    <w:pPr>
      <w:spacing w:before="160"/>
      <w:jc w:val="center"/>
    </w:pPr>
    <w:rPr>
      <w:i/>
      <w:iCs/>
      <w:color w:val="404040" w:themeColor="text1" w:themeTint="BF"/>
    </w:rPr>
  </w:style>
  <w:style w:type="character" w:customStyle="1" w:styleId="QuoteChar">
    <w:name w:val="Quote Char"/>
    <w:basedOn w:val="DefaultParagraphFont"/>
    <w:link w:val="Quote"/>
    <w:uiPriority w:val="29"/>
    <w:rsid w:val="007C6F4F"/>
    <w:rPr>
      <w:i/>
      <w:iCs/>
      <w:color w:val="404040" w:themeColor="text1" w:themeTint="BF"/>
    </w:rPr>
  </w:style>
  <w:style w:type="paragraph" w:styleId="ListParagraph">
    <w:name w:val="List Paragraph"/>
    <w:basedOn w:val="Normal"/>
    <w:uiPriority w:val="34"/>
    <w:qFormat/>
    <w:rsid w:val="007C6F4F"/>
    <w:pPr>
      <w:ind w:left="720"/>
      <w:contextualSpacing/>
    </w:pPr>
  </w:style>
  <w:style w:type="character" w:styleId="IntenseEmphasis">
    <w:name w:val="Intense Emphasis"/>
    <w:basedOn w:val="DefaultParagraphFont"/>
    <w:uiPriority w:val="21"/>
    <w:qFormat/>
    <w:rsid w:val="007C6F4F"/>
    <w:rPr>
      <w:i/>
      <w:iCs/>
      <w:color w:val="0F4761" w:themeColor="accent1" w:themeShade="BF"/>
    </w:rPr>
  </w:style>
  <w:style w:type="paragraph" w:styleId="IntenseQuote">
    <w:name w:val="Intense Quote"/>
    <w:basedOn w:val="Normal"/>
    <w:next w:val="Normal"/>
    <w:link w:val="IntenseQuoteChar"/>
    <w:uiPriority w:val="30"/>
    <w:qFormat/>
    <w:rsid w:val="007C6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F4F"/>
    <w:rPr>
      <w:i/>
      <w:iCs/>
      <w:color w:val="0F4761" w:themeColor="accent1" w:themeShade="BF"/>
    </w:rPr>
  </w:style>
  <w:style w:type="character" w:styleId="IntenseReference">
    <w:name w:val="Intense Reference"/>
    <w:basedOn w:val="DefaultParagraphFont"/>
    <w:uiPriority w:val="32"/>
    <w:qFormat/>
    <w:rsid w:val="007C6F4F"/>
    <w:rPr>
      <w:b/>
      <w:bCs/>
      <w:smallCaps/>
      <w:color w:val="0F4761" w:themeColor="accent1" w:themeShade="BF"/>
      <w:spacing w:val="5"/>
    </w:rPr>
  </w:style>
  <w:style w:type="character" w:styleId="Hyperlink">
    <w:name w:val="Hyperlink"/>
    <w:basedOn w:val="DefaultParagraphFont"/>
    <w:uiPriority w:val="99"/>
    <w:unhideWhenUsed/>
    <w:rsid w:val="008C4FC7"/>
    <w:rPr>
      <w:color w:val="467886" w:themeColor="hyperlink"/>
      <w:u w:val="single"/>
    </w:rPr>
  </w:style>
  <w:style w:type="character" w:styleId="UnresolvedMention">
    <w:name w:val="Unresolved Mention"/>
    <w:basedOn w:val="DefaultParagraphFont"/>
    <w:uiPriority w:val="99"/>
    <w:semiHidden/>
    <w:unhideWhenUsed/>
    <w:rsid w:val="008C4FC7"/>
    <w:rPr>
      <w:color w:val="605E5C"/>
      <w:shd w:val="clear" w:color="auto" w:fill="E1DFDD"/>
    </w:rPr>
  </w:style>
  <w:style w:type="character" w:styleId="FollowedHyperlink">
    <w:name w:val="FollowedHyperlink"/>
    <w:basedOn w:val="DefaultParagraphFont"/>
    <w:uiPriority w:val="99"/>
    <w:semiHidden/>
    <w:unhideWhenUsed/>
    <w:rsid w:val="00EA51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755007">
      <w:bodyDiv w:val="1"/>
      <w:marLeft w:val="0"/>
      <w:marRight w:val="0"/>
      <w:marTop w:val="0"/>
      <w:marBottom w:val="0"/>
      <w:divBdr>
        <w:top w:val="none" w:sz="0" w:space="0" w:color="auto"/>
        <w:left w:val="none" w:sz="0" w:space="0" w:color="auto"/>
        <w:bottom w:val="none" w:sz="0" w:space="0" w:color="auto"/>
        <w:right w:val="none" w:sz="0" w:space="0" w:color="auto"/>
      </w:divBdr>
    </w:div>
    <w:div w:id="319887745">
      <w:bodyDiv w:val="1"/>
      <w:marLeft w:val="0"/>
      <w:marRight w:val="0"/>
      <w:marTop w:val="0"/>
      <w:marBottom w:val="0"/>
      <w:divBdr>
        <w:top w:val="none" w:sz="0" w:space="0" w:color="auto"/>
        <w:left w:val="none" w:sz="0" w:space="0" w:color="auto"/>
        <w:bottom w:val="none" w:sz="0" w:space="0" w:color="auto"/>
        <w:right w:val="none" w:sz="0" w:space="0" w:color="auto"/>
      </w:divBdr>
    </w:div>
    <w:div w:id="326829653">
      <w:bodyDiv w:val="1"/>
      <w:marLeft w:val="0"/>
      <w:marRight w:val="0"/>
      <w:marTop w:val="0"/>
      <w:marBottom w:val="0"/>
      <w:divBdr>
        <w:top w:val="none" w:sz="0" w:space="0" w:color="auto"/>
        <w:left w:val="none" w:sz="0" w:space="0" w:color="auto"/>
        <w:bottom w:val="none" w:sz="0" w:space="0" w:color="auto"/>
        <w:right w:val="none" w:sz="0" w:space="0" w:color="auto"/>
      </w:divBdr>
    </w:div>
    <w:div w:id="492331125">
      <w:bodyDiv w:val="1"/>
      <w:marLeft w:val="0"/>
      <w:marRight w:val="0"/>
      <w:marTop w:val="0"/>
      <w:marBottom w:val="0"/>
      <w:divBdr>
        <w:top w:val="none" w:sz="0" w:space="0" w:color="auto"/>
        <w:left w:val="none" w:sz="0" w:space="0" w:color="auto"/>
        <w:bottom w:val="none" w:sz="0" w:space="0" w:color="auto"/>
        <w:right w:val="none" w:sz="0" w:space="0" w:color="auto"/>
      </w:divBdr>
    </w:div>
    <w:div w:id="493453083">
      <w:bodyDiv w:val="1"/>
      <w:marLeft w:val="0"/>
      <w:marRight w:val="0"/>
      <w:marTop w:val="0"/>
      <w:marBottom w:val="0"/>
      <w:divBdr>
        <w:top w:val="none" w:sz="0" w:space="0" w:color="auto"/>
        <w:left w:val="none" w:sz="0" w:space="0" w:color="auto"/>
        <w:bottom w:val="none" w:sz="0" w:space="0" w:color="auto"/>
        <w:right w:val="none" w:sz="0" w:space="0" w:color="auto"/>
      </w:divBdr>
    </w:div>
    <w:div w:id="996226274">
      <w:bodyDiv w:val="1"/>
      <w:marLeft w:val="0"/>
      <w:marRight w:val="0"/>
      <w:marTop w:val="0"/>
      <w:marBottom w:val="0"/>
      <w:divBdr>
        <w:top w:val="none" w:sz="0" w:space="0" w:color="auto"/>
        <w:left w:val="none" w:sz="0" w:space="0" w:color="auto"/>
        <w:bottom w:val="none" w:sz="0" w:space="0" w:color="auto"/>
        <w:right w:val="none" w:sz="0" w:space="0" w:color="auto"/>
      </w:divBdr>
    </w:div>
    <w:div w:id="1028991119">
      <w:bodyDiv w:val="1"/>
      <w:marLeft w:val="0"/>
      <w:marRight w:val="0"/>
      <w:marTop w:val="0"/>
      <w:marBottom w:val="0"/>
      <w:divBdr>
        <w:top w:val="none" w:sz="0" w:space="0" w:color="auto"/>
        <w:left w:val="none" w:sz="0" w:space="0" w:color="auto"/>
        <w:bottom w:val="none" w:sz="0" w:space="0" w:color="auto"/>
        <w:right w:val="none" w:sz="0" w:space="0" w:color="auto"/>
      </w:divBdr>
    </w:div>
    <w:div w:id="1343900996">
      <w:bodyDiv w:val="1"/>
      <w:marLeft w:val="0"/>
      <w:marRight w:val="0"/>
      <w:marTop w:val="0"/>
      <w:marBottom w:val="0"/>
      <w:divBdr>
        <w:top w:val="none" w:sz="0" w:space="0" w:color="auto"/>
        <w:left w:val="none" w:sz="0" w:space="0" w:color="auto"/>
        <w:bottom w:val="none" w:sz="0" w:space="0" w:color="auto"/>
        <w:right w:val="none" w:sz="0" w:space="0" w:color="auto"/>
      </w:divBdr>
    </w:div>
    <w:div w:id="1471242311">
      <w:bodyDiv w:val="1"/>
      <w:marLeft w:val="0"/>
      <w:marRight w:val="0"/>
      <w:marTop w:val="0"/>
      <w:marBottom w:val="0"/>
      <w:divBdr>
        <w:top w:val="none" w:sz="0" w:space="0" w:color="auto"/>
        <w:left w:val="none" w:sz="0" w:space="0" w:color="auto"/>
        <w:bottom w:val="none" w:sz="0" w:space="0" w:color="auto"/>
        <w:right w:val="none" w:sz="0" w:space="0" w:color="auto"/>
      </w:divBdr>
    </w:div>
    <w:div w:id="1496844573">
      <w:bodyDiv w:val="1"/>
      <w:marLeft w:val="0"/>
      <w:marRight w:val="0"/>
      <w:marTop w:val="0"/>
      <w:marBottom w:val="0"/>
      <w:divBdr>
        <w:top w:val="none" w:sz="0" w:space="0" w:color="auto"/>
        <w:left w:val="none" w:sz="0" w:space="0" w:color="auto"/>
        <w:bottom w:val="none" w:sz="0" w:space="0" w:color="auto"/>
        <w:right w:val="none" w:sz="0" w:space="0" w:color="auto"/>
      </w:divBdr>
    </w:div>
    <w:div w:id="172486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cas.org.uk/irregular-hours-and-part-year-workers/calculating-holiday-pay" TargetMode="External"/><Relationship Id="rId26" Type="http://schemas.openxmlformats.org/officeDocument/2006/relationships/hyperlink" Target="https://www.cipd.org/uk/knowledge/employment-law/equal-pay/" TargetMode="External"/><Relationship Id="rId39" Type="http://schemas.openxmlformats.org/officeDocument/2006/relationships/hyperlink" Target="https://www.davidsonmorris.com/holiday-entitlement-for-irregular-hours/" TargetMode="External"/><Relationship Id="rId21" Type="http://schemas.openxmlformats.org/officeDocument/2006/relationships/hyperlink" Target="https://www.acas.org.uk/manage-staff-redundancies" TargetMode="External"/><Relationship Id="rId34" Type="http://schemas.openxmlformats.org/officeDocument/2006/relationships/hyperlink" Target="https://www.cipd.org/uk/knowledge/employment-law/uk-employment-law-eu/"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acas.org.uk/dismissals/constructive-dismissal" TargetMode="External"/><Relationship Id="rId20" Type="http://schemas.openxmlformats.org/officeDocument/2006/relationships/hyperlink" Target="https://www.acas.org.uk/statutory-flexible-working-requests/making-a-request" TargetMode="External"/><Relationship Id="rId29" Type="http://schemas.openxmlformats.org/officeDocument/2006/relationships/hyperlink" Target="https://www.cipd.org/uk/knowledge/employment-law/maternity-paternity-rights/" TargetMode="External"/><Relationship Id="rId41" Type="http://schemas.openxmlformats.org/officeDocument/2006/relationships/hyperlink" Target="https://lawschooltoolbox.com/good-law-vs-bad-law-explained/" TargetMode="External"/><Relationship Id="rId1" Type="http://schemas.openxmlformats.org/officeDocument/2006/relationships/numbering" Target="numbering.xml"/><Relationship Id="rId6" Type="http://schemas.openxmlformats.org/officeDocument/2006/relationships/hyperlink" Target="https://parissmith.co.uk/blog/key-changes-to-holiday-pay-in-2024/" TargetMode="External"/><Relationship Id="rId11" Type="http://schemas.openxmlformats.org/officeDocument/2006/relationships/image" Target="media/image5.png"/><Relationship Id="rId24" Type="http://schemas.openxmlformats.org/officeDocument/2006/relationships/hyperlink" Target="https://www.cipd.org/uk/knowledge/factsheets/working-time-factsheet/" TargetMode="External"/><Relationship Id="rId32" Type="http://schemas.openxmlformats.org/officeDocument/2006/relationships/hyperlink" Target="https://www.cipd.org/globalassets/media/knowledge/knowledge-hub/reports/2017-pdfs/2017-employment-regulation-in-the-uk-burden-or-benefit-report-21622.pdf" TargetMode="External"/><Relationship Id="rId37" Type="http://schemas.openxmlformats.org/officeDocument/2006/relationships/hyperlink" Target="https://www.peoplemanagement.co.uk/article/1743377/constructive-dismissal-guide" TargetMode="External"/><Relationship Id="rId40" Type="http://schemas.openxmlformats.org/officeDocument/2006/relationships/hyperlink" Target="https://www.davidsonmorris.com/redundancy-selection-criteria/" TargetMode="External"/><Relationship Id="rId5" Type="http://schemas.openxmlformats.org/officeDocument/2006/relationships/image" Target="media/image1.png"/><Relationship Id="rId15" Type="http://schemas.openxmlformats.org/officeDocument/2006/relationships/hyperlink" Target="https://www.acas.org.uk/acas-code-of-practice-on-flexible-working-requests/" TargetMode="External"/><Relationship Id="rId23" Type="http://schemas.openxmlformats.org/officeDocument/2006/relationships/hyperlink" Target="https://www.acas.org.uk/tupe/advice-for-employers-and-employees" TargetMode="External"/><Relationship Id="rId28" Type="http://schemas.openxmlformats.org/officeDocument/2006/relationships/hyperlink" Target="https://www.cipd.org/uk/knowledge/factsheets/maternity-paternity-rights-factsheet/" TargetMode="External"/><Relationship Id="rId36" Type="http://schemas.openxmlformats.org/officeDocument/2006/relationships/hyperlink" Target="https://www.equalityhumanrights.com/equality/equality-act-2010/codes-practice/employment-code-practice-0" TargetMode="External"/><Relationship Id="rId10" Type="http://schemas.openxmlformats.org/officeDocument/2006/relationships/image" Target="media/image4.png"/><Relationship Id="rId19" Type="http://schemas.openxmlformats.org/officeDocument/2006/relationships/hyperlink" Target="https://www.acas.org.uk/irregular-hours-and-part-year-workers/rolled-up-holiday-pay" TargetMode="External"/><Relationship Id="rId31" Type="http://schemas.openxmlformats.org/officeDocument/2006/relationships/hyperlink" Target="https://www.cipd.org/uk/knowledge/employment-law/redundancy/" TargetMode="External"/><Relationship Id="rId4" Type="http://schemas.openxmlformats.org/officeDocument/2006/relationships/webSettings" Target="webSettings.xml"/><Relationship Id="rId9" Type="http://schemas.openxmlformats.org/officeDocument/2006/relationships/hyperlink" Target="https://www.acas.org.uk/equal-pay/equal-pay-law" TargetMode="External"/><Relationship Id="rId14" Type="http://schemas.openxmlformats.org/officeDocument/2006/relationships/hyperlink" Target="https://www.acas.org.uk/tupe/advice-for-employers-and-employees/transferring-to-your-new-employer" TargetMode="External"/><Relationship Id="rId22" Type="http://schemas.openxmlformats.org/officeDocument/2006/relationships/hyperlink" Target="https://www.acas.org.uk/recruitment" TargetMode="External"/><Relationship Id="rId27" Type="http://schemas.openxmlformats.org/officeDocument/2006/relationships/hyperlink" Target="https://www.cipd.org/uk/knowledge/factsheets/flexible-working-factsheet/" TargetMode="External"/><Relationship Id="rId30" Type="http://schemas.openxmlformats.org/officeDocument/2006/relationships/hyperlink" Target="https://www.cipd.org/uk/knowledge/employment-law/recruitment/" TargetMode="External"/><Relationship Id="rId35" Type="http://schemas.openxmlformats.org/officeDocument/2006/relationships/hyperlink" Target="https://parissmith.co.uk/blog/key-changes-to-holiday-pay-in-2024/"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www.legislation.gov.uk/uksi/2006/246/regulation/3/made" TargetMode="External"/><Relationship Id="rId17" Type="http://schemas.openxmlformats.org/officeDocument/2006/relationships/hyperlink" Target="https://www.acas.org.uk/equal-pay/equal-pay-law" TargetMode="External"/><Relationship Id="rId25" Type="http://schemas.openxmlformats.org/officeDocument/2006/relationships/hyperlink" Target="https://www.cipd.org/uk/knowledge/employment-law/" TargetMode="External"/><Relationship Id="rId33" Type="http://schemas.openxmlformats.org/officeDocument/2006/relationships/hyperlink" Target="https://www.cipd.org/uk/knowledge/employment-law/tupe/" TargetMode="External"/><Relationship Id="rId38" Type="http://schemas.openxmlformats.org/officeDocument/2006/relationships/hyperlink" Target="https://www.davidsonmorris.com/employment-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1406</TotalTime>
  <Pages>13</Pages>
  <Words>5040</Words>
  <Characters>28729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dc:description/>
  <cp:lastModifiedBy>Nichaela Barnett</cp:lastModifiedBy>
  <cp:revision>59</cp:revision>
  <dcterms:created xsi:type="dcterms:W3CDTF">2025-04-27T11:08:00Z</dcterms:created>
  <dcterms:modified xsi:type="dcterms:W3CDTF">2025-06-02T18:44:00Z</dcterms:modified>
</cp:coreProperties>
</file>