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076" w:rsidRPr="00614CA7" w:rsidRDefault="00043076">
      <w:pPr>
        <w:widowControl w:val="0"/>
        <w:pBdr>
          <w:top w:val="nil"/>
          <w:left w:val="nil"/>
          <w:bottom w:val="nil"/>
          <w:right w:val="nil"/>
          <w:between w:val="nil"/>
        </w:pBdr>
        <w:spacing w:after="0" w:line="360" w:lineRule="auto"/>
        <w:jc w:val="both"/>
        <w:rPr>
          <w:rFonts w:ascii="Arial" w:eastAsia="Arial" w:hAnsi="Arial" w:cs="Arial"/>
          <w:sz w:val="24"/>
          <w:szCs w:val="24"/>
          <w:lang w:val="en-GB"/>
        </w:rPr>
      </w:pPr>
    </w:p>
    <w:p w:rsidR="00043076" w:rsidRPr="00614CA7" w:rsidRDefault="00043076">
      <w:pPr>
        <w:widowControl w:val="0"/>
        <w:pBdr>
          <w:top w:val="nil"/>
          <w:left w:val="nil"/>
          <w:bottom w:val="nil"/>
          <w:right w:val="nil"/>
          <w:between w:val="nil"/>
        </w:pBdr>
        <w:spacing w:after="0" w:line="360" w:lineRule="auto"/>
        <w:jc w:val="center"/>
        <w:rPr>
          <w:rFonts w:ascii="Arial" w:eastAsia="Arial" w:hAnsi="Arial" w:cs="Arial"/>
          <w:sz w:val="24"/>
          <w:szCs w:val="24"/>
          <w:lang w:val="en-GB"/>
        </w:rPr>
      </w:pPr>
    </w:p>
    <w:p w:rsidR="00043076" w:rsidRPr="00614CA7" w:rsidRDefault="00E65037">
      <w:pPr>
        <w:spacing w:line="360" w:lineRule="auto"/>
        <w:jc w:val="center"/>
        <w:rPr>
          <w:rFonts w:ascii="Arial" w:eastAsia="Arial" w:hAnsi="Arial" w:cs="Arial"/>
          <w:sz w:val="24"/>
          <w:szCs w:val="24"/>
          <w:lang w:val="en-GB"/>
        </w:rPr>
      </w:pPr>
      <w:r w:rsidRPr="00614CA7">
        <w:rPr>
          <w:noProof/>
        </w:rPr>
        <w:drawing>
          <wp:inline distT="114300" distB="114300" distL="114300" distR="114300">
            <wp:extent cx="3917950" cy="1581150"/>
            <wp:effectExtent l="0" t="0" r="635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918721" cy="1581461"/>
                    </a:xfrm>
                    <a:prstGeom prst="rect">
                      <a:avLst/>
                    </a:prstGeom>
                    <a:ln/>
                  </pic:spPr>
                </pic:pic>
              </a:graphicData>
            </a:graphic>
          </wp:inline>
        </w:drawing>
      </w:r>
    </w:p>
    <w:p w:rsidR="00043076" w:rsidRPr="00614CA7" w:rsidRDefault="00043076">
      <w:pPr>
        <w:widowControl w:val="0"/>
        <w:spacing w:after="0" w:line="360" w:lineRule="auto"/>
        <w:jc w:val="center"/>
        <w:rPr>
          <w:rFonts w:ascii="Arial" w:eastAsia="Arial" w:hAnsi="Arial" w:cs="Arial"/>
          <w:b/>
          <w:bCs/>
          <w:sz w:val="24"/>
          <w:szCs w:val="24"/>
          <w:lang w:val="en-GB"/>
        </w:rPr>
      </w:pPr>
    </w:p>
    <w:p w:rsidR="00043076" w:rsidRPr="00614CA7" w:rsidRDefault="00043076">
      <w:pPr>
        <w:widowControl w:val="0"/>
        <w:spacing w:after="0" w:line="360" w:lineRule="auto"/>
        <w:jc w:val="center"/>
        <w:rPr>
          <w:rFonts w:ascii="Arial" w:eastAsia="Arial" w:hAnsi="Arial" w:cs="Arial"/>
          <w:b/>
          <w:bCs/>
          <w:sz w:val="24"/>
          <w:szCs w:val="24"/>
          <w:lang w:val="en-GB"/>
        </w:rPr>
      </w:pPr>
    </w:p>
    <w:p w:rsidR="00043076" w:rsidRPr="00614CA7" w:rsidRDefault="00043076">
      <w:pPr>
        <w:widowControl w:val="0"/>
        <w:spacing w:after="0" w:line="360" w:lineRule="auto"/>
        <w:jc w:val="center"/>
        <w:rPr>
          <w:rFonts w:ascii="Arial" w:eastAsia="Arial" w:hAnsi="Arial" w:cs="Arial"/>
          <w:b/>
          <w:bCs/>
          <w:sz w:val="24"/>
          <w:szCs w:val="24"/>
          <w:lang w:val="en-GB"/>
        </w:rPr>
      </w:pP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 xml:space="preserve">Student Name: </w:t>
      </w:r>
      <w:proofErr w:type="spellStart"/>
      <w:r w:rsidRPr="00614CA7">
        <w:rPr>
          <w:rFonts w:ascii="Arial" w:eastAsia="Arial" w:hAnsi="Arial" w:cs="Arial"/>
          <w:b/>
          <w:bCs/>
          <w:sz w:val="24"/>
          <w:szCs w:val="24"/>
          <w:lang w:val="en-GB"/>
        </w:rPr>
        <w:t>Fakrul</w:t>
      </w:r>
      <w:proofErr w:type="spellEnd"/>
      <w:r w:rsidRPr="00614CA7">
        <w:rPr>
          <w:rFonts w:ascii="Arial" w:eastAsia="Arial" w:hAnsi="Arial" w:cs="Arial"/>
          <w:b/>
          <w:bCs/>
          <w:sz w:val="24"/>
          <w:szCs w:val="24"/>
          <w:lang w:val="en-GB"/>
        </w:rPr>
        <w:t xml:space="preserve"> Islam</w:t>
      </w: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Student ID: 2510584</w:t>
      </w:r>
    </w:p>
    <w:p w:rsidR="00043076" w:rsidRPr="00614CA7" w:rsidRDefault="00043076">
      <w:pPr>
        <w:widowControl w:val="0"/>
        <w:spacing w:after="0" w:line="360" w:lineRule="auto"/>
        <w:jc w:val="center"/>
        <w:rPr>
          <w:rFonts w:ascii="Arial" w:eastAsia="Arial" w:hAnsi="Arial" w:cs="Arial"/>
          <w:b/>
          <w:bCs/>
          <w:sz w:val="24"/>
          <w:szCs w:val="24"/>
          <w:lang w:val="en-GB"/>
        </w:rPr>
      </w:pP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Programme: Master of Business Administration</w:t>
      </w: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 xml:space="preserve">Module Name: Marketing Management </w:t>
      </w: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Module Code: LCMB7024_</w:t>
      </w:r>
      <w:r w:rsidRPr="00614CA7">
        <w:rPr>
          <w:rFonts w:ascii="Arial" w:eastAsia="Arial" w:hAnsi="Arial" w:cs="Arial"/>
          <w:b/>
          <w:bCs/>
          <w:lang w:val="en-GB"/>
        </w:rPr>
        <w:t xml:space="preserve"> London</w:t>
      </w: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 xml:space="preserve">Lecturer: Dr Laila </w:t>
      </w:r>
      <w:proofErr w:type="spellStart"/>
      <w:r w:rsidRPr="00614CA7">
        <w:rPr>
          <w:rFonts w:ascii="Arial" w:eastAsia="Arial" w:hAnsi="Arial" w:cs="Arial"/>
          <w:b/>
          <w:bCs/>
          <w:sz w:val="24"/>
          <w:szCs w:val="24"/>
          <w:lang w:val="en-GB"/>
        </w:rPr>
        <w:t>Maazouz</w:t>
      </w:r>
      <w:proofErr w:type="spellEnd"/>
      <w:r w:rsidRPr="00614CA7">
        <w:rPr>
          <w:rFonts w:ascii="Arial" w:eastAsia="Arial" w:hAnsi="Arial" w:cs="Arial"/>
          <w:b/>
          <w:bCs/>
          <w:sz w:val="24"/>
          <w:szCs w:val="24"/>
          <w:lang w:val="en-GB"/>
        </w:rPr>
        <w:t xml:space="preserve"> </w:t>
      </w:r>
    </w:p>
    <w:p w:rsidR="00043076" w:rsidRPr="00614CA7" w:rsidRDefault="00E65037">
      <w:pPr>
        <w:widowControl w:val="0"/>
        <w:spacing w:after="0" w:line="360" w:lineRule="auto"/>
        <w:jc w:val="center"/>
        <w:rPr>
          <w:rFonts w:ascii="Arial" w:eastAsia="Arial" w:hAnsi="Arial" w:cs="Arial"/>
          <w:b/>
          <w:bCs/>
          <w:sz w:val="24"/>
          <w:szCs w:val="24"/>
          <w:lang w:val="en-GB"/>
        </w:rPr>
      </w:pPr>
      <w:r w:rsidRPr="00614CA7">
        <w:rPr>
          <w:rFonts w:ascii="Arial" w:eastAsia="Arial" w:hAnsi="Arial" w:cs="Arial"/>
          <w:b/>
          <w:bCs/>
          <w:sz w:val="24"/>
          <w:szCs w:val="24"/>
          <w:lang w:val="en-GB"/>
        </w:rPr>
        <w:t>Word Count: 2557</w:t>
      </w:r>
    </w:p>
    <w:p w:rsidR="00043076" w:rsidRPr="00614CA7" w:rsidRDefault="00043076">
      <w:pPr>
        <w:widowControl w:val="0"/>
        <w:spacing w:after="0" w:line="360" w:lineRule="auto"/>
        <w:jc w:val="both"/>
        <w:rPr>
          <w:rFonts w:ascii="Arial" w:eastAsia="Arial" w:hAnsi="Arial" w:cs="Arial"/>
          <w:b/>
          <w:bCs/>
          <w:sz w:val="24"/>
          <w:szCs w:val="24"/>
          <w:lang w:val="en-GB"/>
        </w:rPr>
      </w:pPr>
    </w:p>
    <w:p w:rsidR="00043076" w:rsidRPr="00614CA7" w:rsidRDefault="00043076">
      <w:pPr>
        <w:widowControl w:val="0"/>
        <w:spacing w:after="0" w:line="360" w:lineRule="auto"/>
        <w:jc w:val="both"/>
        <w:rPr>
          <w:rFonts w:ascii="Arial" w:eastAsia="Arial" w:hAnsi="Arial" w:cs="Arial"/>
          <w:b/>
          <w:bCs/>
          <w:sz w:val="24"/>
          <w:szCs w:val="24"/>
          <w:lang w:val="en-GB"/>
        </w:rPr>
      </w:pPr>
    </w:p>
    <w:p w:rsidR="00043076" w:rsidRPr="00614CA7" w:rsidRDefault="00043076">
      <w:pPr>
        <w:widowControl w:val="0"/>
        <w:spacing w:after="0" w:line="360" w:lineRule="auto"/>
        <w:jc w:val="both"/>
        <w:rPr>
          <w:rFonts w:ascii="Arial" w:eastAsia="Arial" w:hAnsi="Arial" w:cs="Arial"/>
          <w:b/>
          <w:bCs/>
          <w:sz w:val="24"/>
          <w:szCs w:val="24"/>
          <w:lang w:val="en-GB"/>
        </w:rPr>
      </w:pPr>
    </w:p>
    <w:p w:rsidR="00043076" w:rsidRPr="00614CA7" w:rsidRDefault="00043076">
      <w:pPr>
        <w:widowControl w:val="0"/>
        <w:spacing w:after="0" w:line="360" w:lineRule="auto"/>
        <w:jc w:val="both"/>
        <w:rPr>
          <w:rFonts w:ascii="Arial" w:eastAsia="Arial" w:hAnsi="Arial" w:cs="Arial"/>
          <w:b/>
          <w:bCs/>
          <w:sz w:val="24"/>
          <w:szCs w:val="24"/>
          <w:lang w:val="en-GB"/>
        </w:rPr>
      </w:pPr>
    </w:p>
    <w:p w:rsidR="00043076" w:rsidRPr="00614CA7" w:rsidRDefault="00043076">
      <w:pPr>
        <w:spacing w:line="360" w:lineRule="auto"/>
        <w:jc w:val="both"/>
        <w:rPr>
          <w:rFonts w:ascii="Arial" w:eastAsia="Arial" w:hAnsi="Arial" w:cs="Arial"/>
          <w:b/>
          <w:bCs/>
          <w:sz w:val="24"/>
          <w:szCs w:val="24"/>
          <w:lang w:val="en-GB"/>
        </w:rPr>
      </w:pPr>
    </w:p>
    <w:p w:rsidR="00043076" w:rsidRPr="00614CA7" w:rsidRDefault="00043076">
      <w:pPr>
        <w:spacing w:line="360" w:lineRule="auto"/>
        <w:jc w:val="both"/>
        <w:rPr>
          <w:rFonts w:ascii="Arial" w:eastAsia="Arial" w:hAnsi="Arial" w:cs="Arial"/>
          <w:b/>
          <w:bCs/>
          <w:sz w:val="24"/>
          <w:szCs w:val="24"/>
          <w:lang w:val="en-GB"/>
        </w:rPr>
      </w:pPr>
    </w:p>
    <w:p w:rsidR="00043076" w:rsidRPr="00614CA7" w:rsidRDefault="00043076">
      <w:pPr>
        <w:spacing w:line="360" w:lineRule="auto"/>
        <w:jc w:val="both"/>
        <w:rPr>
          <w:lang w:val="en-GB"/>
        </w:rPr>
      </w:pPr>
    </w:p>
    <w:p w:rsidR="00043076" w:rsidRPr="00614CA7" w:rsidRDefault="00043076">
      <w:pPr>
        <w:spacing w:line="360" w:lineRule="auto"/>
        <w:jc w:val="both"/>
        <w:rPr>
          <w:lang w:val="en-GB"/>
        </w:rPr>
      </w:pPr>
    </w:p>
    <w:p w:rsidR="00EE4673" w:rsidRPr="00614CA7" w:rsidRDefault="00EE4673">
      <w:pPr>
        <w:spacing w:line="360" w:lineRule="auto"/>
        <w:jc w:val="both"/>
        <w:rPr>
          <w:lang w:val="en-GB"/>
        </w:rPr>
      </w:pPr>
    </w:p>
    <w:p w:rsidR="00043076" w:rsidRPr="00614CA7" w:rsidRDefault="00043076">
      <w:pPr>
        <w:spacing w:line="360" w:lineRule="auto"/>
        <w:jc w:val="both"/>
        <w:rPr>
          <w:lang w:val="en-GB"/>
        </w:rPr>
      </w:pPr>
    </w:p>
    <w:p w:rsidR="00043076" w:rsidRPr="00614CA7" w:rsidRDefault="00E65037" w:rsidP="00EE4673">
      <w:pPr>
        <w:spacing w:line="360" w:lineRule="auto"/>
        <w:jc w:val="center"/>
        <w:rPr>
          <w:rFonts w:ascii="Arial" w:eastAsia="Arial" w:hAnsi="Arial" w:cs="Arial"/>
          <w:b/>
          <w:bCs/>
          <w:sz w:val="36"/>
          <w:szCs w:val="24"/>
          <w:lang w:val="en-GB"/>
        </w:rPr>
      </w:pPr>
      <w:bookmarkStart w:id="0" w:name="_GoBack"/>
      <w:bookmarkEnd w:id="0"/>
      <w:r w:rsidRPr="00614CA7">
        <w:rPr>
          <w:rFonts w:ascii="Arial" w:hAnsi="Arial" w:cs="Arial"/>
          <w:b/>
          <w:sz w:val="32"/>
          <w:lang w:val="en-GB"/>
        </w:rPr>
        <w:lastRenderedPageBreak/>
        <w:t>Contents</w:t>
      </w:r>
    </w:p>
    <w:sdt>
      <w:sdtPr>
        <w:rPr>
          <w:lang w:val="en-GB"/>
        </w:rPr>
        <w:id w:val="263877189"/>
        <w:docPartObj>
          <w:docPartGallery w:val="Table of Contents"/>
          <w:docPartUnique/>
        </w:docPartObj>
      </w:sdtPr>
      <w:sdtEndPr>
        <w:rPr>
          <w:rFonts w:ascii="Arial" w:hAnsi="Arial" w:cs="Arial"/>
          <w:sz w:val="24"/>
        </w:rPr>
      </w:sdtEndPr>
      <w:sdtContent>
        <w:p w:rsidR="00CF3E60" w:rsidRPr="00CF3E60" w:rsidRDefault="00E65037">
          <w:pPr>
            <w:pStyle w:val="TOC1"/>
            <w:tabs>
              <w:tab w:val="right" w:leader="dot" w:pos="9350"/>
            </w:tabs>
            <w:rPr>
              <w:rFonts w:ascii="Arial" w:eastAsiaTheme="minorEastAsia" w:hAnsi="Arial" w:cs="Arial"/>
              <w:noProof/>
              <w:sz w:val="24"/>
            </w:rPr>
          </w:pPr>
          <w:r w:rsidRPr="00CF3E60">
            <w:rPr>
              <w:rFonts w:ascii="Arial" w:hAnsi="Arial" w:cs="Arial"/>
              <w:sz w:val="24"/>
              <w:lang w:val="en-GB"/>
            </w:rPr>
            <w:fldChar w:fldCharType="begin"/>
          </w:r>
          <w:r w:rsidRPr="00CF3E60">
            <w:rPr>
              <w:rFonts w:ascii="Arial" w:hAnsi="Arial" w:cs="Arial"/>
              <w:sz w:val="24"/>
              <w:lang w:val="en-GB"/>
            </w:rPr>
            <w:instrText xml:space="preserve"> TOC \h \u \z \t "Heading 1,1,Heading 2,2,Heading 3,3,"</w:instrText>
          </w:r>
          <w:r w:rsidRPr="00CF3E60">
            <w:rPr>
              <w:rFonts w:ascii="Arial" w:hAnsi="Arial" w:cs="Arial"/>
              <w:sz w:val="24"/>
              <w:lang w:val="en-GB"/>
            </w:rPr>
            <w:fldChar w:fldCharType="separate"/>
          </w:r>
          <w:hyperlink w:anchor="_Toc216416996" w:history="1">
            <w:r w:rsidR="00CF3E60" w:rsidRPr="00CF3E60">
              <w:rPr>
                <w:rStyle w:val="Hyperlink"/>
                <w:rFonts w:ascii="Arial" w:hAnsi="Arial" w:cs="Arial"/>
                <w:noProof/>
                <w:sz w:val="24"/>
                <w:lang w:val="en-GB"/>
              </w:rPr>
              <w:t>Element 1: Segmentation, Targeting, Differentiation, and Positioning (STDP) Analysis</w:t>
            </w:r>
            <w:r w:rsidR="00CF3E60" w:rsidRPr="00CF3E60">
              <w:rPr>
                <w:rFonts w:ascii="Arial" w:hAnsi="Arial" w:cs="Arial"/>
                <w:noProof/>
                <w:webHidden/>
                <w:sz w:val="24"/>
              </w:rPr>
              <w:tab/>
            </w:r>
            <w:r w:rsidR="00CF3E60" w:rsidRPr="00CF3E60">
              <w:rPr>
                <w:rFonts w:ascii="Arial" w:hAnsi="Arial" w:cs="Arial"/>
                <w:noProof/>
                <w:webHidden/>
                <w:sz w:val="24"/>
              </w:rPr>
              <w:fldChar w:fldCharType="begin"/>
            </w:r>
            <w:r w:rsidR="00CF3E60" w:rsidRPr="00CF3E60">
              <w:rPr>
                <w:rFonts w:ascii="Arial" w:hAnsi="Arial" w:cs="Arial"/>
                <w:noProof/>
                <w:webHidden/>
                <w:sz w:val="24"/>
              </w:rPr>
              <w:instrText xml:space="preserve"> PAGEREF _Toc216416996 \h </w:instrText>
            </w:r>
            <w:r w:rsidR="00CF3E60" w:rsidRPr="00CF3E60">
              <w:rPr>
                <w:rFonts w:ascii="Arial" w:hAnsi="Arial" w:cs="Arial"/>
                <w:noProof/>
                <w:webHidden/>
                <w:sz w:val="24"/>
              </w:rPr>
            </w:r>
            <w:r w:rsidR="00CF3E60" w:rsidRPr="00CF3E60">
              <w:rPr>
                <w:rFonts w:ascii="Arial" w:hAnsi="Arial" w:cs="Arial"/>
                <w:noProof/>
                <w:webHidden/>
                <w:sz w:val="24"/>
              </w:rPr>
              <w:fldChar w:fldCharType="separate"/>
            </w:r>
            <w:r w:rsidR="00CF3E60" w:rsidRPr="00CF3E60">
              <w:rPr>
                <w:rFonts w:ascii="Arial" w:hAnsi="Arial" w:cs="Arial"/>
                <w:noProof/>
                <w:webHidden/>
                <w:sz w:val="24"/>
              </w:rPr>
              <w:t>1</w:t>
            </w:r>
            <w:r w:rsidR="00CF3E60"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6997" w:history="1">
            <w:r w:rsidRPr="00CF3E60">
              <w:rPr>
                <w:rStyle w:val="Hyperlink"/>
                <w:rFonts w:ascii="Arial" w:hAnsi="Arial" w:cs="Arial"/>
                <w:noProof/>
                <w:sz w:val="24"/>
                <w:lang w:val="en-GB"/>
              </w:rPr>
              <w:t>1. Introduction to Premier Foods and New Brand Concept</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_Toc216416997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1</w:t>
            </w:r>
            <w:r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6998" w:history="1">
            <w:r w:rsidRPr="00CF3E60">
              <w:rPr>
                <w:rStyle w:val="Hyperlink"/>
                <w:rFonts w:ascii="Arial" w:hAnsi="Arial" w:cs="Arial"/>
                <w:noProof/>
                <w:sz w:val="24"/>
                <w:lang w:val="en-GB"/>
              </w:rPr>
              <w:t>2. Market Segmentation for Aromivia</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_Toc216416998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2</w:t>
            </w:r>
            <w:r w:rsidRPr="00CF3E60">
              <w:rPr>
                <w:rFonts w:ascii="Arial" w:hAnsi="Arial" w:cs="Arial"/>
                <w:noProof/>
                <w:webHidden/>
                <w:sz w:val="24"/>
              </w:rPr>
              <w:fldChar w:fldCharType="end"/>
            </w:r>
          </w:hyperlink>
        </w:p>
        <w:p w:rsidR="00CF3E60" w:rsidRPr="00CF3E60" w:rsidRDefault="00CF3E60">
          <w:pPr>
            <w:pStyle w:val="TOC1"/>
            <w:tabs>
              <w:tab w:val="right" w:leader="dot" w:pos="9350"/>
            </w:tabs>
            <w:rPr>
              <w:rFonts w:ascii="Arial" w:eastAsiaTheme="minorEastAsia" w:hAnsi="Arial" w:cs="Arial"/>
              <w:noProof/>
              <w:sz w:val="24"/>
            </w:rPr>
          </w:pPr>
          <w:hyperlink w:anchor="_Toc216416999" w:history="1">
            <w:r w:rsidRPr="00CF3E60">
              <w:rPr>
                <w:rStyle w:val="Hyperlink"/>
                <w:rFonts w:ascii="Arial" w:hAnsi="Arial" w:cs="Arial"/>
                <w:noProof/>
                <w:sz w:val="24"/>
                <w:lang w:val="en-GB"/>
              </w:rPr>
              <w:t>Element 2: Marketing Mix (4Ps) -</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_Toc216416999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6</w:t>
            </w:r>
            <w:r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7000" w:history="1">
            <w:r w:rsidRPr="00CF3E60">
              <w:rPr>
                <w:rStyle w:val="Hyperlink"/>
                <w:rFonts w:ascii="Arial" w:hAnsi="Arial" w:cs="Arial"/>
                <w:noProof/>
                <w:sz w:val="24"/>
                <w:lang w:val="en-GB"/>
              </w:rPr>
              <w:t>1. Product Strategy</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_Toc216417000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6</w:t>
            </w:r>
            <w:r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7001" w:history="1">
            <w:r w:rsidRPr="00CF3E60">
              <w:rPr>
                <w:rStyle w:val="Hyperlink"/>
                <w:rFonts w:ascii="Arial" w:hAnsi="Arial" w:cs="Arial"/>
                <w:noProof/>
                <w:sz w:val="24"/>
                <w:lang w:val="en-GB"/>
              </w:rPr>
              <w:t>2. Price Strategy</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_Toc216417001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7</w:t>
            </w:r>
            <w:r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7002" w:history="1">
            <w:r w:rsidRPr="00CF3E60">
              <w:rPr>
                <w:rStyle w:val="Hyperlink"/>
                <w:rFonts w:ascii="Arial" w:hAnsi="Arial" w:cs="Arial"/>
                <w:noProof/>
                <w:sz w:val="24"/>
                <w:lang w:val="en-GB"/>
              </w:rPr>
              <w:t>3. Place (Distribution) Strategy</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_Toc216417002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8</w:t>
            </w:r>
            <w:r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7003" w:history="1">
            <w:r w:rsidRPr="00CF3E60">
              <w:rPr>
                <w:rStyle w:val="Hyperlink"/>
                <w:rFonts w:ascii="Arial" w:hAnsi="Arial" w:cs="Arial"/>
                <w:noProof/>
                <w:sz w:val="24"/>
                <w:lang w:val="en-GB"/>
              </w:rPr>
              <w:t>4. Promotion Strategy</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_Toc216417003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9</w:t>
            </w:r>
            <w:r w:rsidRPr="00CF3E60">
              <w:rPr>
                <w:rFonts w:ascii="Arial" w:hAnsi="Arial" w:cs="Arial"/>
                <w:noProof/>
                <w:webHidden/>
                <w:sz w:val="24"/>
              </w:rPr>
              <w:fldChar w:fldCharType="end"/>
            </w:r>
          </w:hyperlink>
        </w:p>
        <w:p w:rsidR="00CF3E60" w:rsidRPr="00CF3E60" w:rsidRDefault="00CF3E60">
          <w:pPr>
            <w:pStyle w:val="TOC1"/>
            <w:tabs>
              <w:tab w:val="right" w:leader="dot" w:pos="9350"/>
            </w:tabs>
            <w:rPr>
              <w:rFonts w:ascii="Arial" w:eastAsiaTheme="minorEastAsia" w:hAnsi="Arial" w:cs="Arial"/>
              <w:noProof/>
              <w:sz w:val="24"/>
            </w:rPr>
          </w:pPr>
          <w:hyperlink w:anchor="_Toc216417004" w:history="1">
            <w:r w:rsidRPr="00CF3E60">
              <w:rPr>
                <w:rStyle w:val="Hyperlink"/>
                <w:rFonts w:ascii="Arial" w:hAnsi="Arial" w:cs="Arial"/>
                <w:noProof/>
                <w:sz w:val="24"/>
                <w:lang w:val="en-GB"/>
              </w:rPr>
              <w:t>Element 3:</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_Toc216417004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11</w:t>
            </w:r>
            <w:r w:rsidRPr="00CF3E60">
              <w:rPr>
                <w:rFonts w:ascii="Arial" w:hAnsi="Arial" w:cs="Arial"/>
                <w:noProof/>
                <w:webHidden/>
                <w:sz w:val="24"/>
              </w:rPr>
              <w:fldChar w:fldCharType="end"/>
            </w:r>
          </w:hyperlink>
        </w:p>
        <w:p w:rsidR="00CF3E60" w:rsidRPr="00CF3E60" w:rsidRDefault="00CF3E60">
          <w:pPr>
            <w:pStyle w:val="TOC2"/>
            <w:tabs>
              <w:tab w:val="right" w:leader="dot" w:pos="9350"/>
            </w:tabs>
            <w:rPr>
              <w:rFonts w:ascii="Arial" w:eastAsiaTheme="minorEastAsia" w:hAnsi="Arial" w:cs="Arial"/>
              <w:noProof/>
              <w:sz w:val="24"/>
            </w:rPr>
          </w:pPr>
          <w:hyperlink w:anchor="_Toc216417005" w:history="1">
            <w:r w:rsidRPr="00CF3E60">
              <w:rPr>
                <w:rStyle w:val="Hyperlink"/>
                <w:rFonts w:ascii="Arial" w:hAnsi="Arial" w:cs="Arial"/>
                <w:noProof/>
                <w:sz w:val="24"/>
                <w:lang w:val="en-GB"/>
              </w:rPr>
              <w:t>Element 4: Reflection</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_Toc216417005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12</w:t>
            </w:r>
            <w:r w:rsidRPr="00CF3E60">
              <w:rPr>
                <w:rFonts w:ascii="Arial" w:hAnsi="Arial" w:cs="Arial"/>
                <w:noProof/>
                <w:webHidden/>
                <w:sz w:val="24"/>
              </w:rPr>
              <w:fldChar w:fldCharType="end"/>
            </w:r>
          </w:hyperlink>
        </w:p>
        <w:p w:rsidR="00CF3E60" w:rsidRPr="00CF3E60" w:rsidRDefault="00CF3E60">
          <w:pPr>
            <w:pStyle w:val="TOC1"/>
            <w:tabs>
              <w:tab w:val="right" w:leader="dot" w:pos="9350"/>
            </w:tabs>
            <w:rPr>
              <w:rFonts w:ascii="Arial" w:eastAsiaTheme="minorEastAsia" w:hAnsi="Arial" w:cs="Arial"/>
              <w:noProof/>
              <w:sz w:val="24"/>
            </w:rPr>
          </w:pPr>
          <w:hyperlink w:anchor="_Toc216417006" w:history="1">
            <w:r w:rsidRPr="00CF3E60">
              <w:rPr>
                <w:rStyle w:val="Hyperlink"/>
                <w:rFonts w:ascii="Arial" w:hAnsi="Arial" w:cs="Arial"/>
                <w:noProof/>
                <w:sz w:val="24"/>
                <w:lang w:val="en-GB"/>
              </w:rPr>
              <w:t>Conclusion</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_Toc216417006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15</w:t>
            </w:r>
            <w:r w:rsidRPr="00CF3E60">
              <w:rPr>
                <w:rFonts w:ascii="Arial" w:hAnsi="Arial" w:cs="Arial"/>
                <w:noProof/>
                <w:webHidden/>
                <w:sz w:val="24"/>
              </w:rPr>
              <w:fldChar w:fldCharType="end"/>
            </w:r>
          </w:hyperlink>
        </w:p>
        <w:p w:rsidR="00CF3E60" w:rsidRPr="00CF3E60" w:rsidRDefault="00CF3E60">
          <w:pPr>
            <w:pStyle w:val="TOC1"/>
            <w:tabs>
              <w:tab w:val="right" w:leader="dot" w:pos="9350"/>
            </w:tabs>
            <w:rPr>
              <w:rFonts w:ascii="Arial" w:eastAsiaTheme="minorEastAsia" w:hAnsi="Arial" w:cs="Arial"/>
              <w:noProof/>
              <w:sz w:val="24"/>
            </w:rPr>
          </w:pPr>
          <w:hyperlink w:anchor="_Toc216417007" w:history="1">
            <w:r w:rsidRPr="00CF3E60">
              <w:rPr>
                <w:rStyle w:val="Hyperlink"/>
                <w:rFonts w:ascii="Arial" w:hAnsi="Arial" w:cs="Arial"/>
                <w:noProof/>
                <w:sz w:val="24"/>
                <w:lang w:val="en-GB"/>
              </w:rPr>
              <w:t>Reference</w:t>
            </w:r>
            <w:r w:rsidRPr="00CF3E60">
              <w:rPr>
                <w:rFonts w:ascii="Arial" w:hAnsi="Arial" w:cs="Arial"/>
                <w:noProof/>
                <w:webHidden/>
                <w:sz w:val="24"/>
              </w:rPr>
              <w:tab/>
            </w:r>
            <w:r w:rsidRPr="00CF3E60">
              <w:rPr>
                <w:rFonts w:ascii="Arial" w:hAnsi="Arial" w:cs="Arial"/>
                <w:noProof/>
                <w:webHidden/>
                <w:sz w:val="24"/>
              </w:rPr>
              <w:fldChar w:fldCharType="begin"/>
            </w:r>
            <w:r w:rsidRPr="00CF3E60">
              <w:rPr>
                <w:rFonts w:ascii="Arial" w:hAnsi="Arial" w:cs="Arial"/>
                <w:noProof/>
                <w:webHidden/>
                <w:sz w:val="24"/>
              </w:rPr>
              <w:instrText xml:space="preserve"> PAGEREF _Toc216417007 \h </w:instrText>
            </w:r>
            <w:r w:rsidRPr="00CF3E60">
              <w:rPr>
                <w:rFonts w:ascii="Arial" w:hAnsi="Arial" w:cs="Arial"/>
                <w:noProof/>
                <w:webHidden/>
                <w:sz w:val="24"/>
              </w:rPr>
            </w:r>
            <w:r w:rsidRPr="00CF3E60">
              <w:rPr>
                <w:rFonts w:ascii="Arial" w:hAnsi="Arial" w:cs="Arial"/>
                <w:noProof/>
                <w:webHidden/>
                <w:sz w:val="24"/>
              </w:rPr>
              <w:fldChar w:fldCharType="separate"/>
            </w:r>
            <w:r w:rsidRPr="00CF3E60">
              <w:rPr>
                <w:rFonts w:ascii="Arial" w:hAnsi="Arial" w:cs="Arial"/>
                <w:noProof/>
                <w:webHidden/>
                <w:sz w:val="24"/>
              </w:rPr>
              <w:t>16</w:t>
            </w:r>
            <w:r w:rsidRPr="00CF3E60">
              <w:rPr>
                <w:rFonts w:ascii="Arial" w:hAnsi="Arial" w:cs="Arial"/>
                <w:noProof/>
                <w:webHidden/>
                <w:sz w:val="24"/>
              </w:rPr>
              <w:fldChar w:fldCharType="end"/>
            </w:r>
          </w:hyperlink>
        </w:p>
        <w:p w:rsidR="00043076" w:rsidRPr="00CF3E60" w:rsidRDefault="00E65037" w:rsidP="00EE4673">
          <w:pPr>
            <w:widowControl w:val="0"/>
            <w:tabs>
              <w:tab w:val="right" w:leader="dot" w:pos="12000"/>
            </w:tabs>
            <w:spacing w:before="60" w:after="0" w:line="360" w:lineRule="auto"/>
            <w:rPr>
              <w:rFonts w:ascii="Arial" w:eastAsia="Arial" w:hAnsi="Arial" w:cs="Arial"/>
              <w:b/>
              <w:bCs/>
              <w:color w:val="000000"/>
              <w:sz w:val="24"/>
              <w:lang w:val="en-GB"/>
            </w:rPr>
          </w:pPr>
          <w:r w:rsidRPr="00CF3E60">
            <w:rPr>
              <w:rFonts w:ascii="Arial" w:hAnsi="Arial" w:cs="Arial"/>
              <w:sz w:val="24"/>
              <w:lang w:val="en-GB"/>
            </w:rPr>
            <w:fldChar w:fldCharType="end"/>
          </w:r>
        </w:p>
      </w:sdtContent>
    </w:sdt>
    <w:p w:rsidR="00043076" w:rsidRPr="00CF3E60" w:rsidRDefault="00043076">
      <w:pPr>
        <w:spacing w:line="360" w:lineRule="auto"/>
        <w:jc w:val="both"/>
        <w:rPr>
          <w:rFonts w:ascii="Arial" w:eastAsia="Arial" w:hAnsi="Arial" w:cs="Arial"/>
          <w:sz w:val="28"/>
          <w:szCs w:val="24"/>
          <w:lang w:val="en-GB"/>
        </w:rPr>
        <w:sectPr w:rsidR="00043076" w:rsidRPr="00CF3E60">
          <w:footerReference w:type="default" r:id="rId8"/>
          <w:pgSz w:w="12240" w:h="15840"/>
          <w:pgMar w:top="1440" w:right="1440" w:bottom="1440" w:left="1440" w:header="720" w:footer="720" w:gutter="0"/>
          <w:pgNumType w:start="1"/>
          <w:cols w:space="720"/>
        </w:sectPr>
      </w:pPr>
    </w:p>
    <w:p w:rsidR="00043076" w:rsidRPr="00614CA7" w:rsidRDefault="00E65037">
      <w:pPr>
        <w:pStyle w:val="Heading1"/>
        <w:jc w:val="both"/>
        <w:rPr>
          <w:lang w:val="en-GB"/>
        </w:rPr>
      </w:pPr>
      <w:bookmarkStart w:id="1" w:name="_Toc216416996"/>
      <w:r w:rsidRPr="00614CA7">
        <w:rPr>
          <w:lang w:val="en-GB"/>
        </w:rPr>
        <w:lastRenderedPageBreak/>
        <w:t>Element 1: Segmentation, Targeting, Differentiation, and Positioning (STDP) Analysis</w:t>
      </w:r>
      <w:bookmarkEnd w:id="1"/>
    </w:p>
    <w:p w:rsidR="00043076" w:rsidRPr="00614CA7" w:rsidRDefault="00043076">
      <w:pPr>
        <w:spacing w:line="360" w:lineRule="auto"/>
        <w:jc w:val="both"/>
        <w:rPr>
          <w:rFonts w:ascii="Arial" w:eastAsia="Arial" w:hAnsi="Arial" w:cs="Arial"/>
          <w:sz w:val="24"/>
          <w:szCs w:val="24"/>
          <w:lang w:val="en-GB"/>
        </w:rPr>
      </w:pPr>
    </w:p>
    <w:p w:rsidR="00043076" w:rsidRPr="00614CA7" w:rsidRDefault="00E65037">
      <w:pPr>
        <w:pStyle w:val="Heading2"/>
        <w:rPr>
          <w:lang w:val="en-GB"/>
        </w:rPr>
      </w:pPr>
      <w:bookmarkStart w:id="2" w:name="_Toc216416997"/>
      <w:r w:rsidRPr="00614CA7">
        <w:rPr>
          <w:lang w:val="en-GB"/>
        </w:rPr>
        <w:t>1. Introduction to Premier Foods and New Brand Concept</w:t>
      </w:r>
      <w:bookmarkEnd w:id="2"/>
    </w:p>
    <w:p w:rsidR="00043076" w:rsidRPr="00614CA7" w:rsidRDefault="00043076">
      <w:pPr>
        <w:spacing w:line="360" w:lineRule="auto"/>
        <w:jc w:val="both"/>
        <w:rPr>
          <w:rFonts w:ascii="Arial" w:eastAsia="Arial" w:hAnsi="Arial" w:cs="Arial"/>
          <w:sz w:val="24"/>
          <w:szCs w:val="24"/>
          <w:lang w:val="en-GB"/>
        </w:rPr>
      </w:pP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Premier Foods is one of the UK’s driving nourishment fabricating companies, owning well-established brands such as Mr Kipling, </w:t>
      </w:r>
      <w:r w:rsidR="00614CA7" w:rsidRPr="00614CA7">
        <w:rPr>
          <w:rFonts w:ascii="Arial" w:eastAsia="Arial" w:hAnsi="Arial" w:cs="Arial"/>
          <w:sz w:val="24"/>
          <w:szCs w:val="24"/>
          <w:lang w:val="en-GB"/>
        </w:rPr>
        <w:t>Sherwood’s</w:t>
      </w:r>
      <w:r w:rsidRPr="00614CA7">
        <w:rPr>
          <w:rFonts w:ascii="Arial" w:eastAsia="Arial" w:hAnsi="Arial" w:cs="Arial"/>
          <w:sz w:val="24"/>
          <w:szCs w:val="24"/>
          <w:lang w:val="en-GB"/>
        </w:rPr>
        <w:t xml:space="preserve"> and Bistro. The company has reliably extended its item lines to meet moving buyer desires around wellbeing, comfort, and genuineness. In later a long time, the UK nourishment division has seen solid development in request for normal fixings, worldwide </w:t>
      </w:r>
      <w:r w:rsidR="00614CA7" w:rsidRPr="00614CA7">
        <w:rPr>
          <w:rFonts w:ascii="Arial" w:eastAsia="Arial" w:hAnsi="Arial" w:cs="Arial"/>
          <w:sz w:val="24"/>
          <w:szCs w:val="24"/>
          <w:lang w:val="en-GB"/>
        </w:rPr>
        <w:t>flavours</w:t>
      </w:r>
      <w:r w:rsidRPr="00614CA7">
        <w:rPr>
          <w:rFonts w:ascii="Arial" w:eastAsia="Arial" w:hAnsi="Arial" w:cs="Arial"/>
          <w:sz w:val="24"/>
          <w:szCs w:val="24"/>
          <w:lang w:val="en-GB"/>
        </w:rPr>
        <w:t xml:space="preserve">, and more beneficial cooking alternatives (Mintel, 2021). In reaction to these developing patterns, Chief Nourishments can present a modern brand concept, Aromivia’a premium line of common flavouring mixes, herbs, and </w:t>
      </w:r>
      <w:r w:rsidR="00614CA7" w:rsidRPr="00614CA7">
        <w:rPr>
          <w:rFonts w:ascii="Arial" w:eastAsia="Arial" w:hAnsi="Arial" w:cs="Arial"/>
          <w:sz w:val="24"/>
          <w:szCs w:val="24"/>
          <w:lang w:val="en-GB"/>
        </w:rPr>
        <w:t>flavour</w:t>
      </w:r>
      <w:r w:rsidRPr="00614CA7">
        <w:rPr>
          <w:rFonts w:ascii="Arial" w:eastAsia="Arial" w:hAnsi="Arial" w:cs="Arial"/>
          <w:sz w:val="24"/>
          <w:szCs w:val="24"/>
          <w:lang w:val="en-GB"/>
        </w:rPr>
        <w:t>-infused cooking blends.</w:t>
      </w:r>
    </w:p>
    <w:p w:rsidR="00614CA7" w:rsidRDefault="00614CA7" w:rsidP="00614CA7">
      <w:pPr>
        <w:spacing w:line="360" w:lineRule="auto"/>
        <w:jc w:val="center"/>
        <w:rPr>
          <w:rFonts w:ascii="Arial" w:eastAsia="Arial" w:hAnsi="Arial" w:cs="Arial"/>
          <w:sz w:val="24"/>
          <w:szCs w:val="24"/>
          <w:lang w:val="en-GB"/>
        </w:rPr>
      </w:pPr>
      <w:r>
        <w:rPr>
          <w:rFonts w:ascii="Arial" w:eastAsia="Arial" w:hAnsi="Arial" w:cs="Arial"/>
          <w:noProof/>
          <w:sz w:val="24"/>
          <w:szCs w:val="24"/>
        </w:rPr>
        <w:drawing>
          <wp:inline distT="0" distB="0" distL="0" distR="0" wp14:anchorId="35499D4C" wp14:editId="64243DC1">
            <wp:extent cx="28575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mi.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p>
    <w:p w:rsidR="00614CA7" w:rsidRPr="00614CA7" w:rsidRDefault="00614CA7" w:rsidP="00614CA7">
      <w:pPr>
        <w:spacing w:line="360" w:lineRule="auto"/>
        <w:jc w:val="center"/>
        <w:rPr>
          <w:rFonts w:ascii="Arial" w:eastAsia="Arial" w:hAnsi="Arial" w:cs="Arial"/>
          <w:sz w:val="24"/>
          <w:szCs w:val="24"/>
          <w:lang w:val="en-GB"/>
        </w:rPr>
      </w:pPr>
      <w:r>
        <w:rPr>
          <w:rFonts w:ascii="Arial" w:eastAsia="Arial" w:hAnsi="Arial" w:cs="Arial"/>
          <w:sz w:val="24"/>
          <w:szCs w:val="24"/>
          <w:lang w:val="en-GB"/>
        </w:rPr>
        <w:t xml:space="preserve">Sources- </w:t>
      </w:r>
      <w:hyperlink r:id="rId10" w:history="1">
        <w:r w:rsidRPr="00614CA7">
          <w:rPr>
            <w:rStyle w:val="Hyperlink"/>
            <w:rFonts w:ascii="Arial" w:eastAsia="Arial" w:hAnsi="Arial" w:cs="Arial"/>
            <w:sz w:val="24"/>
            <w:szCs w:val="24"/>
            <w:lang w:val="en-GB"/>
          </w:rPr>
          <w:t>sixdegreesexecutive.com</w:t>
        </w:r>
      </w:hyperlink>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The concept behind Aromivia is grounded in three </w:t>
      </w:r>
      <w:r w:rsidR="00614CA7" w:rsidRPr="00614CA7">
        <w:rPr>
          <w:rFonts w:ascii="Arial" w:eastAsia="Arial" w:hAnsi="Arial" w:cs="Arial"/>
          <w:sz w:val="24"/>
          <w:szCs w:val="24"/>
          <w:lang w:val="en-GB"/>
        </w:rPr>
        <w:t>Centre</w:t>
      </w:r>
      <w:r w:rsidRPr="00614CA7">
        <w:rPr>
          <w:rFonts w:ascii="Arial" w:eastAsia="Arial" w:hAnsi="Arial" w:cs="Arial"/>
          <w:sz w:val="24"/>
          <w:szCs w:val="24"/>
          <w:lang w:val="en-GB"/>
        </w:rPr>
        <w:t xml:space="preserve"> standards: normal fixings, strong and bona fide flavours, and health-conscious comfort. Cutting edge buyers, especially millennials and Gen Z, are organising clean-label items, reduced-salt choices, and worldwide culinary encounters they can make at domestic (Kantar, 2022). Aromivia subsequently points to speak to an advanced, flavour-forward character that makes a difference domestic cooks create restaurant-quality dinners effortlessly whereas keeping up a commitment to characteristic, additive-free fixings. This adjusts with the more extensive industry move toward better-for-you items, which has ended up a central acquiring help within the nourishment and flavouring showcase (Statista, 2023).</w:t>
      </w:r>
    </w:p>
    <w:p w:rsidR="00EE4673"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lastRenderedPageBreak/>
        <w:t>By creating Aromivia, Head Nourishments fortifies competitiveness, taps into the rising intrigued in domestic cooking, and reacts specifically to advancing wellbeing and wellness practises quickened by the post-pandemic way of life (</w:t>
      </w:r>
      <w:proofErr w:type="spellStart"/>
      <w:r w:rsidRPr="00614CA7">
        <w:rPr>
          <w:rFonts w:ascii="Arial" w:eastAsia="Arial" w:hAnsi="Arial" w:cs="Arial"/>
          <w:sz w:val="24"/>
          <w:szCs w:val="24"/>
          <w:lang w:val="en-GB"/>
        </w:rPr>
        <w:t>Euromonitor</w:t>
      </w:r>
      <w:proofErr w:type="spellEnd"/>
      <w:r w:rsidRPr="00614CA7">
        <w:rPr>
          <w:rFonts w:ascii="Arial" w:eastAsia="Arial" w:hAnsi="Arial" w:cs="Arial"/>
          <w:sz w:val="24"/>
          <w:szCs w:val="24"/>
          <w:lang w:val="en-GB"/>
        </w:rPr>
        <w:t>, 2021).</w:t>
      </w:r>
    </w:p>
    <w:p w:rsidR="00043076" w:rsidRPr="00614CA7" w:rsidRDefault="00E65037">
      <w:pPr>
        <w:pStyle w:val="Heading2"/>
        <w:rPr>
          <w:lang w:val="en-GB"/>
        </w:rPr>
      </w:pPr>
      <w:bookmarkStart w:id="3" w:name="_Toc216416998"/>
      <w:r w:rsidRPr="00614CA7">
        <w:rPr>
          <w:lang w:val="en-GB"/>
        </w:rPr>
        <w:t>2. Market Segmentation for Aromivia</w:t>
      </w:r>
      <w:bookmarkEnd w:id="3"/>
    </w:p>
    <w:p w:rsidR="00043076" w:rsidRPr="00614CA7" w:rsidRDefault="00043076">
      <w:pPr>
        <w:spacing w:line="360" w:lineRule="auto"/>
        <w:jc w:val="both"/>
        <w:rPr>
          <w:rFonts w:ascii="Arial" w:eastAsia="Arial" w:hAnsi="Arial" w:cs="Arial"/>
          <w:sz w:val="24"/>
          <w:szCs w:val="24"/>
          <w:lang w:val="en-GB"/>
        </w:rPr>
      </w:pP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Advertise segmentation helps Chief Foods divide its wide client base into littler bunches with shared needs and inclinations. The taking after division bases are most pertinent for Aromivia:</w:t>
      </w:r>
    </w:p>
    <w:p w:rsidR="004673AA" w:rsidRDefault="004673AA" w:rsidP="004673AA">
      <w:pPr>
        <w:spacing w:line="360" w:lineRule="auto"/>
        <w:jc w:val="center"/>
        <w:rPr>
          <w:rFonts w:ascii="Arial" w:eastAsia="Arial" w:hAnsi="Arial" w:cs="Arial"/>
          <w:sz w:val="24"/>
          <w:szCs w:val="24"/>
          <w:lang w:val="en-GB"/>
        </w:rPr>
      </w:pPr>
      <w:r>
        <w:rPr>
          <w:rFonts w:ascii="Arial" w:eastAsia="Arial" w:hAnsi="Arial" w:cs="Arial"/>
          <w:noProof/>
          <w:sz w:val="24"/>
          <w:szCs w:val="24"/>
        </w:rPr>
        <w:drawing>
          <wp:inline distT="0" distB="0" distL="0" distR="0" wp14:anchorId="5D620A73" wp14:editId="1537C8DA">
            <wp:extent cx="5943600" cy="2128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gmentation-four-types-infographic.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128520"/>
                    </a:xfrm>
                    <a:prstGeom prst="rect">
                      <a:avLst/>
                    </a:prstGeom>
                  </pic:spPr>
                </pic:pic>
              </a:graphicData>
            </a:graphic>
          </wp:inline>
        </w:drawing>
      </w:r>
    </w:p>
    <w:p w:rsidR="004673AA" w:rsidRPr="00614CA7" w:rsidRDefault="004673AA" w:rsidP="004673AA">
      <w:pPr>
        <w:spacing w:line="360" w:lineRule="auto"/>
        <w:jc w:val="center"/>
        <w:rPr>
          <w:rFonts w:ascii="Arial" w:eastAsia="Arial" w:hAnsi="Arial" w:cs="Arial"/>
          <w:sz w:val="24"/>
          <w:szCs w:val="24"/>
          <w:lang w:val="en-GB"/>
        </w:rPr>
      </w:pPr>
      <w:r>
        <w:rPr>
          <w:rFonts w:ascii="Arial" w:eastAsia="Arial" w:hAnsi="Arial" w:cs="Arial"/>
          <w:sz w:val="24"/>
          <w:szCs w:val="24"/>
          <w:lang w:val="en-GB"/>
        </w:rPr>
        <w:t xml:space="preserve">Sources- </w:t>
      </w:r>
      <w:hyperlink r:id="rId12" w:history="1">
        <w:r w:rsidRPr="004673AA">
          <w:rPr>
            <w:rStyle w:val="Hyperlink"/>
            <w:rFonts w:ascii="Arial" w:eastAsia="Arial" w:hAnsi="Arial" w:cs="Arial"/>
            <w:sz w:val="24"/>
            <w:szCs w:val="24"/>
            <w:lang w:val="en-GB"/>
          </w:rPr>
          <w:t>experian.co.uk</w:t>
        </w:r>
      </w:hyperlink>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a. Demographic Segmentation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offers basically to grown-ups matured 20-55, who are more likely to test with modern flavours and contribute in quality cooking fixings. Enquire about appears that more youthful grown-ups, particularly those matured 25-40, are driving development in characteristic and health-oriented nourishment categories (Nielsen, 2020). Middle-income families are especially significant as they habitually buy premium however reasonable cooking fixings.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b. Psychographic Segmentation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This fragment incorporates health-conscious shoppers, nourishment devotees, and people with solid intrigued in domestic cooking and sustenance. These buyers esteem normal fixings, moral generation, and bona fide flavours. Today’s customers are </w:t>
      </w:r>
      <w:r w:rsidRPr="00614CA7">
        <w:rPr>
          <w:rFonts w:ascii="Arial" w:eastAsia="Arial" w:hAnsi="Arial" w:cs="Arial"/>
          <w:sz w:val="24"/>
          <w:szCs w:val="24"/>
          <w:lang w:val="en-GB"/>
        </w:rPr>
        <w:lastRenderedPageBreak/>
        <w:t>progressively organising supportability, straightforwardness, and clean definitions when selecting nourishment items (Accenture, 2021). Aromivia’s characteristic, additive-free situating unequivocally resounds with this bunch.</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c. Behavioural Segmentation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Behavioural components incorporate utilisation rate, brand devotion, and benefits looked for. Aromivia targets:</w:t>
      </w:r>
    </w:p>
    <w:p w:rsidR="00043076" w:rsidRPr="00614CA7" w:rsidRDefault="00E65037">
      <w:pPr>
        <w:numPr>
          <w:ilvl w:val="0"/>
          <w:numId w:val="1"/>
        </w:numPr>
        <w:pBdr>
          <w:top w:val="nil"/>
          <w:left w:val="nil"/>
          <w:bottom w:val="nil"/>
          <w:right w:val="nil"/>
          <w:between w:val="nil"/>
        </w:pBdr>
        <w:spacing w:after="0" w:line="360" w:lineRule="auto"/>
        <w:jc w:val="both"/>
        <w:rPr>
          <w:color w:val="000000"/>
          <w:sz w:val="24"/>
          <w:szCs w:val="24"/>
          <w:lang w:val="en-GB"/>
        </w:rPr>
      </w:pPr>
      <w:r w:rsidRPr="00614CA7">
        <w:rPr>
          <w:rFonts w:ascii="Arial" w:eastAsia="Arial" w:hAnsi="Arial" w:cs="Arial"/>
          <w:color w:val="000000"/>
          <w:sz w:val="24"/>
          <w:szCs w:val="24"/>
          <w:lang w:val="en-GB"/>
        </w:rPr>
        <w:t>Shoppers who regularly cook at domestic and look for helpful enhance arrangements.</w:t>
      </w:r>
    </w:p>
    <w:p w:rsidR="00043076" w:rsidRPr="00614CA7" w:rsidRDefault="00E65037">
      <w:pPr>
        <w:numPr>
          <w:ilvl w:val="0"/>
          <w:numId w:val="1"/>
        </w:numPr>
        <w:pBdr>
          <w:top w:val="nil"/>
          <w:left w:val="nil"/>
          <w:bottom w:val="nil"/>
          <w:right w:val="nil"/>
          <w:between w:val="nil"/>
        </w:pBdr>
        <w:spacing w:after="0" w:line="360" w:lineRule="auto"/>
        <w:jc w:val="both"/>
        <w:rPr>
          <w:color w:val="000000"/>
          <w:sz w:val="24"/>
          <w:szCs w:val="24"/>
          <w:lang w:val="en-GB"/>
        </w:rPr>
      </w:pPr>
      <w:r w:rsidRPr="00614CA7">
        <w:rPr>
          <w:rFonts w:ascii="Arial" w:eastAsia="Arial" w:hAnsi="Arial" w:cs="Arial"/>
          <w:color w:val="000000"/>
          <w:sz w:val="24"/>
          <w:szCs w:val="24"/>
          <w:lang w:val="en-GB"/>
        </w:rPr>
        <w:t>Customers who lean toward more beneficial, low-salt, preservative-free choices.</w:t>
      </w:r>
    </w:p>
    <w:p w:rsidR="00043076" w:rsidRPr="00614CA7" w:rsidRDefault="00E65037">
      <w:pPr>
        <w:numPr>
          <w:ilvl w:val="0"/>
          <w:numId w:val="1"/>
        </w:numPr>
        <w:pBdr>
          <w:top w:val="nil"/>
          <w:left w:val="nil"/>
          <w:bottom w:val="nil"/>
          <w:right w:val="nil"/>
          <w:between w:val="nil"/>
        </w:pBdr>
        <w:spacing w:line="360" w:lineRule="auto"/>
        <w:jc w:val="both"/>
        <w:rPr>
          <w:color w:val="000000"/>
          <w:sz w:val="24"/>
          <w:szCs w:val="24"/>
          <w:lang w:val="en-GB"/>
        </w:rPr>
      </w:pPr>
      <w:r w:rsidRPr="00614CA7">
        <w:rPr>
          <w:rFonts w:ascii="Arial" w:eastAsia="Arial" w:hAnsi="Arial" w:cs="Arial"/>
          <w:color w:val="000000"/>
          <w:sz w:val="24"/>
          <w:szCs w:val="24"/>
          <w:lang w:val="en-GB"/>
        </w:rPr>
        <w:t>Clients who appreciate worldwide cooking and need easy-to-use flavouring mixes.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These behavioural designs adjust with later discoveries appearing expanded domestic cooking and higher request for ready-to-use culinary enhancers (PwC, 2022).</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d. Geographic Segmentation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basically targets the UK advertise, especially urban districts where intrigued in premium cooking fixings is higher. Urban customers frequently show more grounded request for comfort and worldwide flavours, making them perfect for Aromivia’s dispatch.</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3. Targeting Strategy</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Based on the division investigation, Aromivia’s most promising target gathering of people is: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b/>
          <w:bCs/>
          <w:sz w:val="24"/>
          <w:szCs w:val="24"/>
          <w:lang w:val="en-GB"/>
        </w:rPr>
        <w:t>Primary Target Audience:</w:t>
      </w:r>
      <w:r w:rsidRPr="00614CA7">
        <w:rPr>
          <w:rFonts w:ascii="Arial" w:eastAsia="Arial" w:hAnsi="Arial" w:cs="Arial"/>
          <w:sz w:val="24"/>
          <w:szCs w:val="24"/>
          <w:lang w:val="en-GB"/>
        </w:rPr>
        <w:t xml:space="preserve"> Health-Conscious Domestic Cooks (Matured 25-45)</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This gather comprises of active experts, youthful families, and nourishment devotees who cook at domestic frequently and organise new, common, and flavourful fixings. They look for comfort without compromising quality or dietary esteem. They are dynamic on social media stages, take after formula substance, and are responsive to influencer suggestions, making advanced showcasing profoundly compelling.</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b/>
          <w:bCs/>
          <w:sz w:val="24"/>
          <w:szCs w:val="24"/>
          <w:lang w:val="en-GB"/>
        </w:rPr>
        <w:t>Secondary Target Audience:</w:t>
      </w:r>
      <w:r w:rsidRPr="00614CA7">
        <w:rPr>
          <w:rFonts w:ascii="Arial" w:eastAsia="Arial" w:hAnsi="Arial" w:cs="Arial"/>
          <w:sz w:val="24"/>
          <w:szCs w:val="24"/>
          <w:lang w:val="en-GB"/>
        </w:rPr>
        <w:t xml:space="preserve"> Nourishment Pioneers and Trying Domestic Chefs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lastRenderedPageBreak/>
        <w:t>This portion incorporates shoppers who appreciate testing with unused cuisines and flavours. They need high-quality seasonings that offer genuineness and lift their cooking encounter. They appreciate imaginative mixes and are willing to pay a premium for prevalent taste and fixings.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These target sections are deliberately important since they speak to fast-growing buyer bunches that impact broader nourishment patterns. Their request for realness, characteristic fixings, and comfort bolsters Aromivia’s long-term brand potential.</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4. Differentiation Strategy</w:t>
      </w: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separates itself from competitors utilising a few key esteem recommendations:</w:t>
      </w:r>
    </w:p>
    <w:p w:rsidR="00AF1D3E" w:rsidRDefault="00AF1D3E" w:rsidP="00AF1D3E">
      <w:pPr>
        <w:spacing w:line="360" w:lineRule="auto"/>
        <w:jc w:val="center"/>
        <w:rPr>
          <w:rFonts w:ascii="Arial" w:eastAsia="Arial" w:hAnsi="Arial" w:cs="Arial"/>
          <w:sz w:val="24"/>
          <w:szCs w:val="24"/>
          <w:lang w:val="en-GB"/>
        </w:rPr>
      </w:pPr>
      <w:r>
        <w:rPr>
          <w:rFonts w:ascii="Arial" w:eastAsia="Arial" w:hAnsi="Arial" w:cs="Arial"/>
          <w:noProof/>
          <w:sz w:val="24"/>
          <w:szCs w:val="24"/>
        </w:rPr>
        <w:drawing>
          <wp:inline distT="0" distB="0" distL="0" distR="0" wp14:anchorId="18211C54" wp14:editId="494880C8">
            <wp:extent cx="2343150" cy="13180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kjlkj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53590" cy="1323895"/>
                    </a:xfrm>
                    <a:prstGeom prst="rect">
                      <a:avLst/>
                    </a:prstGeom>
                  </pic:spPr>
                </pic:pic>
              </a:graphicData>
            </a:graphic>
          </wp:inline>
        </w:drawing>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1. Natural, Clean-Label Ingredients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Not at all like numerous mass-market flavouring brands that utilise manufactured added substances, Aromivia centres on normal herbs, flavours, and reduced-salt, preservative-free mixes. This meets expanding request for clean-label, health-oriented nourishment choices (IGD, 2022).</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2. Global, Authentic Flavour Profiles</w:t>
      </w: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offers a differing run of universally motivated blends’ such as Mediterranean herb combination, Asian zest blends, and fragrant Centre Eastern flavours appealing to buyers looking for culinary investigation. Realness and social lavishness in enhance are profoundly significant patterns in advanced cooking (</w:t>
      </w:r>
      <w:proofErr w:type="spellStart"/>
      <w:r w:rsidRPr="00614CA7">
        <w:rPr>
          <w:rFonts w:ascii="Arial" w:eastAsia="Arial" w:hAnsi="Arial" w:cs="Arial"/>
          <w:sz w:val="24"/>
          <w:szCs w:val="24"/>
          <w:lang w:val="en-GB"/>
        </w:rPr>
        <w:t>FoodNavigator</w:t>
      </w:r>
      <w:proofErr w:type="spellEnd"/>
      <w:r w:rsidRPr="00614CA7">
        <w:rPr>
          <w:rFonts w:ascii="Arial" w:eastAsia="Arial" w:hAnsi="Arial" w:cs="Arial"/>
          <w:sz w:val="24"/>
          <w:szCs w:val="24"/>
          <w:lang w:val="en-GB"/>
        </w:rPr>
        <w:t>, 2021).</w:t>
      </w:r>
    </w:p>
    <w:p w:rsidR="00AF1D3E" w:rsidRDefault="00AF1D3E">
      <w:pPr>
        <w:spacing w:line="360" w:lineRule="auto"/>
        <w:jc w:val="both"/>
        <w:rPr>
          <w:rFonts w:ascii="Arial" w:eastAsia="Arial" w:hAnsi="Arial" w:cs="Arial"/>
          <w:sz w:val="24"/>
          <w:szCs w:val="24"/>
          <w:lang w:val="en-GB"/>
        </w:rPr>
      </w:pPr>
    </w:p>
    <w:p w:rsidR="00AF1D3E" w:rsidRDefault="00AF1D3E">
      <w:pPr>
        <w:spacing w:line="360" w:lineRule="auto"/>
        <w:jc w:val="both"/>
        <w:rPr>
          <w:rFonts w:ascii="Arial" w:eastAsia="Arial" w:hAnsi="Arial" w:cs="Arial"/>
          <w:sz w:val="24"/>
          <w:szCs w:val="24"/>
          <w:lang w:val="en-GB"/>
        </w:rPr>
      </w:pPr>
    </w:p>
    <w:p w:rsidR="00AF1D3E" w:rsidRPr="00614CA7" w:rsidRDefault="00AF1D3E">
      <w:pPr>
        <w:spacing w:line="360" w:lineRule="auto"/>
        <w:jc w:val="both"/>
        <w:rPr>
          <w:rFonts w:ascii="Arial" w:eastAsia="Arial" w:hAnsi="Arial" w:cs="Arial"/>
          <w:sz w:val="24"/>
          <w:szCs w:val="24"/>
          <w:lang w:val="en-GB"/>
        </w:rPr>
      </w:pPr>
    </w:p>
    <w:p w:rsidR="00AF1D3E"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lastRenderedPageBreak/>
        <w:t>3. Premium Packaging and Sustainability</w:t>
      </w:r>
    </w:p>
    <w:p w:rsidR="00043076" w:rsidRPr="00AF1D3E" w:rsidRDefault="00E65037">
      <w:pPr>
        <w:spacing w:line="360" w:lineRule="auto"/>
        <w:jc w:val="both"/>
        <w:rPr>
          <w:rFonts w:ascii="Arial" w:eastAsia="Arial" w:hAnsi="Arial" w:cs="Arial"/>
          <w:b/>
          <w:bCs/>
          <w:sz w:val="24"/>
          <w:szCs w:val="24"/>
          <w:lang w:val="en-GB"/>
        </w:rPr>
      </w:pPr>
      <w:r w:rsidRPr="00614CA7">
        <w:rPr>
          <w:rFonts w:ascii="Arial" w:eastAsia="Arial" w:hAnsi="Arial" w:cs="Arial"/>
          <w:sz w:val="24"/>
          <w:szCs w:val="24"/>
          <w:lang w:val="en-GB"/>
        </w:rPr>
        <w:t>Eco-friendly, outwardly engaging bundling strengthens quality and maintainability. Enquire about highlights that bundling supportability altogether impacts buy choices among more youthful buyers (Deloitte, 2023).</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4. Seamless Convenience</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Pre-measured, easy-to-use flavouring mixes disentangle cooking for active people. This comfort adjusts with way of life patterns organising time proficiency and dinner upgrade (McKinsey, 2022).</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5. Positioning Statement</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is situated as a premium, common, and flavour-forward flavouring brand outlined for customers who need sound comfort without compromising taste. The brand points to involve a particular space within the showcase where true worldwide flavours meet clean, common fixings.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Positioning Statement:</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conveys unadulterated, common, and universally motivated flavours that change ordinary suppers into dynamic culinary experiences designed for cutting edge domestic cooks who esteem taste, wellness, and convenience.</w:t>
      </w: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This situating underscores genuineness, wellbeing, and ease of use key components impacting nourishment obtaini</w:t>
      </w:r>
      <w:r w:rsidR="00EE4673" w:rsidRPr="00614CA7">
        <w:rPr>
          <w:rFonts w:ascii="Arial" w:eastAsia="Arial" w:hAnsi="Arial" w:cs="Arial"/>
          <w:sz w:val="24"/>
          <w:szCs w:val="24"/>
          <w:lang w:val="en-GB"/>
        </w:rPr>
        <w:t>ng choices in today’s showcase.</w:t>
      </w:r>
    </w:p>
    <w:p w:rsidR="00AF1D3E" w:rsidRDefault="00AF1D3E">
      <w:pPr>
        <w:spacing w:line="360" w:lineRule="auto"/>
        <w:jc w:val="both"/>
        <w:rPr>
          <w:rFonts w:ascii="Arial" w:eastAsia="Arial" w:hAnsi="Arial" w:cs="Arial"/>
          <w:sz w:val="24"/>
          <w:szCs w:val="24"/>
          <w:lang w:val="en-GB"/>
        </w:rPr>
      </w:pPr>
    </w:p>
    <w:p w:rsidR="00AF1D3E" w:rsidRDefault="00AF1D3E">
      <w:pPr>
        <w:spacing w:line="360" w:lineRule="auto"/>
        <w:jc w:val="both"/>
        <w:rPr>
          <w:rFonts w:ascii="Arial" w:eastAsia="Arial" w:hAnsi="Arial" w:cs="Arial"/>
          <w:sz w:val="24"/>
          <w:szCs w:val="24"/>
          <w:lang w:val="en-GB"/>
        </w:rPr>
      </w:pPr>
    </w:p>
    <w:p w:rsidR="00AF1D3E" w:rsidRDefault="00AF1D3E">
      <w:pPr>
        <w:spacing w:line="360" w:lineRule="auto"/>
        <w:jc w:val="both"/>
        <w:rPr>
          <w:rFonts w:ascii="Arial" w:eastAsia="Arial" w:hAnsi="Arial" w:cs="Arial"/>
          <w:sz w:val="24"/>
          <w:szCs w:val="24"/>
          <w:lang w:val="en-GB"/>
        </w:rPr>
      </w:pPr>
    </w:p>
    <w:p w:rsidR="00AF1D3E" w:rsidRDefault="00AF1D3E">
      <w:pPr>
        <w:spacing w:line="360" w:lineRule="auto"/>
        <w:jc w:val="both"/>
        <w:rPr>
          <w:rFonts w:ascii="Arial" w:eastAsia="Arial" w:hAnsi="Arial" w:cs="Arial"/>
          <w:sz w:val="24"/>
          <w:szCs w:val="24"/>
          <w:lang w:val="en-GB"/>
        </w:rPr>
      </w:pPr>
    </w:p>
    <w:p w:rsidR="00AF1D3E" w:rsidRDefault="00AF1D3E">
      <w:pPr>
        <w:spacing w:line="360" w:lineRule="auto"/>
        <w:jc w:val="both"/>
        <w:rPr>
          <w:rFonts w:ascii="Arial" w:eastAsia="Arial" w:hAnsi="Arial" w:cs="Arial"/>
          <w:sz w:val="24"/>
          <w:szCs w:val="24"/>
          <w:lang w:val="en-GB"/>
        </w:rPr>
      </w:pPr>
    </w:p>
    <w:p w:rsidR="00AF1D3E" w:rsidRPr="00614CA7" w:rsidRDefault="00AF1D3E">
      <w:pPr>
        <w:spacing w:line="360" w:lineRule="auto"/>
        <w:jc w:val="both"/>
        <w:rPr>
          <w:rFonts w:ascii="Arial" w:eastAsia="Arial" w:hAnsi="Arial" w:cs="Arial"/>
          <w:sz w:val="24"/>
          <w:szCs w:val="24"/>
          <w:lang w:val="en-GB"/>
        </w:rPr>
      </w:pPr>
    </w:p>
    <w:p w:rsidR="00043076" w:rsidRPr="00614CA7" w:rsidRDefault="00E65037">
      <w:pPr>
        <w:pStyle w:val="Heading1"/>
        <w:rPr>
          <w:lang w:val="en-GB"/>
        </w:rPr>
      </w:pPr>
      <w:bookmarkStart w:id="4" w:name="_Toc216416999"/>
      <w:r w:rsidRPr="00614CA7">
        <w:rPr>
          <w:lang w:val="en-GB"/>
        </w:rPr>
        <w:lastRenderedPageBreak/>
        <w:t>Element 2: Marketing Mix (4Ps</w:t>
      </w:r>
      <w:r w:rsidR="00EE4673" w:rsidRPr="00614CA7">
        <w:rPr>
          <w:lang w:val="en-GB"/>
        </w:rPr>
        <w:t>) -</w:t>
      </w:r>
      <w:bookmarkEnd w:id="4"/>
      <w:r w:rsidRPr="00614CA7">
        <w:rPr>
          <w:lang w:val="en-GB"/>
        </w:rPr>
        <w:t xml:space="preserve"> </w:t>
      </w:r>
    </w:p>
    <w:p w:rsidR="00043076" w:rsidRPr="00614CA7" w:rsidRDefault="00043076">
      <w:pPr>
        <w:spacing w:line="360" w:lineRule="auto"/>
        <w:jc w:val="both"/>
        <w:rPr>
          <w:rFonts w:ascii="Arial" w:eastAsia="Arial" w:hAnsi="Arial" w:cs="Arial"/>
          <w:sz w:val="24"/>
          <w:szCs w:val="24"/>
          <w:lang w:val="en-GB"/>
        </w:rPr>
      </w:pP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is a premium characteristic flavouring brand created by Chief Nourishments to meet the developing request for solid, clean-label, and all-inclusive motivated cooking arrangements. The showcasing blend (4Ps) framework Product, Cost, Put, and Promotion provides an organised approach to planning and conveying Aromivia’s technique. Each component is carefully created to back the brand’s separation, target group of onlooker’s inclinations, and long-term competitive situating. This segment clarifies how the 4Ps will be connected and how they strengthen Aromivia’s brand vision and showcase methodology.</w:t>
      </w:r>
    </w:p>
    <w:p w:rsidR="00AF1D3E" w:rsidRDefault="00AF1D3E" w:rsidP="00AF1D3E">
      <w:pPr>
        <w:spacing w:line="360" w:lineRule="auto"/>
        <w:jc w:val="center"/>
        <w:rPr>
          <w:rFonts w:ascii="Arial" w:eastAsia="Arial" w:hAnsi="Arial" w:cs="Arial"/>
          <w:sz w:val="24"/>
          <w:szCs w:val="24"/>
          <w:lang w:val="en-GB"/>
        </w:rPr>
      </w:pPr>
      <w:r>
        <w:rPr>
          <w:rFonts w:ascii="Arial" w:eastAsia="Arial" w:hAnsi="Arial" w:cs="Arial"/>
          <w:noProof/>
          <w:sz w:val="24"/>
          <w:szCs w:val="24"/>
        </w:rPr>
        <w:drawing>
          <wp:inline distT="0" distB="0" distL="0" distR="0" wp14:anchorId="7D815052" wp14:editId="64F3478F">
            <wp:extent cx="2495550" cy="1838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444oooppp.png"/>
                    <pic:cNvPicPr/>
                  </pic:nvPicPr>
                  <pic:blipFill>
                    <a:blip r:embed="rId14">
                      <a:extLst>
                        <a:ext uri="{28A0092B-C50C-407E-A947-70E740481C1C}">
                          <a14:useLocalDpi xmlns:a14="http://schemas.microsoft.com/office/drawing/2010/main" val="0"/>
                        </a:ext>
                      </a:extLst>
                    </a:blip>
                    <a:stretch>
                      <a:fillRect/>
                    </a:stretch>
                  </pic:blipFill>
                  <pic:spPr>
                    <a:xfrm>
                      <a:off x="0" y="0"/>
                      <a:ext cx="2495550" cy="1838325"/>
                    </a:xfrm>
                    <a:prstGeom prst="rect">
                      <a:avLst/>
                    </a:prstGeom>
                  </pic:spPr>
                </pic:pic>
              </a:graphicData>
            </a:graphic>
          </wp:inline>
        </w:drawing>
      </w:r>
    </w:p>
    <w:p w:rsidR="00AF1D3E" w:rsidRPr="00614CA7" w:rsidRDefault="00AF1D3E" w:rsidP="00AF1D3E">
      <w:pPr>
        <w:spacing w:line="360" w:lineRule="auto"/>
        <w:jc w:val="center"/>
        <w:rPr>
          <w:rFonts w:ascii="Arial" w:eastAsia="Arial" w:hAnsi="Arial" w:cs="Arial"/>
          <w:sz w:val="24"/>
          <w:szCs w:val="24"/>
          <w:lang w:val="en-GB"/>
        </w:rPr>
      </w:pPr>
      <w:r>
        <w:rPr>
          <w:rFonts w:ascii="Arial" w:eastAsia="Arial" w:hAnsi="Arial" w:cs="Arial"/>
          <w:sz w:val="24"/>
          <w:szCs w:val="24"/>
          <w:lang w:val="en-GB"/>
        </w:rPr>
        <w:t xml:space="preserve">Sources- </w:t>
      </w:r>
      <w:hyperlink r:id="rId15" w:history="1">
        <w:r w:rsidRPr="00AF1D3E">
          <w:rPr>
            <w:rStyle w:val="Hyperlink"/>
            <w:rFonts w:ascii="Arial" w:eastAsia="Arial" w:hAnsi="Arial" w:cs="Arial"/>
            <w:sz w:val="24"/>
            <w:szCs w:val="24"/>
            <w:lang w:val="en-GB"/>
          </w:rPr>
          <w:t>seoptimer.com</w:t>
        </w:r>
      </w:hyperlink>
    </w:p>
    <w:p w:rsidR="00043076" w:rsidRPr="00614CA7" w:rsidRDefault="00E65037">
      <w:pPr>
        <w:pStyle w:val="Heading2"/>
        <w:rPr>
          <w:lang w:val="en-GB"/>
        </w:rPr>
      </w:pPr>
      <w:bookmarkStart w:id="5" w:name="_Toc216417000"/>
      <w:r w:rsidRPr="00614CA7">
        <w:rPr>
          <w:lang w:val="en-GB"/>
        </w:rPr>
        <w:t>1. Product Strategy</w:t>
      </w:r>
      <w:bookmarkEnd w:id="5"/>
      <w:r w:rsidRPr="00614CA7">
        <w:rPr>
          <w:lang w:val="en-GB"/>
        </w:rPr>
        <w:t xml:space="preserve"> </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Item procedure is the establishment of Aromivia’s promoting blend, because it decides the centre esteem suggestion the brand conveys. Aromivia centres on common, flavour-rich, and health-oriented flavouring mixes, utilising high-quality herbs and flavours sourced from trusted providers. The brand’s clean-label philosophy free from counterfeit added substances, additives, and intemperate salt directly adjusts with present day buyer inclinations for straightforwardness and more advantageous nourishment alternatives (Mintel, 2021). This approach offers particularly to the target portions of health-conscious domestic cooks and nourishment pioneers.</w:t>
      </w:r>
    </w:p>
    <w:p w:rsidR="00043076" w:rsidRPr="00614CA7" w:rsidRDefault="00043076">
      <w:pPr>
        <w:spacing w:line="360" w:lineRule="auto"/>
        <w:jc w:val="both"/>
        <w:rPr>
          <w:lang w:val="en-GB"/>
        </w:rPr>
      </w:pPr>
    </w:p>
    <w:p w:rsidR="00043076" w:rsidRPr="00614CA7" w:rsidRDefault="00043076">
      <w:pPr>
        <w:spacing w:line="360" w:lineRule="auto"/>
        <w:jc w:val="both"/>
        <w:rPr>
          <w:lang w:val="en-GB"/>
        </w:rPr>
      </w:pP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lastRenderedPageBreak/>
        <w:t xml:space="preserve">Mediterranean Herb aggregate, Moroccan Zest agreement, eastern Umami mixture, and traditional British cook dinner Flavouring are some of the globally driven combos protected in Aromivia's product variety. Those blends, which replicate the growing client preference for </w:t>
      </w:r>
      <w:proofErr w:type="spellStart"/>
      <w:r w:rsidRPr="00614CA7">
        <w:rPr>
          <w:rFonts w:ascii="Arial" w:eastAsia="Arial" w:hAnsi="Arial" w:cs="Arial"/>
          <w:sz w:val="24"/>
          <w:szCs w:val="24"/>
          <w:lang w:val="en-GB"/>
        </w:rPr>
        <w:t>flavors</w:t>
      </w:r>
      <w:proofErr w:type="spellEnd"/>
      <w:r w:rsidRPr="00614CA7">
        <w:rPr>
          <w:rFonts w:ascii="Arial" w:eastAsia="Arial" w:hAnsi="Arial" w:cs="Arial"/>
          <w:sz w:val="24"/>
          <w:szCs w:val="24"/>
          <w:lang w:val="en-GB"/>
        </w:rPr>
        <w:t xml:space="preserve"> from round the sector, offer each authenticity and culinary range (Kantar, 2022). </w:t>
      </w:r>
      <w:r w:rsidR="00EE4673" w:rsidRPr="00614CA7">
        <w:rPr>
          <w:rFonts w:ascii="Arial" w:eastAsia="Arial" w:hAnsi="Arial" w:cs="Arial"/>
          <w:sz w:val="24"/>
          <w:szCs w:val="24"/>
          <w:lang w:val="en-GB"/>
        </w:rPr>
        <w:t>Nutrients</w:t>
      </w:r>
      <w:r w:rsidRPr="00614CA7">
        <w:rPr>
          <w:rFonts w:ascii="Arial" w:eastAsia="Arial" w:hAnsi="Arial" w:cs="Arial"/>
          <w:sz w:val="24"/>
          <w:szCs w:val="24"/>
          <w:lang w:val="en-GB"/>
        </w:rPr>
        <w:t xml:space="preserve"> specialists create every blend to make sure that it has a well-balanced taste, regular fine, and simple utility.</w:t>
      </w:r>
    </w:p>
    <w:p w:rsidR="00043076" w:rsidRPr="00614CA7" w:rsidRDefault="00E65037">
      <w:pPr>
        <w:spacing w:line="360" w:lineRule="auto"/>
        <w:jc w:val="both"/>
        <w:rPr>
          <w:lang w:val="en-GB"/>
        </w:rPr>
      </w:pPr>
      <w:r w:rsidRPr="00614CA7">
        <w:rPr>
          <w:rFonts w:ascii="Arial" w:eastAsia="Arial" w:hAnsi="Arial" w:cs="Arial"/>
          <w:sz w:val="24"/>
          <w:szCs w:val="24"/>
          <w:lang w:val="en-GB"/>
        </w:rPr>
        <w:t>Aromivia employs eco-friendly, recyclable glass jugs and compostable refill pockets, supporting maintainability patterns and engaging to naturally cognisant shoppers (Deloitte, 2023). The plan is cutting edge, premium, and moderate, including clear names emphasising normal fixings and origin-inspired visual prompts. Bundling moreover incorporates QR codes that interface to formula thoughts, improving client engagement and convenience an imperative calculate as shoppers progressively look for motivation for domestic cooking (</w:t>
      </w:r>
      <w:proofErr w:type="spellStart"/>
      <w:r w:rsidRPr="00614CA7">
        <w:rPr>
          <w:rFonts w:ascii="Arial" w:eastAsia="Arial" w:hAnsi="Arial" w:cs="Arial"/>
          <w:sz w:val="24"/>
          <w:szCs w:val="24"/>
          <w:lang w:val="en-GB"/>
        </w:rPr>
        <w:t>Euromonitor</w:t>
      </w:r>
      <w:proofErr w:type="spellEnd"/>
      <w:r w:rsidRPr="00614CA7">
        <w:rPr>
          <w:rFonts w:ascii="Arial" w:eastAsia="Arial" w:hAnsi="Arial" w:cs="Arial"/>
          <w:sz w:val="24"/>
          <w:szCs w:val="24"/>
          <w:lang w:val="en-GB"/>
        </w:rPr>
        <w:t>, 2021).</w:t>
      </w:r>
    </w:p>
    <w:p w:rsidR="00043076" w:rsidRPr="00614CA7" w:rsidRDefault="00E65037">
      <w:pPr>
        <w:pStyle w:val="Heading2"/>
        <w:rPr>
          <w:lang w:val="en-GB"/>
        </w:rPr>
      </w:pPr>
      <w:bookmarkStart w:id="6" w:name="_Toc216417001"/>
      <w:r w:rsidRPr="00614CA7">
        <w:rPr>
          <w:lang w:val="en-GB"/>
        </w:rPr>
        <w:t>2. Price Strategy</w:t>
      </w:r>
      <w:bookmarkEnd w:id="6"/>
      <w:r w:rsidRPr="00614CA7">
        <w:rPr>
          <w:lang w:val="en-GB"/>
        </w:rPr>
        <w:t xml:space="preserve"> </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receives a value-based estimating procedure, situating itself within the premium but reasonable section of the flavouring showcase. This approach guarantees the brand reflects its high-quality normal fixings, supportability centre, and special worldwide enhance mixes whereas remaining available to middle-income buyers. Value-based estimating is broadly utilised by advanced nourishment brands pointing to adjust client seen esteem with benefit (McKinsey, 2022).</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The cost point will be marginally higher than standard flavouring brands but lower than extravagance artisan flavours, empowering Aromivia to compete successfully against both mass-market and speciality competitors. This premium-accessible methodology targets customers willing to pay more for normal and more beneficial fixings but still anticipating esteem for cash (Accenture, 2021).</w:t>
      </w:r>
    </w:p>
    <w:p w:rsidR="00EE4673" w:rsidRPr="00614CA7" w:rsidRDefault="00EE4673">
      <w:pPr>
        <w:spacing w:line="360" w:lineRule="auto"/>
        <w:jc w:val="both"/>
        <w:rPr>
          <w:rFonts w:ascii="Arial" w:eastAsia="Arial" w:hAnsi="Arial" w:cs="Arial"/>
          <w:sz w:val="24"/>
          <w:szCs w:val="24"/>
          <w:lang w:val="en-GB"/>
        </w:rPr>
      </w:pPr>
    </w:p>
    <w:p w:rsidR="00EE4673" w:rsidRPr="00614CA7" w:rsidRDefault="00EE4673">
      <w:pPr>
        <w:spacing w:line="360" w:lineRule="auto"/>
        <w:jc w:val="both"/>
        <w:rPr>
          <w:rFonts w:ascii="Arial" w:eastAsia="Arial" w:hAnsi="Arial" w:cs="Arial"/>
          <w:sz w:val="24"/>
          <w:szCs w:val="24"/>
          <w:lang w:val="en-GB"/>
        </w:rPr>
      </w:pPr>
    </w:p>
    <w:p w:rsidR="00EE4673" w:rsidRPr="00614CA7" w:rsidRDefault="00EE4673">
      <w:pPr>
        <w:spacing w:line="360" w:lineRule="auto"/>
        <w:jc w:val="both"/>
        <w:rPr>
          <w:rFonts w:ascii="Arial" w:eastAsia="Arial" w:hAnsi="Arial" w:cs="Arial"/>
          <w:sz w:val="24"/>
          <w:szCs w:val="24"/>
          <w:lang w:val="en-GB"/>
        </w:rPr>
      </w:pPr>
    </w:p>
    <w:p w:rsidR="00EE4673" w:rsidRPr="00614CA7" w:rsidRDefault="00EE4673">
      <w:pPr>
        <w:spacing w:line="360" w:lineRule="auto"/>
        <w:jc w:val="both"/>
        <w:rPr>
          <w:rFonts w:ascii="Arial" w:eastAsia="Arial" w:hAnsi="Arial" w:cs="Arial"/>
          <w:sz w:val="24"/>
          <w:szCs w:val="24"/>
          <w:lang w:val="en-GB"/>
        </w:rPr>
      </w:pP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lastRenderedPageBreak/>
        <w:t>Aromivia’s estimating structure incorporates:</w:t>
      </w:r>
    </w:p>
    <w:p w:rsidR="00043076" w:rsidRPr="00614CA7" w:rsidRDefault="00E65037">
      <w:pPr>
        <w:numPr>
          <w:ilvl w:val="0"/>
          <w:numId w:val="2"/>
        </w:numPr>
        <w:pBdr>
          <w:top w:val="nil"/>
          <w:left w:val="nil"/>
          <w:bottom w:val="nil"/>
          <w:right w:val="nil"/>
          <w:between w:val="nil"/>
        </w:pBdr>
        <w:spacing w:after="0" w:line="360" w:lineRule="auto"/>
        <w:jc w:val="both"/>
        <w:rPr>
          <w:color w:val="000000"/>
          <w:sz w:val="24"/>
          <w:szCs w:val="24"/>
          <w:lang w:val="en-GB"/>
        </w:rPr>
      </w:pPr>
      <w:r w:rsidRPr="00614CA7">
        <w:rPr>
          <w:rFonts w:ascii="Arial" w:eastAsia="Arial" w:hAnsi="Arial" w:cs="Arial"/>
          <w:color w:val="000000"/>
          <w:sz w:val="24"/>
          <w:szCs w:val="24"/>
          <w:lang w:val="en-GB"/>
        </w:rPr>
        <w:t>Centre seasoning jars priced competitively within the premium portion.</w:t>
      </w:r>
    </w:p>
    <w:p w:rsidR="00043076" w:rsidRPr="00614CA7" w:rsidRDefault="00E65037">
      <w:pPr>
        <w:numPr>
          <w:ilvl w:val="0"/>
          <w:numId w:val="2"/>
        </w:numPr>
        <w:pBdr>
          <w:top w:val="nil"/>
          <w:left w:val="nil"/>
          <w:bottom w:val="nil"/>
          <w:right w:val="nil"/>
          <w:between w:val="nil"/>
        </w:pBdr>
        <w:spacing w:after="0" w:line="360" w:lineRule="auto"/>
        <w:jc w:val="both"/>
        <w:rPr>
          <w:color w:val="000000"/>
          <w:sz w:val="24"/>
          <w:szCs w:val="24"/>
          <w:lang w:val="en-GB"/>
        </w:rPr>
      </w:pPr>
      <w:r w:rsidRPr="00614CA7">
        <w:rPr>
          <w:rFonts w:ascii="Arial" w:eastAsia="Arial" w:hAnsi="Arial" w:cs="Arial"/>
          <w:color w:val="000000"/>
          <w:sz w:val="24"/>
          <w:szCs w:val="24"/>
          <w:lang w:val="en-GB"/>
        </w:rPr>
        <w:t>Refill pockets estimated lower to energise rehash buys and bolster eco-friendly practises.</w:t>
      </w:r>
    </w:p>
    <w:p w:rsidR="00043076" w:rsidRPr="00614CA7" w:rsidRDefault="00E65037">
      <w:pPr>
        <w:numPr>
          <w:ilvl w:val="0"/>
          <w:numId w:val="2"/>
        </w:numPr>
        <w:pBdr>
          <w:top w:val="nil"/>
          <w:left w:val="nil"/>
          <w:bottom w:val="nil"/>
          <w:right w:val="nil"/>
          <w:between w:val="nil"/>
        </w:pBdr>
        <w:spacing w:line="360" w:lineRule="auto"/>
        <w:jc w:val="both"/>
        <w:rPr>
          <w:color w:val="000000"/>
          <w:sz w:val="24"/>
          <w:szCs w:val="24"/>
          <w:lang w:val="en-GB"/>
        </w:rPr>
      </w:pPr>
      <w:r w:rsidRPr="00614CA7">
        <w:rPr>
          <w:rFonts w:ascii="Arial" w:eastAsia="Arial" w:hAnsi="Arial" w:cs="Arial"/>
          <w:color w:val="000000"/>
          <w:sz w:val="24"/>
          <w:szCs w:val="24"/>
          <w:lang w:val="en-GB"/>
        </w:rPr>
        <w:t>Formula packs estimated affordably to pull in trial and drive buyers.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This layered estimating model helps awesome patron motivations, from comfort seekers to unswerving, repeat customers, which enables the corporation to strengthen renovation and growth penetration.</w:t>
      </w:r>
    </w:p>
    <w:p w:rsidR="00043076" w:rsidRPr="00614CA7" w:rsidRDefault="00EE4673">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Package</w:t>
      </w:r>
      <w:r w:rsidR="00E65037" w:rsidRPr="00614CA7">
        <w:rPr>
          <w:rFonts w:ascii="Arial" w:eastAsia="Arial" w:hAnsi="Arial" w:cs="Arial"/>
          <w:sz w:val="24"/>
          <w:szCs w:val="24"/>
          <w:lang w:val="en-GB"/>
        </w:rPr>
        <w:t xml:space="preserve"> rebates, crucial offers, and dependability rewards can be related in particular, ensuring that the premium logo character remains intaglio. </w:t>
      </w:r>
      <w:r w:rsidRPr="00614CA7">
        <w:rPr>
          <w:rFonts w:ascii="Arial" w:eastAsia="Arial" w:hAnsi="Arial" w:cs="Arial"/>
          <w:sz w:val="24"/>
          <w:szCs w:val="24"/>
          <w:lang w:val="en-GB"/>
        </w:rPr>
        <w:t>Cost</w:t>
      </w:r>
      <w:r w:rsidR="00E65037" w:rsidRPr="00614CA7">
        <w:rPr>
          <w:rFonts w:ascii="Arial" w:eastAsia="Arial" w:hAnsi="Arial" w:cs="Arial"/>
          <w:sz w:val="24"/>
          <w:szCs w:val="24"/>
          <w:lang w:val="en-GB"/>
        </w:rPr>
        <w:t xml:space="preserve"> consistency across retail and on-line channels makes a distinction in building trust and stopping client confusion.</w:t>
      </w:r>
    </w:p>
    <w:p w:rsidR="00043076" w:rsidRPr="00614CA7" w:rsidRDefault="00E65037">
      <w:pPr>
        <w:pStyle w:val="Heading2"/>
        <w:rPr>
          <w:lang w:val="en-GB"/>
        </w:rPr>
      </w:pPr>
      <w:bookmarkStart w:id="7" w:name="_Toc216417002"/>
      <w:r w:rsidRPr="00614CA7">
        <w:rPr>
          <w:lang w:val="en-GB"/>
        </w:rPr>
        <w:t>3. Place (Distribution) Strategy</w:t>
      </w:r>
      <w:bookmarkEnd w:id="7"/>
      <w:r w:rsidRPr="00614CA7">
        <w:rPr>
          <w:lang w:val="en-GB"/>
        </w:rPr>
        <w:t xml:space="preserve"> </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Aromivia’s dispersion technique points to expand accessibility, comfort, and brand deceivability whereas focusing on clients who look for premium and normal cooking items. The brand will receive an Omni channel dispersion demonstrate, combining physical retail, online stages, and direct-to-consumer (D2C) channels.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1. Retail Distribution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 will be supplied in major UK grocery stores such as Tesco, Sainsbury’s, Asda, and Waitrose. These retailers pull in middle-income and health-conscious shoppers the brand’s essential target sections. General store situation guarantees tall footfall introduction and prompt availability, which is basic for a fast-moving shopper merchandise (FMCG) item (Nielsen, 2020).</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Vital rack arrangement, such as eye-level situating close world nourishment walkways or solid cooking areas, upgrades deceivability and fortifies brand validity. In-store testing occasions may be utilised amid item dispatch stages to drive trial buys.</w:t>
      </w:r>
    </w:p>
    <w:p w:rsidR="00EE4673" w:rsidRPr="00614CA7" w:rsidRDefault="00EE4673">
      <w:pPr>
        <w:spacing w:line="360" w:lineRule="auto"/>
        <w:jc w:val="both"/>
        <w:rPr>
          <w:rFonts w:ascii="Arial" w:eastAsia="Arial" w:hAnsi="Arial" w:cs="Arial"/>
          <w:b/>
          <w:bCs/>
          <w:sz w:val="24"/>
          <w:szCs w:val="24"/>
          <w:lang w:val="en-GB"/>
        </w:rPr>
      </w:pPr>
    </w:p>
    <w:p w:rsidR="00EE4673" w:rsidRPr="00614CA7" w:rsidRDefault="00EE4673">
      <w:pPr>
        <w:spacing w:line="360" w:lineRule="auto"/>
        <w:jc w:val="both"/>
        <w:rPr>
          <w:rFonts w:ascii="Arial" w:eastAsia="Arial" w:hAnsi="Arial" w:cs="Arial"/>
          <w:b/>
          <w:bCs/>
          <w:sz w:val="24"/>
          <w:szCs w:val="24"/>
          <w:lang w:val="en-GB"/>
        </w:rPr>
      </w:pP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lastRenderedPageBreak/>
        <w:t>2. Online Distribution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As online basic supply shopping proceeds to develop essentially post-pandemic (Statista, 2023), Aromivia will be accessible on grocery store e-commerce websites as well as Amazon and Chief Foods possess D2C site. Online channels permit for more extensive reach, focused on advancements, and subscription-based refill alternatives.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3. Direct-to-Consumer (D2C)</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 devoted Aromivia site will offer elite bundles, formula guides, and membership packs. D2C strengthens client devotion by empowering coordinate engagement and customised communication.</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The combination of retail, online, and D2C channels guarantees Aromivia is open to different buyer bunches and acquiring inclinations, supporting the brand’s objective of getting to be a driving choice in natural, flavour-driven seasonings.</w:t>
      </w:r>
    </w:p>
    <w:p w:rsidR="00043076" w:rsidRPr="00614CA7" w:rsidRDefault="00E65037">
      <w:pPr>
        <w:pStyle w:val="Heading2"/>
        <w:rPr>
          <w:lang w:val="en-GB"/>
        </w:rPr>
      </w:pPr>
      <w:bookmarkStart w:id="8" w:name="_Toc216417003"/>
      <w:r w:rsidRPr="00614CA7">
        <w:rPr>
          <w:lang w:val="en-GB"/>
        </w:rPr>
        <w:t>4. Promotion Strategy</w:t>
      </w:r>
      <w:bookmarkEnd w:id="8"/>
      <w:r w:rsidRPr="00614CA7">
        <w:rPr>
          <w:lang w:val="en-GB"/>
        </w:rPr>
        <w:t xml:space="preserve"> </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Aromivia’s advancement methodology points to construct solid mindfulness, communicate the brand’s characteristic and worldwide enhance personality, and lock in the target group of onlookers through compelling narrating. Advancement exercises are planned to highlight key differentiators such as clean-label fixings, maintainability, and culinary genuineness.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1. Digital Marketing</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Computerised stages are central to Aromivia’s advancement procedure due to their notoriety among more youthful buyers who effectively look for nourishment motivation online. The brand will utilise social media campaigns on Instagram, </w:t>
      </w:r>
      <w:proofErr w:type="spellStart"/>
      <w:r w:rsidRPr="00614CA7">
        <w:rPr>
          <w:rFonts w:ascii="Arial" w:eastAsia="Arial" w:hAnsi="Arial" w:cs="Arial"/>
          <w:sz w:val="24"/>
          <w:szCs w:val="24"/>
          <w:lang w:val="en-GB"/>
        </w:rPr>
        <w:t>TikTok</w:t>
      </w:r>
      <w:proofErr w:type="spellEnd"/>
      <w:r w:rsidRPr="00614CA7">
        <w:rPr>
          <w:rFonts w:ascii="Arial" w:eastAsia="Arial" w:hAnsi="Arial" w:cs="Arial"/>
          <w:sz w:val="24"/>
          <w:szCs w:val="24"/>
          <w:lang w:val="en-GB"/>
        </w:rPr>
        <w:t>, and Facebook to share formula recordings, behind-the-scenes sourcing storeys, and user-generated substance. Influencer collaborations with nourishment bloggers and domestic cooking enthusiasts will improve credibility and reach, as influencer showcasing has ended up profoundly compelling in forming nourishment obtaining choices (Chen, 2021).</w:t>
      </w:r>
    </w:p>
    <w:p w:rsidR="00EE4673" w:rsidRPr="00614CA7" w:rsidRDefault="00EE4673">
      <w:pPr>
        <w:spacing w:line="360" w:lineRule="auto"/>
        <w:jc w:val="both"/>
        <w:rPr>
          <w:rFonts w:ascii="Arial" w:eastAsia="Arial" w:hAnsi="Arial" w:cs="Arial"/>
          <w:b/>
          <w:bCs/>
          <w:sz w:val="24"/>
          <w:szCs w:val="24"/>
          <w:lang w:val="en-GB"/>
        </w:rPr>
      </w:pPr>
    </w:p>
    <w:p w:rsidR="00EE4673" w:rsidRPr="00614CA7" w:rsidRDefault="00EE4673">
      <w:pPr>
        <w:spacing w:line="360" w:lineRule="auto"/>
        <w:jc w:val="both"/>
        <w:rPr>
          <w:rFonts w:ascii="Arial" w:eastAsia="Arial" w:hAnsi="Arial" w:cs="Arial"/>
          <w:b/>
          <w:bCs/>
          <w:sz w:val="24"/>
          <w:szCs w:val="24"/>
          <w:lang w:val="en-GB"/>
        </w:rPr>
      </w:pP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lastRenderedPageBreak/>
        <w:t>2. Content Marketing</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Aromivia’s site will have blogs, social narrating, and cooking guides that highlight worldwide flavours. This instructive substance fortifies the brand’s realness and offers to nourishment pilgrims looking for culinary profundity.</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 xml:space="preserve">3. </w:t>
      </w:r>
      <w:r w:rsidR="00EE4673" w:rsidRPr="00614CA7">
        <w:rPr>
          <w:rFonts w:ascii="Arial" w:eastAsia="Arial" w:hAnsi="Arial" w:cs="Arial"/>
          <w:b/>
          <w:bCs/>
          <w:sz w:val="24"/>
          <w:szCs w:val="24"/>
          <w:lang w:val="en-GB"/>
        </w:rPr>
        <w:t>in-</w:t>
      </w:r>
      <w:r w:rsidRPr="00614CA7">
        <w:rPr>
          <w:rFonts w:ascii="Arial" w:eastAsia="Arial" w:hAnsi="Arial" w:cs="Arial"/>
          <w:b/>
          <w:bCs/>
          <w:sz w:val="24"/>
          <w:szCs w:val="24"/>
          <w:lang w:val="en-GB"/>
        </w:rPr>
        <w:t>Store Promotions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Grocery store shows, tasting occasions, and basic offers will empower trial buys and produce quick item deceivability. Clear point-of-sale materials will accentuate 100% natural, reduced salt, and eco-friendly packaging.</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4. Public Relations and Brand Storytelling</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Press discharges and collaborations with nourishment magazines will position Aromivia as a thought pioneer in maintainable, common seasonings. Highlighting sourcing straightforwardness underpins buyer believe and brand separation.</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5. Loyalty and Retention Tools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E-mail pamphlets, rewards for rehash buys, and membership rebates offer assistance hold clients and empower brand dependability.</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The </w:t>
      </w:r>
      <w:r w:rsidR="00EE4673" w:rsidRPr="00614CA7">
        <w:rPr>
          <w:rFonts w:ascii="Arial" w:eastAsia="Arial" w:hAnsi="Arial" w:cs="Arial"/>
          <w:sz w:val="24"/>
          <w:szCs w:val="24"/>
          <w:lang w:val="en-GB"/>
        </w:rPr>
        <w:t>coordinate’s</w:t>
      </w:r>
      <w:r w:rsidRPr="00614CA7">
        <w:rPr>
          <w:rFonts w:ascii="Arial" w:eastAsia="Arial" w:hAnsi="Arial" w:cs="Arial"/>
          <w:sz w:val="24"/>
          <w:szCs w:val="24"/>
          <w:lang w:val="en-GB"/>
        </w:rPr>
        <w:t xml:space="preserve"> advancement methodology guarantees Aromivia communicates its centre values successfully, sustains engagement, and builds a solid advertise nearness.</w:t>
      </w:r>
    </w:p>
    <w:p w:rsidR="00EE4673" w:rsidRPr="00614CA7" w:rsidRDefault="00EE4673" w:rsidP="00EE4673">
      <w:pPr>
        <w:pStyle w:val="Heading1"/>
        <w:rPr>
          <w:lang w:val="en-GB"/>
        </w:rPr>
      </w:pPr>
      <w:bookmarkStart w:id="9" w:name="_Toc216417004"/>
      <w:r w:rsidRPr="00614CA7">
        <w:rPr>
          <w:lang w:val="en-GB"/>
        </w:rPr>
        <w:lastRenderedPageBreak/>
        <w:t>Element 3:</w:t>
      </w:r>
      <w:bookmarkEnd w:id="9"/>
    </w:p>
    <w:p w:rsidR="00EE4673" w:rsidRPr="007144AB" w:rsidRDefault="009B2DE6" w:rsidP="007144AB">
      <w:pPr>
        <w:spacing w:line="360" w:lineRule="auto"/>
        <w:jc w:val="both"/>
        <w:rPr>
          <w:rFonts w:ascii="Arial" w:eastAsia="Arial" w:hAnsi="Arial" w:cs="Arial"/>
          <w:sz w:val="24"/>
          <w:szCs w:val="24"/>
          <w:lang w:val="en-GB"/>
        </w:rPr>
      </w:pPr>
      <w:r w:rsidRPr="009B2DE6">
        <w:rPr>
          <w:noProof/>
        </w:rPr>
        <w:drawing>
          <wp:inline distT="0" distB="0" distL="0" distR="0" wp14:anchorId="2D154574" wp14:editId="35D53111">
            <wp:extent cx="5631972" cy="79692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37416" cy="7976953"/>
                    </a:xfrm>
                    <a:prstGeom prst="rect">
                      <a:avLst/>
                    </a:prstGeom>
                  </pic:spPr>
                </pic:pic>
              </a:graphicData>
            </a:graphic>
          </wp:inline>
        </w:drawing>
      </w:r>
      <w:r w:rsidR="00EE4673" w:rsidRPr="00614CA7">
        <w:rPr>
          <w:lang w:val="en-GB"/>
        </w:rPr>
        <w:br w:type="page"/>
      </w:r>
    </w:p>
    <w:p w:rsidR="00043076" w:rsidRPr="00614CA7" w:rsidRDefault="00CB032E">
      <w:pPr>
        <w:pStyle w:val="Heading2"/>
        <w:rPr>
          <w:lang w:val="en-GB"/>
        </w:rPr>
      </w:pPr>
      <w:bookmarkStart w:id="10" w:name="_Toc216417005"/>
      <w:r>
        <w:rPr>
          <w:lang w:val="en-GB"/>
        </w:rPr>
        <w:lastRenderedPageBreak/>
        <w:t>Element 4: Reflection</w:t>
      </w:r>
      <w:bookmarkEnd w:id="10"/>
      <w:r>
        <w:rPr>
          <w:lang w:val="en-GB"/>
        </w:rPr>
        <w:t xml:space="preserve"> </w:t>
      </w:r>
    </w:p>
    <w:p w:rsidR="00043076" w:rsidRPr="00614CA7" w:rsidRDefault="00043076">
      <w:pPr>
        <w:spacing w:line="360" w:lineRule="auto"/>
        <w:jc w:val="both"/>
        <w:rPr>
          <w:rFonts w:ascii="Arial" w:eastAsia="Arial" w:hAnsi="Arial" w:cs="Arial"/>
          <w:sz w:val="24"/>
          <w:szCs w:val="24"/>
          <w:lang w:val="en-GB"/>
        </w:rPr>
      </w:pPr>
    </w:p>
    <w:p w:rsidR="00043076"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Developing the new brand concept for Aromivia and planning its showcasing methodology given a profitable opportunity to coordinated hypothetical information with common sense application. This prepare improved my understanding of how division, focusing on, separation, and situating (STDP) work collectively to direct key showcasing choices. It moreover reinforced my capacity to assess customer patterns and adjust a brand with changing advertise desires. </w:t>
      </w:r>
    </w:p>
    <w:p w:rsidR="00CB032E" w:rsidRPr="00614CA7" w:rsidRDefault="00CB032E">
      <w:pPr>
        <w:spacing w:line="360" w:lineRule="auto"/>
        <w:jc w:val="both"/>
        <w:rPr>
          <w:rFonts w:ascii="Arial" w:eastAsia="Arial" w:hAnsi="Arial" w:cs="Arial"/>
          <w:sz w:val="24"/>
          <w:szCs w:val="24"/>
          <w:lang w:val="en-GB"/>
        </w:rPr>
      </w:pPr>
      <w:r>
        <w:rPr>
          <w:rFonts w:ascii="Arial" w:eastAsia="Arial" w:hAnsi="Arial" w:cs="Arial"/>
          <w:noProof/>
          <w:sz w:val="24"/>
          <w:szCs w:val="24"/>
        </w:rPr>
        <w:drawing>
          <wp:inline distT="0" distB="0" distL="0" distR="0" wp14:anchorId="4487C592" wp14:editId="27B3547F">
            <wp:extent cx="5943600" cy="33445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q720.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1. Enhanced Strategic Thinking</w:t>
      </w:r>
    </w:p>
    <w:p w:rsidR="00043076" w:rsidRPr="00614CA7" w:rsidRDefault="00EE4673">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One</w:t>
      </w:r>
      <w:r w:rsidR="00E65037" w:rsidRPr="00614CA7">
        <w:rPr>
          <w:rFonts w:ascii="Arial" w:eastAsia="Arial" w:hAnsi="Arial" w:cs="Arial"/>
          <w:sz w:val="24"/>
          <w:szCs w:val="24"/>
          <w:lang w:val="en-GB"/>
        </w:rPr>
        <w:t xml:space="preserve"> of the maximum full-size areas of studying become growing a deeper knowledge of crucial thinking. </w:t>
      </w:r>
      <w:r w:rsidRPr="00614CA7">
        <w:rPr>
          <w:rFonts w:ascii="Arial" w:eastAsia="Arial" w:hAnsi="Arial" w:cs="Arial"/>
          <w:sz w:val="24"/>
          <w:szCs w:val="24"/>
          <w:lang w:val="en-GB"/>
        </w:rPr>
        <w:t>To</w:t>
      </w:r>
      <w:r w:rsidR="00E65037" w:rsidRPr="00614CA7">
        <w:rPr>
          <w:rFonts w:ascii="Arial" w:eastAsia="Arial" w:hAnsi="Arial" w:cs="Arial"/>
          <w:sz w:val="24"/>
          <w:szCs w:val="24"/>
          <w:lang w:val="en-GB"/>
        </w:rPr>
        <w:t xml:space="preserve"> be able to create Aromivia, I had to </w:t>
      </w:r>
      <w:proofErr w:type="spellStart"/>
      <w:r w:rsidR="00E65037" w:rsidRPr="00614CA7">
        <w:rPr>
          <w:rFonts w:ascii="Arial" w:eastAsia="Arial" w:hAnsi="Arial" w:cs="Arial"/>
          <w:sz w:val="24"/>
          <w:szCs w:val="24"/>
          <w:lang w:val="en-GB"/>
        </w:rPr>
        <w:t>analyze</w:t>
      </w:r>
      <w:proofErr w:type="spellEnd"/>
      <w:r w:rsidR="00E65037" w:rsidRPr="00614CA7">
        <w:rPr>
          <w:rFonts w:ascii="Arial" w:eastAsia="Arial" w:hAnsi="Arial" w:cs="Arial"/>
          <w:sz w:val="24"/>
          <w:szCs w:val="24"/>
          <w:lang w:val="en-GB"/>
        </w:rPr>
        <w:t xml:space="preserve"> customer </w:t>
      </w:r>
      <w:proofErr w:type="spellStart"/>
      <w:r w:rsidR="00E65037" w:rsidRPr="00614CA7">
        <w:rPr>
          <w:rFonts w:ascii="Arial" w:eastAsia="Arial" w:hAnsi="Arial" w:cs="Arial"/>
          <w:sz w:val="24"/>
          <w:szCs w:val="24"/>
          <w:lang w:val="en-GB"/>
        </w:rPr>
        <w:t>behavior</w:t>
      </w:r>
      <w:proofErr w:type="spellEnd"/>
      <w:r w:rsidR="00E65037" w:rsidRPr="00614CA7">
        <w:rPr>
          <w:rFonts w:ascii="Arial" w:eastAsia="Arial" w:hAnsi="Arial" w:cs="Arial"/>
          <w:sz w:val="24"/>
          <w:szCs w:val="24"/>
          <w:lang w:val="en-GB"/>
        </w:rPr>
        <w:t xml:space="preserve">, promote gaps, supportability traits, and the top foods logo's abilities. With increasing openings, this cope with made it extra important to balance authoritative trends. </w:t>
      </w:r>
      <w:proofErr w:type="spellStart"/>
      <w:r w:rsidR="00E65037" w:rsidRPr="00614CA7">
        <w:rPr>
          <w:rFonts w:ascii="Arial" w:eastAsia="Arial" w:hAnsi="Arial" w:cs="Arial"/>
          <w:sz w:val="24"/>
          <w:szCs w:val="24"/>
          <w:lang w:val="en-GB"/>
        </w:rPr>
        <w:t>i</w:t>
      </w:r>
      <w:proofErr w:type="spellEnd"/>
      <w:r w:rsidR="00E65037" w:rsidRPr="00614CA7">
        <w:rPr>
          <w:rFonts w:ascii="Arial" w:eastAsia="Arial" w:hAnsi="Arial" w:cs="Arial"/>
          <w:sz w:val="24"/>
          <w:szCs w:val="24"/>
          <w:lang w:val="en-GB"/>
        </w:rPr>
        <w:t xml:space="preserve"> found that effective brand increase isn't pretty much innovation; it must additionally be based totally on proof, show off checking out, and customer insights.</w:t>
      </w:r>
    </w:p>
    <w:p w:rsidR="009B2DE6" w:rsidRDefault="009B2DE6">
      <w:pPr>
        <w:spacing w:line="360" w:lineRule="auto"/>
        <w:jc w:val="both"/>
        <w:rPr>
          <w:rFonts w:ascii="Arial" w:eastAsia="Arial" w:hAnsi="Arial" w:cs="Arial"/>
          <w:b/>
          <w:bCs/>
          <w:sz w:val="24"/>
          <w:szCs w:val="24"/>
          <w:lang w:val="en-GB"/>
        </w:rPr>
      </w:pP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lastRenderedPageBreak/>
        <w:t>2. The marketing mix and STDP integration</w:t>
      </w:r>
    </w:p>
    <w:p w:rsidR="00043076" w:rsidRPr="00614CA7" w:rsidRDefault="00EE4673">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The</w:t>
      </w:r>
      <w:r w:rsidR="00E65037" w:rsidRPr="00614CA7">
        <w:rPr>
          <w:rFonts w:ascii="Arial" w:eastAsia="Arial" w:hAnsi="Arial" w:cs="Arial"/>
          <w:sz w:val="24"/>
          <w:szCs w:val="24"/>
          <w:lang w:val="en-GB"/>
        </w:rPr>
        <w:t xml:space="preserve"> relationship among STDP and the display combo is any other vital aspect to think about. I observed these structures working rather independently someday currently. Regardless, organizing Aromivia's approach taught me how that specialize in selections affects item highlights, anticipated tiers, precise channels, and dispersion alternatives. </w:t>
      </w:r>
      <w:r w:rsidRPr="00614CA7">
        <w:rPr>
          <w:rFonts w:ascii="Arial" w:eastAsia="Arial" w:hAnsi="Arial" w:cs="Arial"/>
          <w:sz w:val="24"/>
          <w:szCs w:val="24"/>
          <w:lang w:val="en-GB"/>
        </w:rPr>
        <w:t>The</w:t>
      </w:r>
      <w:r w:rsidR="00E65037" w:rsidRPr="00614CA7">
        <w:rPr>
          <w:rFonts w:ascii="Arial" w:eastAsia="Arial" w:hAnsi="Arial" w:cs="Arial"/>
          <w:sz w:val="24"/>
          <w:szCs w:val="24"/>
          <w:lang w:val="en-GB"/>
        </w:rPr>
        <w:t xml:space="preserve"> connection between situating and the 4Ps is important to handing over a compelling and engaging client experience. This epiphany more suitable my potential to design coordinate techniques instead of independent components.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3. Enhanced research and Analytical abilities</w:t>
      </w:r>
    </w:p>
    <w:p w:rsidR="00043076" w:rsidRPr="00614CA7" w:rsidRDefault="00EE4673">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All</w:t>
      </w:r>
      <w:r w:rsidR="00E65037" w:rsidRPr="00614CA7">
        <w:rPr>
          <w:rFonts w:ascii="Arial" w:eastAsia="Arial" w:hAnsi="Arial" w:cs="Arial"/>
          <w:sz w:val="24"/>
          <w:szCs w:val="24"/>
          <w:lang w:val="en-GB"/>
        </w:rPr>
        <w:t xml:space="preserve"> through the task, </w:t>
      </w:r>
      <w:proofErr w:type="spellStart"/>
      <w:r w:rsidR="00E65037" w:rsidRPr="00614CA7">
        <w:rPr>
          <w:rFonts w:ascii="Arial" w:eastAsia="Arial" w:hAnsi="Arial" w:cs="Arial"/>
          <w:sz w:val="24"/>
          <w:szCs w:val="24"/>
          <w:lang w:val="en-GB"/>
        </w:rPr>
        <w:t>i</w:t>
      </w:r>
      <w:proofErr w:type="spellEnd"/>
      <w:r w:rsidR="00E65037" w:rsidRPr="00614CA7">
        <w:rPr>
          <w:rFonts w:ascii="Arial" w:eastAsia="Arial" w:hAnsi="Arial" w:cs="Arial"/>
          <w:sz w:val="24"/>
          <w:szCs w:val="24"/>
          <w:lang w:val="en-GB"/>
        </w:rPr>
        <w:t xml:space="preserve"> used to be required to check academic literature, enterprise reviews, and, ultimately, display developments. My capacity to comprehend and apply records in a simple manner changed into stronger by means of this. I made positive that the usage of proof to guide critical decisions like estimating, dissemination, and time constraints turned into justified. This instruction also emphasised the necessity of using current sources to keep relevance in unexpectedly evolving marketplaces.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4. Brand narrative and creativity</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organising the Aromivia logo identity, which included its call, motive, bundle, and positioning, helped me assist me hone my creative competencies. I discovered the balance between creativity, brand authenticity, and patron needs. It turned into a beneficial mission to plot a product that changed into deliberately nicely-thought out and visually attractive. It increased the fee of storytelling in emblem creation, mainly in locks in customers through realness and enthusiastic requests.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5. Presentation, Communication, and Pitching Abilities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Planning and conveying the promoting methodology pitch given assist bits of knowledge. I figured it out the significance of clear structure, visual consistency, and sure conveyance. Interpreting complex key thoughts into a brief and compelling pitch progressed my communication aptitudes. I learnt that an effective presentation requires not as it were solid substance but too group of onlooker’s engagement, pacing, and visual </w:t>
      </w:r>
      <w:r w:rsidRPr="00614CA7">
        <w:rPr>
          <w:rFonts w:ascii="Arial" w:eastAsia="Arial" w:hAnsi="Arial" w:cs="Arial"/>
          <w:sz w:val="24"/>
          <w:szCs w:val="24"/>
          <w:lang w:val="en-GB"/>
        </w:rPr>
        <w:lastRenderedPageBreak/>
        <w:t>clarity. The method moreover highlighted regions for change, such as moving forward timing, rearranging slides, and utilising more visuals to demonstrate key thoughts.</w:t>
      </w:r>
    </w:p>
    <w:p w:rsidR="00043076" w:rsidRPr="00614CA7" w:rsidRDefault="00E65037">
      <w:pPr>
        <w:spacing w:line="360" w:lineRule="auto"/>
        <w:jc w:val="both"/>
        <w:rPr>
          <w:rFonts w:ascii="Arial" w:eastAsia="Arial" w:hAnsi="Arial" w:cs="Arial"/>
          <w:b/>
          <w:bCs/>
          <w:sz w:val="24"/>
          <w:szCs w:val="24"/>
          <w:lang w:val="en-GB"/>
        </w:rPr>
      </w:pPr>
      <w:r w:rsidRPr="00614CA7">
        <w:rPr>
          <w:rFonts w:ascii="Arial" w:eastAsia="Arial" w:hAnsi="Arial" w:cs="Arial"/>
          <w:b/>
          <w:bCs/>
          <w:sz w:val="24"/>
          <w:szCs w:val="24"/>
          <w:lang w:val="en-GB"/>
        </w:rPr>
        <w:t>6. Future Improvements</w:t>
      </w:r>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Reflecting fundamentally, I may advance upgrade my approach by extending buyer enquire about through overviews or interviews, which would reinforce the exactness of division and focusing on choices. I moreover point to progress my introduction fashion by practising more completely and consolidating narrating methods to convey more grounded passionate affect. </w:t>
      </w: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Default="00043076">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Default="00CB032E">
      <w:pPr>
        <w:spacing w:line="360" w:lineRule="auto"/>
        <w:jc w:val="both"/>
        <w:rPr>
          <w:rFonts w:ascii="Arial" w:eastAsia="Arial" w:hAnsi="Arial" w:cs="Arial"/>
          <w:sz w:val="24"/>
          <w:szCs w:val="24"/>
          <w:lang w:val="en-GB"/>
        </w:rPr>
      </w:pPr>
    </w:p>
    <w:p w:rsidR="00CB032E" w:rsidRPr="00614CA7" w:rsidRDefault="00CB032E">
      <w:pPr>
        <w:spacing w:line="360" w:lineRule="auto"/>
        <w:jc w:val="both"/>
        <w:rPr>
          <w:rFonts w:ascii="Arial" w:eastAsia="Arial" w:hAnsi="Arial" w:cs="Arial"/>
          <w:sz w:val="24"/>
          <w:szCs w:val="24"/>
          <w:lang w:val="en-GB"/>
        </w:rPr>
      </w:pPr>
    </w:p>
    <w:p w:rsidR="00043076" w:rsidRPr="00614CA7" w:rsidRDefault="00E65037" w:rsidP="00EE4673">
      <w:pPr>
        <w:pStyle w:val="Heading1"/>
        <w:spacing w:after="240"/>
        <w:rPr>
          <w:lang w:val="en-GB"/>
        </w:rPr>
      </w:pPr>
      <w:bookmarkStart w:id="11" w:name="_Toc216417006"/>
      <w:r w:rsidRPr="00614CA7">
        <w:rPr>
          <w:lang w:val="en-GB"/>
        </w:rPr>
        <w:lastRenderedPageBreak/>
        <w:t>Conclusion</w:t>
      </w:r>
      <w:bookmarkEnd w:id="11"/>
    </w:p>
    <w:p w:rsidR="00043076" w:rsidRPr="00614CA7" w:rsidRDefault="00E65037" w:rsidP="00EE4673">
      <w:pPr>
        <w:spacing w:after="240" w:line="360" w:lineRule="auto"/>
        <w:jc w:val="both"/>
        <w:rPr>
          <w:rFonts w:ascii="Arial" w:eastAsia="Arial" w:hAnsi="Arial" w:cs="Arial"/>
          <w:sz w:val="24"/>
          <w:szCs w:val="24"/>
          <w:lang w:val="en-GB"/>
        </w:rPr>
      </w:pPr>
      <w:r w:rsidRPr="00614CA7">
        <w:rPr>
          <w:rFonts w:ascii="Arial" w:eastAsia="Arial" w:hAnsi="Arial" w:cs="Arial"/>
          <w:sz w:val="24"/>
          <w:szCs w:val="24"/>
          <w:lang w:val="en-GB"/>
        </w:rPr>
        <w:t>In summary, Aromivia speaks to a deliberately created brand concept that permits Head Nourishments to extend into the developing advertise for normal, flavour-enhanced culinary items. Through an organized STDP approach, the brand viably recognizes its key client bunches and positions itself as a cutting edge, health-conscious, and convenience-focused arrangement. The showcasing blend strengthens this situating by conveying solid item esteem, competitive estimating, available dispersion, and focused on special exercises. By adjusting with current shopper patterns such as common fixings, genuineness, and all-encompassing prosperity, Aromivia reinforces Head Foods competitiveness and sets up an establishment for maintainable long-term development in an advancing nourishment showcase.</w:t>
      </w: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043076">
      <w:pPr>
        <w:spacing w:line="360" w:lineRule="auto"/>
        <w:jc w:val="both"/>
        <w:rPr>
          <w:rFonts w:ascii="Arial" w:eastAsia="Arial" w:hAnsi="Arial" w:cs="Arial"/>
          <w:sz w:val="24"/>
          <w:szCs w:val="24"/>
          <w:lang w:val="en-GB"/>
        </w:rPr>
      </w:pPr>
    </w:p>
    <w:p w:rsidR="00043076" w:rsidRPr="00614CA7" w:rsidRDefault="00E65037" w:rsidP="00EE4673">
      <w:pPr>
        <w:pStyle w:val="Heading1"/>
        <w:spacing w:after="240"/>
        <w:rPr>
          <w:lang w:val="en-GB"/>
        </w:rPr>
      </w:pPr>
      <w:bookmarkStart w:id="12" w:name="_Toc216417007"/>
      <w:r w:rsidRPr="00614CA7">
        <w:rPr>
          <w:lang w:val="en-GB"/>
        </w:rPr>
        <w:lastRenderedPageBreak/>
        <w:t>Reference</w:t>
      </w:r>
      <w:bookmarkEnd w:id="12"/>
    </w:p>
    <w:p w:rsidR="00043076" w:rsidRPr="00614CA7" w:rsidRDefault="00E65037" w:rsidP="00EE4673">
      <w:pPr>
        <w:spacing w:after="24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Kotler, P. &amp; Keller, K. (2022). </w:t>
      </w:r>
      <w:r w:rsidRPr="00614CA7">
        <w:rPr>
          <w:rFonts w:ascii="Arial" w:eastAsia="Arial" w:hAnsi="Arial" w:cs="Arial"/>
          <w:i/>
          <w:iCs/>
          <w:sz w:val="24"/>
          <w:szCs w:val="24"/>
          <w:lang w:val="en-GB"/>
        </w:rPr>
        <w:t>Marketing Management</w:t>
      </w:r>
      <w:r w:rsidRPr="00614CA7">
        <w:rPr>
          <w:rFonts w:ascii="Arial" w:eastAsia="Arial" w:hAnsi="Arial" w:cs="Arial"/>
          <w:sz w:val="24"/>
          <w:szCs w:val="24"/>
          <w:lang w:val="en-GB"/>
        </w:rPr>
        <w:t>. Pearson.</w:t>
      </w:r>
      <w:r w:rsidRPr="00614CA7">
        <w:rPr>
          <w:rFonts w:ascii="Arial" w:eastAsia="Arial" w:hAnsi="Arial" w:cs="Arial"/>
          <w:sz w:val="24"/>
          <w:szCs w:val="24"/>
          <w:lang w:val="en-GB"/>
        </w:rPr>
        <w:br/>
      </w:r>
      <w:hyperlink r:id="rId18">
        <w:r w:rsidRPr="00614CA7">
          <w:rPr>
            <w:rFonts w:ascii="Arial" w:eastAsia="Arial" w:hAnsi="Arial" w:cs="Arial"/>
            <w:color w:val="0563C1"/>
            <w:sz w:val="24"/>
            <w:szCs w:val="24"/>
            <w:u w:val="single"/>
            <w:lang w:val="en-GB"/>
          </w:rPr>
          <w:t>https://www.pearson.com/en-us/subject-catalog/p/marketing-management</w:t>
        </w:r>
      </w:hyperlink>
    </w:p>
    <w:p w:rsidR="00043076" w:rsidRPr="00614CA7" w:rsidRDefault="00E65037" w:rsidP="00EE4673">
      <w:pPr>
        <w:spacing w:after="24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Armstrong, G. et al. (2021). </w:t>
      </w:r>
      <w:r w:rsidRPr="00614CA7">
        <w:rPr>
          <w:rFonts w:ascii="Arial" w:eastAsia="Arial" w:hAnsi="Arial" w:cs="Arial"/>
          <w:i/>
          <w:iCs/>
          <w:sz w:val="24"/>
          <w:szCs w:val="24"/>
          <w:lang w:val="en-GB"/>
        </w:rPr>
        <w:t>Principles of Marketing</w:t>
      </w:r>
      <w:r w:rsidRPr="00614CA7">
        <w:rPr>
          <w:rFonts w:ascii="Arial" w:eastAsia="Arial" w:hAnsi="Arial" w:cs="Arial"/>
          <w:sz w:val="24"/>
          <w:szCs w:val="24"/>
          <w:lang w:val="en-GB"/>
        </w:rPr>
        <w:t>. Pearson.</w:t>
      </w:r>
      <w:r w:rsidRPr="00614CA7">
        <w:rPr>
          <w:rFonts w:ascii="Arial" w:eastAsia="Arial" w:hAnsi="Arial" w:cs="Arial"/>
          <w:sz w:val="24"/>
          <w:szCs w:val="24"/>
          <w:lang w:val="en-GB"/>
        </w:rPr>
        <w:br/>
      </w:r>
      <w:hyperlink r:id="rId19">
        <w:r w:rsidRPr="00614CA7">
          <w:rPr>
            <w:rFonts w:ascii="Arial" w:eastAsia="Arial" w:hAnsi="Arial" w:cs="Arial"/>
            <w:color w:val="0563C1"/>
            <w:sz w:val="24"/>
            <w:szCs w:val="24"/>
            <w:u w:val="single"/>
            <w:lang w:val="en-GB"/>
          </w:rPr>
          <w:t>https://www.pearson.com/us/higher-education/program/Armstrong-Principles-of-Marketing</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tatista</w:t>
      </w:r>
      <w:proofErr w:type="spellEnd"/>
      <w:r w:rsidRPr="00614CA7">
        <w:rPr>
          <w:rFonts w:ascii="Arial" w:eastAsia="Arial" w:hAnsi="Arial" w:cs="Arial"/>
          <w:sz w:val="24"/>
          <w:szCs w:val="24"/>
          <w:lang w:val="en-GB"/>
        </w:rPr>
        <w:t xml:space="preserve"> (2024). </w:t>
      </w:r>
      <w:r w:rsidRPr="00614CA7">
        <w:rPr>
          <w:rFonts w:ascii="Arial" w:eastAsia="Arial" w:hAnsi="Arial" w:cs="Arial"/>
          <w:i/>
          <w:iCs/>
          <w:sz w:val="24"/>
          <w:szCs w:val="24"/>
          <w:lang w:val="en-GB"/>
        </w:rPr>
        <w:t>UK Food Market Insights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0">
        <w:r w:rsidRPr="00614CA7">
          <w:rPr>
            <w:rFonts w:ascii="Arial" w:eastAsia="Arial" w:hAnsi="Arial" w:cs="Arial"/>
            <w:color w:val="0563C1"/>
            <w:sz w:val="24"/>
            <w:szCs w:val="24"/>
            <w:u w:val="single"/>
            <w:lang w:val="en-GB"/>
          </w:rPr>
          <w:t>https://www.statista.com/topics/3151/food-industry-in-the-uk</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Mintel (2023). </w:t>
      </w:r>
      <w:r w:rsidRPr="00614CA7">
        <w:rPr>
          <w:rFonts w:ascii="Arial" w:eastAsia="Arial" w:hAnsi="Arial" w:cs="Arial"/>
          <w:i/>
          <w:iCs/>
          <w:sz w:val="24"/>
          <w:szCs w:val="24"/>
          <w:lang w:val="en-GB"/>
        </w:rPr>
        <w:t>Future of Flavour Trends Report</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1">
        <w:r w:rsidRPr="00614CA7">
          <w:rPr>
            <w:rFonts w:ascii="Arial" w:eastAsia="Arial" w:hAnsi="Arial" w:cs="Arial"/>
            <w:color w:val="0563C1"/>
            <w:sz w:val="24"/>
            <w:szCs w:val="24"/>
            <w:u w:val="single"/>
            <w:lang w:val="en-GB"/>
          </w:rPr>
          <w:t>https://www.mintel.com</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NielsenIQ</w:t>
      </w:r>
      <w:proofErr w:type="spellEnd"/>
      <w:r w:rsidRPr="00614CA7">
        <w:rPr>
          <w:rFonts w:ascii="Arial" w:eastAsia="Arial" w:hAnsi="Arial" w:cs="Arial"/>
          <w:sz w:val="24"/>
          <w:szCs w:val="24"/>
          <w:lang w:val="en-GB"/>
        </w:rPr>
        <w:t xml:space="preserve"> (2022). </w:t>
      </w:r>
      <w:r w:rsidRPr="00614CA7">
        <w:rPr>
          <w:rFonts w:ascii="Arial" w:eastAsia="Arial" w:hAnsi="Arial" w:cs="Arial"/>
          <w:i/>
          <w:iCs/>
          <w:sz w:val="24"/>
          <w:szCs w:val="24"/>
          <w:lang w:val="en-GB"/>
        </w:rPr>
        <w:t>Consumer Demand for Natural Food Ingredients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2">
        <w:r w:rsidRPr="00614CA7">
          <w:rPr>
            <w:rFonts w:ascii="Arial" w:eastAsia="Arial" w:hAnsi="Arial" w:cs="Arial"/>
            <w:color w:val="0563C1"/>
            <w:sz w:val="24"/>
            <w:szCs w:val="24"/>
            <w:u w:val="single"/>
            <w:lang w:val="en-GB"/>
          </w:rPr>
          <w:t>https://nielseniq.com/global/en</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McKinsey &amp; Company (2023). </w:t>
      </w:r>
      <w:r w:rsidRPr="00614CA7">
        <w:rPr>
          <w:rFonts w:ascii="Arial" w:eastAsia="Arial" w:hAnsi="Arial" w:cs="Arial"/>
          <w:i/>
          <w:iCs/>
          <w:sz w:val="24"/>
          <w:szCs w:val="24"/>
          <w:lang w:val="en-GB"/>
        </w:rPr>
        <w:t>Changing Consumer Preferences in Food</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3">
        <w:r w:rsidRPr="00614CA7">
          <w:rPr>
            <w:rFonts w:ascii="Arial" w:eastAsia="Arial" w:hAnsi="Arial" w:cs="Arial"/>
            <w:color w:val="0563C1"/>
            <w:sz w:val="24"/>
            <w:szCs w:val="24"/>
            <w:u w:val="single"/>
            <w:lang w:val="en-GB"/>
          </w:rPr>
          <w:t>https://www.mckinsey.com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Deloitte (2022). </w:t>
      </w:r>
      <w:r w:rsidRPr="00614CA7">
        <w:rPr>
          <w:rFonts w:ascii="Arial" w:eastAsia="Arial" w:hAnsi="Arial" w:cs="Arial"/>
          <w:i/>
          <w:iCs/>
          <w:sz w:val="24"/>
          <w:szCs w:val="24"/>
          <w:lang w:val="en-GB"/>
        </w:rPr>
        <w:t>The Future of Food Industry</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4">
        <w:r w:rsidRPr="00614CA7">
          <w:rPr>
            <w:rFonts w:ascii="Arial" w:eastAsia="Arial" w:hAnsi="Arial" w:cs="Arial"/>
            <w:color w:val="0563C1"/>
            <w:sz w:val="24"/>
            <w:szCs w:val="24"/>
            <w:u w:val="single"/>
            <w:lang w:val="en-GB"/>
          </w:rPr>
          <w:t>https://www2.deloitte.com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Kantar (2023). </w:t>
      </w:r>
      <w:r w:rsidRPr="00614CA7">
        <w:rPr>
          <w:rFonts w:ascii="Arial" w:eastAsia="Arial" w:hAnsi="Arial" w:cs="Arial"/>
          <w:i/>
          <w:iCs/>
          <w:sz w:val="24"/>
          <w:szCs w:val="24"/>
          <w:lang w:val="en-GB"/>
        </w:rPr>
        <w:t>UK Grocery Market Update</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5">
        <w:r w:rsidRPr="00614CA7">
          <w:rPr>
            <w:rFonts w:ascii="Arial" w:eastAsia="Arial" w:hAnsi="Arial" w:cs="Arial"/>
            <w:color w:val="0563C1"/>
            <w:sz w:val="24"/>
            <w:szCs w:val="24"/>
            <w:u w:val="single"/>
            <w:lang w:val="en-GB"/>
          </w:rPr>
          <w:t>https://www.kantar.com</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uromonitor</w:t>
      </w:r>
      <w:proofErr w:type="spellEnd"/>
      <w:r w:rsidRPr="00614CA7">
        <w:rPr>
          <w:rFonts w:ascii="Arial" w:eastAsia="Arial" w:hAnsi="Arial" w:cs="Arial"/>
          <w:sz w:val="24"/>
          <w:szCs w:val="24"/>
          <w:lang w:val="en-GB"/>
        </w:rPr>
        <w:t xml:space="preserve"> International (2023). </w:t>
      </w:r>
      <w:r w:rsidRPr="00614CA7">
        <w:rPr>
          <w:rFonts w:ascii="Arial" w:eastAsia="Arial" w:hAnsi="Arial" w:cs="Arial"/>
          <w:i/>
          <w:iCs/>
          <w:sz w:val="24"/>
          <w:szCs w:val="24"/>
          <w:lang w:val="en-GB"/>
        </w:rPr>
        <w:t>Seasonings, Spices &amp; Culinary Trends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6">
        <w:r w:rsidRPr="00614CA7">
          <w:rPr>
            <w:rFonts w:ascii="Arial" w:eastAsia="Arial" w:hAnsi="Arial" w:cs="Arial"/>
            <w:color w:val="0563C1"/>
            <w:sz w:val="24"/>
            <w:szCs w:val="24"/>
            <w:u w:val="single"/>
            <w:lang w:val="en-GB"/>
          </w:rPr>
          <w:t>https://www.euromonitor.com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PwC (2022). </w:t>
      </w:r>
      <w:r w:rsidRPr="00614CA7">
        <w:rPr>
          <w:rFonts w:ascii="Arial" w:eastAsia="Arial" w:hAnsi="Arial" w:cs="Arial"/>
          <w:i/>
          <w:iCs/>
          <w:sz w:val="24"/>
          <w:szCs w:val="24"/>
          <w:lang w:val="en-GB"/>
        </w:rPr>
        <w:t>Consumer Behaviour Report: UK Grocery</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7">
        <w:r w:rsidRPr="00614CA7">
          <w:rPr>
            <w:rFonts w:ascii="Arial" w:eastAsia="Arial" w:hAnsi="Arial" w:cs="Arial"/>
            <w:color w:val="0563C1"/>
            <w:sz w:val="24"/>
            <w:szCs w:val="24"/>
            <w:u w:val="single"/>
            <w:lang w:val="en-GB"/>
          </w:rPr>
          <w:t>https://www.pwc.co.uk</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Harvard Business Review (2021). </w:t>
      </w:r>
      <w:r w:rsidRPr="00614CA7">
        <w:rPr>
          <w:rFonts w:ascii="Arial" w:eastAsia="Arial" w:hAnsi="Arial" w:cs="Arial"/>
          <w:i/>
          <w:iCs/>
          <w:sz w:val="24"/>
          <w:szCs w:val="24"/>
          <w:lang w:val="en-GB"/>
        </w:rPr>
        <w:t>The Power of Brand Positioning</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8">
        <w:r w:rsidRPr="00614CA7">
          <w:rPr>
            <w:rFonts w:ascii="Arial" w:eastAsia="Arial" w:hAnsi="Arial" w:cs="Arial"/>
            <w:color w:val="0563C1"/>
            <w:sz w:val="24"/>
            <w:szCs w:val="24"/>
            <w:u w:val="single"/>
            <w:lang w:val="en-GB"/>
          </w:rPr>
          <w:t>https://hbr.org</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Accenture (2023). </w:t>
      </w:r>
      <w:r w:rsidRPr="00614CA7">
        <w:rPr>
          <w:rFonts w:ascii="Arial" w:eastAsia="Arial" w:hAnsi="Arial" w:cs="Arial"/>
          <w:i/>
          <w:iCs/>
          <w:sz w:val="24"/>
          <w:szCs w:val="24"/>
          <w:lang w:val="en-GB"/>
        </w:rPr>
        <w:t>Sustainable Consumption Trends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29">
        <w:r w:rsidRPr="00614CA7">
          <w:rPr>
            <w:rFonts w:ascii="Arial" w:eastAsia="Arial" w:hAnsi="Arial" w:cs="Arial"/>
            <w:color w:val="0563C1"/>
            <w:sz w:val="24"/>
            <w:szCs w:val="24"/>
            <w:u w:val="single"/>
            <w:lang w:val="en-GB"/>
          </w:rPr>
          <w:t>https://www.accenture.com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Forbes (2023). </w:t>
      </w:r>
      <w:proofErr w:type="spellStart"/>
      <w:r w:rsidRPr="00614CA7">
        <w:rPr>
          <w:rFonts w:ascii="Arial" w:eastAsia="Arial" w:hAnsi="Arial" w:cs="Arial"/>
          <w:i/>
          <w:iCs/>
          <w:sz w:val="24"/>
          <w:szCs w:val="24"/>
          <w:lang w:val="en-GB"/>
        </w:rPr>
        <w:t>Premiumisation</w:t>
      </w:r>
      <w:proofErr w:type="spellEnd"/>
      <w:r w:rsidRPr="00614CA7">
        <w:rPr>
          <w:rFonts w:ascii="Arial" w:eastAsia="Arial" w:hAnsi="Arial" w:cs="Arial"/>
          <w:i/>
          <w:iCs/>
          <w:sz w:val="24"/>
          <w:szCs w:val="24"/>
          <w:lang w:val="en-GB"/>
        </w:rPr>
        <w:t xml:space="preserve"> in the Food Industry</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0">
        <w:r w:rsidRPr="00614CA7">
          <w:rPr>
            <w:rFonts w:ascii="Arial" w:eastAsia="Arial" w:hAnsi="Arial" w:cs="Arial"/>
            <w:color w:val="0563C1"/>
            <w:sz w:val="24"/>
            <w:szCs w:val="24"/>
            <w:u w:val="single"/>
            <w:lang w:val="en-GB"/>
          </w:rPr>
          <w:t>https://www.forbes.com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lastRenderedPageBreak/>
        <w:t xml:space="preserve">Food Standards Agency (2022). </w:t>
      </w:r>
      <w:r w:rsidRPr="00614CA7">
        <w:rPr>
          <w:rFonts w:ascii="Arial" w:eastAsia="Arial" w:hAnsi="Arial" w:cs="Arial"/>
          <w:i/>
          <w:iCs/>
          <w:sz w:val="24"/>
          <w:szCs w:val="24"/>
          <w:lang w:val="en-GB"/>
        </w:rPr>
        <w:t>UK Food Market Consumer Research</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1">
        <w:r w:rsidRPr="00614CA7">
          <w:rPr>
            <w:rFonts w:ascii="Arial" w:eastAsia="Arial" w:hAnsi="Arial" w:cs="Arial"/>
            <w:color w:val="0563C1"/>
            <w:sz w:val="24"/>
            <w:szCs w:val="24"/>
            <w:u w:val="single"/>
            <w:lang w:val="en-GB"/>
          </w:rPr>
          <w:t>https://www.food.gov.uk</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ResearchGate</w:t>
      </w:r>
      <w:proofErr w:type="spellEnd"/>
      <w:r w:rsidRPr="00614CA7">
        <w:rPr>
          <w:rFonts w:ascii="Arial" w:eastAsia="Arial" w:hAnsi="Arial" w:cs="Arial"/>
          <w:sz w:val="24"/>
          <w:szCs w:val="24"/>
          <w:lang w:val="en-GB"/>
        </w:rPr>
        <w:t xml:space="preserve"> (2021). </w:t>
      </w:r>
      <w:r w:rsidRPr="00614CA7">
        <w:rPr>
          <w:rFonts w:ascii="Arial" w:eastAsia="Arial" w:hAnsi="Arial" w:cs="Arial"/>
          <w:i/>
          <w:iCs/>
          <w:sz w:val="24"/>
          <w:szCs w:val="24"/>
          <w:lang w:val="en-GB"/>
        </w:rPr>
        <w:t>Consumer Attitudes Toward Natural Flavours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2">
        <w:r w:rsidRPr="00614CA7">
          <w:rPr>
            <w:rFonts w:ascii="Arial" w:eastAsia="Arial" w:hAnsi="Arial" w:cs="Arial"/>
            <w:color w:val="0563C1"/>
            <w:sz w:val="24"/>
            <w:szCs w:val="24"/>
            <w:u w:val="single"/>
            <w:lang w:val="en-GB"/>
          </w:rPr>
          <w:t>https://www.researchgate.net</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Springer (2020). </w:t>
      </w:r>
      <w:r w:rsidRPr="00614CA7">
        <w:rPr>
          <w:rFonts w:ascii="Arial" w:eastAsia="Arial" w:hAnsi="Arial" w:cs="Arial"/>
          <w:i/>
          <w:iCs/>
          <w:sz w:val="24"/>
          <w:szCs w:val="24"/>
          <w:lang w:val="en-GB"/>
        </w:rPr>
        <w:t>Brand Differentiation Strategies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3">
        <w:r w:rsidRPr="00614CA7">
          <w:rPr>
            <w:rFonts w:ascii="Arial" w:eastAsia="Arial" w:hAnsi="Arial" w:cs="Arial"/>
            <w:color w:val="0563C1"/>
            <w:sz w:val="24"/>
            <w:szCs w:val="24"/>
            <w:u w:val="single"/>
            <w:lang w:val="en-GB"/>
          </w:rPr>
          <w:t>https://link.springer.com</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ScienceDirect</w:t>
      </w:r>
      <w:proofErr w:type="spellEnd"/>
      <w:r w:rsidRPr="00614CA7">
        <w:rPr>
          <w:rFonts w:ascii="Arial" w:eastAsia="Arial" w:hAnsi="Arial" w:cs="Arial"/>
          <w:sz w:val="24"/>
          <w:szCs w:val="24"/>
          <w:lang w:val="en-GB"/>
        </w:rPr>
        <w:t xml:space="preserve"> (2022). </w:t>
      </w:r>
      <w:r w:rsidRPr="00614CA7">
        <w:rPr>
          <w:rFonts w:ascii="Arial" w:eastAsia="Arial" w:hAnsi="Arial" w:cs="Arial"/>
          <w:i/>
          <w:iCs/>
          <w:sz w:val="24"/>
          <w:szCs w:val="24"/>
          <w:lang w:val="en-GB"/>
        </w:rPr>
        <w:t>Consumer Behaviour in Food Choices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4">
        <w:r w:rsidRPr="00614CA7">
          <w:rPr>
            <w:rFonts w:ascii="Arial" w:eastAsia="Arial" w:hAnsi="Arial" w:cs="Arial"/>
            <w:color w:val="0563C1"/>
            <w:sz w:val="24"/>
            <w:szCs w:val="24"/>
            <w:u w:val="single"/>
            <w:lang w:val="en-GB"/>
          </w:rPr>
          <w:t>https://www.sciencedirect.com</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MarketWatch</w:t>
      </w:r>
      <w:proofErr w:type="spellEnd"/>
      <w:r w:rsidRPr="00614CA7">
        <w:rPr>
          <w:rFonts w:ascii="Arial" w:eastAsia="Arial" w:hAnsi="Arial" w:cs="Arial"/>
          <w:sz w:val="24"/>
          <w:szCs w:val="24"/>
          <w:lang w:val="en-GB"/>
        </w:rPr>
        <w:t xml:space="preserve"> (2023). </w:t>
      </w:r>
      <w:r w:rsidRPr="00614CA7">
        <w:rPr>
          <w:rFonts w:ascii="Arial" w:eastAsia="Arial" w:hAnsi="Arial" w:cs="Arial"/>
          <w:i/>
          <w:iCs/>
          <w:sz w:val="24"/>
          <w:szCs w:val="24"/>
          <w:lang w:val="en-GB"/>
        </w:rPr>
        <w:t>Global Seasonings and Spices Market Analysis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5">
        <w:r w:rsidRPr="00614CA7">
          <w:rPr>
            <w:rFonts w:ascii="Arial" w:eastAsia="Arial" w:hAnsi="Arial" w:cs="Arial"/>
            <w:color w:val="0563C1"/>
            <w:sz w:val="24"/>
            <w:szCs w:val="24"/>
            <w:u w:val="single"/>
            <w:lang w:val="en-GB"/>
          </w:rPr>
          <w:t>https://www.marketwatch.com</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BISWorld</w:t>
      </w:r>
      <w:proofErr w:type="spellEnd"/>
      <w:r w:rsidRPr="00614CA7">
        <w:rPr>
          <w:rFonts w:ascii="Arial" w:eastAsia="Arial" w:hAnsi="Arial" w:cs="Arial"/>
          <w:sz w:val="24"/>
          <w:szCs w:val="24"/>
          <w:lang w:val="en-GB"/>
        </w:rPr>
        <w:t xml:space="preserve"> (2023). </w:t>
      </w:r>
      <w:r w:rsidRPr="00614CA7">
        <w:rPr>
          <w:rFonts w:ascii="Arial" w:eastAsia="Arial" w:hAnsi="Arial" w:cs="Arial"/>
          <w:i/>
          <w:iCs/>
          <w:sz w:val="24"/>
          <w:szCs w:val="24"/>
          <w:lang w:val="en-GB"/>
        </w:rPr>
        <w:t>UK Food Manufacturing Industry Report</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6">
        <w:r w:rsidRPr="00614CA7">
          <w:rPr>
            <w:rFonts w:ascii="Arial" w:eastAsia="Arial" w:hAnsi="Arial" w:cs="Arial"/>
            <w:color w:val="0563C1"/>
            <w:sz w:val="24"/>
            <w:szCs w:val="24"/>
            <w:u w:val="single"/>
            <w:lang w:val="en-GB"/>
          </w:rPr>
          <w:t>https://www.ibisworld.com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Statista (2023). </w:t>
      </w:r>
      <w:r w:rsidRPr="00614CA7">
        <w:rPr>
          <w:rFonts w:ascii="Arial" w:eastAsia="Arial" w:hAnsi="Arial" w:cs="Arial"/>
          <w:i/>
          <w:iCs/>
          <w:sz w:val="24"/>
          <w:szCs w:val="24"/>
          <w:lang w:val="en-GB"/>
        </w:rPr>
        <w:t>Organic and Natural Foods Market Growth</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7">
        <w:r w:rsidRPr="00614CA7">
          <w:rPr>
            <w:rFonts w:ascii="Arial" w:eastAsia="Arial" w:hAnsi="Arial" w:cs="Arial"/>
            <w:color w:val="0563C1"/>
            <w:sz w:val="24"/>
            <w:szCs w:val="24"/>
            <w:u w:val="single"/>
            <w:lang w:val="en-GB"/>
          </w:rPr>
          <w:t>https://www.statista.com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MarketResearch.com (2022). </w:t>
      </w:r>
      <w:r w:rsidRPr="00614CA7">
        <w:rPr>
          <w:rFonts w:ascii="Arial" w:eastAsia="Arial" w:hAnsi="Arial" w:cs="Arial"/>
          <w:i/>
          <w:iCs/>
          <w:sz w:val="24"/>
          <w:szCs w:val="24"/>
          <w:lang w:val="en-GB"/>
        </w:rPr>
        <w:t>Culinary Trends &amp; Ingredient Innovation</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8">
        <w:r w:rsidRPr="00614CA7">
          <w:rPr>
            <w:rFonts w:ascii="Arial" w:eastAsia="Arial" w:hAnsi="Arial" w:cs="Arial"/>
            <w:color w:val="0563C1"/>
            <w:sz w:val="24"/>
            <w:szCs w:val="24"/>
            <w:u w:val="single"/>
            <w:lang w:val="en-GB"/>
          </w:rPr>
          <w:t>https://www.marketresearch.com</w:t>
        </w:r>
      </w:hyperlink>
    </w:p>
    <w:p w:rsidR="00043076" w:rsidRPr="00614CA7" w:rsidRDefault="00E65037">
      <w:pPr>
        <w:spacing w:after="0" w:line="360" w:lineRule="auto"/>
        <w:jc w:val="both"/>
        <w:rPr>
          <w:rFonts w:ascii="Arial" w:eastAsia="Arial" w:hAnsi="Arial" w:cs="Arial"/>
          <w:sz w:val="24"/>
          <w:szCs w:val="24"/>
          <w:lang w:val="en-GB"/>
        </w:rPr>
      </w:pPr>
      <w:proofErr w:type="spellStart"/>
      <w:r w:rsidRPr="00614CA7">
        <w:rPr>
          <w:rFonts w:ascii="Arial" w:eastAsia="Arial" w:hAnsi="Arial" w:cs="Arial"/>
          <w:sz w:val="24"/>
          <w:szCs w:val="24"/>
          <w:lang w:val="en-GB"/>
        </w:rPr>
        <w:t>NielsenIQ</w:t>
      </w:r>
      <w:proofErr w:type="spellEnd"/>
      <w:r w:rsidRPr="00614CA7">
        <w:rPr>
          <w:rFonts w:ascii="Arial" w:eastAsia="Arial" w:hAnsi="Arial" w:cs="Arial"/>
          <w:sz w:val="24"/>
          <w:szCs w:val="24"/>
          <w:lang w:val="en-GB"/>
        </w:rPr>
        <w:t xml:space="preserve"> (2021). </w:t>
      </w:r>
      <w:r w:rsidRPr="00614CA7">
        <w:rPr>
          <w:rFonts w:ascii="Arial" w:eastAsia="Arial" w:hAnsi="Arial" w:cs="Arial"/>
          <w:i/>
          <w:iCs/>
          <w:sz w:val="24"/>
          <w:szCs w:val="24"/>
          <w:lang w:val="en-GB"/>
        </w:rPr>
        <w:t>Clean Label &amp; Natural Ingredient Growth</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39">
        <w:r w:rsidRPr="00614CA7">
          <w:rPr>
            <w:rFonts w:ascii="Arial" w:eastAsia="Arial" w:hAnsi="Arial" w:cs="Arial"/>
            <w:color w:val="0563C1"/>
            <w:sz w:val="24"/>
            <w:szCs w:val="24"/>
            <w:u w:val="single"/>
            <w:lang w:val="en-GB"/>
          </w:rPr>
          <w:t>https://nielseniq.com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Bain &amp; Company (2022). </w:t>
      </w:r>
      <w:r w:rsidRPr="00614CA7">
        <w:rPr>
          <w:rFonts w:ascii="Arial" w:eastAsia="Arial" w:hAnsi="Arial" w:cs="Arial"/>
          <w:i/>
          <w:iCs/>
          <w:sz w:val="24"/>
          <w:szCs w:val="24"/>
          <w:lang w:val="en-GB"/>
        </w:rPr>
        <w:t>Premium Brand Growth Strategy</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40">
        <w:r w:rsidRPr="00614CA7">
          <w:rPr>
            <w:rFonts w:ascii="Arial" w:eastAsia="Arial" w:hAnsi="Arial" w:cs="Arial"/>
            <w:color w:val="0563C1"/>
            <w:sz w:val="24"/>
            <w:szCs w:val="24"/>
            <w:u w:val="single"/>
            <w:lang w:val="en-GB"/>
          </w:rPr>
          <w:t>https://www.bain.com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EY (2023). </w:t>
      </w:r>
      <w:r w:rsidRPr="00614CA7">
        <w:rPr>
          <w:rFonts w:ascii="Arial" w:eastAsia="Arial" w:hAnsi="Arial" w:cs="Arial"/>
          <w:i/>
          <w:iCs/>
          <w:sz w:val="24"/>
          <w:szCs w:val="24"/>
          <w:lang w:val="en-GB"/>
        </w:rPr>
        <w:t>Future Consumer Index</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41">
        <w:r w:rsidRPr="00614CA7">
          <w:rPr>
            <w:rFonts w:ascii="Arial" w:eastAsia="Arial" w:hAnsi="Arial" w:cs="Arial"/>
            <w:color w:val="0563C1"/>
            <w:sz w:val="24"/>
            <w:szCs w:val="24"/>
            <w:u w:val="single"/>
            <w:lang w:val="en-GB"/>
          </w:rPr>
          <w:t>https://www.ey.com</w:t>
        </w:r>
      </w:hyperlink>
    </w:p>
    <w:p w:rsidR="00043076" w:rsidRPr="00614CA7" w:rsidRDefault="00E65037">
      <w:pPr>
        <w:spacing w:after="0"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BBC Good Food (2023). </w:t>
      </w:r>
      <w:r w:rsidRPr="00614CA7">
        <w:rPr>
          <w:rFonts w:ascii="Arial" w:eastAsia="Arial" w:hAnsi="Arial" w:cs="Arial"/>
          <w:i/>
          <w:iCs/>
          <w:sz w:val="24"/>
          <w:szCs w:val="24"/>
          <w:lang w:val="en-GB"/>
        </w:rPr>
        <w:t>UK Flavour &amp; Cooking Trend Insights</w:t>
      </w:r>
      <w:r w:rsidRPr="00614CA7">
        <w:rPr>
          <w:rFonts w:ascii="Arial" w:eastAsia="Arial" w:hAnsi="Arial" w:cs="Arial"/>
          <w:sz w:val="24"/>
          <w:szCs w:val="24"/>
          <w:lang w:val="en-GB"/>
        </w:rPr>
        <w:t>.</w:t>
      </w:r>
      <w:r w:rsidRPr="00614CA7">
        <w:rPr>
          <w:rFonts w:ascii="Arial" w:eastAsia="Arial" w:hAnsi="Arial" w:cs="Arial"/>
          <w:sz w:val="24"/>
          <w:szCs w:val="24"/>
          <w:lang w:val="en-GB"/>
        </w:rPr>
        <w:br/>
      </w:r>
      <w:hyperlink r:id="rId42">
        <w:r w:rsidRPr="00614CA7">
          <w:rPr>
            <w:rFonts w:ascii="Arial" w:eastAsia="Arial" w:hAnsi="Arial" w:cs="Arial"/>
            <w:color w:val="0563C1"/>
            <w:sz w:val="24"/>
            <w:szCs w:val="24"/>
            <w:u w:val="single"/>
            <w:lang w:val="en-GB"/>
          </w:rPr>
          <w:t>https://www.bbcgoodfood.com</w:t>
        </w:r>
      </w:hyperlink>
    </w:p>
    <w:p w:rsidR="00043076" w:rsidRPr="00614CA7" w:rsidRDefault="00E65037">
      <w:pPr>
        <w:spacing w:line="360" w:lineRule="auto"/>
        <w:jc w:val="both"/>
        <w:rPr>
          <w:rFonts w:ascii="Arial" w:eastAsia="Arial" w:hAnsi="Arial" w:cs="Arial"/>
          <w:sz w:val="24"/>
          <w:szCs w:val="24"/>
          <w:lang w:val="en-GB"/>
        </w:rPr>
      </w:pPr>
      <w:r w:rsidRPr="00614CA7">
        <w:rPr>
          <w:rFonts w:ascii="Arial" w:eastAsia="Arial" w:hAnsi="Arial" w:cs="Arial"/>
          <w:sz w:val="24"/>
          <w:szCs w:val="24"/>
          <w:lang w:val="en-GB"/>
        </w:rPr>
        <w:t xml:space="preserve">. </w:t>
      </w:r>
    </w:p>
    <w:p w:rsidR="00043076" w:rsidRPr="00614CA7" w:rsidRDefault="00043076">
      <w:pPr>
        <w:spacing w:line="360" w:lineRule="auto"/>
        <w:jc w:val="center"/>
        <w:rPr>
          <w:rFonts w:ascii="Arial" w:eastAsia="Arial" w:hAnsi="Arial" w:cs="Arial"/>
          <w:sz w:val="24"/>
          <w:szCs w:val="24"/>
          <w:lang w:val="en-GB"/>
        </w:rPr>
      </w:pPr>
    </w:p>
    <w:p w:rsidR="00043076" w:rsidRPr="00614CA7" w:rsidRDefault="00043076">
      <w:pPr>
        <w:spacing w:line="360" w:lineRule="auto"/>
        <w:jc w:val="center"/>
        <w:rPr>
          <w:rFonts w:ascii="Arial" w:eastAsia="Arial" w:hAnsi="Arial" w:cs="Arial"/>
          <w:sz w:val="24"/>
          <w:szCs w:val="24"/>
          <w:lang w:val="en-GB"/>
        </w:rPr>
      </w:pPr>
    </w:p>
    <w:p w:rsidR="00043076" w:rsidRPr="00614CA7" w:rsidRDefault="00043076">
      <w:pPr>
        <w:spacing w:line="360" w:lineRule="auto"/>
        <w:jc w:val="center"/>
        <w:rPr>
          <w:rFonts w:ascii="Arial" w:eastAsia="Arial" w:hAnsi="Arial" w:cs="Arial"/>
          <w:sz w:val="24"/>
          <w:szCs w:val="24"/>
          <w:lang w:val="en-GB"/>
        </w:rPr>
      </w:pPr>
    </w:p>
    <w:p w:rsidR="00043076" w:rsidRPr="00614CA7" w:rsidRDefault="00043076" w:rsidP="00EE4673">
      <w:pPr>
        <w:spacing w:line="360" w:lineRule="auto"/>
        <w:rPr>
          <w:rFonts w:ascii="Arial" w:eastAsia="Arial" w:hAnsi="Arial" w:cs="Arial"/>
          <w:sz w:val="24"/>
          <w:szCs w:val="24"/>
          <w:lang w:val="en-GB"/>
        </w:rPr>
      </w:pPr>
      <w:bookmarkStart w:id="13" w:name="_svajj4qg3zcj" w:colFirst="0" w:colLast="0"/>
      <w:bookmarkEnd w:id="13"/>
    </w:p>
    <w:sectPr w:rsidR="00043076" w:rsidRPr="00614CA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AA5" w:rsidRDefault="00824AA5">
      <w:pPr>
        <w:spacing w:after="0" w:line="240" w:lineRule="auto"/>
      </w:pPr>
      <w:r>
        <w:separator/>
      </w:r>
    </w:p>
  </w:endnote>
  <w:endnote w:type="continuationSeparator" w:id="0">
    <w:p w:rsidR="00824AA5" w:rsidRDefault="00824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embedRegular r:id="rId1" w:fontKey="{EBC73DC1-48AC-484E-9D51-7C7752C8C53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850A2DAC-AF3A-4675-ABC5-416D5495143E}"/>
    <w:embedBold r:id="rId3" w:fontKey="{ABE88E22-944E-40DE-9BC1-1746E4F2584C}"/>
    <w:embedItalic r:id="rId4" w:fontKey="{F2761541-9CA7-43D4-8589-35234BDC79D1}"/>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3CFB7E3B-D240-4525-A2AC-63F39D68E8C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076" w:rsidRDefault="00E65037">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CF3E60">
      <w:rPr>
        <w:noProof/>
        <w:color w:val="000000"/>
      </w:rPr>
      <w:t>17</w:t>
    </w:r>
    <w:r>
      <w:rPr>
        <w:color w:val="000000"/>
      </w:rPr>
      <w:fldChar w:fldCharType="end"/>
    </w:r>
  </w:p>
  <w:p w:rsidR="00043076" w:rsidRDefault="0004307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AA5" w:rsidRDefault="00824AA5">
      <w:pPr>
        <w:spacing w:after="0" w:line="240" w:lineRule="auto"/>
      </w:pPr>
      <w:r>
        <w:separator/>
      </w:r>
    </w:p>
  </w:footnote>
  <w:footnote w:type="continuationSeparator" w:id="0">
    <w:p w:rsidR="00824AA5" w:rsidRDefault="00824A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C6330E6"/>
    <w:multiLevelType w:val="multilevel"/>
    <w:tmpl w:val="4AC601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792309D3"/>
    <w:multiLevelType w:val="multilevel"/>
    <w:tmpl w:val="2926FB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076"/>
    <w:rsid w:val="00043076"/>
    <w:rsid w:val="004673AA"/>
    <w:rsid w:val="00614CA7"/>
    <w:rsid w:val="007144AB"/>
    <w:rsid w:val="008150F6"/>
    <w:rsid w:val="00824AA5"/>
    <w:rsid w:val="00892FE5"/>
    <w:rsid w:val="008F2165"/>
    <w:rsid w:val="009B2DE6"/>
    <w:rsid w:val="00AF1D3E"/>
    <w:rsid w:val="00C770C6"/>
    <w:rsid w:val="00CB032E"/>
    <w:rsid w:val="00CF3E60"/>
    <w:rsid w:val="00DD4F36"/>
    <w:rsid w:val="00E65037"/>
    <w:rsid w:val="00EE4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25C66B-AD37-4DAA-9ACE-8A793EA5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rFonts w:ascii="Arial" w:eastAsia="Arial" w:hAnsi="Arial" w:cs="Arial"/>
      <w:b/>
      <w:bCs/>
      <w:color w:val="000000"/>
      <w:sz w:val="32"/>
      <w:szCs w:val="32"/>
    </w:rPr>
  </w:style>
  <w:style w:type="paragraph" w:styleId="Heading2">
    <w:name w:val="heading 2"/>
    <w:basedOn w:val="Normal"/>
    <w:next w:val="Normal"/>
    <w:pPr>
      <w:keepNext/>
      <w:keepLines/>
      <w:spacing w:before="40" w:after="0"/>
      <w:outlineLvl w:val="1"/>
    </w:pPr>
    <w:rPr>
      <w:rFonts w:ascii="Arial" w:eastAsia="Arial" w:hAnsi="Arial" w:cs="Arial"/>
      <w:b/>
      <w:bCs/>
      <w:color w:val="000000"/>
      <w:sz w:val="28"/>
      <w:szCs w:val="28"/>
    </w:rPr>
  </w:style>
  <w:style w:type="paragraph" w:styleId="Heading3">
    <w:name w:val="heading 3"/>
    <w:basedOn w:val="Normal"/>
    <w:next w:val="Normal"/>
    <w:pPr>
      <w:keepNext/>
      <w:keepLines/>
      <w:spacing w:before="40" w:after="0"/>
      <w:outlineLvl w:val="2"/>
    </w:pPr>
    <w:rPr>
      <w:color w:val="1F4D78"/>
      <w:sz w:val="24"/>
      <w:szCs w:val="24"/>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iCs/>
      <w:color w:val="4F81BD"/>
      <w:sz w:val="24"/>
      <w:szCs w:val="24"/>
    </w:rPr>
  </w:style>
  <w:style w:type="character" w:styleId="Hyperlink">
    <w:name w:val="Hyperlink"/>
    <w:basedOn w:val="DefaultParagraphFont"/>
    <w:uiPriority w:val="99"/>
    <w:unhideWhenUsed/>
    <w:rsid w:val="00614CA7"/>
    <w:rPr>
      <w:color w:val="0000FF" w:themeColor="hyperlink"/>
      <w:u w:val="single"/>
    </w:rPr>
  </w:style>
  <w:style w:type="paragraph" w:styleId="TOC1">
    <w:name w:val="toc 1"/>
    <w:basedOn w:val="Normal"/>
    <w:next w:val="Normal"/>
    <w:autoRedefine/>
    <w:uiPriority w:val="39"/>
    <w:unhideWhenUsed/>
    <w:rsid w:val="008150F6"/>
    <w:pPr>
      <w:spacing w:after="100"/>
    </w:pPr>
  </w:style>
  <w:style w:type="paragraph" w:styleId="TOC2">
    <w:name w:val="toc 2"/>
    <w:basedOn w:val="Normal"/>
    <w:next w:val="Normal"/>
    <w:autoRedefine/>
    <w:uiPriority w:val="39"/>
    <w:unhideWhenUsed/>
    <w:rsid w:val="008150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pearson.com/en-us/subject-catalog/p/marketing-management" TargetMode="External"/><Relationship Id="rId26" Type="http://schemas.openxmlformats.org/officeDocument/2006/relationships/hyperlink" Target="https://www.euromonitor.com" TargetMode="External"/><Relationship Id="rId39" Type="http://schemas.openxmlformats.org/officeDocument/2006/relationships/hyperlink" Target="https://nielseniq.com" TargetMode="External"/><Relationship Id="rId21" Type="http://schemas.openxmlformats.org/officeDocument/2006/relationships/hyperlink" Target="https://www.mintel.com" TargetMode="External"/><Relationship Id="rId34" Type="http://schemas.openxmlformats.org/officeDocument/2006/relationships/hyperlink" Target="https://www.sciencedirect.com" TargetMode="External"/><Relationship Id="rId42" Type="http://schemas.openxmlformats.org/officeDocument/2006/relationships/hyperlink" Target="https://www.bbcgoodfood.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statista.com/topics/3151/food-industry-in-the-uk" TargetMode="External"/><Relationship Id="rId29" Type="http://schemas.openxmlformats.org/officeDocument/2006/relationships/hyperlink" Target="https://www.accenture.com" TargetMode="External"/><Relationship Id="rId41" Type="http://schemas.openxmlformats.org/officeDocument/2006/relationships/hyperlink" Target="https://www.ey.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2.deloitte.com" TargetMode="External"/><Relationship Id="rId32" Type="http://schemas.openxmlformats.org/officeDocument/2006/relationships/hyperlink" Target="https://www.researchgate.net" TargetMode="External"/><Relationship Id="rId37" Type="http://schemas.openxmlformats.org/officeDocument/2006/relationships/hyperlink" Target="https://www.statista.com" TargetMode="External"/><Relationship Id="rId40" Type="http://schemas.openxmlformats.org/officeDocument/2006/relationships/hyperlink" Target="https://www.bain.com" TargetMode="External"/><Relationship Id="rId5" Type="http://schemas.openxmlformats.org/officeDocument/2006/relationships/footnotes" Target="footnotes.xml"/><Relationship Id="rId15" Type="http://schemas.openxmlformats.org/officeDocument/2006/relationships/hyperlink" Target="https://www.seoptimer.com/blog/4-ps-of-marketing/" TargetMode="External"/><Relationship Id="rId23" Type="http://schemas.openxmlformats.org/officeDocument/2006/relationships/hyperlink" Target="https://www.mckinsey.com" TargetMode="External"/><Relationship Id="rId28" Type="http://schemas.openxmlformats.org/officeDocument/2006/relationships/hyperlink" Target="https://hbr.org" TargetMode="External"/><Relationship Id="rId36" Type="http://schemas.openxmlformats.org/officeDocument/2006/relationships/hyperlink" Target="https://www.ibisworld.com" TargetMode="External"/><Relationship Id="rId10" Type="http://schemas.openxmlformats.org/officeDocument/2006/relationships/hyperlink" Target="https://www.sixdegreesexecutive.com.au/case-studies/supporting-premier-foods-entry-into-the-australian-market" TargetMode="External"/><Relationship Id="rId19" Type="http://schemas.openxmlformats.org/officeDocument/2006/relationships/hyperlink" Target="https://www.pearson.com/us/higher-education/program/Armstrong-Principles-of-Marketing" TargetMode="External"/><Relationship Id="rId31" Type="http://schemas.openxmlformats.org/officeDocument/2006/relationships/hyperlink" Target="https://www.food.gov.uk"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5.png"/><Relationship Id="rId22" Type="http://schemas.openxmlformats.org/officeDocument/2006/relationships/hyperlink" Target="https://nielseniq.com/global/en" TargetMode="External"/><Relationship Id="rId27" Type="http://schemas.openxmlformats.org/officeDocument/2006/relationships/hyperlink" Target="https://www.pwc.co.uk" TargetMode="External"/><Relationship Id="rId30" Type="http://schemas.openxmlformats.org/officeDocument/2006/relationships/hyperlink" Target="https://www.forbes.com" TargetMode="External"/><Relationship Id="rId35" Type="http://schemas.openxmlformats.org/officeDocument/2006/relationships/hyperlink" Target="https://www.marketwatch.com"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experian.co.uk/blogs/latest-thinking/marketing-solutions/what-is-marketing-segmentation/" TargetMode="External"/><Relationship Id="rId17" Type="http://schemas.openxmlformats.org/officeDocument/2006/relationships/image" Target="media/image7.jpg"/><Relationship Id="rId25" Type="http://schemas.openxmlformats.org/officeDocument/2006/relationships/hyperlink" Target="https://www.kantar.com" TargetMode="External"/><Relationship Id="rId33" Type="http://schemas.openxmlformats.org/officeDocument/2006/relationships/hyperlink" Target="https://link.springer.com" TargetMode="External"/><Relationship Id="rId38" Type="http://schemas.openxmlformats.org/officeDocument/2006/relationships/hyperlink" Target="https://www.marketresearch.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19</Pages>
  <Words>3698</Words>
  <Characters>21085</Characters>
  <Application>Microsoft Office Word</Application>
  <DocSecurity>0</DocSecurity>
  <Lines>175</Lines>
  <Paragraphs>49</Paragraphs>
  <ScaleCrop>false</ScaleCrop>
  <Company/>
  <LinksUpToDate>false</LinksUpToDate>
  <CharactersWithSpaces>24734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11</cp:revision>
  <dcterms:created xsi:type="dcterms:W3CDTF">2025-12-11T16:03:00Z</dcterms:created>
  <dcterms:modified xsi:type="dcterms:W3CDTF">2025-12-12T01:29:00Z</dcterms:modified>
</cp:coreProperties>
</file>