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3A0A" w:rsidRPr="00933A0A" w:rsidRDefault="00933A0A" w:rsidP="00933A0A">
      <w:pPr>
        <w:jc w:val="center"/>
        <w:rPr>
          <w:b/>
        </w:rPr>
      </w:pPr>
      <w:r w:rsidRPr="00933A0A">
        <w:rPr>
          <w:b/>
        </w:rPr>
        <w:t>Preparing a SWOT Analysis for a youth and community work organisation</w:t>
      </w:r>
    </w:p>
    <w:p w:rsidR="00B16314" w:rsidRDefault="008520F2" w:rsidP="008520F2">
      <w:r>
        <w:t>SWOT Analysis is a widely recognised element of organisational planning (ref).   SWOT is an acronym for Strengths, WEAKNESSES, Opportunities and Strengths (SWOT). It has been suggested that SWOT should be carried out to aid an organisation with turning its vision into action with existing and potential resources.</w:t>
      </w:r>
    </w:p>
    <w:p w:rsidR="00FE0735" w:rsidRDefault="008520F2" w:rsidP="008520F2">
      <w:r>
        <w:t>A generic planning framework has been offered</w:t>
      </w:r>
      <w:r w:rsidR="000733D6">
        <w:t xml:space="preserve">, successful organisations will have consistent planning systems and structures in place – a SWOT analysis or similar will for part of a regular planning cycle.  </w:t>
      </w:r>
      <w:r w:rsidR="00FE0735">
        <w:t>This system can also be followed by the individual practitioner, regularly reviewing their practice</w:t>
      </w:r>
      <w:r w:rsidR="00933A0A">
        <w:t xml:space="preserve"> (Youth Work News, no date)</w:t>
      </w:r>
      <w:r w:rsidR="00FE0735">
        <w:t>.  Such a planning system is illustrated in Figure 1.</w:t>
      </w:r>
    </w:p>
    <w:p w:rsidR="008520F2" w:rsidRDefault="00FE0735" w:rsidP="008520F2">
      <w:pPr>
        <w:rPr>
          <w:noProof/>
          <w:lang w:eastAsia="en-GB"/>
        </w:rPr>
      </w:pPr>
      <w:r w:rsidRPr="00FE0735">
        <w:rPr>
          <w:b/>
          <w:i/>
          <w:noProof/>
          <w:lang w:eastAsia="en-GB"/>
        </w:rPr>
        <w:t>Figure 1.</w:t>
      </w:r>
      <w:r>
        <w:rPr>
          <w:noProof/>
          <w:lang w:eastAsia="en-GB"/>
        </w:rPr>
        <w:t xml:space="preserve"> Generic Plannning Process </w:t>
      </w:r>
    </w:p>
    <w:p w:rsidR="008520F2" w:rsidRDefault="008520F2" w:rsidP="008520F2">
      <w:r>
        <w:rPr>
          <w:noProof/>
          <w:lang w:eastAsia="en-GB"/>
        </w:rPr>
        <w:drawing>
          <wp:inline distT="0" distB="0" distL="0" distR="0">
            <wp:extent cx="5486400" cy="57912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bookmarkStart w:id="0" w:name="_GoBack"/>
      <w:bookmarkEnd w:id="0"/>
    </w:p>
    <w:p w:rsidR="008520F2" w:rsidRPr="00D323AB" w:rsidRDefault="00FE0735" w:rsidP="008520F2">
      <w:pPr>
        <w:rPr>
          <w:b/>
          <w:i/>
        </w:rPr>
      </w:pPr>
      <w:r w:rsidRPr="00D323AB">
        <w:rPr>
          <w:b/>
          <w:i/>
        </w:rPr>
        <w:t>Let’s look in more depth at the SWOT and what it should entail.</w:t>
      </w:r>
    </w:p>
    <w:p w:rsidR="00FE0735" w:rsidRDefault="00FE0735" w:rsidP="00FE0735">
      <w:pPr>
        <w:pStyle w:val="ListParagraph"/>
        <w:numPr>
          <w:ilvl w:val="0"/>
          <w:numId w:val="1"/>
        </w:numPr>
      </w:pPr>
      <w:r>
        <w:t>What are the strengths of the organisation? What is it good at?  Is it at the forefront of any particular form of practice or innovation?  Does it have really good community or funder links for example?</w:t>
      </w:r>
    </w:p>
    <w:p w:rsidR="00FE0735" w:rsidRDefault="00FE0735" w:rsidP="00FE0735">
      <w:pPr>
        <w:pStyle w:val="ListParagraph"/>
        <w:numPr>
          <w:ilvl w:val="0"/>
          <w:numId w:val="1"/>
        </w:numPr>
      </w:pPr>
      <w:r>
        <w:lastRenderedPageBreak/>
        <w:t>What are its weaknesses? In what ways is it weak?  Are its internal support systems robust?  Does it have sound structures?  Do people know who they are accountable to?  Are there systems of review and improvement in place?</w:t>
      </w:r>
    </w:p>
    <w:p w:rsidR="00FE0735" w:rsidRDefault="00FE0735" w:rsidP="00FE0735">
      <w:pPr>
        <w:pStyle w:val="ListParagraph"/>
        <w:numPr>
          <w:ilvl w:val="0"/>
          <w:numId w:val="1"/>
        </w:numPr>
      </w:pPr>
      <w:r>
        <w:t>What are the main opportunities facing the organisation over the time span you are interested in? Are there opportunities for new funding streams?  Are there new developments on the horizon which the organisation can gear up for?</w:t>
      </w:r>
    </w:p>
    <w:p w:rsidR="00FE0735" w:rsidRDefault="00FE0735" w:rsidP="00FE0735">
      <w:pPr>
        <w:pStyle w:val="ListParagraph"/>
        <w:numPr>
          <w:ilvl w:val="0"/>
          <w:numId w:val="1"/>
        </w:numPr>
      </w:pPr>
      <w:r>
        <w:t>What are the major threats facing the organisation?  Is there a new project being set up locally?  Are staff happy and content in their roles?  Will social policy changes have an impact on the project’s work in the next three years?</w:t>
      </w:r>
    </w:p>
    <w:p w:rsidR="00FE0735" w:rsidRDefault="00D323AB" w:rsidP="00FE0735">
      <w:r>
        <w:t>The</w:t>
      </w:r>
      <w:r w:rsidR="00FE0735">
        <w:t xml:space="preserve"> bullet list above puts forward some of the key questions one can ask when developing a SWOT analysis.</w:t>
      </w:r>
    </w:p>
    <w:p w:rsidR="00FE0735" w:rsidRPr="00D323AB" w:rsidRDefault="00FE0735" w:rsidP="00FE0735">
      <w:pPr>
        <w:rPr>
          <w:b/>
          <w:i/>
        </w:rPr>
      </w:pPr>
      <w:r w:rsidRPr="00D323AB">
        <w:rPr>
          <w:b/>
          <w:i/>
        </w:rPr>
        <w:t>What does an excellent SWOT analysis look like?</w:t>
      </w:r>
    </w:p>
    <w:p w:rsidR="00FE0735" w:rsidRDefault="000D71A1" w:rsidP="00FE0735">
      <w:r>
        <w:t>The SWOT analysis should begin with an anonymised description of the organisation and its context (its work, its community, its competition, demand for its services).</w:t>
      </w:r>
    </w:p>
    <w:p w:rsidR="006A2FFB" w:rsidRDefault="006A2FFB" w:rsidP="006A2FFB">
      <w:pPr>
        <w:pStyle w:val="ListParagraph"/>
        <w:numPr>
          <w:ilvl w:val="0"/>
          <w:numId w:val="2"/>
        </w:numPr>
      </w:pPr>
      <w:r>
        <w:t>A SWOT is a relatively concise summary and analysis of the information that has been gathered, it should focus on key factors.</w:t>
      </w:r>
    </w:p>
    <w:p w:rsidR="006A2FFB" w:rsidRDefault="006A2FFB" w:rsidP="006A2FFB">
      <w:pPr>
        <w:pStyle w:val="ListParagraph"/>
        <w:numPr>
          <w:ilvl w:val="0"/>
          <w:numId w:val="2"/>
        </w:numPr>
      </w:pPr>
      <w:r>
        <w:t>Strengths and weaknesses are relative – no organisations or individuals are perfect, how does the organisation relate to other providers, is it weak or strong in relation to competitors or collaborators?</w:t>
      </w:r>
    </w:p>
    <w:p w:rsidR="006A2FFB" w:rsidRDefault="006A2FFB" w:rsidP="006A2FFB">
      <w:pPr>
        <w:pStyle w:val="ListParagraph"/>
        <w:numPr>
          <w:ilvl w:val="0"/>
          <w:numId w:val="2"/>
        </w:numPr>
      </w:pPr>
      <w:r>
        <w:t xml:space="preserve"> The SWOT should be clear and easy to read.  Find a balance between micro (no one washes the dishes in the staff canteen), meso (no funding for training), or macro issues (funding in place for the next three months only).  Remember, future organisational objectives will flow from the SWOT.</w:t>
      </w:r>
    </w:p>
    <w:p w:rsidR="006A2FFB" w:rsidRDefault="006A2FFB" w:rsidP="006A2FFB">
      <w:pPr>
        <w:pStyle w:val="ListParagraph"/>
        <w:numPr>
          <w:ilvl w:val="0"/>
          <w:numId w:val="2"/>
        </w:numPr>
      </w:pPr>
      <w:r>
        <w:t>It is possible to complete a SWOT on different aspects of the organisation, for example, there could be different analysis for staff and for funding.</w:t>
      </w:r>
    </w:p>
    <w:p w:rsidR="00D323AB" w:rsidRDefault="00D323AB" w:rsidP="006A2FFB">
      <w:pPr>
        <w:pStyle w:val="ListParagraph"/>
        <w:numPr>
          <w:ilvl w:val="0"/>
          <w:numId w:val="2"/>
        </w:numPr>
      </w:pPr>
      <w:r>
        <w:t>If a SWOT is well done, someone else should be able to pick it up and draft organisations flowing from it.</w:t>
      </w:r>
    </w:p>
    <w:p w:rsidR="00D323AB" w:rsidRPr="00D323AB" w:rsidRDefault="00D323AB" w:rsidP="00D323AB">
      <w:pPr>
        <w:rPr>
          <w:b/>
          <w:i/>
        </w:rPr>
      </w:pPr>
      <w:r w:rsidRPr="00D323AB">
        <w:rPr>
          <w:b/>
          <w:i/>
        </w:rPr>
        <w:t>Questions for Discussion</w:t>
      </w:r>
    </w:p>
    <w:p w:rsidR="00D323AB" w:rsidRPr="00D323AB" w:rsidRDefault="00D323AB" w:rsidP="00D323AB">
      <w:pPr>
        <w:pStyle w:val="ListParagraph"/>
        <w:numPr>
          <w:ilvl w:val="0"/>
          <w:numId w:val="3"/>
        </w:numPr>
        <w:rPr>
          <w:b/>
        </w:rPr>
      </w:pPr>
      <w:r>
        <w:t xml:space="preserve">List four political, economic or technological factors likely to impact youth work </w:t>
      </w:r>
      <w:r w:rsidR="007535C4">
        <w:t xml:space="preserve">and youth service </w:t>
      </w:r>
      <w:r>
        <w:t>organisations in Wales within the next three years.</w:t>
      </w:r>
    </w:p>
    <w:p w:rsidR="00D323AB" w:rsidRPr="00D323AB" w:rsidRDefault="00D323AB" w:rsidP="00D323AB">
      <w:pPr>
        <w:pStyle w:val="ListParagraph"/>
        <w:numPr>
          <w:ilvl w:val="0"/>
          <w:numId w:val="3"/>
        </w:numPr>
        <w:rPr>
          <w:b/>
        </w:rPr>
      </w:pPr>
      <w:r>
        <w:t>Explore the strengths and weaknesses of the SWOT approach</w:t>
      </w:r>
    </w:p>
    <w:p w:rsidR="00D323AB" w:rsidRPr="00D323AB" w:rsidRDefault="00D323AB" w:rsidP="00D323AB">
      <w:pPr>
        <w:pStyle w:val="ListParagraph"/>
        <w:numPr>
          <w:ilvl w:val="0"/>
          <w:numId w:val="3"/>
        </w:numPr>
        <w:rPr>
          <w:b/>
        </w:rPr>
      </w:pPr>
      <w:r>
        <w:t>How will you take forward your SWOT analysis?</w:t>
      </w:r>
    </w:p>
    <w:p w:rsidR="00D323AB" w:rsidRPr="00D323AB" w:rsidRDefault="00D323AB" w:rsidP="00D323AB">
      <w:pPr>
        <w:rPr>
          <w:b/>
          <w:i/>
        </w:rPr>
      </w:pPr>
      <w:r w:rsidRPr="00D323AB">
        <w:rPr>
          <w:b/>
          <w:i/>
        </w:rPr>
        <w:t>Summary</w:t>
      </w:r>
    </w:p>
    <w:p w:rsidR="00D323AB" w:rsidRDefault="00D323AB" w:rsidP="00D323AB">
      <w:r>
        <w:t xml:space="preserve">A good SWOT analysis should be an effective working summary of where the organisation is.  The best SWOT will include conclusions and recommendations for where the organisation should look to focus its efforts over the next planning cycle (1 year, 3 years, 5 years, 10 years), these are its key strategies and local and individual plans. </w:t>
      </w:r>
    </w:p>
    <w:p w:rsidR="00933A0A" w:rsidRPr="00933A0A" w:rsidRDefault="00933A0A" w:rsidP="00D323AB">
      <w:pPr>
        <w:rPr>
          <w:b/>
        </w:rPr>
      </w:pPr>
      <w:r w:rsidRPr="00933A0A">
        <w:rPr>
          <w:b/>
        </w:rPr>
        <w:t>Reference</w:t>
      </w:r>
    </w:p>
    <w:p w:rsidR="00933A0A" w:rsidRPr="00933A0A" w:rsidRDefault="00933A0A" w:rsidP="00D323AB">
      <w:r>
        <w:t xml:space="preserve">Youth Work News (No date) </w:t>
      </w:r>
      <w:r>
        <w:rPr>
          <w:i/>
        </w:rPr>
        <w:t xml:space="preserve">How to facilitate a SWOT Analysis Session with your staff. </w:t>
      </w:r>
      <w:r>
        <w:t xml:space="preserve">[Online] Available at: </w:t>
      </w:r>
      <w:hyperlink r:id="rId12" w:history="1">
        <w:r>
          <w:rPr>
            <w:rStyle w:val="Hyperlink"/>
          </w:rPr>
          <w:t>https://www.youthworknews.com/how-to-facilitate-a-swot-session-with-your-youth-work-staff/</w:t>
        </w:r>
      </w:hyperlink>
      <w:r>
        <w:t xml:space="preserve"> Accessed 23.11.19</w:t>
      </w:r>
    </w:p>
    <w:sectPr w:rsidR="00933A0A" w:rsidRPr="00933A0A" w:rsidSect="00933A0A">
      <w:headerReference w:type="default" r:id="rId13"/>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20F2" w:rsidRDefault="008520F2" w:rsidP="008520F2">
      <w:pPr>
        <w:spacing w:after="0" w:line="240" w:lineRule="auto"/>
      </w:pPr>
      <w:r>
        <w:separator/>
      </w:r>
    </w:p>
  </w:endnote>
  <w:endnote w:type="continuationSeparator" w:id="0">
    <w:p w:rsidR="008520F2" w:rsidRDefault="008520F2" w:rsidP="00852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20F2" w:rsidRDefault="008520F2" w:rsidP="008520F2">
      <w:pPr>
        <w:spacing w:after="0" w:line="240" w:lineRule="auto"/>
      </w:pPr>
      <w:r>
        <w:separator/>
      </w:r>
    </w:p>
  </w:footnote>
  <w:footnote w:type="continuationSeparator" w:id="0">
    <w:p w:rsidR="008520F2" w:rsidRDefault="008520F2" w:rsidP="008520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20F2" w:rsidRDefault="008520F2">
    <w:pPr>
      <w:pStyle w:val="Header"/>
    </w:pPr>
  </w:p>
  <w:p w:rsidR="008520F2" w:rsidRDefault="00852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86B3A"/>
    <w:multiLevelType w:val="hybridMultilevel"/>
    <w:tmpl w:val="CD523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36806"/>
    <w:multiLevelType w:val="hybridMultilevel"/>
    <w:tmpl w:val="F4481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0D0690"/>
    <w:multiLevelType w:val="hybridMultilevel"/>
    <w:tmpl w:val="0104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0F2"/>
    <w:rsid w:val="00053BEF"/>
    <w:rsid w:val="000733D6"/>
    <w:rsid w:val="000D71A1"/>
    <w:rsid w:val="001517A5"/>
    <w:rsid w:val="00160270"/>
    <w:rsid w:val="00174288"/>
    <w:rsid w:val="0018737A"/>
    <w:rsid w:val="0019416E"/>
    <w:rsid w:val="001C1E69"/>
    <w:rsid w:val="001E63FE"/>
    <w:rsid w:val="00215EFF"/>
    <w:rsid w:val="002160EF"/>
    <w:rsid w:val="00234366"/>
    <w:rsid w:val="002432D8"/>
    <w:rsid w:val="002C533D"/>
    <w:rsid w:val="00304399"/>
    <w:rsid w:val="003902BF"/>
    <w:rsid w:val="003B3204"/>
    <w:rsid w:val="003C0002"/>
    <w:rsid w:val="003D1939"/>
    <w:rsid w:val="003E402F"/>
    <w:rsid w:val="00425650"/>
    <w:rsid w:val="00436630"/>
    <w:rsid w:val="00443263"/>
    <w:rsid w:val="00450713"/>
    <w:rsid w:val="00486D3A"/>
    <w:rsid w:val="00493F12"/>
    <w:rsid w:val="004A619D"/>
    <w:rsid w:val="005005FA"/>
    <w:rsid w:val="00515CF6"/>
    <w:rsid w:val="0054343D"/>
    <w:rsid w:val="00554E97"/>
    <w:rsid w:val="005B122F"/>
    <w:rsid w:val="005B1E45"/>
    <w:rsid w:val="005C5090"/>
    <w:rsid w:val="00623C2B"/>
    <w:rsid w:val="00623C2D"/>
    <w:rsid w:val="006467A2"/>
    <w:rsid w:val="00694547"/>
    <w:rsid w:val="006A1533"/>
    <w:rsid w:val="006A2FFB"/>
    <w:rsid w:val="006B2955"/>
    <w:rsid w:val="006C3595"/>
    <w:rsid w:val="006E42B0"/>
    <w:rsid w:val="007073B8"/>
    <w:rsid w:val="00717D84"/>
    <w:rsid w:val="007535C4"/>
    <w:rsid w:val="007700AA"/>
    <w:rsid w:val="00775EC7"/>
    <w:rsid w:val="007810B5"/>
    <w:rsid w:val="007C09DB"/>
    <w:rsid w:val="007C3DE3"/>
    <w:rsid w:val="007F6C4A"/>
    <w:rsid w:val="008376B7"/>
    <w:rsid w:val="0084188B"/>
    <w:rsid w:val="008520F2"/>
    <w:rsid w:val="008C44D5"/>
    <w:rsid w:val="008C4E82"/>
    <w:rsid w:val="008C6F6D"/>
    <w:rsid w:val="00933A0A"/>
    <w:rsid w:val="009461E7"/>
    <w:rsid w:val="00957B2B"/>
    <w:rsid w:val="009870A8"/>
    <w:rsid w:val="00987281"/>
    <w:rsid w:val="009B3FE3"/>
    <w:rsid w:val="009C1ACC"/>
    <w:rsid w:val="009D411C"/>
    <w:rsid w:val="009E206E"/>
    <w:rsid w:val="00A54BEC"/>
    <w:rsid w:val="00A56ABF"/>
    <w:rsid w:val="00AD1D2B"/>
    <w:rsid w:val="00AF7DAA"/>
    <w:rsid w:val="00B06CA3"/>
    <w:rsid w:val="00B16314"/>
    <w:rsid w:val="00B42725"/>
    <w:rsid w:val="00B51CC2"/>
    <w:rsid w:val="00B923C4"/>
    <w:rsid w:val="00BA2124"/>
    <w:rsid w:val="00BC6CCC"/>
    <w:rsid w:val="00BD7303"/>
    <w:rsid w:val="00BE33DA"/>
    <w:rsid w:val="00BE73F9"/>
    <w:rsid w:val="00C174B8"/>
    <w:rsid w:val="00C31EF1"/>
    <w:rsid w:val="00C40B4D"/>
    <w:rsid w:val="00C81A8B"/>
    <w:rsid w:val="00C951FF"/>
    <w:rsid w:val="00C973A9"/>
    <w:rsid w:val="00CA395E"/>
    <w:rsid w:val="00CD53C4"/>
    <w:rsid w:val="00CE6E03"/>
    <w:rsid w:val="00D320FD"/>
    <w:rsid w:val="00D323AB"/>
    <w:rsid w:val="00D43F86"/>
    <w:rsid w:val="00D70163"/>
    <w:rsid w:val="00DA0845"/>
    <w:rsid w:val="00DB2F8C"/>
    <w:rsid w:val="00DC2CC7"/>
    <w:rsid w:val="00DD566F"/>
    <w:rsid w:val="00DE76B2"/>
    <w:rsid w:val="00DF1DA8"/>
    <w:rsid w:val="00E45B55"/>
    <w:rsid w:val="00E644A7"/>
    <w:rsid w:val="00E972E6"/>
    <w:rsid w:val="00EA7AF4"/>
    <w:rsid w:val="00ED07B9"/>
    <w:rsid w:val="00ED462D"/>
    <w:rsid w:val="00F2660F"/>
    <w:rsid w:val="00F36907"/>
    <w:rsid w:val="00F43AFB"/>
    <w:rsid w:val="00F45C13"/>
    <w:rsid w:val="00F80C56"/>
    <w:rsid w:val="00F8653C"/>
    <w:rsid w:val="00F92F26"/>
    <w:rsid w:val="00FE0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25E0A7-6A24-4EC4-BAE6-2D5E128D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725"/>
  </w:style>
  <w:style w:type="paragraph" w:styleId="Heading1">
    <w:name w:val="heading 1"/>
    <w:basedOn w:val="Normal"/>
    <w:next w:val="Normal"/>
    <w:link w:val="Heading1Char"/>
    <w:uiPriority w:val="9"/>
    <w:qFormat/>
    <w:rsid w:val="008520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20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20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520F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0F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520F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520F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520F2"/>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852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0F2"/>
  </w:style>
  <w:style w:type="paragraph" w:styleId="Footer">
    <w:name w:val="footer"/>
    <w:basedOn w:val="Normal"/>
    <w:link w:val="FooterChar"/>
    <w:uiPriority w:val="99"/>
    <w:unhideWhenUsed/>
    <w:rsid w:val="00852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0F2"/>
  </w:style>
  <w:style w:type="paragraph" w:styleId="ListParagraph">
    <w:name w:val="List Paragraph"/>
    <w:basedOn w:val="Normal"/>
    <w:uiPriority w:val="34"/>
    <w:qFormat/>
    <w:rsid w:val="00FE0735"/>
    <w:pPr>
      <w:ind w:left="720"/>
      <w:contextualSpacing/>
    </w:pPr>
  </w:style>
  <w:style w:type="character" w:styleId="Hyperlink">
    <w:name w:val="Hyperlink"/>
    <w:basedOn w:val="DefaultParagraphFont"/>
    <w:uiPriority w:val="99"/>
    <w:semiHidden/>
    <w:unhideWhenUsed/>
    <w:rsid w:val="00933A0A"/>
    <w:rPr>
      <w:color w:val="0000FF"/>
      <w:u w:val="single"/>
    </w:rPr>
  </w:style>
  <w:style w:type="paragraph" w:styleId="BalloonText">
    <w:name w:val="Balloon Text"/>
    <w:basedOn w:val="Normal"/>
    <w:link w:val="BalloonTextChar"/>
    <w:uiPriority w:val="99"/>
    <w:semiHidden/>
    <w:unhideWhenUsed/>
    <w:rsid w:val="00D701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01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youthworknews.com/how-to-facilitate-a-swot-session-with-your-youth-work-staf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550CF4-AEEF-4A37-8375-4FA22DBD8823}"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956A58B4-C7AE-41AC-A9C2-27C71B9012AD}">
      <dgm:prSet phldrT="[Text]" custT="1"/>
      <dgm:spPr/>
      <dgm:t>
        <a:bodyPr/>
        <a:lstStyle/>
        <a:p>
          <a:r>
            <a:rPr lang="en-US" sz="1200"/>
            <a:t>Vision/ mission</a:t>
          </a:r>
        </a:p>
      </dgm:t>
    </dgm:pt>
    <dgm:pt modelId="{72D3294A-8182-4C80-955B-8931F8560CCA}" type="parTrans" cxnId="{F1EAFA73-D758-4D5B-B2F3-97FC9F96D12E}">
      <dgm:prSet/>
      <dgm:spPr/>
      <dgm:t>
        <a:bodyPr/>
        <a:lstStyle/>
        <a:p>
          <a:endParaRPr lang="en-US"/>
        </a:p>
      </dgm:t>
    </dgm:pt>
    <dgm:pt modelId="{DC826FAB-1D41-4CE7-B6FE-0A1CAE96E515}" type="sibTrans" cxnId="{F1EAFA73-D758-4D5B-B2F3-97FC9F96D12E}">
      <dgm:prSet/>
      <dgm:spPr/>
      <dgm:t>
        <a:bodyPr/>
        <a:lstStyle/>
        <a:p>
          <a:endParaRPr lang="en-US"/>
        </a:p>
      </dgm:t>
    </dgm:pt>
    <dgm:pt modelId="{1ECD2BB8-0196-4A6D-8B2B-54705EA4ABB4}">
      <dgm:prSet phldrT="[Text]" custT="1"/>
      <dgm:spPr/>
      <dgm:t>
        <a:bodyPr/>
        <a:lstStyle/>
        <a:p>
          <a:r>
            <a:rPr lang="en-US" sz="1200"/>
            <a:t>Objectives</a:t>
          </a:r>
        </a:p>
      </dgm:t>
    </dgm:pt>
    <dgm:pt modelId="{911ED96C-F6E5-4D54-8A86-233E02F383C1}" type="parTrans" cxnId="{81525C3D-BD5E-48AB-A225-5C91F362766B}">
      <dgm:prSet/>
      <dgm:spPr/>
      <dgm:t>
        <a:bodyPr/>
        <a:lstStyle/>
        <a:p>
          <a:endParaRPr lang="en-US"/>
        </a:p>
      </dgm:t>
    </dgm:pt>
    <dgm:pt modelId="{AA4F2B52-B713-4A28-8023-28B3618A5673}" type="sibTrans" cxnId="{81525C3D-BD5E-48AB-A225-5C91F362766B}">
      <dgm:prSet/>
      <dgm:spPr/>
      <dgm:t>
        <a:bodyPr/>
        <a:lstStyle/>
        <a:p>
          <a:endParaRPr lang="en-US"/>
        </a:p>
      </dgm:t>
    </dgm:pt>
    <dgm:pt modelId="{34FEC5EA-DF28-48A4-8368-F8E895B2B5C2}">
      <dgm:prSet phldrT="[Text]" custT="1"/>
      <dgm:spPr/>
      <dgm:t>
        <a:bodyPr/>
        <a:lstStyle/>
        <a:p>
          <a:r>
            <a:rPr lang="en-US" sz="1200"/>
            <a:t>SWOT</a:t>
          </a:r>
        </a:p>
        <a:p>
          <a:r>
            <a:rPr lang="en-US" sz="1200"/>
            <a:t>Competitor, Colaborations, Funding analysis, Internal analysis</a:t>
          </a:r>
        </a:p>
      </dgm:t>
    </dgm:pt>
    <dgm:pt modelId="{140A8134-1522-4268-8049-0769FDD78667}" type="parTrans" cxnId="{110B9E2D-9D14-4E3A-A58F-633EBECCCAE0}">
      <dgm:prSet/>
      <dgm:spPr/>
      <dgm:t>
        <a:bodyPr/>
        <a:lstStyle/>
        <a:p>
          <a:endParaRPr lang="en-US"/>
        </a:p>
      </dgm:t>
    </dgm:pt>
    <dgm:pt modelId="{099207AC-0E20-4741-898C-D96B3789B8F5}" type="sibTrans" cxnId="{110B9E2D-9D14-4E3A-A58F-633EBECCCAE0}">
      <dgm:prSet/>
      <dgm:spPr/>
      <dgm:t>
        <a:bodyPr/>
        <a:lstStyle/>
        <a:p>
          <a:endParaRPr lang="en-US"/>
        </a:p>
      </dgm:t>
    </dgm:pt>
    <dgm:pt modelId="{105570B4-C861-4DAD-B2A2-8352C7EF00E7}">
      <dgm:prSet custT="1"/>
      <dgm:spPr/>
      <dgm:t>
        <a:bodyPr/>
        <a:lstStyle/>
        <a:p>
          <a:r>
            <a:rPr lang="en-US" sz="1200"/>
            <a:t>Review the SWOT results - new objectives required?</a:t>
          </a:r>
        </a:p>
      </dgm:t>
    </dgm:pt>
    <dgm:pt modelId="{BD509715-3F58-4524-A58E-398264B11FBB}" type="parTrans" cxnId="{CFD6D065-EB41-4267-B1CC-6E2EDD3423E3}">
      <dgm:prSet/>
      <dgm:spPr/>
      <dgm:t>
        <a:bodyPr/>
        <a:lstStyle/>
        <a:p>
          <a:endParaRPr lang="en-US"/>
        </a:p>
      </dgm:t>
    </dgm:pt>
    <dgm:pt modelId="{41766569-FF95-46F8-BED2-43C3F4758A31}" type="sibTrans" cxnId="{CFD6D065-EB41-4267-B1CC-6E2EDD3423E3}">
      <dgm:prSet/>
      <dgm:spPr/>
      <dgm:t>
        <a:bodyPr/>
        <a:lstStyle/>
        <a:p>
          <a:endParaRPr lang="en-US"/>
        </a:p>
      </dgm:t>
    </dgm:pt>
    <dgm:pt modelId="{A436BBD9-2530-4E68-9780-9FC9F811A9B8}">
      <dgm:prSet custT="1"/>
      <dgm:spPr/>
      <dgm:t>
        <a:bodyPr/>
        <a:lstStyle/>
        <a:p>
          <a:r>
            <a:rPr lang="en-US" sz="1200"/>
            <a:t>Key strategies</a:t>
          </a:r>
        </a:p>
      </dgm:t>
    </dgm:pt>
    <dgm:pt modelId="{E44BBFA4-154B-43E3-8A70-EA5FF1C3919C}" type="parTrans" cxnId="{7823A66A-9483-4D77-B34A-C416FC580AB5}">
      <dgm:prSet/>
      <dgm:spPr/>
      <dgm:t>
        <a:bodyPr/>
        <a:lstStyle/>
        <a:p>
          <a:endParaRPr lang="en-US"/>
        </a:p>
      </dgm:t>
    </dgm:pt>
    <dgm:pt modelId="{3532801A-D8B1-412F-9D20-536D9ECB0D64}" type="sibTrans" cxnId="{7823A66A-9483-4D77-B34A-C416FC580AB5}">
      <dgm:prSet/>
      <dgm:spPr/>
      <dgm:t>
        <a:bodyPr/>
        <a:lstStyle/>
        <a:p>
          <a:endParaRPr lang="en-US"/>
        </a:p>
      </dgm:t>
    </dgm:pt>
    <dgm:pt modelId="{7469FFEE-AA83-4006-99FA-B54AB7ACE1D8}">
      <dgm:prSet custT="1"/>
      <dgm:spPr/>
      <dgm:t>
        <a:bodyPr/>
        <a:lstStyle/>
        <a:p>
          <a:r>
            <a:rPr lang="en-US" sz="1200"/>
            <a:t>Local/ individual </a:t>
          </a:r>
        </a:p>
        <a:p>
          <a:r>
            <a:rPr lang="en-US" sz="1200"/>
            <a:t>plans</a:t>
          </a:r>
        </a:p>
      </dgm:t>
    </dgm:pt>
    <dgm:pt modelId="{75ACE2D8-1F42-4BA2-B84D-FEB8554182BC}" type="parTrans" cxnId="{9250C770-F35E-4601-B195-93CD841CCA79}">
      <dgm:prSet/>
      <dgm:spPr/>
      <dgm:t>
        <a:bodyPr/>
        <a:lstStyle/>
        <a:p>
          <a:endParaRPr lang="en-US"/>
        </a:p>
      </dgm:t>
    </dgm:pt>
    <dgm:pt modelId="{CE4864C3-4F29-4394-B54A-1A4C87795978}" type="sibTrans" cxnId="{9250C770-F35E-4601-B195-93CD841CCA79}">
      <dgm:prSet/>
      <dgm:spPr/>
      <dgm:t>
        <a:bodyPr/>
        <a:lstStyle/>
        <a:p>
          <a:endParaRPr lang="en-US"/>
        </a:p>
      </dgm:t>
    </dgm:pt>
    <dgm:pt modelId="{2F769971-DA65-449F-A21B-3F309C276DAE}" type="pres">
      <dgm:prSet presAssocID="{32550CF4-AEEF-4A37-8375-4FA22DBD8823}" presName="rootnode" presStyleCnt="0">
        <dgm:presLayoutVars>
          <dgm:chMax/>
          <dgm:chPref/>
          <dgm:dir/>
          <dgm:animLvl val="lvl"/>
        </dgm:presLayoutVars>
      </dgm:prSet>
      <dgm:spPr/>
      <dgm:t>
        <a:bodyPr/>
        <a:lstStyle/>
        <a:p>
          <a:endParaRPr lang="en-US"/>
        </a:p>
      </dgm:t>
    </dgm:pt>
    <dgm:pt modelId="{E64B9244-547F-45A1-ACCF-64C6FF6DD3B0}" type="pres">
      <dgm:prSet presAssocID="{956A58B4-C7AE-41AC-A9C2-27C71B9012AD}" presName="composite" presStyleCnt="0"/>
      <dgm:spPr/>
    </dgm:pt>
    <dgm:pt modelId="{F987D959-3F16-4C4D-BF34-6024D6940508}" type="pres">
      <dgm:prSet presAssocID="{956A58B4-C7AE-41AC-A9C2-27C71B9012AD}" presName="bentUpArrow1" presStyleLbl="alignImgPlace1" presStyleIdx="0" presStyleCnt="5"/>
      <dgm:spPr/>
    </dgm:pt>
    <dgm:pt modelId="{0604F912-05A3-41F5-8746-D034EB8E87DA}" type="pres">
      <dgm:prSet presAssocID="{956A58B4-C7AE-41AC-A9C2-27C71B9012AD}" presName="ParentText" presStyleLbl="node1" presStyleIdx="0" presStyleCnt="6">
        <dgm:presLayoutVars>
          <dgm:chMax val="1"/>
          <dgm:chPref val="1"/>
          <dgm:bulletEnabled val="1"/>
        </dgm:presLayoutVars>
      </dgm:prSet>
      <dgm:spPr/>
      <dgm:t>
        <a:bodyPr/>
        <a:lstStyle/>
        <a:p>
          <a:endParaRPr lang="en-US"/>
        </a:p>
      </dgm:t>
    </dgm:pt>
    <dgm:pt modelId="{57814AEF-A163-465A-805A-E103E4AF8F10}" type="pres">
      <dgm:prSet presAssocID="{956A58B4-C7AE-41AC-A9C2-27C71B9012AD}" presName="ChildText" presStyleLbl="revTx" presStyleIdx="0" presStyleCnt="5">
        <dgm:presLayoutVars>
          <dgm:chMax val="0"/>
          <dgm:chPref val="0"/>
          <dgm:bulletEnabled val="1"/>
        </dgm:presLayoutVars>
      </dgm:prSet>
      <dgm:spPr/>
      <dgm:t>
        <a:bodyPr/>
        <a:lstStyle/>
        <a:p>
          <a:endParaRPr lang="en-US"/>
        </a:p>
      </dgm:t>
    </dgm:pt>
    <dgm:pt modelId="{66CF27E5-51B3-4A57-90B3-3C5DCB765037}" type="pres">
      <dgm:prSet presAssocID="{DC826FAB-1D41-4CE7-B6FE-0A1CAE96E515}" presName="sibTrans" presStyleCnt="0"/>
      <dgm:spPr/>
    </dgm:pt>
    <dgm:pt modelId="{817BBEB6-3DA1-4E45-8FDE-6198BBC570D0}" type="pres">
      <dgm:prSet presAssocID="{1ECD2BB8-0196-4A6D-8B2B-54705EA4ABB4}" presName="composite" presStyleCnt="0"/>
      <dgm:spPr/>
    </dgm:pt>
    <dgm:pt modelId="{88682F47-ABBF-433A-9ED8-CE4837D1B2E2}" type="pres">
      <dgm:prSet presAssocID="{1ECD2BB8-0196-4A6D-8B2B-54705EA4ABB4}" presName="bentUpArrow1" presStyleLbl="alignImgPlace1" presStyleIdx="1" presStyleCnt="5"/>
      <dgm:spPr/>
    </dgm:pt>
    <dgm:pt modelId="{BC623C2E-321D-46B7-884D-BFA93F3C0015}" type="pres">
      <dgm:prSet presAssocID="{1ECD2BB8-0196-4A6D-8B2B-54705EA4ABB4}" presName="ParentText" presStyleLbl="node1" presStyleIdx="1" presStyleCnt="6" custScaleX="125805" custScaleY="146804" custLinFactNeighborX="-9068" custLinFactNeighborY="-14760">
        <dgm:presLayoutVars>
          <dgm:chMax val="1"/>
          <dgm:chPref val="1"/>
          <dgm:bulletEnabled val="1"/>
        </dgm:presLayoutVars>
      </dgm:prSet>
      <dgm:spPr/>
      <dgm:t>
        <a:bodyPr/>
        <a:lstStyle/>
        <a:p>
          <a:endParaRPr lang="en-US"/>
        </a:p>
      </dgm:t>
    </dgm:pt>
    <dgm:pt modelId="{989E1787-9EAF-4D15-85E7-7E614936C191}" type="pres">
      <dgm:prSet presAssocID="{1ECD2BB8-0196-4A6D-8B2B-54705EA4ABB4}" presName="ChildText" presStyleLbl="revTx" presStyleIdx="1" presStyleCnt="5">
        <dgm:presLayoutVars>
          <dgm:chMax val="0"/>
          <dgm:chPref val="0"/>
          <dgm:bulletEnabled val="1"/>
        </dgm:presLayoutVars>
      </dgm:prSet>
      <dgm:spPr/>
      <dgm:t>
        <a:bodyPr/>
        <a:lstStyle/>
        <a:p>
          <a:endParaRPr lang="en-US"/>
        </a:p>
      </dgm:t>
    </dgm:pt>
    <dgm:pt modelId="{0813CEFE-4B36-4F46-A29B-E0635D802554}" type="pres">
      <dgm:prSet presAssocID="{AA4F2B52-B713-4A28-8023-28B3618A5673}" presName="sibTrans" presStyleCnt="0"/>
      <dgm:spPr/>
    </dgm:pt>
    <dgm:pt modelId="{736CBD70-D611-4BE4-BE70-5D8D7F0D9D54}" type="pres">
      <dgm:prSet presAssocID="{34FEC5EA-DF28-48A4-8368-F8E895B2B5C2}" presName="composite" presStyleCnt="0"/>
      <dgm:spPr/>
    </dgm:pt>
    <dgm:pt modelId="{67E83D68-D6D8-47F7-AB72-ABAB215E3F65}" type="pres">
      <dgm:prSet presAssocID="{34FEC5EA-DF28-48A4-8368-F8E895B2B5C2}" presName="bentUpArrow1" presStyleLbl="alignImgPlace1" presStyleIdx="2" presStyleCnt="5"/>
      <dgm:spPr/>
    </dgm:pt>
    <dgm:pt modelId="{7DCF5778-9B91-44C4-8C2C-4D95E5D36174}" type="pres">
      <dgm:prSet presAssocID="{34FEC5EA-DF28-48A4-8368-F8E895B2B5C2}" presName="ParentText" presStyleLbl="node1" presStyleIdx="2" presStyleCnt="6" custScaleX="125805" custScaleY="146804" custLinFactNeighborX="324" custLinFactNeighborY="1342">
        <dgm:presLayoutVars>
          <dgm:chMax val="1"/>
          <dgm:chPref val="1"/>
          <dgm:bulletEnabled val="1"/>
        </dgm:presLayoutVars>
      </dgm:prSet>
      <dgm:spPr/>
      <dgm:t>
        <a:bodyPr/>
        <a:lstStyle/>
        <a:p>
          <a:endParaRPr lang="en-US"/>
        </a:p>
      </dgm:t>
    </dgm:pt>
    <dgm:pt modelId="{AFC591E4-9045-4EE2-A31E-97140A7AED0C}" type="pres">
      <dgm:prSet presAssocID="{34FEC5EA-DF28-48A4-8368-F8E895B2B5C2}" presName="ChildText" presStyleLbl="revTx" presStyleIdx="2" presStyleCnt="5" custScaleX="203333" custLinFactNeighborX="85971" custLinFactNeighborY="1499">
        <dgm:presLayoutVars>
          <dgm:chMax val="0"/>
          <dgm:chPref val="0"/>
          <dgm:bulletEnabled val="1"/>
        </dgm:presLayoutVars>
      </dgm:prSet>
      <dgm:spPr/>
      <dgm:t>
        <a:bodyPr/>
        <a:lstStyle/>
        <a:p>
          <a:endParaRPr lang="en-US"/>
        </a:p>
      </dgm:t>
    </dgm:pt>
    <dgm:pt modelId="{FA00A822-3CFD-4FB3-8866-51BFFDE4F279}" type="pres">
      <dgm:prSet presAssocID="{099207AC-0E20-4741-898C-D96B3789B8F5}" presName="sibTrans" presStyleCnt="0"/>
      <dgm:spPr/>
    </dgm:pt>
    <dgm:pt modelId="{F4FC8D9C-98F7-49F1-B775-7111A568B5A5}" type="pres">
      <dgm:prSet presAssocID="{105570B4-C861-4DAD-B2A2-8352C7EF00E7}" presName="composite" presStyleCnt="0"/>
      <dgm:spPr/>
    </dgm:pt>
    <dgm:pt modelId="{F2398FB6-7FB8-4618-8AE2-3111D15CAD31}" type="pres">
      <dgm:prSet presAssocID="{105570B4-C861-4DAD-B2A2-8352C7EF00E7}" presName="bentUpArrow1" presStyleLbl="alignImgPlace1" presStyleIdx="3" presStyleCnt="5"/>
      <dgm:spPr/>
    </dgm:pt>
    <dgm:pt modelId="{CEB471B0-D500-4E28-A49F-9025EA324BAB}" type="pres">
      <dgm:prSet presAssocID="{105570B4-C861-4DAD-B2A2-8352C7EF00E7}" presName="ParentText" presStyleLbl="node1" presStyleIdx="3" presStyleCnt="6" custScaleX="125805" custScaleY="146804" custLinFactNeighborX="324" custLinFactNeighborY="1342">
        <dgm:presLayoutVars>
          <dgm:chMax val="1"/>
          <dgm:chPref val="1"/>
          <dgm:bulletEnabled val="1"/>
        </dgm:presLayoutVars>
      </dgm:prSet>
      <dgm:spPr/>
      <dgm:t>
        <a:bodyPr/>
        <a:lstStyle/>
        <a:p>
          <a:endParaRPr lang="en-US"/>
        </a:p>
      </dgm:t>
    </dgm:pt>
    <dgm:pt modelId="{E70AEF62-BB3F-4D85-98B1-8A3CABDB9D38}" type="pres">
      <dgm:prSet presAssocID="{105570B4-C861-4DAD-B2A2-8352C7EF00E7}" presName="ChildText" presStyleLbl="revTx" presStyleIdx="3" presStyleCnt="5">
        <dgm:presLayoutVars>
          <dgm:chMax val="0"/>
          <dgm:chPref val="0"/>
          <dgm:bulletEnabled val="1"/>
        </dgm:presLayoutVars>
      </dgm:prSet>
      <dgm:spPr/>
    </dgm:pt>
    <dgm:pt modelId="{325CC415-2014-4822-AD60-3A9FFC837ABB}" type="pres">
      <dgm:prSet presAssocID="{41766569-FF95-46F8-BED2-43C3F4758A31}" presName="sibTrans" presStyleCnt="0"/>
      <dgm:spPr/>
    </dgm:pt>
    <dgm:pt modelId="{DE78CD75-AC76-4AF3-9647-156B626962F9}" type="pres">
      <dgm:prSet presAssocID="{A436BBD9-2530-4E68-9780-9FC9F811A9B8}" presName="composite" presStyleCnt="0"/>
      <dgm:spPr/>
    </dgm:pt>
    <dgm:pt modelId="{29659ECB-000C-40D8-B9D1-565DB0CD04AC}" type="pres">
      <dgm:prSet presAssocID="{A436BBD9-2530-4E68-9780-9FC9F811A9B8}" presName="bentUpArrow1" presStyleLbl="alignImgPlace1" presStyleIdx="4" presStyleCnt="5"/>
      <dgm:spPr/>
    </dgm:pt>
    <dgm:pt modelId="{0A5C1177-8DFD-4D3B-88E1-3473A032D14D}" type="pres">
      <dgm:prSet presAssocID="{A436BBD9-2530-4E68-9780-9FC9F811A9B8}" presName="ParentText" presStyleLbl="node1" presStyleIdx="4" presStyleCnt="6" custScaleX="125805" custScaleY="146804" custLinFactNeighborX="324" custLinFactNeighborY="1342">
        <dgm:presLayoutVars>
          <dgm:chMax val="1"/>
          <dgm:chPref val="1"/>
          <dgm:bulletEnabled val="1"/>
        </dgm:presLayoutVars>
      </dgm:prSet>
      <dgm:spPr/>
      <dgm:t>
        <a:bodyPr/>
        <a:lstStyle/>
        <a:p>
          <a:endParaRPr lang="en-US"/>
        </a:p>
      </dgm:t>
    </dgm:pt>
    <dgm:pt modelId="{562553AA-18CE-425C-B9E1-CBB6B731F21B}" type="pres">
      <dgm:prSet presAssocID="{A436BBD9-2530-4E68-9780-9FC9F811A9B8}" presName="ChildText" presStyleLbl="revTx" presStyleIdx="4" presStyleCnt="5">
        <dgm:presLayoutVars>
          <dgm:chMax val="0"/>
          <dgm:chPref val="0"/>
          <dgm:bulletEnabled val="1"/>
        </dgm:presLayoutVars>
      </dgm:prSet>
      <dgm:spPr/>
    </dgm:pt>
    <dgm:pt modelId="{01647E11-50B9-450B-B10B-D3468CF8FDB8}" type="pres">
      <dgm:prSet presAssocID="{3532801A-D8B1-412F-9D20-536D9ECB0D64}" presName="sibTrans" presStyleCnt="0"/>
      <dgm:spPr/>
    </dgm:pt>
    <dgm:pt modelId="{1A022785-E655-477B-A23D-E6E8BB6C9ABB}" type="pres">
      <dgm:prSet presAssocID="{7469FFEE-AA83-4006-99FA-B54AB7ACE1D8}" presName="composite" presStyleCnt="0"/>
      <dgm:spPr/>
    </dgm:pt>
    <dgm:pt modelId="{3803EDE8-0B64-4318-ACD8-672E779826FC}" type="pres">
      <dgm:prSet presAssocID="{7469FFEE-AA83-4006-99FA-B54AB7ACE1D8}" presName="ParentText" presStyleLbl="node1" presStyleIdx="5" presStyleCnt="6" custScaleX="125805" custScaleY="146804" custLinFactNeighborX="324" custLinFactNeighborY="1342">
        <dgm:presLayoutVars>
          <dgm:chMax val="1"/>
          <dgm:chPref val="1"/>
          <dgm:bulletEnabled val="1"/>
        </dgm:presLayoutVars>
      </dgm:prSet>
      <dgm:spPr/>
      <dgm:t>
        <a:bodyPr/>
        <a:lstStyle/>
        <a:p>
          <a:endParaRPr lang="en-US"/>
        </a:p>
      </dgm:t>
    </dgm:pt>
  </dgm:ptLst>
  <dgm:cxnLst>
    <dgm:cxn modelId="{CFD6D065-EB41-4267-B1CC-6E2EDD3423E3}" srcId="{32550CF4-AEEF-4A37-8375-4FA22DBD8823}" destId="{105570B4-C861-4DAD-B2A2-8352C7EF00E7}" srcOrd="3" destOrd="0" parTransId="{BD509715-3F58-4524-A58E-398264B11FBB}" sibTransId="{41766569-FF95-46F8-BED2-43C3F4758A31}"/>
    <dgm:cxn modelId="{DFBC54D7-7A30-4EE9-93ED-1F5E6DE12658}" type="presOf" srcId="{7469FFEE-AA83-4006-99FA-B54AB7ACE1D8}" destId="{3803EDE8-0B64-4318-ACD8-672E779826FC}" srcOrd="0" destOrd="0" presId="urn:microsoft.com/office/officeart/2005/8/layout/StepDownProcess"/>
    <dgm:cxn modelId="{11A94E93-F618-4E68-846F-47123E08887C}" type="presOf" srcId="{34FEC5EA-DF28-48A4-8368-F8E895B2B5C2}" destId="{7DCF5778-9B91-44C4-8C2C-4D95E5D36174}" srcOrd="0" destOrd="0" presId="urn:microsoft.com/office/officeart/2005/8/layout/StepDownProcess"/>
    <dgm:cxn modelId="{85AE4002-6C6B-45B2-A653-18EC7A8B9048}" type="presOf" srcId="{A436BBD9-2530-4E68-9780-9FC9F811A9B8}" destId="{0A5C1177-8DFD-4D3B-88E1-3473A032D14D}" srcOrd="0" destOrd="0" presId="urn:microsoft.com/office/officeart/2005/8/layout/StepDownProcess"/>
    <dgm:cxn modelId="{8E921C9E-E451-48D1-B1B1-60DAD0C5EB55}" type="presOf" srcId="{956A58B4-C7AE-41AC-A9C2-27C71B9012AD}" destId="{0604F912-05A3-41F5-8746-D034EB8E87DA}" srcOrd="0" destOrd="0" presId="urn:microsoft.com/office/officeart/2005/8/layout/StepDownProcess"/>
    <dgm:cxn modelId="{110B9E2D-9D14-4E3A-A58F-633EBECCCAE0}" srcId="{32550CF4-AEEF-4A37-8375-4FA22DBD8823}" destId="{34FEC5EA-DF28-48A4-8368-F8E895B2B5C2}" srcOrd="2" destOrd="0" parTransId="{140A8134-1522-4268-8049-0769FDD78667}" sibTransId="{099207AC-0E20-4741-898C-D96B3789B8F5}"/>
    <dgm:cxn modelId="{F68E22CB-599E-43E5-A999-4100C5114045}" type="presOf" srcId="{1ECD2BB8-0196-4A6D-8B2B-54705EA4ABB4}" destId="{BC623C2E-321D-46B7-884D-BFA93F3C0015}" srcOrd="0" destOrd="0" presId="urn:microsoft.com/office/officeart/2005/8/layout/StepDownProcess"/>
    <dgm:cxn modelId="{9250C770-F35E-4601-B195-93CD841CCA79}" srcId="{32550CF4-AEEF-4A37-8375-4FA22DBD8823}" destId="{7469FFEE-AA83-4006-99FA-B54AB7ACE1D8}" srcOrd="5" destOrd="0" parTransId="{75ACE2D8-1F42-4BA2-B84D-FEB8554182BC}" sibTransId="{CE4864C3-4F29-4394-B54A-1A4C87795978}"/>
    <dgm:cxn modelId="{D35CC598-097C-4C52-91B4-625BDA323C50}" type="presOf" srcId="{105570B4-C861-4DAD-B2A2-8352C7EF00E7}" destId="{CEB471B0-D500-4E28-A49F-9025EA324BAB}" srcOrd="0" destOrd="0" presId="urn:microsoft.com/office/officeart/2005/8/layout/StepDownProcess"/>
    <dgm:cxn modelId="{7823A66A-9483-4D77-B34A-C416FC580AB5}" srcId="{32550CF4-AEEF-4A37-8375-4FA22DBD8823}" destId="{A436BBD9-2530-4E68-9780-9FC9F811A9B8}" srcOrd="4" destOrd="0" parTransId="{E44BBFA4-154B-43E3-8A70-EA5FF1C3919C}" sibTransId="{3532801A-D8B1-412F-9D20-536D9ECB0D64}"/>
    <dgm:cxn modelId="{4578E0A3-486E-434C-B829-94EA03CFC92D}" type="presOf" srcId="{32550CF4-AEEF-4A37-8375-4FA22DBD8823}" destId="{2F769971-DA65-449F-A21B-3F309C276DAE}" srcOrd="0" destOrd="0" presId="urn:microsoft.com/office/officeart/2005/8/layout/StepDownProcess"/>
    <dgm:cxn modelId="{81525C3D-BD5E-48AB-A225-5C91F362766B}" srcId="{32550CF4-AEEF-4A37-8375-4FA22DBD8823}" destId="{1ECD2BB8-0196-4A6D-8B2B-54705EA4ABB4}" srcOrd="1" destOrd="0" parTransId="{911ED96C-F6E5-4D54-8A86-233E02F383C1}" sibTransId="{AA4F2B52-B713-4A28-8023-28B3618A5673}"/>
    <dgm:cxn modelId="{F1EAFA73-D758-4D5B-B2F3-97FC9F96D12E}" srcId="{32550CF4-AEEF-4A37-8375-4FA22DBD8823}" destId="{956A58B4-C7AE-41AC-A9C2-27C71B9012AD}" srcOrd="0" destOrd="0" parTransId="{72D3294A-8182-4C80-955B-8931F8560CCA}" sibTransId="{DC826FAB-1D41-4CE7-B6FE-0A1CAE96E515}"/>
    <dgm:cxn modelId="{85079D39-7FDD-4028-A9B4-5769789E4548}" type="presParOf" srcId="{2F769971-DA65-449F-A21B-3F309C276DAE}" destId="{E64B9244-547F-45A1-ACCF-64C6FF6DD3B0}" srcOrd="0" destOrd="0" presId="urn:microsoft.com/office/officeart/2005/8/layout/StepDownProcess"/>
    <dgm:cxn modelId="{C68ECDB5-84F3-402E-824F-DC5E9635CF19}" type="presParOf" srcId="{E64B9244-547F-45A1-ACCF-64C6FF6DD3B0}" destId="{F987D959-3F16-4C4D-BF34-6024D6940508}" srcOrd="0" destOrd="0" presId="urn:microsoft.com/office/officeart/2005/8/layout/StepDownProcess"/>
    <dgm:cxn modelId="{26D6403A-5B81-452E-9C12-483553C78A60}" type="presParOf" srcId="{E64B9244-547F-45A1-ACCF-64C6FF6DD3B0}" destId="{0604F912-05A3-41F5-8746-D034EB8E87DA}" srcOrd="1" destOrd="0" presId="urn:microsoft.com/office/officeart/2005/8/layout/StepDownProcess"/>
    <dgm:cxn modelId="{74C74151-7C0B-4C20-AF65-4175B47A034D}" type="presParOf" srcId="{E64B9244-547F-45A1-ACCF-64C6FF6DD3B0}" destId="{57814AEF-A163-465A-805A-E103E4AF8F10}" srcOrd="2" destOrd="0" presId="urn:microsoft.com/office/officeart/2005/8/layout/StepDownProcess"/>
    <dgm:cxn modelId="{24B28F6A-C46D-4F10-849E-8351AD0F1991}" type="presParOf" srcId="{2F769971-DA65-449F-A21B-3F309C276DAE}" destId="{66CF27E5-51B3-4A57-90B3-3C5DCB765037}" srcOrd="1" destOrd="0" presId="urn:microsoft.com/office/officeart/2005/8/layout/StepDownProcess"/>
    <dgm:cxn modelId="{E2B01B3A-867B-4F70-B5CC-AE9BD9254043}" type="presParOf" srcId="{2F769971-DA65-449F-A21B-3F309C276DAE}" destId="{817BBEB6-3DA1-4E45-8FDE-6198BBC570D0}" srcOrd="2" destOrd="0" presId="urn:microsoft.com/office/officeart/2005/8/layout/StepDownProcess"/>
    <dgm:cxn modelId="{1A6430CA-6DA1-473F-9FAE-906CCA32B0A9}" type="presParOf" srcId="{817BBEB6-3DA1-4E45-8FDE-6198BBC570D0}" destId="{88682F47-ABBF-433A-9ED8-CE4837D1B2E2}" srcOrd="0" destOrd="0" presId="urn:microsoft.com/office/officeart/2005/8/layout/StepDownProcess"/>
    <dgm:cxn modelId="{EBB31503-FF4C-42F3-9A71-FF4F0A027259}" type="presParOf" srcId="{817BBEB6-3DA1-4E45-8FDE-6198BBC570D0}" destId="{BC623C2E-321D-46B7-884D-BFA93F3C0015}" srcOrd="1" destOrd="0" presId="urn:microsoft.com/office/officeart/2005/8/layout/StepDownProcess"/>
    <dgm:cxn modelId="{63889926-18A7-41F1-A3E8-8253B9197A3B}" type="presParOf" srcId="{817BBEB6-3DA1-4E45-8FDE-6198BBC570D0}" destId="{989E1787-9EAF-4D15-85E7-7E614936C191}" srcOrd="2" destOrd="0" presId="urn:microsoft.com/office/officeart/2005/8/layout/StepDownProcess"/>
    <dgm:cxn modelId="{897D40CF-3D14-4DA6-BC45-68318D1A5604}" type="presParOf" srcId="{2F769971-DA65-449F-A21B-3F309C276DAE}" destId="{0813CEFE-4B36-4F46-A29B-E0635D802554}" srcOrd="3" destOrd="0" presId="urn:microsoft.com/office/officeart/2005/8/layout/StepDownProcess"/>
    <dgm:cxn modelId="{FE5572E5-4B30-44F0-BA67-615281E229D2}" type="presParOf" srcId="{2F769971-DA65-449F-A21B-3F309C276DAE}" destId="{736CBD70-D611-4BE4-BE70-5D8D7F0D9D54}" srcOrd="4" destOrd="0" presId="urn:microsoft.com/office/officeart/2005/8/layout/StepDownProcess"/>
    <dgm:cxn modelId="{0DFDE229-0250-45BF-AC9B-C08A0801A7B0}" type="presParOf" srcId="{736CBD70-D611-4BE4-BE70-5D8D7F0D9D54}" destId="{67E83D68-D6D8-47F7-AB72-ABAB215E3F65}" srcOrd="0" destOrd="0" presId="urn:microsoft.com/office/officeart/2005/8/layout/StepDownProcess"/>
    <dgm:cxn modelId="{6BB6C52B-C1A4-4B97-B85A-895A680C08B2}" type="presParOf" srcId="{736CBD70-D611-4BE4-BE70-5D8D7F0D9D54}" destId="{7DCF5778-9B91-44C4-8C2C-4D95E5D36174}" srcOrd="1" destOrd="0" presId="urn:microsoft.com/office/officeart/2005/8/layout/StepDownProcess"/>
    <dgm:cxn modelId="{CE0D7AF0-7BE9-4637-9CF0-E9BDD46085EE}" type="presParOf" srcId="{736CBD70-D611-4BE4-BE70-5D8D7F0D9D54}" destId="{AFC591E4-9045-4EE2-A31E-97140A7AED0C}" srcOrd="2" destOrd="0" presId="urn:microsoft.com/office/officeart/2005/8/layout/StepDownProcess"/>
    <dgm:cxn modelId="{325411D6-694A-471B-85D4-DDC48117B428}" type="presParOf" srcId="{2F769971-DA65-449F-A21B-3F309C276DAE}" destId="{FA00A822-3CFD-4FB3-8866-51BFFDE4F279}" srcOrd="5" destOrd="0" presId="urn:microsoft.com/office/officeart/2005/8/layout/StepDownProcess"/>
    <dgm:cxn modelId="{FA3CEB8C-94F1-4A7A-9203-C9BD7169FE3A}" type="presParOf" srcId="{2F769971-DA65-449F-A21B-3F309C276DAE}" destId="{F4FC8D9C-98F7-49F1-B775-7111A568B5A5}" srcOrd="6" destOrd="0" presId="urn:microsoft.com/office/officeart/2005/8/layout/StepDownProcess"/>
    <dgm:cxn modelId="{E559BC6D-0F8A-465F-AD3B-BB7BDBA4B953}" type="presParOf" srcId="{F4FC8D9C-98F7-49F1-B775-7111A568B5A5}" destId="{F2398FB6-7FB8-4618-8AE2-3111D15CAD31}" srcOrd="0" destOrd="0" presId="urn:microsoft.com/office/officeart/2005/8/layout/StepDownProcess"/>
    <dgm:cxn modelId="{AF4EAEEB-17EB-40D1-A3F9-250BAE1F3B60}" type="presParOf" srcId="{F4FC8D9C-98F7-49F1-B775-7111A568B5A5}" destId="{CEB471B0-D500-4E28-A49F-9025EA324BAB}" srcOrd="1" destOrd="0" presId="urn:microsoft.com/office/officeart/2005/8/layout/StepDownProcess"/>
    <dgm:cxn modelId="{A67E9DA8-B009-4AA5-8FD6-CC1086577BAE}" type="presParOf" srcId="{F4FC8D9C-98F7-49F1-B775-7111A568B5A5}" destId="{E70AEF62-BB3F-4D85-98B1-8A3CABDB9D38}" srcOrd="2" destOrd="0" presId="urn:microsoft.com/office/officeart/2005/8/layout/StepDownProcess"/>
    <dgm:cxn modelId="{38CCE329-DF72-4C56-A77B-0464D5D7C429}" type="presParOf" srcId="{2F769971-DA65-449F-A21B-3F309C276DAE}" destId="{325CC415-2014-4822-AD60-3A9FFC837ABB}" srcOrd="7" destOrd="0" presId="urn:microsoft.com/office/officeart/2005/8/layout/StepDownProcess"/>
    <dgm:cxn modelId="{4787C3C7-D3DD-4CDA-9A02-1A85C44DD0A4}" type="presParOf" srcId="{2F769971-DA65-449F-A21B-3F309C276DAE}" destId="{DE78CD75-AC76-4AF3-9647-156B626962F9}" srcOrd="8" destOrd="0" presId="urn:microsoft.com/office/officeart/2005/8/layout/StepDownProcess"/>
    <dgm:cxn modelId="{6535A80C-0773-44D3-BAB6-D99B7D412BB8}" type="presParOf" srcId="{DE78CD75-AC76-4AF3-9647-156B626962F9}" destId="{29659ECB-000C-40D8-B9D1-565DB0CD04AC}" srcOrd="0" destOrd="0" presId="urn:microsoft.com/office/officeart/2005/8/layout/StepDownProcess"/>
    <dgm:cxn modelId="{01D90A4C-E412-4246-B42A-6E56EE2BF800}" type="presParOf" srcId="{DE78CD75-AC76-4AF3-9647-156B626962F9}" destId="{0A5C1177-8DFD-4D3B-88E1-3473A032D14D}" srcOrd="1" destOrd="0" presId="urn:microsoft.com/office/officeart/2005/8/layout/StepDownProcess"/>
    <dgm:cxn modelId="{76150D84-37C9-427F-AF68-FD9EDAA5D368}" type="presParOf" srcId="{DE78CD75-AC76-4AF3-9647-156B626962F9}" destId="{562553AA-18CE-425C-B9E1-CBB6B731F21B}" srcOrd="2" destOrd="0" presId="urn:microsoft.com/office/officeart/2005/8/layout/StepDownProcess"/>
    <dgm:cxn modelId="{EC9534AE-3A88-4925-B588-44244A98DD65}" type="presParOf" srcId="{2F769971-DA65-449F-A21B-3F309C276DAE}" destId="{01647E11-50B9-450B-B10B-D3468CF8FDB8}" srcOrd="9" destOrd="0" presId="urn:microsoft.com/office/officeart/2005/8/layout/StepDownProcess"/>
    <dgm:cxn modelId="{A86DB10F-EC10-40D7-ABA1-846160108922}" type="presParOf" srcId="{2F769971-DA65-449F-A21B-3F309C276DAE}" destId="{1A022785-E655-477B-A23D-E6E8BB6C9ABB}" srcOrd="10" destOrd="0" presId="urn:microsoft.com/office/officeart/2005/8/layout/StepDownProcess"/>
    <dgm:cxn modelId="{CB1DD1A5-6C7C-44E6-B1F3-D233D1159BF8}" type="presParOf" srcId="{1A022785-E655-477B-A23D-E6E8BB6C9ABB}" destId="{3803EDE8-0B64-4318-ACD8-672E779826FC}" srcOrd="0"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87D959-3F16-4C4D-BF34-6024D6940508}">
      <dsp:nvSpPr>
        <dsp:cNvPr id="0" name=""/>
        <dsp:cNvSpPr/>
      </dsp:nvSpPr>
      <dsp:spPr>
        <a:xfrm rot="5400000">
          <a:off x="162885" y="716635"/>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04F912-05A3-41F5-8746-D034EB8E87DA}">
      <dsp:nvSpPr>
        <dsp:cNvPr id="0" name=""/>
        <dsp:cNvSpPr/>
      </dsp:nvSpPr>
      <dsp:spPr>
        <a:xfrm>
          <a:off x="3282" y="48846"/>
          <a:ext cx="1014111" cy="709845"/>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Vision/ mission</a:t>
          </a:r>
        </a:p>
      </dsp:txBody>
      <dsp:txXfrm>
        <a:off x="37940" y="83504"/>
        <a:ext cx="944795" cy="640529"/>
      </dsp:txXfrm>
    </dsp:sp>
    <dsp:sp modelId="{57814AEF-A163-465A-805A-E103E4AF8F10}">
      <dsp:nvSpPr>
        <dsp:cNvPr id="0" name=""/>
        <dsp:cNvSpPr/>
      </dsp:nvSpPr>
      <dsp:spPr>
        <a:xfrm>
          <a:off x="1017394" y="116546"/>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88682F47-ABBF-433A-9ED8-CE4837D1B2E2}">
      <dsp:nvSpPr>
        <dsp:cNvPr id="0" name=""/>
        <dsp:cNvSpPr/>
      </dsp:nvSpPr>
      <dsp:spPr>
        <a:xfrm rot="5400000">
          <a:off x="1134537" y="1680144"/>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623C2E-321D-46B7-884D-BFA93F3C0015}">
      <dsp:nvSpPr>
        <dsp:cNvPr id="0" name=""/>
        <dsp:cNvSpPr/>
      </dsp:nvSpPr>
      <dsp:spPr>
        <a:xfrm>
          <a:off x="752129" y="741464"/>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Objectives</a:t>
          </a:r>
        </a:p>
      </dsp:txBody>
      <dsp:txXfrm>
        <a:off x="803008" y="792343"/>
        <a:ext cx="1174045" cy="940323"/>
      </dsp:txXfrm>
    </dsp:sp>
    <dsp:sp modelId="{989E1787-9EAF-4D15-85E7-7E614936C191}">
      <dsp:nvSpPr>
        <dsp:cNvPr id="0" name=""/>
        <dsp:cNvSpPr/>
      </dsp:nvSpPr>
      <dsp:spPr>
        <a:xfrm>
          <a:off x="1989046" y="1080055"/>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67E83D68-D6D8-47F7-AB72-ABAB215E3F65}">
      <dsp:nvSpPr>
        <dsp:cNvPr id="0" name=""/>
        <dsp:cNvSpPr/>
      </dsp:nvSpPr>
      <dsp:spPr>
        <a:xfrm rot="5400000">
          <a:off x="1975344" y="2643652"/>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CF5778-9B91-44C4-8C2C-4D95E5D36174}">
      <dsp:nvSpPr>
        <dsp:cNvPr id="0" name=""/>
        <dsp:cNvSpPr/>
      </dsp:nvSpPr>
      <dsp:spPr>
        <a:xfrm>
          <a:off x="1688180" y="1819272"/>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SWOT</a:t>
          </a:r>
        </a:p>
        <a:p>
          <a:pPr lvl="0" algn="ctr" defTabSz="533400">
            <a:lnSpc>
              <a:spcPct val="90000"/>
            </a:lnSpc>
            <a:spcBef>
              <a:spcPct val="0"/>
            </a:spcBef>
            <a:spcAft>
              <a:spcPct val="35000"/>
            </a:spcAft>
          </a:pPr>
          <a:r>
            <a:rPr lang="en-US" sz="1200" kern="1200"/>
            <a:t>Competitor, Colaborations, Funding analysis, Internal analysis</a:t>
          </a:r>
        </a:p>
      </dsp:txBody>
      <dsp:txXfrm>
        <a:off x="1739059" y="1870151"/>
        <a:ext cx="1174045" cy="940323"/>
      </dsp:txXfrm>
    </dsp:sp>
    <dsp:sp modelId="{AFC591E4-9045-4EE2-A31E-97140A7AED0C}">
      <dsp:nvSpPr>
        <dsp:cNvPr id="0" name=""/>
        <dsp:cNvSpPr/>
      </dsp:nvSpPr>
      <dsp:spPr>
        <a:xfrm>
          <a:off x="3082871" y="2052164"/>
          <a:ext cx="1499719" cy="573728"/>
        </a:xfrm>
        <a:prstGeom prst="rect">
          <a:avLst/>
        </a:prstGeom>
        <a:noFill/>
        <a:ln>
          <a:noFill/>
        </a:ln>
        <a:effectLst/>
      </dsp:spPr>
      <dsp:style>
        <a:lnRef idx="0">
          <a:scrgbClr r="0" g="0" b="0"/>
        </a:lnRef>
        <a:fillRef idx="0">
          <a:scrgbClr r="0" g="0" b="0"/>
        </a:fillRef>
        <a:effectRef idx="0">
          <a:scrgbClr r="0" g="0" b="0"/>
        </a:effectRef>
        <a:fontRef idx="minor"/>
      </dsp:style>
    </dsp:sp>
    <dsp:sp modelId="{F2398FB6-7FB8-4618-8AE2-3111D15CAD31}">
      <dsp:nvSpPr>
        <dsp:cNvPr id="0" name=""/>
        <dsp:cNvSpPr/>
      </dsp:nvSpPr>
      <dsp:spPr>
        <a:xfrm rot="5400000">
          <a:off x="2816150" y="3607161"/>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EB471B0-D500-4E28-A49F-9025EA324BAB}">
      <dsp:nvSpPr>
        <dsp:cNvPr id="0" name=""/>
        <dsp:cNvSpPr/>
      </dsp:nvSpPr>
      <dsp:spPr>
        <a:xfrm>
          <a:off x="2528987" y="2782780"/>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Review the SWOT results - new objectives required?</a:t>
          </a:r>
        </a:p>
      </dsp:txBody>
      <dsp:txXfrm>
        <a:off x="2579866" y="2833659"/>
        <a:ext cx="1174045" cy="940323"/>
      </dsp:txXfrm>
    </dsp:sp>
    <dsp:sp modelId="{E70AEF62-BB3F-4D85-98B1-8A3CABDB9D38}">
      <dsp:nvSpPr>
        <dsp:cNvPr id="0" name=""/>
        <dsp:cNvSpPr/>
      </dsp:nvSpPr>
      <dsp:spPr>
        <a:xfrm>
          <a:off x="3670659" y="3007072"/>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29659ECB-000C-40D8-B9D1-565DB0CD04AC}">
      <dsp:nvSpPr>
        <dsp:cNvPr id="0" name=""/>
        <dsp:cNvSpPr/>
      </dsp:nvSpPr>
      <dsp:spPr>
        <a:xfrm rot="5400000">
          <a:off x="3656957" y="4570669"/>
          <a:ext cx="602414" cy="685827"/>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5C1177-8DFD-4D3B-88E1-3473A032D14D}">
      <dsp:nvSpPr>
        <dsp:cNvPr id="0" name=""/>
        <dsp:cNvSpPr/>
      </dsp:nvSpPr>
      <dsp:spPr>
        <a:xfrm>
          <a:off x="3369793" y="3746289"/>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Key strategies</a:t>
          </a:r>
        </a:p>
      </dsp:txBody>
      <dsp:txXfrm>
        <a:off x="3420672" y="3797168"/>
        <a:ext cx="1174045" cy="940323"/>
      </dsp:txXfrm>
    </dsp:sp>
    <dsp:sp modelId="{562553AA-18CE-425C-B9E1-CBB6B731F21B}">
      <dsp:nvSpPr>
        <dsp:cNvPr id="0" name=""/>
        <dsp:cNvSpPr/>
      </dsp:nvSpPr>
      <dsp:spPr>
        <a:xfrm>
          <a:off x="4511465" y="3970581"/>
          <a:ext cx="737568" cy="573728"/>
        </a:xfrm>
        <a:prstGeom prst="rect">
          <a:avLst/>
        </a:prstGeom>
        <a:noFill/>
        <a:ln>
          <a:noFill/>
        </a:ln>
        <a:effectLst/>
      </dsp:spPr>
      <dsp:style>
        <a:lnRef idx="0">
          <a:scrgbClr r="0" g="0" b="0"/>
        </a:lnRef>
        <a:fillRef idx="0">
          <a:scrgbClr r="0" g="0" b="0"/>
        </a:fillRef>
        <a:effectRef idx="0">
          <a:scrgbClr r="0" g="0" b="0"/>
        </a:effectRef>
        <a:fontRef idx="minor"/>
      </dsp:style>
    </dsp:sp>
    <dsp:sp modelId="{3803EDE8-0B64-4318-ACD8-672E779826FC}">
      <dsp:nvSpPr>
        <dsp:cNvPr id="0" name=""/>
        <dsp:cNvSpPr/>
      </dsp:nvSpPr>
      <dsp:spPr>
        <a:xfrm>
          <a:off x="4210596" y="4709797"/>
          <a:ext cx="1275803" cy="1042081"/>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Local/ individual </a:t>
          </a:r>
        </a:p>
        <a:p>
          <a:pPr lvl="0" algn="ctr" defTabSz="533400">
            <a:lnSpc>
              <a:spcPct val="90000"/>
            </a:lnSpc>
            <a:spcBef>
              <a:spcPct val="0"/>
            </a:spcBef>
            <a:spcAft>
              <a:spcPct val="35000"/>
            </a:spcAft>
          </a:pPr>
          <a:r>
            <a:rPr lang="en-US" sz="1200" kern="1200"/>
            <a:t>plans</a:t>
          </a:r>
        </a:p>
      </dsp:txBody>
      <dsp:txXfrm>
        <a:off x="4261475" y="4760676"/>
        <a:ext cx="1174045" cy="940323"/>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586</Words>
  <Characters>3342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cp:lastPrinted>2019-11-26T11:49:00Z</cp:lastPrinted>
  <dcterms:created xsi:type="dcterms:W3CDTF">2020-10-19T16:09:00Z</dcterms:created>
  <dcterms:modified xsi:type="dcterms:W3CDTF">2020-10-19T16:09:00Z</dcterms:modified>
</cp:coreProperties>
</file>