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3366FA" w14:textId="441822E0" w:rsidR="00EC7230" w:rsidRDefault="00083313">
      <w:pPr>
        <w:rPr>
          <w:noProof/>
        </w:rPr>
      </w:pPr>
      <w:r>
        <w:rPr>
          <w:noProof/>
        </w:rPr>
        <w:drawing>
          <wp:inline distT="0" distB="0" distL="0" distR="0" wp14:anchorId="61820A0D" wp14:editId="7D3DBA11">
            <wp:extent cx="3316605" cy="1597025"/>
            <wp:effectExtent l="0" t="0" r="0" b="3175"/>
            <wp:docPr id="1736091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6605" cy="1597025"/>
                    </a:xfrm>
                    <a:prstGeom prst="rect">
                      <a:avLst/>
                    </a:prstGeom>
                    <a:noFill/>
                  </pic:spPr>
                </pic:pic>
              </a:graphicData>
            </a:graphic>
          </wp:inline>
        </w:drawing>
      </w:r>
    </w:p>
    <w:p w14:paraId="4C7DD1B3" w14:textId="77777777" w:rsidR="00083313" w:rsidRPr="00083313" w:rsidRDefault="00083313" w:rsidP="00083313"/>
    <w:p w14:paraId="4012C158" w14:textId="77777777" w:rsidR="00083313" w:rsidRPr="00083313" w:rsidRDefault="00083313" w:rsidP="00083313"/>
    <w:p w14:paraId="793E8D12" w14:textId="77777777" w:rsidR="00083313" w:rsidRPr="00083313" w:rsidRDefault="00083313" w:rsidP="00083313"/>
    <w:p w14:paraId="58C65B07" w14:textId="77777777" w:rsidR="00083313" w:rsidRPr="00083313" w:rsidRDefault="00083313" w:rsidP="00083313"/>
    <w:p w14:paraId="08CB4731" w14:textId="77777777" w:rsidR="00083313" w:rsidRDefault="00083313" w:rsidP="00083313">
      <w:pPr>
        <w:rPr>
          <w:noProof/>
        </w:rPr>
      </w:pPr>
    </w:p>
    <w:p w14:paraId="5F6EAECF" w14:textId="2DE9D1EF" w:rsidR="00083313" w:rsidRP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Programme:</w:t>
      </w:r>
      <w:r>
        <w:rPr>
          <w:rFonts w:ascii="Times New Roman" w:hAnsi="Times New Roman" w:cs="Times New Roman"/>
          <w:sz w:val="36"/>
          <w:szCs w:val="36"/>
        </w:rPr>
        <w:t xml:space="preserve"> BA (Hons) Business Management</w:t>
      </w:r>
    </w:p>
    <w:p w14:paraId="2331F6BB" w14:textId="17A24616" w:rsidR="00083313" w:rsidRP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 xml:space="preserve">Module: </w:t>
      </w:r>
      <w:r>
        <w:rPr>
          <w:rFonts w:ascii="Times New Roman" w:hAnsi="Times New Roman" w:cs="Times New Roman"/>
          <w:sz w:val="36"/>
          <w:szCs w:val="36"/>
        </w:rPr>
        <w:t>Data Handling &amp; Business Intelligence</w:t>
      </w:r>
    </w:p>
    <w:p w14:paraId="7B9AF77A" w14:textId="4E2369A3" w:rsidR="00083313" w:rsidRP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 xml:space="preserve">Module Code: </w:t>
      </w:r>
      <w:r>
        <w:rPr>
          <w:rFonts w:ascii="Times New Roman" w:hAnsi="Times New Roman" w:cs="Times New Roman"/>
          <w:sz w:val="36"/>
          <w:szCs w:val="36"/>
        </w:rPr>
        <w:t>LCBB5014</w:t>
      </w:r>
    </w:p>
    <w:p w14:paraId="02A5A36B" w14:textId="656F42F2" w:rsidR="00083313" w:rsidRP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 xml:space="preserve">Module Lecture: </w:t>
      </w:r>
      <w:r>
        <w:rPr>
          <w:rFonts w:ascii="Times New Roman" w:hAnsi="Times New Roman" w:cs="Times New Roman"/>
          <w:sz w:val="36"/>
          <w:szCs w:val="36"/>
        </w:rPr>
        <w:t>Dr Said Usman</w:t>
      </w:r>
    </w:p>
    <w:p w14:paraId="330B20DD" w14:textId="7A665653" w:rsidR="00083313" w:rsidRP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 xml:space="preserve">Student Name: </w:t>
      </w:r>
      <w:r>
        <w:rPr>
          <w:rFonts w:ascii="Times New Roman" w:hAnsi="Times New Roman" w:cs="Times New Roman"/>
          <w:sz w:val="36"/>
          <w:szCs w:val="36"/>
        </w:rPr>
        <w:t>Greta Doncheva</w:t>
      </w:r>
    </w:p>
    <w:p w14:paraId="7DD1C334" w14:textId="786820AB" w:rsidR="00083313" w:rsidRDefault="00083313" w:rsidP="00083313">
      <w:pPr>
        <w:tabs>
          <w:tab w:val="left" w:pos="3084"/>
        </w:tabs>
        <w:jc w:val="center"/>
        <w:rPr>
          <w:rFonts w:ascii="Times New Roman" w:hAnsi="Times New Roman" w:cs="Times New Roman"/>
          <w:sz w:val="36"/>
          <w:szCs w:val="36"/>
        </w:rPr>
      </w:pPr>
      <w:r>
        <w:rPr>
          <w:rFonts w:ascii="Times New Roman" w:hAnsi="Times New Roman" w:cs="Times New Roman"/>
          <w:b/>
          <w:bCs/>
          <w:sz w:val="36"/>
          <w:szCs w:val="36"/>
        </w:rPr>
        <w:t>Student Number:</w:t>
      </w:r>
      <w:r>
        <w:rPr>
          <w:rFonts w:ascii="Times New Roman" w:hAnsi="Times New Roman" w:cs="Times New Roman"/>
          <w:sz w:val="36"/>
          <w:szCs w:val="36"/>
        </w:rPr>
        <w:t xml:space="preserve"> 2411732</w:t>
      </w:r>
    </w:p>
    <w:p w14:paraId="2B53A25F" w14:textId="77777777" w:rsidR="00083313" w:rsidRDefault="00083313" w:rsidP="00083313">
      <w:pPr>
        <w:tabs>
          <w:tab w:val="left" w:pos="3084"/>
        </w:tabs>
        <w:jc w:val="center"/>
        <w:rPr>
          <w:rFonts w:ascii="Times New Roman" w:hAnsi="Times New Roman" w:cs="Times New Roman"/>
          <w:sz w:val="36"/>
          <w:szCs w:val="36"/>
        </w:rPr>
      </w:pPr>
    </w:p>
    <w:p w14:paraId="182F18C1" w14:textId="77777777" w:rsidR="00083313" w:rsidRDefault="00083313" w:rsidP="00083313">
      <w:pPr>
        <w:tabs>
          <w:tab w:val="left" w:pos="3084"/>
        </w:tabs>
        <w:jc w:val="center"/>
        <w:rPr>
          <w:rFonts w:ascii="Times New Roman" w:hAnsi="Times New Roman" w:cs="Times New Roman"/>
          <w:sz w:val="36"/>
          <w:szCs w:val="36"/>
        </w:rPr>
      </w:pPr>
    </w:p>
    <w:p w14:paraId="4FFE53FE" w14:textId="77777777" w:rsidR="00083313" w:rsidRDefault="00083313" w:rsidP="00083313">
      <w:pPr>
        <w:tabs>
          <w:tab w:val="left" w:pos="3084"/>
        </w:tabs>
        <w:jc w:val="center"/>
        <w:rPr>
          <w:rFonts w:ascii="Times New Roman" w:hAnsi="Times New Roman" w:cs="Times New Roman"/>
          <w:sz w:val="36"/>
          <w:szCs w:val="36"/>
        </w:rPr>
      </w:pPr>
    </w:p>
    <w:p w14:paraId="0C533F6A" w14:textId="77777777" w:rsidR="00083313" w:rsidRDefault="00083313" w:rsidP="00083313">
      <w:pPr>
        <w:tabs>
          <w:tab w:val="left" w:pos="3084"/>
        </w:tabs>
        <w:jc w:val="center"/>
        <w:rPr>
          <w:rFonts w:ascii="Times New Roman" w:hAnsi="Times New Roman" w:cs="Times New Roman"/>
          <w:sz w:val="36"/>
          <w:szCs w:val="36"/>
        </w:rPr>
      </w:pPr>
    </w:p>
    <w:p w14:paraId="57DF9E37" w14:textId="77777777" w:rsidR="00083313" w:rsidRDefault="00083313" w:rsidP="00083313">
      <w:pPr>
        <w:tabs>
          <w:tab w:val="left" w:pos="3084"/>
        </w:tabs>
        <w:jc w:val="center"/>
        <w:rPr>
          <w:rFonts w:ascii="Times New Roman" w:hAnsi="Times New Roman" w:cs="Times New Roman"/>
          <w:sz w:val="36"/>
          <w:szCs w:val="36"/>
        </w:rPr>
      </w:pPr>
    </w:p>
    <w:p w14:paraId="0E868FCA" w14:textId="77777777" w:rsidR="00083313" w:rsidRDefault="00083313" w:rsidP="00083313">
      <w:pPr>
        <w:tabs>
          <w:tab w:val="left" w:pos="3084"/>
        </w:tabs>
        <w:jc w:val="center"/>
        <w:rPr>
          <w:rFonts w:ascii="Times New Roman" w:hAnsi="Times New Roman" w:cs="Times New Roman"/>
          <w:sz w:val="36"/>
          <w:szCs w:val="36"/>
        </w:rPr>
      </w:pPr>
    </w:p>
    <w:p w14:paraId="497FF7DB" w14:textId="77777777" w:rsidR="00083313" w:rsidRDefault="00083313" w:rsidP="00083313">
      <w:pPr>
        <w:tabs>
          <w:tab w:val="left" w:pos="3084"/>
        </w:tabs>
        <w:jc w:val="center"/>
        <w:rPr>
          <w:rFonts w:ascii="Times New Roman" w:hAnsi="Times New Roman" w:cs="Times New Roman"/>
          <w:sz w:val="36"/>
          <w:szCs w:val="36"/>
        </w:rPr>
      </w:pPr>
    </w:p>
    <w:p w14:paraId="37FABEF9" w14:textId="77777777" w:rsidR="00083313" w:rsidRDefault="00083313" w:rsidP="00083313">
      <w:pPr>
        <w:tabs>
          <w:tab w:val="left" w:pos="3084"/>
        </w:tabs>
        <w:jc w:val="center"/>
        <w:rPr>
          <w:rFonts w:ascii="Times New Roman" w:hAnsi="Times New Roman" w:cs="Times New Roman"/>
          <w:sz w:val="36"/>
          <w:szCs w:val="36"/>
        </w:rPr>
      </w:pPr>
    </w:p>
    <w:p w14:paraId="07E825D5" w14:textId="77777777" w:rsidR="00083313" w:rsidRDefault="00083313" w:rsidP="00083313">
      <w:pPr>
        <w:tabs>
          <w:tab w:val="left" w:pos="3084"/>
        </w:tabs>
        <w:jc w:val="center"/>
        <w:rPr>
          <w:rFonts w:ascii="Times New Roman" w:hAnsi="Times New Roman" w:cs="Times New Roman"/>
          <w:b/>
          <w:bCs/>
          <w:sz w:val="36"/>
          <w:szCs w:val="36"/>
        </w:rPr>
      </w:pPr>
    </w:p>
    <w:p w14:paraId="4CC37DDC" w14:textId="77777777" w:rsidR="00083313" w:rsidRDefault="00083313" w:rsidP="00083313">
      <w:pPr>
        <w:tabs>
          <w:tab w:val="left" w:pos="3084"/>
        </w:tabs>
        <w:jc w:val="center"/>
        <w:rPr>
          <w:rFonts w:ascii="Times New Roman" w:hAnsi="Times New Roman" w:cs="Times New Roman"/>
          <w:b/>
          <w:bCs/>
          <w:sz w:val="36"/>
          <w:szCs w:val="36"/>
        </w:rPr>
      </w:pPr>
    </w:p>
    <w:p w14:paraId="697FD809" w14:textId="77777777" w:rsidR="00083313" w:rsidRDefault="00083313" w:rsidP="00083313">
      <w:pPr>
        <w:tabs>
          <w:tab w:val="left" w:pos="3084"/>
        </w:tabs>
        <w:rPr>
          <w:rFonts w:ascii="Times New Roman" w:hAnsi="Times New Roman" w:cs="Times New Roman"/>
          <w:b/>
          <w:bCs/>
          <w:sz w:val="36"/>
          <w:szCs w:val="36"/>
        </w:rPr>
      </w:pPr>
      <w:r w:rsidRPr="00083313">
        <w:rPr>
          <w:rFonts w:ascii="Times New Roman" w:hAnsi="Times New Roman" w:cs="Times New Roman"/>
          <w:b/>
          <w:bCs/>
          <w:sz w:val="36"/>
          <w:szCs w:val="36"/>
        </w:rPr>
        <w:t xml:space="preserve">Business Intelligence and Data Handling in the UK Retail </w:t>
      </w:r>
    </w:p>
    <w:p w14:paraId="5B965747" w14:textId="5258EB61" w:rsidR="00083313" w:rsidRDefault="00083313" w:rsidP="00083313">
      <w:pPr>
        <w:tabs>
          <w:tab w:val="left" w:pos="3084"/>
        </w:tabs>
        <w:jc w:val="center"/>
        <w:rPr>
          <w:rFonts w:ascii="Times New Roman" w:hAnsi="Times New Roman" w:cs="Times New Roman"/>
          <w:b/>
          <w:bCs/>
          <w:sz w:val="36"/>
          <w:szCs w:val="36"/>
        </w:rPr>
      </w:pPr>
      <w:r>
        <w:rPr>
          <w:rFonts w:ascii="Times New Roman" w:hAnsi="Times New Roman" w:cs="Times New Roman"/>
          <w:b/>
          <w:bCs/>
          <w:sz w:val="36"/>
          <w:szCs w:val="36"/>
        </w:rPr>
        <w:t>Sector</w:t>
      </w:r>
    </w:p>
    <w:p w14:paraId="18234213" w14:textId="77777777" w:rsidR="00083313" w:rsidRDefault="00083313" w:rsidP="00083313">
      <w:pPr>
        <w:tabs>
          <w:tab w:val="left" w:pos="3084"/>
        </w:tabs>
        <w:rPr>
          <w:rFonts w:ascii="Times New Roman" w:hAnsi="Times New Roman" w:cs="Times New Roman"/>
          <w:b/>
          <w:bCs/>
          <w:sz w:val="36"/>
          <w:szCs w:val="36"/>
        </w:rPr>
      </w:pPr>
    </w:p>
    <w:p w14:paraId="7BCEDC6B" w14:textId="77777777" w:rsidR="00083313" w:rsidRDefault="00083313" w:rsidP="00083313">
      <w:pPr>
        <w:tabs>
          <w:tab w:val="left" w:pos="3084"/>
        </w:tabs>
        <w:rPr>
          <w:rFonts w:ascii="Times New Roman" w:hAnsi="Times New Roman" w:cs="Times New Roman"/>
          <w:b/>
          <w:bCs/>
          <w:sz w:val="36"/>
          <w:szCs w:val="36"/>
        </w:rPr>
      </w:pPr>
    </w:p>
    <w:p w14:paraId="55FC6952" w14:textId="77777777" w:rsidR="00083313" w:rsidRDefault="00083313" w:rsidP="00083313">
      <w:pPr>
        <w:tabs>
          <w:tab w:val="left" w:pos="3084"/>
        </w:tabs>
        <w:rPr>
          <w:rFonts w:ascii="Times New Roman" w:hAnsi="Times New Roman" w:cs="Times New Roman"/>
          <w:b/>
          <w:bCs/>
          <w:sz w:val="36"/>
          <w:szCs w:val="36"/>
        </w:rPr>
      </w:pPr>
    </w:p>
    <w:p w14:paraId="6387EA83" w14:textId="77777777" w:rsidR="00083313" w:rsidRPr="00083313" w:rsidRDefault="00083313" w:rsidP="00083313">
      <w:pPr>
        <w:tabs>
          <w:tab w:val="left" w:pos="3084"/>
        </w:tabs>
        <w:rPr>
          <w:rFonts w:ascii="Times New Roman" w:hAnsi="Times New Roman" w:cs="Times New Roman"/>
          <w:b/>
          <w:bCs/>
          <w:sz w:val="36"/>
          <w:szCs w:val="36"/>
        </w:rPr>
      </w:pPr>
    </w:p>
    <w:sdt>
      <w:sdtPr>
        <w:id w:val="128492614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88FBA51" w14:textId="1B08DA7E" w:rsidR="00083313" w:rsidRDefault="00083313">
          <w:pPr>
            <w:pStyle w:val="TOCHeading"/>
          </w:pPr>
          <w:r>
            <w:t>Table of Contents</w:t>
          </w:r>
        </w:p>
        <w:p w14:paraId="466217F4" w14:textId="682FD125" w:rsidR="00083313" w:rsidRDefault="00083313" w:rsidP="00083313">
          <w:pPr>
            <w:pStyle w:val="ListParagraph"/>
            <w:numPr>
              <w:ilvl w:val="0"/>
              <w:numId w:val="1"/>
            </w:numPr>
            <w:rPr>
              <w:lang w:eastAsia="en-GB"/>
            </w:rPr>
          </w:pPr>
          <w:r>
            <w:rPr>
              <w:lang w:eastAsia="en-GB"/>
            </w:rPr>
            <w:t>Executive Summary</w:t>
          </w:r>
        </w:p>
        <w:p w14:paraId="367C9BBE" w14:textId="041347D8" w:rsidR="00083313" w:rsidRDefault="00083313" w:rsidP="00083313">
          <w:pPr>
            <w:pStyle w:val="ListParagraph"/>
            <w:numPr>
              <w:ilvl w:val="0"/>
              <w:numId w:val="1"/>
            </w:numPr>
            <w:rPr>
              <w:lang w:eastAsia="en-GB"/>
            </w:rPr>
          </w:pPr>
          <w:r>
            <w:rPr>
              <w:lang w:eastAsia="en-GB"/>
            </w:rPr>
            <w:t>Introduction</w:t>
          </w:r>
        </w:p>
        <w:p w14:paraId="108799E7" w14:textId="2BB7DAC9" w:rsidR="00083313" w:rsidRDefault="00083313" w:rsidP="00083313">
          <w:pPr>
            <w:pStyle w:val="ListParagraph"/>
            <w:numPr>
              <w:ilvl w:val="0"/>
              <w:numId w:val="1"/>
            </w:numPr>
            <w:rPr>
              <w:lang w:eastAsia="en-GB"/>
            </w:rPr>
          </w:pPr>
          <w:r>
            <w:rPr>
              <w:lang w:eastAsia="en-GB"/>
            </w:rPr>
            <w:t>Trends in BI, DW, and DM</w:t>
          </w:r>
        </w:p>
        <w:p w14:paraId="0DA165B9" w14:textId="3C128F1B" w:rsidR="00083313" w:rsidRDefault="00083313" w:rsidP="00083313">
          <w:pPr>
            <w:pStyle w:val="ListParagraph"/>
            <w:numPr>
              <w:ilvl w:val="0"/>
              <w:numId w:val="1"/>
            </w:numPr>
            <w:rPr>
              <w:lang w:eastAsia="en-GB"/>
            </w:rPr>
          </w:pPr>
          <w:r>
            <w:rPr>
              <w:lang w:eastAsia="en-GB"/>
            </w:rPr>
            <w:t>Applications of Data Warehousing in the Organisation</w:t>
          </w:r>
        </w:p>
        <w:p w14:paraId="26B2FFF8" w14:textId="7CF0B4E7" w:rsidR="00083313" w:rsidRDefault="00083313" w:rsidP="00083313">
          <w:pPr>
            <w:pStyle w:val="ListParagraph"/>
            <w:numPr>
              <w:ilvl w:val="0"/>
              <w:numId w:val="1"/>
            </w:numPr>
            <w:rPr>
              <w:lang w:eastAsia="en-GB"/>
            </w:rPr>
          </w:pPr>
          <w:r>
            <w:rPr>
              <w:lang w:eastAsia="en-GB"/>
            </w:rPr>
            <w:t>Techniques of Data Mining</w:t>
          </w:r>
        </w:p>
        <w:p w14:paraId="34E9806D" w14:textId="1F1359BA" w:rsidR="00083313" w:rsidRDefault="00083313" w:rsidP="00083313">
          <w:pPr>
            <w:pStyle w:val="ListParagraph"/>
            <w:rPr>
              <w:lang w:eastAsia="en-GB"/>
            </w:rPr>
          </w:pPr>
          <w:r>
            <w:rPr>
              <w:lang w:eastAsia="en-GB"/>
            </w:rPr>
            <w:t xml:space="preserve">    Clustering</w:t>
          </w:r>
        </w:p>
        <w:p w14:paraId="6F5B5D33" w14:textId="14BAAF50" w:rsidR="00083313" w:rsidRDefault="00083313" w:rsidP="00083313">
          <w:pPr>
            <w:pStyle w:val="ListParagraph"/>
            <w:rPr>
              <w:lang w:eastAsia="en-GB"/>
            </w:rPr>
          </w:pPr>
          <w:r>
            <w:rPr>
              <w:lang w:eastAsia="en-GB"/>
            </w:rPr>
            <w:t xml:space="preserve">    Association Rule Mining</w:t>
          </w:r>
        </w:p>
        <w:p w14:paraId="081889F2" w14:textId="227137AB" w:rsidR="00083313" w:rsidRDefault="00083313" w:rsidP="00083313">
          <w:pPr>
            <w:pStyle w:val="ListParagraph"/>
            <w:numPr>
              <w:ilvl w:val="0"/>
              <w:numId w:val="1"/>
            </w:numPr>
            <w:rPr>
              <w:lang w:eastAsia="en-GB"/>
            </w:rPr>
          </w:pPr>
          <w:r>
            <w:rPr>
              <w:lang w:eastAsia="en-GB"/>
            </w:rPr>
            <w:t>Predictive Analysis</w:t>
          </w:r>
        </w:p>
        <w:p w14:paraId="440F8514" w14:textId="4A613B63" w:rsidR="00083313" w:rsidRDefault="00083313" w:rsidP="00083313">
          <w:pPr>
            <w:pStyle w:val="ListParagraph"/>
            <w:rPr>
              <w:lang w:eastAsia="en-GB"/>
            </w:rPr>
          </w:pPr>
          <w:r>
            <w:rPr>
              <w:lang w:eastAsia="en-GB"/>
            </w:rPr>
            <w:t xml:space="preserve">     Power BI</w:t>
          </w:r>
        </w:p>
        <w:p w14:paraId="4556C848" w14:textId="716369A6" w:rsidR="00083313" w:rsidRDefault="00083313" w:rsidP="00083313">
          <w:pPr>
            <w:pStyle w:val="ListParagraph"/>
            <w:rPr>
              <w:lang w:eastAsia="en-GB"/>
            </w:rPr>
          </w:pPr>
          <w:r>
            <w:rPr>
              <w:lang w:eastAsia="en-GB"/>
            </w:rPr>
            <w:t xml:space="preserve">     SPSS and Ra</w:t>
          </w:r>
          <w:r w:rsidR="004C7EA2">
            <w:rPr>
              <w:lang w:eastAsia="en-GB"/>
            </w:rPr>
            <w:t>pidMiner</w:t>
          </w:r>
        </w:p>
        <w:p w14:paraId="58A6EA21" w14:textId="7500941F" w:rsidR="004C7EA2" w:rsidRDefault="004C7EA2" w:rsidP="00083313">
          <w:pPr>
            <w:pStyle w:val="ListParagraph"/>
            <w:rPr>
              <w:lang w:eastAsia="en-GB"/>
            </w:rPr>
          </w:pPr>
          <w:r>
            <w:rPr>
              <w:lang w:eastAsia="en-GB"/>
            </w:rPr>
            <w:t xml:space="preserve">     Comparison and Recommendation</w:t>
          </w:r>
        </w:p>
        <w:p w14:paraId="41E99827" w14:textId="1B3E7406" w:rsidR="004C7EA2" w:rsidRDefault="004C7EA2" w:rsidP="004C7EA2">
          <w:pPr>
            <w:pStyle w:val="ListParagraph"/>
            <w:numPr>
              <w:ilvl w:val="0"/>
              <w:numId w:val="1"/>
            </w:numPr>
            <w:rPr>
              <w:lang w:eastAsia="en-GB"/>
            </w:rPr>
          </w:pPr>
          <w:r>
            <w:rPr>
              <w:lang w:eastAsia="en-GB"/>
            </w:rPr>
            <w:t>Ethical and Data Security Considerations</w:t>
          </w:r>
        </w:p>
        <w:p w14:paraId="018D6FC8" w14:textId="7D2ADDF7" w:rsidR="004C7EA2" w:rsidRDefault="004C7EA2" w:rsidP="004C7EA2">
          <w:pPr>
            <w:pStyle w:val="ListParagraph"/>
            <w:numPr>
              <w:ilvl w:val="0"/>
              <w:numId w:val="1"/>
            </w:numPr>
            <w:rPr>
              <w:lang w:eastAsia="en-GB"/>
            </w:rPr>
          </w:pPr>
          <w:r>
            <w:rPr>
              <w:lang w:eastAsia="en-GB"/>
            </w:rPr>
            <w:t>Reporting and Dashboard Solutions</w:t>
          </w:r>
        </w:p>
        <w:p w14:paraId="4097086C" w14:textId="60CD8A1E" w:rsidR="004C7EA2" w:rsidRDefault="004C7EA2" w:rsidP="004C7EA2">
          <w:pPr>
            <w:pStyle w:val="ListParagraph"/>
            <w:numPr>
              <w:ilvl w:val="0"/>
              <w:numId w:val="1"/>
            </w:numPr>
            <w:rPr>
              <w:lang w:eastAsia="en-GB"/>
            </w:rPr>
          </w:pPr>
          <w:r>
            <w:rPr>
              <w:lang w:eastAsia="en-GB"/>
            </w:rPr>
            <w:t>Conclusion</w:t>
          </w:r>
        </w:p>
        <w:p w14:paraId="05A9DE9B" w14:textId="351781EA" w:rsidR="004C7EA2" w:rsidRDefault="004C7EA2" w:rsidP="004C7EA2">
          <w:pPr>
            <w:pStyle w:val="ListParagraph"/>
            <w:numPr>
              <w:ilvl w:val="0"/>
              <w:numId w:val="1"/>
            </w:numPr>
            <w:rPr>
              <w:lang w:eastAsia="en-GB"/>
            </w:rPr>
          </w:pPr>
          <w:r>
            <w:rPr>
              <w:lang w:eastAsia="en-GB"/>
            </w:rPr>
            <w:t xml:space="preserve">References </w:t>
          </w:r>
        </w:p>
        <w:p w14:paraId="445FA4A5" w14:textId="43422957" w:rsidR="00083313" w:rsidRPr="00083313" w:rsidRDefault="00083313" w:rsidP="00083313">
          <w:pPr>
            <w:rPr>
              <w:lang w:eastAsia="en-GB"/>
            </w:rPr>
          </w:pPr>
        </w:p>
        <w:p w14:paraId="6CEBA897" w14:textId="61DFCCA4" w:rsidR="00083313" w:rsidRDefault="00083313"/>
      </w:sdtContent>
    </w:sdt>
    <w:p w14:paraId="3F9F08B8" w14:textId="5796003F" w:rsidR="00083313" w:rsidRDefault="00083313" w:rsidP="00083313">
      <w:pPr>
        <w:tabs>
          <w:tab w:val="left" w:pos="3084"/>
        </w:tabs>
        <w:rPr>
          <w:rFonts w:ascii="Times New Roman" w:hAnsi="Times New Roman" w:cs="Times New Roman"/>
          <w:b/>
          <w:bCs/>
          <w:sz w:val="36"/>
          <w:szCs w:val="36"/>
        </w:rPr>
      </w:pPr>
    </w:p>
    <w:p w14:paraId="4E952441" w14:textId="77777777" w:rsidR="004C7EA2" w:rsidRDefault="004C7EA2" w:rsidP="00083313">
      <w:pPr>
        <w:tabs>
          <w:tab w:val="left" w:pos="3084"/>
        </w:tabs>
        <w:rPr>
          <w:rFonts w:ascii="Times New Roman" w:hAnsi="Times New Roman" w:cs="Times New Roman"/>
          <w:b/>
          <w:bCs/>
          <w:sz w:val="36"/>
          <w:szCs w:val="36"/>
        </w:rPr>
      </w:pPr>
    </w:p>
    <w:p w14:paraId="79449D78" w14:textId="77777777" w:rsidR="004C7EA2" w:rsidRDefault="004C7EA2" w:rsidP="00083313">
      <w:pPr>
        <w:tabs>
          <w:tab w:val="left" w:pos="3084"/>
        </w:tabs>
        <w:rPr>
          <w:rFonts w:ascii="Times New Roman" w:hAnsi="Times New Roman" w:cs="Times New Roman"/>
          <w:b/>
          <w:bCs/>
          <w:sz w:val="36"/>
          <w:szCs w:val="36"/>
        </w:rPr>
      </w:pPr>
    </w:p>
    <w:p w14:paraId="019DD2BE" w14:textId="5831A181" w:rsidR="004C7EA2" w:rsidRDefault="004C7EA2" w:rsidP="00083313">
      <w:pPr>
        <w:tabs>
          <w:tab w:val="left" w:pos="3084"/>
        </w:tabs>
        <w:rPr>
          <w:rFonts w:ascii="Times New Roman" w:hAnsi="Times New Roman" w:cs="Times New Roman"/>
          <w:b/>
          <w:bCs/>
          <w:sz w:val="36"/>
          <w:szCs w:val="36"/>
        </w:rPr>
      </w:pPr>
      <w:r>
        <w:rPr>
          <w:rFonts w:ascii="Times New Roman" w:hAnsi="Times New Roman" w:cs="Times New Roman"/>
          <w:b/>
          <w:bCs/>
          <w:sz w:val="36"/>
          <w:szCs w:val="36"/>
        </w:rPr>
        <w:lastRenderedPageBreak/>
        <w:t>Executive Summary</w:t>
      </w:r>
    </w:p>
    <w:p w14:paraId="19D45204" w14:textId="77777777" w:rsidR="00947BB1" w:rsidRDefault="004C7EA2"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 xml:space="preserve">The report is about Business Intelligence and Data Handling retail enterprises of the United Kingdom with a focus on Asda and Sainsbury’s. The report reveals that Sainsbury’s is stronger in applying data mining techniques, business </w:t>
      </w:r>
      <w:r w:rsidR="00A4734C">
        <w:rPr>
          <w:rFonts w:ascii="Times New Roman" w:hAnsi="Times New Roman" w:cs="Times New Roman"/>
          <w:sz w:val="28"/>
          <w:szCs w:val="28"/>
        </w:rPr>
        <w:t>intelligence, and data warehousing. On the other hand, Asda irrespective of advancing quickly, still explores the challenges of legacy system disentangl</w:t>
      </w:r>
      <w:r w:rsidR="00E74752">
        <w:rPr>
          <w:rFonts w:ascii="Times New Roman" w:hAnsi="Times New Roman" w:cs="Times New Roman"/>
          <w:sz w:val="28"/>
          <w:szCs w:val="28"/>
        </w:rPr>
        <w:t>ement</w:t>
      </w:r>
      <w:r w:rsidR="00A4734C">
        <w:rPr>
          <w:rFonts w:ascii="Times New Roman" w:hAnsi="Times New Roman" w:cs="Times New Roman"/>
          <w:sz w:val="28"/>
          <w:szCs w:val="28"/>
        </w:rPr>
        <w:t xml:space="preserve"> after its separation from Walmart.</w:t>
      </w:r>
      <w:r w:rsidR="00E74752">
        <w:rPr>
          <w:rFonts w:ascii="Times New Roman" w:hAnsi="Times New Roman" w:cs="Times New Roman"/>
          <w:sz w:val="28"/>
          <w:szCs w:val="28"/>
        </w:rPr>
        <w:t xml:space="preserve"> The report recommends that Asda increase the cloud-first DW, improves the frameworks of its governance, and embedded predictive analytics in its daily operations. The two companies require security and ethical structures to remain to protect customer data and remain compliant with regulations.</w:t>
      </w:r>
    </w:p>
    <w:p w14:paraId="2179B862" w14:textId="77777777" w:rsidR="00947BB1" w:rsidRDefault="00947BB1" w:rsidP="004C7EA2">
      <w:pPr>
        <w:tabs>
          <w:tab w:val="left" w:pos="3084"/>
        </w:tabs>
        <w:spacing w:line="276" w:lineRule="auto"/>
        <w:rPr>
          <w:rFonts w:ascii="Times New Roman" w:hAnsi="Times New Roman" w:cs="Times New Roman"/>
          <w:sz w:val="28"/>
          <w:szCs w:val="28"/>
        </w:rPr>
      </w:pPr>
    </w:p>
    <w:p w14:paraId="71D66EAB" w14:textId="77777777" w:rsidR="00947BB1" w:rsidRDefault="00947BB1" w:rsidP="004C7EA2">
      <w:pPr>
        <w:tabs>
          <w:tab w:val="left" w:pos="3084"/>
        </w:tabs>
        <w:spacing w:line="276" w:lineRule="auto"/>
        <w:rPr>
          <w:rFonts w:ascii="Times New Roman" w:hAnsi="Times New Roman" w:cs="Times New Roman"/>
          <w:sz w:val="28"/>
          <w:szCs w:val="28"/>
        </w:rPr>
      </w:pPr>
    </w:p>
    <w:p w14:paraId="3D6ADB36" w14:textId="55A33934" w:rsidR="00E74752" w:rsidRPr="00947BB1" w:rsidRDefault="00E74752" w:rsidP="004C7EA2">
      <w:pPr>
        <w:tabs>
          <w:tab w:val="left" w:pos="3084"/>
        </w:tabs>
        <w:spacing w:line="276" w:lineRule="auto"/>
        <w:rPr>
          <w:rFonts w:ascii="Times New Roman" w:hAnsi="Times New Roman" w:cs="Times New Roman"/>
          <w:sz w:val="28"/>
          <w:szCs w:val="28"/>
        </w:rPr>
      </w:pPr>
      <w:r>
        <w:rPr>
          <w:rFonts w:ascii="Times New Roman" w:hAnsi="Times New Roman" w:cs="Times New Roman"/>
          <w:b/>
          <w:bCs/>
          <w:sz w:val="36"/>
          <w:szCs w:val="36"/>
        </w:rPr>
        <w:t>Introduction</w:t>
      </w:r>
    </w:p>
    <w:p w14:paraId="31C892E7" w14:textId="5FEB5D41" w:rsidR="00947BB1" w:rsidRDefault="00E74752" w:rsidP="004C7EA2">
      <w:pPr>
        <w:tabs>
          <w:tab w:val="left" w:pos="3084"/>
        </w:tabs>
        <w:spacing w:line="276" w:lineRule="auto"/>
        <w:rPr>
          <w:rFonts w:ascii="Times New Roman" w:hAnsi="Times New Roman" w:cs="Times New Roman"/>
          <w:sz w:val="28"/>
          <w:szCs w:val="28"/>
        </w:rPr>
      </w:pPr>
      <w:r w:rsidRPr="00E74752">
        <w:rPr>
          <w:rFonts w:ascii="Times New Roman" w:hAnsi="Times New Roman" w:cs="Times New Roman"/>
          <w:sz w:val="28"/>
          <w:szCs w:val="28"/>
        </w:rPr>
        <w:t>Business</w:t>
      </w:r>
      <w:r>
        <w:rPr>
          <w:rFonts w:ascii="Times New Roman" w:hAnsi="Times New Roman" w:cs="Times New Roman"/>
          <w:sz w:val="28"/>
          <w:szCs w:val="28"/>
        </w:rPr>
        <w:t xml:space="preserve"> intelligence</w:t>
      </w:r>
      <w:r w:rsidRPr="00E74752">
        <w:rPr>
          <w:rFonts w:ascii="Times New Roman" w:hAnsi="Times New Roman" w:cs="Times New Roman"/>
          <w:sz w:val="28"/>
          <w:szCs w:val="28"/>
        </w:rPr>
        <w:t xml:space="preserve"> </w:t>
      </w:r>
      <w:r>
        <w:rPr>
          <w:rFonts w:ascii="Times New Roman" w:hAnsi="Times New Roman" w:cs="Times New Roman"/>
          <w:sz w:val="28"/>
          <w:szCs w:val="28"/>
        </w:rPr>
        <w:t>and data handling are critical for retailers in the UK. Accordingly, Asda and Sainsbury’s operate in the UK grocery retail indu</w:t>
      </w:r>
      <w:r w:rsidR="00952258">
        <w:rPr>
          <w:rFonts w:ascii="Times New Roman" w:hAnsi="Times New Roman" w:cs="Times New Roman"/>
          <w:sz w:val="28"/>
          <w:szCs w:val="28"/>
        </w:rPr>
        <w:t>stry, which is highly competitive, underpinned by complex supply chains, tight profit margin</w:t>
      </w:r>
      <w:r w:rsidR="00A45679">
        <w:rPr>
          <w:rFonts w:ascii="Times New Roman" w:hAnsi="Times New Roman" w:cs="Times New Roman"/>
          <w:sz w:val="28"/>
          <w:szCs w:val="28"/>
        </w:rPr>
        <w:t>s</w:t>
      </w:r>
      <w:r w:rsidR="00952258">
        <w:rPr>
          <w:rFonts w:ascii="Times New Roman" w:hAnsi="Times New Roman" w:cs="Times New Roman"/>
          <w:sz w:val="28"/>
          <w:szCs w:val="28"/>
        </w:rPr>
        <w:t>, and quickly evolving consumer expectations. Asda was created in 1949</w:t>
      </w:r>
      <w:r w:rsidR="00EE7B0A">
        <w:rPr>
          <w:rFonts w:ascii="Times New Roman" w:hAnsi="Times New Roman" w:cs="Times New Roman"/>
          <w:sz w:val="28"/>
          <w:szCs w:val="28"/>
        </w:rPr>
        <w:t xml:space="preserve"> (Asda, 2024)</w:t>
      </w:r>
      <w:r w:rsidR="00952258">
        <w:rPr>
          <w:rFonts w:ascii="Times New Roman" w:hAnsi="Times New Roman" w:cs="Times New Roman"/>
          <w:sz w:val="28"/>
          <w:szCs w:val="28"/>
        </w:rPr>
        <w:t xml:space="preserve"> and has significantly changed its technology alongside ownership over the years, while Sainsbury’s </w:t>
      </w:r>
      <w:r w:rsidR="00A45679">
        <w:rPr>
          <w:rFonts w:ascii="Times New Roman" w:hAnsi="Times New Roman" w:cs="Times New Roman"/>
          <w:sz w:val="28"/>
          <w:szCs w:val="28"/>
        </w:rPr>
        <w:t>was developed in 1849</w:t>
      </w:r>
      <w:r w:rsidR="00EE7B0A">
        <w:rPr>
          <w:rFonts w:ascii="Times New Roman" w:hAnsi="Times New Roman" w:cs="Times New Roman"/>
          <w:sz w:val="28"/>
          <w:szCs w:val="28"/>
        </w:rPr>
        <w:t xml:space="preserve"> (Sainsbury’s, 2025)</w:t>
      </w:r>
      <w:r w:rsidR="00A45679">
        <w:rPr>
          <w:rFonts w:ascii="Times New Roman" w:hAnsi="Times New Roman" w:cs="Times New Roman"/>
          <w:sz w:val="28"/>
          <w:szCs w:val="28"/>
        </w:rPr>
        <w:t xml:space="preserve"> and is now one of the oldest and largest supermarket chains in the UK. The present report compares the two enterprises with a focus on their implementation and management of BI, DW, and DM systems, which continue to determine the strategic decisions in the current retail sector. The report expounds on the current trends in BI, DW, and DM, evaluates </w:t>
      </w:r>
      <w:proofErr w:type="gramStart"/>
      <w:r w:rsidR="00A45679">
        <w:rPr>
          <w:rFonts w:ascii="Times New Roman" w:hAnsi="Times New Roman" w:cs="Times New Roman"/>
          <w:sz w:val="28"/>
          <w:szCs w:val="28"/>
        </w:rPr>
        <w:t>particular applications</w:t>
      </w:r>
      <w:proofErr w:type="gramEnd"/>
      <w:r w:rsidR="00A45679">
        <w:rPr>
          <w:rFonts w:ascii="Times New Roman" w:hAnsi="Times New Roman" w:cs="Times New Roman"/>
          <w:sz w:val="28"/>
          <w:szCs w:val="28"/>
        </w:rPr>
        <w:t xml:space="preserve"> of data warehousing in each company, analyses the suitable data-mining approaches and techniques, and explores the predictive analytics tools. The report further outlines security and ethical concerns, explores dashboard and reporting systems, summarises the key findings, and provides strategic recommendations.</w:t>
      </w:r>
    </w:p>
    <w:p w14:paraId="1E768B3D" w14:textId="77777777" w:rsidR="00947BB1" w:rsidRDefault="00947BB1" w:rsidP="004C7EA2">
      <w:pPr>
        <w:tabs>
          <w:tab w:val="left" w:pos="3084"/>
        </w:tabs>
        <w:spacing w:line="276" w:lineRule="auto"/>
        <w:rPr>
          <w:rFonts w:ascii="Times New Roman" w:hAnsi="Times New Roman" w:cs="Times New Roman"/>
          <w:sz w:val="28"/>
          <w:szCs w:val="28"/>
        </w:rPr>
      </w:pPr>
    </w:p>
    <w:p w14:paraId="56CCE493" w14:textId="77777777" w:rsidR="00947BB1" w:rsidRDefault="00947BB1" w:rsidP="004C7EA2">
      <w:pPr>
        <w:tabs>
          <w:tab w:val="left" w:pos="3084"/>
        </w:tabs>
        <w:spacing w:line="276" w:lineRule="auto"/>
        <w:rPr>
          <w:rFonts w:ascii="Times New Roman" w:hAnsi="Times New Roman" w:cs="Times New Roman"/>
          <w:sz w:val="28"/>
          <w:szCs w:val="28"/>
        </w:rPr>
      </w:pPr>
    </w:p>
    <w:p w14:paraId="73B40B33" w14:textId="77777777" w:rsidR="00947BB1" w:rsidRDefault="00A45679" w:rsidP="004C7EA2">
      <w:pPr>
        <w:tabs>
          <w:tab w:val="left" w:pos="3084"/>
        </w:tabs>
        <w:spacing w:line="276" w:lineRule="auto"/>
        <w:rPr>
          <w:rFonts w:ascii="Times New Roman" w:hAnsi="Times New Roman" w:cs="Times New Roman"/>
          <w:sz w:val="28"/>
          <w:szCs w:val="28"/>
        </w:rPr>
      </w:pPr>
      <w:r>
        <w:rPr>
          <w:rFonts w:ascii="Times New Roman" w:hAnsi="Times New Roman" w:cs="Times New Roman"/>
          <w:b/>
          <w:bCs/>
          <w:sz w:val="36"/>
          <w:szCs w:val="36"/>
        </w:rPr>
        <w:t>Trends in BI, DW, and DM</w:t>
      </w:r>
    </w:p>
    <w:p w14:paraId="7BE32770" w14:textId="1B570052" w:rsidR="00A45679" w:rsidRDefault="00A45679"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lastRenderedPageBreak/>
        <w:t xml:space="preserve">Business Intelligence (BI) entails processes and technologies that change the raw data into actionable information or insights that support decision (IBM, 2025; </w:t>
      </w:r>
      <w:proofErr w:type="spellStart"/>
      <w:r>
        <w:rPr>
          <w:rFonts w:ascii="Times New Roman" w:hAnsi="Times New Roman" w:cs="Times New Roman"/>
          <w:sz w:val="28"/>
          <w:szCs w:val="28"/>
        </w:rPr>
        <w:t>Maaitah</w:t>
      </w:r>
      <w:proofErr w:type="spellEnd"/>
      <w:r>
        <w:rPr>
          <w:rFonts w:ascii="Times New Roman" w:hAnsi="Times New Roman" w:cs="Times New Roman"/>
          <w:sz w:val="28"/>
          <w:szCs w:val="28"/>
        </w:rPr>
        <w:t>, 2023). In such cases, the current BI includes data quality, self-service BI, data governance, and augmented analytics among others (Rabadiya,2025). Secondly, Data Warehousing (DW) integrates various sources of information to a central place for analysis and data mining develop patterns for large data using statistics (Jonker et al., 2025; Kimball and Ross, 2013; Palmer et al., 2011; Han et al., 2012).</w:t>
      </w:r>
    </w:p>
    <w:p w14:paraId="24F13E53" w14:textId="312F6D16" w:rsidR="00A45679" w:rsidRDefault="00A45679"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Asda invests in upskilling workers in Python, predictive modelling, and machine learning, which illustrates its increasing commitment to AI-integrated analytics (</w:t>
      </w:r>
      <w:proofErr w:type="spellStart"/>
      <w:r>
        <w:rPr>
          <w:rFonts w:ascii="Times New Roman" w:hAnsi="Times New Roman" w:cs="Times New Roman"/>
          <w:sz w:val="28"/>
          <w:szCs w:val="28"/>
        </w:rPr>
        <w:t>Corndel</w:t>
      </w:r>
      <w:proofErr w:type="spellEnd"/>
      <w:r>
        <w:rPr>
          <w:rFonts w:ascii="Times New Roman" w:hAnsi="Times New Roman" w:cs="Times New Roman"/>
          <w:sz w:val="28"/>
          <w:szCs w:val="28"/>
        </w:rPr>
        <w:t>, 2025). On the other hand, the adoption of a unified cloud-based data fabric at Salisbury’s reveals the trend that supports over 12,000colleagues and powers more than 30 analytics applications (Strategy, 202</w:t>
      </w:r>
      <w:r w:rsidR="00FF3441">
        <w:rPr>
          <w:rFonts w:ascii="Times New Roman" w:hAnsi="Times New Roman" w:cs="Times New Roman"/>
          <w:sz w:val="28"/>
          <w:szCs w:val="28"/>
        </w:rPr>
        <w:t>5</w:t>
      </w:r>
      <w:r>
        <w:rPr>
          <w:rFonts w:ascii="Times New Roman" w:hAnsi="Times New Roman" w:cs="Times New Roman"/>
          <w:sz w:val="28"/>
          <w:szCs w:val="28"/>
        </w:rPr>
        <w:t>).</w:t>
      </w:r>
    </w:p>
    <w:p w14:paraId="0B0C93A5" w14:textId="24C24D3D" w:rsidR="00947BB1" w:rsidRDefault="00A45679"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 xml:space="preserve">The integration of AI and machine-learning approaches into BI ecosystems is currently widespread and link with the need of retailers for demand forecasting, sentiment analysis, and segmentation of customers. The CRISP-DM model gives a structured approach that entails data preparation, business understanding, evaluation, modelling, and deployment (Wirth and Hipp, 2000; </w:t>
      </w:r>
      <w:proofErr w:type="spellStart"/>
      <w:r>
        <w:rPr>
          <w:rFonts w:ascii="Times New Roman" w:hAnsi="Times New Roman" w:cs="Times New Roman"/>
          <w:sz w:val="28"/>
          <w:szCs w:val="28"/>
        </w:rPr>
        <w:t>Bemthuis</w:t>
      </w:r>
      <w:proofErr w:type="spellEnd"/>
      <w:r>
        <w:rPr>
          <w:rFonts w:ascii="Times New Roman" w:hAnsi="Times New Roman" w:cs="Times New Roman"/>
          <w:sz w:val="28"/>
          <w:szCs w:val="28"/>
        </w:rPr>
        <w:t xml:space="preserve"> et al., 2025). The application of Asda on the predictive models in the optimisation of the supply chain shows the lifecycle in real time or practice (Data Study Group Team, 2022). Kimball and Ross (2013) show the dimensional DW architecture that stresses the dimensional modelling star schemas for flexibility and scalability, and a single version of truth in consistent reporting. Further, they link more with the consolidated cloud DW context of Sainsbury’s cloud DW approach for improvement of analytics.</w:t>
      </w:r>
    </w:p>
    <w:p w14:paraId="2B85B94C" w14:textId="77777777" w:rsidR="00947BB1" w:rsidRDefault="00947BB1" w:rsidP="004C7EA2">
      <w:pPr>
        <w:tabs>
          <w:tab w:val="left" w:pos="3084"/>
        </w:tabs>
        <w:spacing w:line="276" w:lineRule="auto"/>
        <w:rPr>
          <w:rFonts w:ascii="Times New Roman" w:hAnsi="Times New Roman" w:cs="Times New Roman"/>
          <w:sz w:val="28"/>
          <w:szCs w:val="28"/>
        </w:rPr>
      </w:pPr>
    </w:p>
    <w:p w14:paraId="78DDF3D3" w14:textId="77777777" w:rsidR="00947BB1" w:rsidRDefault="00947BB1" w:rsidP="004C7EA2">
      <w:pPr>
        <w:tabs>
          <w:tab w:val="left" w:pos="3084"/>
        </w:tabs>
        <w:spacing w:line="276" w:lineRule="auto"/>
        <w:rPr>
          <w:rFonts w:ascii="Times New Roman" w:hAnsi="Times New Roman" w:cs="Times New Roman"/>
          <w:sz w:val="28"/>
          <w:szCs w:val="28"/>
        </w:rPr>
      </w:pPr>
    </w:p>
    <w:p w14:paraId="47171FFB" w14:textId="4422748C" w:rsidR="006D7782" w:rsidRPr="00947BB1" w:rsidRDefault="006D7782" w:rsidP="004C7EA2">
      <w:pPr>
        <w:tabs>
          <w:tab w:val="left" w:pos="3084"/>
        </w:tabs>
        <w:spacing w:line="276" w:lineRule="auto"/>
        <w:rPr>
          <w:rFonts w:ascii="Times New Roman" w:hAnsi="Times New Roman" w:cs="Times New Roman"/>
          <w:sz w:val="28"/>
          <w:szCs w:val="28"/>
        </w:rPr>
      </w:pPr>
      <w:r>
        <w:rPr>
          <w:rFonts w:ascii="Times New Roman" w:hAnsi="Times New Roman" w:cs="Times New Roman"/>
          <w:b/>
          <w:bCs/>
          <w:sz w:val="36"/>
          <w:szCs w:val="36"/>
        </w:rPr>
        <w:t>Applications of Data Warehousing in the Organisation</w:t>
      </w:r>
    </w:p>
    <w:p w14:paraId="21A9ADF4" w14:textId="33B9B2CA" w:rsidR="006D7782" w:rsidRPr="00877441" w:rsidRDefault="006D7782" w:rsidP="004C7EA2">
      <w:pPr>
        <w:tabs>
          <w:tab w:val="left" w:pos="3084"/>
        </w:tabs>
        <w:spacing w:line="276" w:lineRule="auto"/>
        <w:rPr>
          <w:rFonts w:ascii="Times New Roman" w:hAnsi="Times New Roman" w:cs="Times New Roman"/>
          <w:b/>
          <w:bCs/>
          <w:sz w:val="32"/>
          <w:szCs w:val="32"/>
        </w:rPr>
      </w:pPr>
      <w:r w:rsidRPr="00877441">
        <w:rPr>
          <w:rFonts w:ascii="Times New Roman" w:hAnsi="Times New Roman" w:cs="Times New Roman"/>
          <w:b/>
          <w:bCs/>
          <w:sz w:val="32"/>
          <w:szCs w:val="32"/>
        </w:rPr>
        <w:t>Asda</w:t>
      </w:r>
    </w:p>
    <w:p w14:paraId="76391F41" w14:textId="77777777" w:rsidR="00947BB1" w:rsidRDefault="006D7782"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The DW journey at Asda is determined by the imperatives of operations to replace and recompose systems after the enterprise separated from Walmart, which means many of its platforms need rebuilding</w:t>
      </w:r>
      <w:r w:rsidR="00D754A7">
        <w:rPr>
          <w:rFonts w:ascii="Times New Roman" w:hAnsi="Times New Roman" w:cs="Times New Roman"/>
          <w:sz w:val="28"/>
          <w:szCs w:val="28"/>
        </w:rPr>
        <w:t xml:space="preserve"> (Davey, 2025). Despite the DW at Asda not yet being ready or as mature and extensively adopted as in </w:t>
      </w:r>
      <w:r w:rsidR="00D754A7">
        <w:rPr>
          <w:rFonts w:ascii="Times New Roman" w:hAnsi="Times New Roman" w:cs="Times New Roman"/>
          <w:sz w:val="28"/>
          <w:szCs w:val="28"/>
        </w:rPr>
        <w:lastRenderedPageBreak/>
        <w:t xml:space="preserve">Sainsbury’s, the enterprise continues to invest in the current data platforms and in the upskilling of analytics talent to exploit the transactional, loyalty, and supply-chain data. The use cases entail forecasting of the supply chain, particularly </w:t>
      </w:r>
      <w:r w:rsidR="00994141">
        <w:rPr>
          <w:rFonts w:ascii="Times New Roman" w:hAnsi="Times New Roman" w:cs="Times New Roman"/>
          <w:sz w:val="28"/>
          <w:szCs w:val="28"/>
        </w:rPr>
        <w:t>modelling</w:t>
      </w:r>
      <w:r w:rsidR="00D754A7">
        <w:rPr>
          <w:rFonts w:ascii="Times New Roman" w:hAnsi="Times New Roman" w:cs="Times New Roman"/>
          <w:sz w:val="28"/>
          <w:szCs w:val="28"/>
        </w:rPr>
        <w:t xml:space="preserve"> the effects of weather on demand, management of inventory based on real time monitoring for the reduction of shrinkage, ang customer or product analytics to enhance</w:t>
      </w:r>
      <w:r w:rsidR="00994141">
        <w:rPr>
          <w:rFonts w:ascii="Times New Roman" w:hAnsi="Times New Roman" w:cs="Times New Roman"/>
          <w:sz w:val="28"/>
          <w:szCs w:val="28"/>
        </w:rPr>
        <w:t xml:space="preserve"> assortment and personalised promotions (Data Study Group Team, 2022; </w:t>
      </w:r>
      <w:proofErr w:type="spellStart"/>
      <w:r w:rsidR="00994141">
        <w:rPr>
          <w:rFonts w:ascii="Times New Roman" w:hAnsi="Times New Roman" w:cs="Times New Roman"/>
          <w:sz w:val="28"/>
          <w:szCs w:val="28"/>
        </w:rPr>
        <w:t>Sensormatic</w:t>
      </w:r>
      <w:proofErr w:type="spellEnd"/>
      <w:r w:rsidR="00994141">
        <w:rPr>
          <w:rFonts w:ascii="Times New Roman" w:hAnsi="Times New Roman" w:cs="Times New Roman"/>
          <w:sz w:val="28"/>
          <w:szCs w:val="28"/>
        </w:rPr>
        <w:t>, 2029). The continued partnership of Asda with Microsoft Azure supports the creation of scalable cloud data pipelines and positions the enterprise, operationalisation of the models, and orchestrating analytics (Easton, 2025).</w:t>
      </w:r>
    </w:p>
    <w:p w14:paraId="729ADF46" w14:textId="77777777" w:rsidR="00947BB1" w:rsidRDefault="00947BB1" w:rsidP="004C7EA2">
      <w:pPr>
        <w:tabs>
          <w:tab w:val="left" w:pos="3084"/>
        </w:tabs>
        <w:spacing w:line="276" w:lineRule="auto"/>
        <w:rPr>
          <w:rFonts w:ascii="Times New Roman" w:hAnsi="Times New Roman" w:cs="Times New Roman"/>
          <w:sz w:val="28"/>
          <w:szCs w:val="28"/>
        </w:rPr>
      </w:pPr>
    </w:p>
    <w:p w14:paraId="155E90A6" w14:textId="0871035E" w:rsidR="00994141" w:rsidRPr="00947BB1" w:rsidRDefault="009941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2"/>
          <w:szCs w:val="32"/>
        </w:rPr>
        <w:t>Sainsbury’s</w:t>
      </w:r>
    </w:p>
    <w:p w14:paraId="5C75C9D0" w14:textId="3BCF0678" w:rsidR="00947BB1" w:rsidRDefault="00994141"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 xml:space="preserve">Sainsbury’s continues to invest more in modernising its data context by migrating from the </w:t>
      </w:r>
      <w:r w:rsidR="009A3910">
        <w:rPr>
          <w:rFonts w:ascii="Times New Roman" w:hAnsi="Times New Roman" w:cs="Times New Roman"/>
          <w:sz w:val="28"/>
          <w:szCs w:val="28"/>
        </w:rPr>
        <w:t>fragmented on-premises systems to the unified cloud-based DW created on Snowflake and AWS. The program is a key component of the enterprise analytics strategy, which has also enabled the company to reduce data silos, accelerate time-to-insight, and standardise metrics (</w:t>
      </w:r>
      <w:proofErr w:type="spellStart"/>
      <w:r w:rsidR="009A3910">
        <w:rPr>
          <w:rFonts w:ascii="Times New Roman" w:hAnsi="Times New Roman" w:cs="Times New Roman"/>
          <w:sz w:val="28"/>
          <w:szCs w:val="28"/>
        </w:rPr>
        <w:t>Vududala</w:t>
      </w:r>
      <w:proofErr w:type="spellEnd"/>
      <w:r w:rsidR="009A3910">
        <w:rPr>
          <w:rFonts w:ascii="Times New Roman" w:hAnsi="Times New Roman" w:cs="Times New Roman"/>
          <w:sz w:val="28"/>
          <w:szCs w:val="28"/>
        </w:rPr>
        <w:t xml:space="preserve">, 2025). Sainsbury’s consolidated environment underpins the consistent reporting across merchandising, finance, and operations of the store to reduce the duplicated ETL processes and allows for near-real-time decision for the operational teams. The cloud DW for Sainsbury’s </w:t>
      </w:r>
      <w:r w:rsidR="006F2660">
        <w:rPr>
          <w:rFonts w:ascii="Times New Roman" w:hAnsi="Times New Roman" w:cs="Times New Roman"/>
          <w:sz w:val="28"/>
          <w:szCs w:val="28"/>
        </w:rPr>
        <w:t>controls sales reporting and performance management to give the leadership a timely view of growth in volume, promotional ROI, and market share (Strategy, 2025). Besides, it supports the optimisation of the supply chain by ensuring visibility of inventory flows to reduce waste and stockouts. The approach architecturally links with the dimensional modelling by Kimball and the concept of a unified, conformed warehouse that supports the analytics and dimensional models of high quality (Kimball and Ross, 2013).</w:t>
      </w:r>
    </w:p>
    <w:p w14:paraId="0BA5F5D4" w14:textId="77777777" w:rsidR="00947BB1" w:rsidRDefault="00947BB1" w:rsidP="004C7EA2">
      <w:pPr>
        <w:tabs>
          <w:tab w:val="left" w:pos="3084"/>
        </w:tabs>
        <w:spacing w:line="276" w:lineRule="auto"/>
        <w:rPr>
          <w:rFonts w:ascii="Times New Roman" w:hAnsi="Times New Roman" w:cs="Times New Roman"/>
          <w:sz w:val="28"/>
          <w:szCs w:val="28"/>
        </w:rPr>
      </w:pPr>
    </w:p>
    <w:p w14:paraId="319F7185" w14:textId="2DCC24A1" w:rsidR="0081581D" w:rsidRPr="00947BB1" w:rsidRDefault="0081581D"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2"/>
          <w:szCs w:val="32"/>
        </w:rPr>
        <w:t>Comparative Analysis</w:t>
      </w:r>
    </w:p>
    <w:p w14:paraId="545EB116" w14:textId="77777777" w:rsidR="00947BB1" w:rsidRDefault="0081581D" w:rsidP="004C7EA2">
      <w:pPr>
        <w:tabs>
          <w:tab w:val="left" w:pos="3084"/>
        </w:tabs>
        <w:spacing w:line="276" w:lineRule="auto"/>
        <w:rPr>
          <w:rFonts w:ascii="Times New Roman" w:hAnsi="Times New Roman" w:cs="Times New Roman"/>
          <w:sz w:val="28"/>
          <w:szCs w:val="28"/>
        </w:rPr>
      </w:pPr>
      <w:r>
        <w:rPr>
          <w:rFonts w:ascii="Times New Roman" w:hAnsi="Times New Roman" w:cs="Times New Roman"/>
          <w:sz w:val="28"/>
          <w:szCs w:val="28"/>
        </w:rPr>
        <w:t xml:space="preserve">Asda is currently in an active transition with momentum from the investment in cloud and development of talent, but it experiences challenges of data quality remediation, migration, and legacy reconciliation. On the other hand, Sainsbury’s has a higher DW maturity that it achieved through enterprise </w:t>
      </w:r>
      <w:r>
        <w:rPr>
          <w:rFonts w:ascii="Times New Roman" w:hAnsi="Times New Roman" w:cs="Times New Roman"/>
          <w:sz w:val="28"/>
          <w:szCs w:val="28"/>
        </w:rPr>
        <w:lastRenderedPageBreak/>
        <w:t>governance, a central semantic layer, and a broader organisational adoption, which led to faster, reliable reporting and stronger cross-functional insight.</w:t>
      </w:r>
    </w:p>
    <w:p w14:paraId="0BA24626" w14:textId="77777777" w:rsidR="00947BB1" w:rsidRDefault="00947BB1" w:rsidP="004C7EA2">
      <w:pPr>
        <w:tabs>
          <w:tab w:val="left" w:pos="3084"/>
        </w:tabs>
        <w:spacing w:line="276" w:lineRule="auto"/>
        <w:rPr>
          <w:rFonts w:ascii="Times New Roman" w:hAnsi="Times New Roman" w:cs="Times New Roman"/>
          <w:sz w:val="28"/>
          <w:szCs w:val="28"/>
        </w:rPr>
      </w:pPr>
    </w:p>
    <w:p w14:paraId="5737132E" w14:textId="77777777" w:rsidR="00947BB1" w:rsidRDefault="00947BB1" w:rsidP="004C7EA2">
      <w:pPr>
        <w:tabs>
          <w:tab w:val="left" w:pos="3084"/>
        </w:tabs>
        <w:spacing w:line="276" w:lineRule="auto"/>
        <w:rPr>
          <w:rFonts w:ascii="Times New Roman" w:hAnsi="Times New Roman" w:cs="Times New Roman"/>
          <w:sz w:val="28"/>
          <w:szCs w:val="28"/>
        </w:rPr>
      </w:pPr>
    </w:p>
    <w:p w14:paraId="002061DC" w14:textId="6B69DC58" w:rsidR="00877441" w:rsidRP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6"/>
          <w:szCs w:val="36"/>
        </w:rPr>
        <w:t>TECHNIQUES OF DATA MINING</w:t>
      </w:r>
    </w:p>
    <w:p w14:paraId="4A0E8289" w14:textId="5E0F98D0" w:rsidR="00877441" w:rsidRDefault="00877441" w:rsidP="004C7EA2">
      <w:pPr>
        <w:tabs>
          <w:tab w:val="left" w:pos="3084"/>
        </w:tabs>
        <w:spacing w:line="276" w:lineRule="auto"/>
        <w:rPr>
          <w:rFonts w:ascii="Times New Roman" w:hAnsi="Times New Roman" w:cs="Times New Roman"/>
          <w:b/>
          <w:bCs/>
          <w:sz w:val="32"/>
          <w:szCs w:val="32"/>
        </w:rPr>
      </w:pPr>
      <w:r w:rsidRPr="00877441">
        <w:rPr>
          <w:rFonts w:ascii="Times New Roman" w:hAnsi="Times New Roman" w:cs="Times New Roman"/>
          <w:b/>
          <w:bCs/>
          <w:sz w:val="32"/>
          <w:szCs w:val="32"/>
        </w:rPr>
        <w:t>Clustering</w:t>
      </w:r>
    </w:p>
    <w:p w14:paraId="31A76AA7" w14:textId="77777777" w:rsidR="00877441" w:rsidRPr="00877441" w:rsidRDefault="00877441" w:rsidP="00877441">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Clustering is the learning technique that group data points based on similarities in their attributes (Han et al., 2012; Dinh et al., 2024). Clustering in the retail context is broadly applied to segment of customers, group products, profile stores, and analyse patterns of demand. Clustering for Asda is linked with its strategic investment in upskilling on data science and Python-based machine-learning capability in merchandising and digital teams (</w:t>
      </w:r>
      <w:proofErr w:type="spellStart"/>
      <w:r w:rsidRPr="00877441">
        <w:rPr>
          <w:rFonts w:ascii="Times New Roman" w:hAnsi="Times New Roman" w:cs="Times New Roman"/>
          <w:sz w:val="28"/>
          <w:szCs w:val="28"/>
        </w:rPr>
        <w:t>Corndel</w:t>
      </w:r>
      <w:proofErr w:type="spellEnd"/>
      <w:r w:rsidRPr="00877441">
        <w:rPr>
          <w:rFonts w:ascii="Times New Roman" w:hAnsi="Times New Roman" w:cs="Times New Roman"/>
          <w:sz w:val="28"/>
          <w:szCs w:val="28"/>
        </w:rPr>
        <w:t>, 2025). The data scientists at Asda use clustering models to classify the behaviour of customers, its physical and online stores, to allow for more granular decisions on pricing, identifying high-value customer segments, and improving the effectiveness of digital promotions (</w:t>
      </w:r>
      <w:proofErr w:type="spellStart"/>
      <w:r w:rsidRPr="00877441">
        <w:rPr>
          <w:rFonts w:ascii="Times New Roman" w:hAnsi="Times New Roman" w:cs="Times New Roman"/>
          <w:sz w:val="28"/>
          <w:szCs w:val="28"/>
        </w:rPr>
        <w:t>Vercellis</w:t>
      </w:r>
      <w:proofErr w:type="spellEnd"/>
      <w:r w:rsidRPr="00877441">
        <w:rPr>
          <w:rFonts w:ascii="Times New Roman" w:hAnsi="Times New Roman" w:cs="Times New Roman"/>
          <w:sz w:val="28"/>
          <w:szCs w:val="28"/>
        </w:rPr>
        <w:t xml:space="preserve">, 2009). </w:t>
      </w:r>
    </w:p>
    <w:p w14:paraId="4307FA2B" w14:textId="77777777" w:rsid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 xml:space="preserve">Clustering for Sainsbury is important because of the depth of behavioural data gathered via the Nectar loyalty programme. The company groups customers based on spending behaviour, composition of basket, sensitivity of price, and frequency of visits to assist it in designing targeted campaigns, enhance assortment planning, and tailor promotions to maximize conversion. </w:t>
      </w:r>
    </w:p>
    <w:p w14:paraId="5937A81D" w14:textId="77777777" w:rsidR="00947BB1" w:rsidRDefault="00947BB1" w:rsidP="004C7EA2">
      <w:pPr>
        <w:tabs>
          <w:tab w:val="left" w:pos="3084"/>
        </w:tabs>
        <w:spacing w:line="276" w:lineRule="auto"/>
        <w:rPr>
          <w:rFonts w:ascii="Times New Roman" w:hAnsi="Times New Roman" w:cs="Times New Roman"/>
          <w:sz w:val="28"/>
          <w:szCs w:val="28"/>
        </w:rPr>
      </w:pPr>
    </w:p>
    <w:p w14:paraId="3BEBF049" w14:textId="24151E49" w:rsidR="0087744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2"/>
          <w:szCs w:val="32"/>
        </w:rPr>
        <w:t>Association Rule Mining</w:t>
      </w:r>
    </w:p>
    <w:p w14:paraId="57151717" w14:textId="77777777" w:rsid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 xml:space="preserve">Association mining reveals the frequent product combinations and identifies the co-occurrence patterns within baskets (Astudillo et al., 2014; Agrawal and Srikant, 1994).  Association rules for Asda enhance the improvement of online recommendation engines to allow for more relevant customer also bought suggestions and coherent groupings for promotion to price-driven shoppers. Such patterns can also increase forecasting of the supply chain through the prediction of joint demand for products bought together. Association mining for Sainsbury’s offer insights deployed to inform adjustments of the planogram, opportunities for cross-merchandising, and strategies to bundle promotion. For example, it helps to pair complementary fresh food products during seasonal </w:t>
      </w:r>
      <w:r w:rsidRPr="00877441">
        <w:rPr>
          <w:rFonts w:ascii="Times New Roman" w:hAnsi="Times New Roman" w:cs="Times New Roman"/>
          <w:sz w:val="28"/>
          <w:szCs w:val="28"/>
        </w:rPr>
        <w:lastRenderedPageBreak/>
        <w:t>events to enhance basket size. The two enterprises can operationalise the techniques using tools, including IBM SPSS Modeler, Python libraries such as scikit-learn for clustering and MLX tend for associated-rule algorithm, and RapidMiner.</w:t>
      </w:r>
    </w:p>
    <w:p w14:paraId="7A0ACA35" w14:textId="77777777" w:rsidR="00947BB1" w:rsidRDefault="00947BB1" w:rsidP="004C7EA2">
      <w:pPr>
        <w:tabs>
          <w:tab w:val="left" w:pos="3084"/>
        </w:tabs>
        <w:spacing w:line="276" w:lineRule="auto"/>
        <w:rPr>
          <w:rFonts w:ascii="Times New Roman" w:hAnsi="Times New Roman" w:cs="Times New Roman"/>
          <w:sz w:val="28"/>
          <w:szCs w:val="28"/>
        </w:rPr>
      </w:pPr>
    </w:p>
    <w:p w14:paraId="0ACA5BE5" w14:textId="77777777" w:rsidR="00947BB1" w:rsidRDefault="00947BB1" w:rsidP="004C7EA2">
      <w:pPr>
        <w:tabs>
          <w:tab w:val="left" w:pos="3084"/>
        </w:tabs>
        <w:spacing w:line="276" w:lineRule="auto"/>
        <w:rPr>
          <w:rFonts w:ascii="Times New Roman" w:hAnsi="Times New Roman" w:cs="Times New Roman"/>
          <w:sz w:val="28"/>
          <w:szCs w:val="28"/>
        </w:rPr>
      </w:pPr>
    </w:p>
    <w:p w14:paraId="531C52CB" w14:textId="0AFC4406" w:rsidR="00877441" w:rsidRP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6"/>
          <w:szCs w:val="36"/>
        </w:rPr>
        <w:t>PREDICTIVE ANALYSIS</w:t>
      </w:r>
    </w:p>
    <w:p w14:paraId="6DAE6FEF" w14:textId="20E04BE0" w:rsidR="00877441" w:rsidRDefault="00877441" w:rsidP="004C7EA2">
      <w:pPr>
        <w:tabs>
          <w:tab w:val="left" w:pos="3084"/>
        </w:tabs>
        <w:spacing w:line="276" w:lineRule="auto"/>
        <w:rPr>
          <w:rFonts w:ascii="Times New Roman" w:hAnsi="Times New Roman" w:cs="Times New Roman"/>
          <w:b/>
          <w:bCs/>
          <w:sz w:val="32"/>
          <w:szCs w:val="32"/>
        </w:rPr>
      </w:pPr>
      <w:r w:rsidRPr="00877441">
        <w:rPr>
          <w:rFonts w:ascii="Times New Roman" w:hAnsi="Times New Roman" w:cs="Times New Roman"/>
          <w:b/>
          <w:bCs/>
          <w:sz w:val="32"/>
          <w:szCs w:val="32"/>
        </w:rPr>
        <w:t>Power BI</w:t>
      </w:r>
    </w:p>
    <w:p w14:paraId="6CE78668" w14:textId="77777777" w:rsid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Power BI seamlessly integrates with the current data-warehouse contexts and offers dynamic dashboards, automated reporting, and built-in time-series forecasting. The advantage or strength is in the self-service analytics, accessibility, and near-real-time refresh from the enterprise systems (Venu, 2025). Asda invests in Microsoft Azure, which makes Power BI suitable as the platforms share security, manage identity, and compatibility to the data pipeline (Easton, 2025; Delaney, 2025). Sainsbury’s embrace MicroStrategy as its main reporting tool, but Power BI can improve the operational and departmental levels by supporting agile analysis, prototype dashboards, and modelling scenarios for logistics and store teams.</w:t>
      </w:r>
    </w:p>
    <w:p w14:paraId="17C2E1D6" w14:textId="77777777" w:rsidR="00947BB1" w:rsidRDefault="00947BB1" w:rsidP="004C7EA2">
      <w:pPr>
        <w:tabs>
          <w:tab w:val="left" w:pos="3084"/>
        </w:tabs>
        <w:spacing w:line="276" w:lineRule="auto"/>
        <w:rPr>
          <w:rFonts w:ascii="Times New Roman" w:hAnsi="Times New Roman" w:cs="Times New Roman"/>
          <w:sz w:val="28"/>
          <w:szCs w:val="28"/>
        </w:rPr>
      </w:pPr>
    </w:p>
    <w:p w14:paraId="63DA38D8" w14:textId="091C24F8" w:rsidR="00877441" w:rsidRP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2"/>
          <w:szCs w:val="32"/>
        </w:rPr>
        <w:t>SPSS and RapidMiner</w:t>
      </w:r>
    </w:p>
    <w:p w14:paraId="2E353D21" w14:textId="77777777" w:rsid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 xml:space="preserve">IBM SPSS provides advanced statistical </w:t>
      </w:r>
      <w:r w:rsidR="00947BB1" w:rsidRPr="00877441">
        <w:rPr>
          <w:rFonts w:ascii="Times New Roman" w:hAnsi="Times New Roman" w:cs="Times New Roman"/>
          <w:sz w:val="28"/>
          <w:szCs w:val="28"/>
        </w:rPr>
        <w:t>modelling</w:t>
      </w:r>
      <w:r w:rsidRPr="00877441">
        <w:rPr>
          <w:rFonts w:ascii="Times New Roman" w:hAnsi="Times New Roman" w:cs="Times New Roman"/>
          <w:sz w:val="28"/>
          <w:szCs w:val="28"/>
        </w:rPr>
        <w:t xml:space="preserve"> capabilities such as clustering, regression, neural-networking forecasting, and classification, which make it significant and ideal for difficult and complex commercial analytics, including elasticity, forecasting budget, and for price-sensitivity </w:t>
      </w:r>
      <w:r w:rsidR="00947BB1" w:rsidRPr="00877441">
        <w:rPr>
          <w:rFonts w:ascii="Times New Roman" w:hAnsi="Times New Roman" w:cs="Times New Roman"/>
          <w:sz w:val="28"/>
          <w:szCs w:val="28"/>
        </w:rPr>
        <w:t>modelling</w:t>
      </w:r>
      <w:r w:rsidRPr="00877441">
        <w:rPr>
          <w:rFonts w:ascii="Times New Roman" w:hAnsi="Times New Roman" w:cs="Times New Roman"/>
          <w:sz w:val="28"/>
          <w:szCs w:val="28"/>
        </w:rPr>
        <w:t xml:space="preserve"> (IBM, 2025; Sharma, 2022). On the other hand, RapidMiner provides a workflow-driven and flexible interface for developing machine-learning. Besides, it supports the automated model selection, cross-validation, and feature engineering to enable data scientists to create predictive pipelines to forecast demand, model for promotion response, and estimate customer-lifetime-value (</w:t>
      </w:r>
      <w:proofErr w:type="spellStart"/>
      <w:r w:rsidRPr="00877441">
        <w:rPr>
          <w:rFonts w:ascii="Times New Roman" w:hAnsi="Times New Roman" w:cs="Times New Roman"/>
          <w:sz w:val="28"/>
          <w:szCs w:val="28"/>
        </w:rPr>
        <w:t>Kotu</w:t>
      </w:r>
      <w:proofErr w:type="spellEnd"/>
      <w:r w:rsidRPr="00877441">
        <w:rPr>
          <w:rFonts w:ascii="Times New Roman" w:hAnsi="Times New Roman" w:cs="Times New Roman"/>
          <w:sz w:val="28"/>
          <w:szCs w:val="28"/>
        </w:rPr>
        <w:t xml:space="preserve"> and Deshpande, 2014; </w:t>
      </w:r>
      <w:proofErr w:type="spellStart"/>
      <w:r w:rsidRPr="00877441">
        <w:rPr>
          <w:rFonts w:ascii="Times New Roman" w:hAnsi="Times New Roman" w:cs="Times New Roman"/>
          <w:sz w:val="28"/>
          <w:szCs w:val="28"/>
        </w:rPr>
        <w:t>Shreenivasa</w:t>
      </w:r>
      <w:proofErr w:type="spellEnd"/>
      <w:r w:rsidRPr="00877441">
        <w:rPr>
          <w:rFonts w:ascii="Times New Roman" w:hAnsi="Times New Roman" w:cs="Times New Roman"/>
          <w:sz w:val="28"/>
          <w:szCs w:val="28"/>
        </w:rPr>
        <w:t xml:space="preserve">, 2022). The tools are crucial for both enterprises as they accelerate the generation of insight in high-value functions such as financial forecasting and planning for the supply </w:t>
      </w:r>
      <w:r w:rsidRPr="00877441">
        <w:rPr>
          <w:rFonts w:ascii="Times New Roman" w:hAnsi="Times New Roman" w:cs="Times New Roman"/>
          <w:sz w:val="28"/>
          <w:szCs w:val="28"/>
        </w:rPr>
        <w:t>chain and</w:t>
      </w:r>
      <w:r w:rsidRPr="00877441">
        <w:rPr>
          <w:rFonts w:ascii="Times New Roman" w:hAnsi="Times New Roman" w:cs="Times New Roman"/>
          <w:sz w:val="28"/>
          <w:szCs w:val="28"/>
        </w:rPr>
        <w:t xml:space="preserve"> strengthen analytical accuracy.</w:t>
      </w:r>
    </w:p>
    <w:p w14:paraId="2D3F3ED4" w14:textId="77777777" w:rsidR="00947BB1" w:rsidRDefault="00947BB1" w:rsidP="004C7EA2">
      <w:pPr>
        <w:tabs>
          <w:tab w:val="left" w:pos="3084"/>
        </w:tabs>
        <w:spacing w:line="276" w:lineRule="auto"/>
        <w:rPr>
          <w:rFonts w:ascii="Times New Roman" w:hAnsi="Times New Roman" w:cs="Times New Roman"/>
          <w:sz w:val="28"/>
          <w:szCs w:val="28"/>
        </w:rPr>
      </w:pPr>
    </w:p>
    <w:p w14:paraId="181937B0" w14:textId="64CA07CD" w:rsidR="00877441" w:rsidRP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2"/>
          <w:szCs w:val="32"/>
        </w:rPr>
        <w:t xml:space="preserve">Comparison and </w:t>
      </w:r>
      <w:r w:rsidR="002E6D4D">
        <w:rPr>
          <w:rFonts w:ascii="Times New Roman" w:hAnsi="Times New Roman" w:cs="Times New Roman"/>
          <w:b/>
          <w:bCs/>
          <w:sz w:val="32"/>
          <w:szCs w:val="32"/>
        </w:rPr>
        <w:t>R</w:t>
      </w:r>
      <w:r w:rsidRPr="00877441">
        <w:rPr>
          <w:rFonts w:ascii="Times New Roman" w:hAnsi="Times New Roman" w:cs="Times New Roman"/>
          <w:b/>
          <w:bCs/>
          <w:sz w:val="32"/>
          <w:szCs w:val="32"/>
        </w:rPr>
        <w:t>ecommendation</w:t>
      </w:r>
    </w:p>
    <w:p w14:paraId="29588FF8" w14:textId="77777777" w:rsid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Power BI is important in terms of usability as it is highly accessible to non-technical staff, while SPSS and RapidMiner need more statistical and data-science expertise. Power BI is also important in terms of integration because it links naturally with Azure-based ecosystems, while SPSS and RapidMiner rely on APIs and connectors, but still can effectively integrate with enterprise DW systems. SPSS and RapidMiner are effective in forecasting aspects as they give richer algorithm for modelling more than Power BI which only performs better in visualisation, automated refresh, and explanation. Therefore, it is critical to embrace hybrid deployment with Power BI serving as the organisation-wide reporting and layer for visualisation, while RapidMiner and SPSS handling complex predictive modelling. The results of such modelling tools are then fed back to Power BI dashboards to ensure analytical depth without harming usability.</w:t>
      </w:r>
    </w:p>
    <w:p w14:paraId="70E92C01" w14:textId="77777777" w:rsidR="00947BB1" w:rsidRDefault="00947BB1" w:rsidP="004C7EA2">
      <w:pPr>
        <w:tabs>
          <w:tab w:val="left" w:pos="3084"/>
        </w:tabs>
        <w:spacing w:line="276" w:lineRule="auto"/>
        <w:rPr>
          <w:rFonts w:ascii="Times New Roman" w:hAnsi="Times New Roman" w:cs="Times New Roman"/>
          <w:sz w:val="28"/>
          <w:szCs w:val="28"/>
        </w:rPr>
      </w:pPr>
    </w:p>
    <w:p w14:paraId="0084E43A" w14:textId="77777777" w:rsidR="00947BB1" w:rsidRDefault="00947BB1" w:rsidP="004C7EA2">
      <w:pPr>
        <w:tabs>
          <w:tab w:val="left" w:pos="3084"/>
        </w:tabs>
        <w:spacing w:line="276" w:lineRule="auto"/>
        <w:rPr>
          <w:rFonts w:ascii="Times New Roman" w:hAnsi="Times New Roman" w:cs="Times New Roman"/>
          <w:sz w:val="28"/>
          <w:szCs w:val="28"/>
        </w:rPr>
      </w:pPr>
    </w:p>
    <w:p w14:paraId="15B52BF1" w14:textId="3C4A1142" w:rsidR="00877441" w:rsidRPr="00947BB1" w:rsidRDefault="00877441" w:rsidP="004C7EA2">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b/>
          <w:bCs/>
          <w:sz w:val="36"/>
          <w:szCs w:val="36"/>
        </w:rPr>
        <w:t>ETHICAL AND DATA SECURITY CONSIDERATIONS</w:t>
      </w:r>
    </w:p>
    <w:p w14:paraId="3B2E7AB0" w14:textId="77777777" w:rsidR="00877441" w:rsidRPr="00877441" w:rsidRDefault="00877441" w:rsidP="00877441">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Retailers that handle customer data comply with the UK GDPR, mandating them to lawfully process, minimize data, limit purpose, limit storage, transparency, and accuracy when using personal data (The World Bank, 2025; ICO, 2021). The concept is crucial for Asda and Sainsbury because loyalty schemes and platforms for online shopping create sensitive behavioural information, such as patterns of purchase, demographic profile, and inferred preferences. Companies should inform customers concerning the collection of data, sharing of the information, analysis, and should retain the right to access, request deletion, and rectify their information. A failure to communicate the rights violates or undermines transparency, which weakens the public trust in the retail analytic practices.</w:t>
      </w:r>
    </w:p>
    <w:p w14:paraId="012587CF" w14:textId="64409355" w:rsidR="00877441" w:rsidRPr="00877441" w:rsidRDefault="00877441" w:rsidP="00877441">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 xml:space="preserve">Companies should establish clear data ownership, particularly where there are third-party analytics platforms, including cloud-based BI tools, external </w:t>
      </w:r>
      <w:r w:rsidR="00947BB1" w:rsidRPr="00877441">
        <w:rPr>
          <w:rFonts w:ascii="Times New Roman" w:hAnsi="Times New Roman" w:cs="Times New Roman"/>
          <w:sz w:val="28"/>
          <w:szCs w:val="28"/>
        </w:rPr>
        <w:t>modelling</w:t>
      </w:r>
      <w:r w:rsidRPr="00877441">
        <w:rPr>
          <w:rFonts w:ascii="Times New Roman" w:hAnsi="Times New Roman" w:cs="Times New Roman"/>
          <w:sz w:val="28"/>
          <w:szCs w:val="28"/>
        </w:rPr>
        <w:t xml:space="preserve"> services, and recommendation engines that process customer information (</w:t>
      </w:r>
      <w:proofErr w:type="spellStart"/>
      <w:r w:rsidRPr="00877441">
        <w:rPr>
          <w:rFonts w:ascii="Times New Roman" w:hAnsi="Times New Roman" w:cs="Times New Roman"/>
          <w:sz w:val="28"/>
          <w:szCs w:val="28"/>
        </w:rPr>
        <w:t>SiRA</w:t>
      </w:r>
      <w:proofErr w:type="spellEnd"/>
      <w:r w:rsidRPr="00877441">
        <w:rPr>
          <w:rFonts w:ascii="Times New Roman" w:hAnsi="Times New Roman" w:cs="Times New Roman"/>
          <w:sz w:val="28"/>
          <w:szCs w:val="28"/>
        </w:rPr>
        <w:t xml:space="preserve">, 2025). The retailers, therefore, ensure the contractual protection, such as agreement on data processing and audit on compliance to </w:t>
      </w:r>
      <w:r w:rsidRPr="00877441">
        <w:rPr>
          <w:rFonts w:ascii="Times New Roman" w:hAnsi="Times New Roman" w:cs="Times New Roman"/>
          <w:sz w:val="28"/>
          <w:szCs w:val="28"/>
        </w:rPr>
        <w:lastRenderedPageBreak/>
        <w:t>prevent any unauthorised transfer or misuse of data. In such case, there is a need to embrace robust security protocols, particularly encryption at rest, during transfer or in transit, segmenting the network, multi-factor authentication, and role-based access control as part of the architecture for data governance. Furthermore, enterprises should manage internal risk such as misuse or poor access hygiene by workers through ensuring training on GDPR, monitoring, and strict defined access privileges.</w:t>
      </w:r>
    </w:p>
    <w:p w14:paraId="678E0C44" w14:textId="77777777" w:rsidR="00947BB1" w:rsidRDefault="00877441" w:rsidP="00877441">
      <w:pPr>
        <w:tabs>
          <w:tab w:val="left" w:pos="3084"/>
        </w:tabs>
        <w:spacing w:line="276" w:lineRule="auto"/>
        <w:rPr>
          <w:rFonts w:ascii="Times New Roman" w:hAnsi="Times New Roman" w:cs="Times New Roman"/>
          <w:sz w:val="28"/>
          <w:szCs w:val="28"/>
        </w:rPr>
      </w:pPr>
      <w:r w:rsidRPr="00877441">
        <w:rPr>
          <w:rFonts w:ascii="Times New Roman" w:hAnsi="Times New Roman" w:cs="Times New Roman"/>
          <w:sz w:val="28"/>
          <w:szCs w:val="28"/>
        </w:rPr>
        <w:t xml:space="preserve">Asda and Sainsbury should ensure that their automated decisions are reproducible, explainable, and monitored for drift (Daoud, 2023). The absence of a strong governance framework leads to the risk of BI and predictive analytics systems diminishing customer trust and damaging the reputation of the </w:t>
      </w:r>
      <w:r w:rsidR="00947BB1" w:rsidRPr="00877441">
        <w:rPr>
          <w:rFonts w:ascii="Times New Roman" w:hAnsi="Times New Roman" w:cs="Times New Roman"/>
          <w:sz w:val="28"/>
          <w:szCs w:val="28"/>
        </w:rPr>
        <w:t>brand and</w:t>
      </w:r>
      <w:r w:rsidRPr="00877441">
        <w:rPr>
          <w:rFonts w:ascii="Times New Roman" w:hAnsi="Times New Roman" w:cs="Times New Roman"/>
          <w:sz w:val="28"/>
          <w:szCs w:val="28"/>
        </w:rPr>
        <w:t xml:space="preserve"> exposing the companies to penalties for regulations.</w:t>
      </w:r>
    </w:p>
    <w:p w14:paraId="0059C8EC" w14:textId="77777777" w:rsidR="00947BB1" w:rsidRDefault="00947BB1" w:rsidP="00877441">
      <w:pPr>
        <w:tabs>
          <w:tab w:val="left" w:pos="3084"/>
        </w:tabs>
        <w:spacing w:line="276" w:lineRule="auto"/>
        <w:rPr>
          <w:rFonts w:ascii="Times New Roman" w:hAnsi="Times New Roman" w:cs="Times New Roman"/>
          <w:sz w:val="28"/>
          <w:szCs w:val="28"/>
        </w:rPr>
      </w:pPr>
    </w:p>
    <w:p w14:paraId="632915F5" w14:textId="77777777" w:rsidR="00947BB1" w:rsidRDefault="00947BB1" w:rsidP="00877441">
      <w:pPr>
        <w:tabs>
          <w:tab w:val="left" w:pos="3084"/>
        </w:tabs>
        <w:spacing w:line="276" w:lineRule="auto"/>
        <w:rPr>
          <w:rFonts w:ascii="Times New Roman" w:hAnsi="Times New Roman" w:cs="Times New Roman"/>
          <w:sz w:val="28"/>
          <w:szCs w:val="28"/>
        </w:rPr>
      </w:pPr>
    </w:p>
    <w:p w14:paraId="423D956D" w14:textId="0F7DAB80" w:rsidR="00947BB1" w:rsidRPr="00947BB1" w:rsidRDefault="00947BB1" w:rsidP="0087744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b/>
          <w:bCs/>
          <w:sz w:val="36"/>
          <w:szCs w:val="36"/>
        </w:rPr>
        <w:t>REPORTING AND DASHBOARD SOLUTIONS</w:t>
      </w:r>
    </w:p>
    <w:p w14:paraId="6F84AE76" w14:textId="77777777" w:rsidR="00947BB1" w:rsidRP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sz w:val="28"/>
          <w:szCs w:val="28"/>
        </w:rPr>
        <w:t>BI dashboards are critical as they support monitoring of operations and strategic KPIS in real time to allow retailers to translate difficult and complex datasets into actionable information. Asda and Sainsbury’s can use dashboard tools to develop a unified visual interface to track performance, give alerts, and for predictive indicators. The best solutions include Tableau and Power BI as they have rich visualization capabilities, refresh automated data, and blend with cloud-based DW systems.</w:t>
      </w:r>
    </w:p>
    <w:p w14:paraId="5025E8BE" w14:textId="77777777" w:rsidR="00947BB1" w:rsidRP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sz w:val="28"/>
          <w:szCs w:val="28"/>
        </w:rPr>
        <w:t>Asda continues to accelerate the digital transformation as revealed by its Asda Xpert platform that offers managers and head-office teams to access to operational data on real time, analytics on online shopping, and demand trends (Nicholas, 2025). The platforms reinforce frontline responsiveness and support efficiency initiatives across merchandising, e-commerce, and logistics.</w:t>
      </w:r>
    </w:p>
    <w:p w14:paraId="595E8EDF" w14:textId="523E5647" w:rsidR="00947BB1" w:rsidRP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sz w:val="28"/>
          <w:szCs w:val="28"/>
        </w:rPr>
        <w:t>Sainsbury’s has a mature dashboard adoption with the analytic applications in over 12,000 workers to allow teams to access sales performance live, indicators for customer satisfaction, alerts on stock out, and delivery metrics from the main reporting layer (Strategy, 202</w:t>
      </w:r>
      <w:r w:rsidR="00FF3441">
        <w:rPr>
          <w:rFonts w:ascii="Times New Roman" w:hAnsi="Times New Roman" w:cs="Times New Roman"/>
          <w:sz w:val="28"/>
          <w:szCs w:val="28"/>
        </w:rPr>
        <w:t>5</w:t>
      </w:r>
      <w:r w:rsidRPr="00947BB1">
        <w:rPr>
          <w:rFonts w:ascii="Times New Roman" w:hAnsi="Times New Roman" w:cs="Times New Roman"/>
          <w:sz w:val="28"/>
          <w:szCs w:val="28"/>
        </w:rPr>
        <w:t>). The company has a high level of penetration, which reveals strong data governance and a culture of evidence-driven decision.</w:t>
      </w:r>
    </w:p>
    <w:p w14:paraId="0981D1C3" w14:textId="77777777" w:rsid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sz w:val="28"/>
          <w:szCs w:val="28"/>
        </w:rPr>
        <w:lastRenderedPageBreak/>
        <w:t>The relevant KPIs for the two companies entail sales per square metre, the average basket value, index for customer satisfaction, on-shelf availability, and penetration of loyalty programme, stock-out rate, and margin by product line.  The dashboards can maximize value by directly integrating with the data warehouse to ensure consistent metric definitions and a single truth. The features, including scheduled refresh, mobile access, anomaly alerts, and role-specific views, increase adoption across tactical, operational, and strategic levels from the store managers who need hourly updates to the executive who reviews summaries on weekly performance.</w:t>
      </w:r>
    </w:p>
    <w:p w14:paraId="729B074E" w14:textId="77777777" w:rsidR="00947BB1" w:rsidRDefault="00947BB1" w:rsidP="00947BB1">
      <w:pPr>
        <w:tabs>
          <w:tab w:val="left" w:pos="3084"/>
        </w:tabs>
        <w:spacing w:line="276" w:lineRule="auto"/>
        <w:rPr>
          <w:rFonts w:ascii="Times New Roman" w:hAnsi="Times New Roman" w:cs="Times New Roman"/>
          <w:sz w:val="28"/>
          <w:szCs w:val="28"/>
        </w:rPr>
      </w:pPr>
    </w:p>
    <w:p w14:paraId="46A408E0" w14:textId="77777777" w:rsidR="00947BB1" w:rsidRDefault="00947BB1" w:rsidP="00947BB1">
      <w:pPr>
        <w:tabs>
          <w:tab w:val="left" w:pos="3084"/>
        </w:tabs>
        <w:spacing w:line="276" w:lineRule="auto"/>
        <w:rPr>
          <w:rFonts w:ascii="Times New Roman" w:hAnsi="Times New Roman" w:cs="Times New Roman"/>
          <w:sz w:val="28"/>
          <w:szCs w:val="28"/>
        </w:rPr>
      </w:pPr>
    </w:p>
    <w:p w14:paraId="38776ABB" w14:textId="40743F0F" w:rsidR="00947BB1" w:rsidRP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b/>
          <w:bCs/>
          <w:sz w:val="36"/>
          <w:szCs w:val="36"/>
        </w:rPr>
        <w:t>CONCLUSION</w:t>
      </w:r>
    </w:p>
    <w:p w14:paraId="79F58AAA" w14:textId="77777777" w:rsidR="00947BB1" w:rsidRPr="00947BB1" w:rsidRDefault="00947BB1" w:rsidP="00947BB1">
      <w:pPr>
        <w:tabs>
          <w:tab w:val="left" w:pos="3084"/>
        </w:tabs>
        <w:spacing w:line="276" w:lineRule="auto"/>
        <w:rPr>
          <w:rFonts w:ascii="Times New Roman" w:hAnsi="Times New Roman" w:cs="Times New Roman"/>
          <w:sz w:val="28"/>
          <w:szCs w:val="28"/>
        </w:rPr>
      </w:pPr>
      <w:r w:rsidRPr="00947BB1">
        <w:rPr>
          <w:rFonts w:ascii="Times New Roman" w:hAnsi="Times New Roman" w:cs="Times New Roman"/>
          <w:sz w:val="28"/>
          <w:szCs w:val="28"/>
        </w:rPr>
        <w:t>The report on business intelligence and data handling shows that Asda rapidly progresses in handling its data and intelligence but experiences transitional issues linked to the separation of the legacy system from Walmart, and upskilling in the organisation. The two retailers get immense benefits from BI and, via enhanced decision, improved efficiency and personalised engagement of customers. Asda can remain competitive by prioritising completion of its cloud DW migration, expanding the capability of predictive analytics, and strengthen its structures on governance, while Sainsbury’s should maintain its operations and improve security standards.</w:t>
      </w:r>
    </w:p>
    <w:p w14:paraId="5BD58A93"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2A321C1F"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5F6D8842"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08113242"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16C1BF22"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21CE34D3"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7ECD4256"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2376EC95"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415DE07B" w14:textId="77777777" w:rsidR="00947BB1" w:rsidRPr="00947BB1" w:rsidRDefault="00947BB1" w:rsidP="00947BB1">
      <w:pPr>
        <w:tabs>
          <w:tab w:val="left" w:pos="3084"/>
        </w:tabs>
        <w:spacing w:line="276" w:lineRule="auto"/>
        <w:rPr>
          <w:rFonts w:ascii="Times New Roman" w:hAnsi="Times New Roman" w:cs="Times New Roman"/>
          <w:sz w:val="28"/>
          <w:szCs w:val="28"/>
        </w:rPr>
      </w:pPr>
    </w:p>
    <w:p w14:paraId="0B54DF3F" w14:textId="77777777" w:rsidR="00877441" w:rsidRDefault="00877441" w:rsidP="00877441">
      <w:pPr>
        <w:tabs>
          <w:tab w:val="left" w:pos="3084"/>
        </w:tabs>
        <w:spacing w:line="276" w:lineRule="auto"/>
        <w:rPr>
          <w:rFonts w:ascii="Times New Roman" w:hAnsi="Times New Roman" w:cs="Times New Roman"/>
          <w:sz w:val="28"/>
          <w:szCs w:val="28"/>
        </w:rPr>
      </w:pPr>
    </w:p>
    <w:sdt>
      <w:sdtPr>
        <w:id w:val="435034938"/>
        <w:docPartObj>
          <w:docPartGallery w:val="Bibliographies"/>
          <w:docPartUnique/>
        </w:docPartObj>
      </w:sdtPr>
      <w:sdtEndPr>
        <w:rPr>
          <w:rFonts w:asciiTheme="minorHAnsi" w:eastAsiaTheme="minorHAnsi" w:hAnsiTheme="minorHAnsi" w:cstheme="minorBidi"/>
          <w:color w:val="auto"/>
          <w:sz w:val="24"/>
          <w:szCs w:val="24"/>
        </w:rPr>
      </w:sdtEndPr>
      <w:sdtContent>
        <w:p w14:paraId="4D151F4E" w14:textId="003BE094" w:rsidR="002E6D4D" w:rsidRDefault="002E6D4D">
          <w:pPr>
            <w:pStyle w:val="Heading1"/>
          </w:pPr>
          <w:r>
            <w:t>References</w:t>
          </w:r>
        </w:p>
        <w:p w14:paraId="0B4DAAE8" w14:textId="7C8A40AF" w:rsidR="00EE7B0A" w:rsidRDefault="00BC1670">
          <w:r>
            <w:t xml:space="preserve">Agrawal, R. and Srikant, R. (1994). Fast Algorithms for Mining Association Rules. Available at: </w:t>
          </w:r>
          <w:hyperlink r:id="rId7" w:history="1">
            <w:r>
              <w:rPr>
                <w:rStyle w:val="Hyperlink"/>
              </w:rPr>
              <w:t>Fast Algorithms for Mining Association Rules</w:t>
            </w:r>
          </w:hyperlink>
          <w:r>
            <w:t>. (Accessed:</w:t>
          </w:r>
          <w:r w:rsidR="00613D10">
            <w:t xml:space="preserve"> 16/11/2025).</w:t>
          </w:r>
        </w:p>
        <w:p w14:paraId="14F88509" w14:textId="106A5755" w:rsidR="00613D10" w:rsidRDefault="00613D10">
          <w:r>
            <w:t xml:space="preserve">Astudillo, C., Bardeen, M., and Cerpa, N., (2014). </w:t>
          </w:r>
          <w:r>
            <w:t>Editorial: Data Mining in Electronic Commerce – Support vs. Confidence</w:t>
          </w:r>
          <w:r>
            <w:t xml:space="preserve">. Available at:  </w:t>
          </w:r>
          <w:hyperlink r:id="rId8" w:history="1">
            <w:r>
              <w:rPr>
                <w:rStyle w:val="Hyperlink"/>
              </w:rPr>
              <w:t>Editorial: Data Mining in Electronic Commerce - Support versus Confidence</w:t>
            </w:r>
          </w:hyperlink>
          <w:r>
            <w:t>. (Accessed: 16/11/2025).</w:t>
          </w:r>
          <w:r>
            <w:tab/>
          </w:r>
        </w:p>
        <w:p w14:paraId="585CDD1B" w14:textId="73295D98" w:rsidR="00EE7B0A" w:rsidRDefault="00EE7B0A">
          <w:r>
            <w:t xml:space="preserve">ASDA, (2024). Our </w:t>
          </w:r>
          <w:r w:rsidR="00BB736E">
            <w:t>history</w:t>
          </w:r>
          <w:r>
            <w:t xml:space="preserve">. Available at: </w:t>
          </w:r>
          <w:hyperlink r:id="rId9" w:history="1">
            <w:r>
              <w:rPr>
                <w:rStyle w:val="Hyperlink"/>
              </w:rPr>
              <w:t>Our History</w:t>
            </w:r>
          </w:hyperlink>
          <w:r>
            <w:t>. (Accessed: 10/11/2025).</w:t>
          </w:r>
        </w:p>
        <w:p w14:paraId="077DE192" w14:textId="736798A7" w:rsidR="0046390E" w:rsidRDefault="0046390E" w:rsidP="0046390E">
          <w:proofErr w:type="spellStart"/>
          <w:r>
            <w:t>Bemthuis</w:t>
          </w:r>
          <w:proofErr w:type="spellEnd"/>
          <w:r>
            <w:t xml:space="preserve">, R.H., </w:t>
          </w:r>
          <w:proofErr w:type="spellStart"/>
          <w:r>
            <w:t>Govers</w:t>
          </w:r>
          <w:proofErr w:type="spellEnd"/>
          <w:r>
            <w:t xml:space="preserve">, R.R., and Asadi, A., (2025). </w:t>
          </w:r>
          <w:r>
            <w:t>A CRISP-DM-based methodology for assessing</w:t>
          </w:r>
          <w:r>
            <w:t xml:space="preserve"> </w:t>
          </w:r>
          <w:r>
            <w:t>agent-based simulation models using process</w:t>
          </w:r>
          <w:r>
            <w:t xml:space="preserve"> </w:t>
          </w:r>
          <w:r>
            <w:t>mining</w:t>
          </w:r>
          <w:r>
            <w:t xml:space="preserve">. Available at: </w:t>
          </w:r>
          <w:hyperlink r:id="rId10" w:history="1">
            <w:r>
              <w:rPr>
                <w:rStyle w:val="Hyperlink"/>
              </w:rPr>
              <w:t>A CRISP-DM-based methodology for assessing agent-based simulation models using process mining</w:t>
            </w:r>
          </w:hyperlink>
          <w:r>
            <w:t>. (Accessed: 11/11/2025).</w:t>
          </w:r>
        </w:p>
        <w:p w14:paraId="57002D95" w14:textId="249AF846" w:rsidR="0046390E" w:rsidRDefault="0046390E" w:rsidP="0046390E">
          <w:proofErr w:type="spellStart"/>
          <w:r>
            <w:t>Corndel</w:t>
          </w:r>
          <w:proofErr w:type="spellEnd"/>
          <w:r>
            <w:t xml:space="preserve">, 2025. </w:t>
          </w:r>
          <w:r w:rsidRPr="0046390E">
            <w:t>Fostering a Data-Driven Culture: Asda's Triumph with Data Analytics</w:t>
          </w:r>
          <w:r>
            <w:t xml:space="preserve">. Available at: </w:t>
          </w:r>
          <w:hyperlink r:id="rId11" w:history="1">
            <w:r w:rsidR="004B76DE">
              <w:rPr>
                <w:rStyle w:val="Hyperlink"/>
              </w:rPr>
              <w:t>Fostering a Data-Driven Culture: Asda's Triumph with Data Analytics</w:t>
            </w:r>
          </w:hyperlink>
          <w:r w:rsidR="004B76DE">
            <w:t>. (Accessed: 11/11/2025).</w:t>
          </w:r>
        </w:p>
        <w:p w14:paraId="35BB75A3" w14:textId="39C41A0F" w:rsidR="004B76DE" w:rsidRDefault="004B76DE" w:rsidP="004B76DE">
          <w:r>
            <w:t xml:space="preserve">Daoud, I.B., (2023). </w:t>
          </w:r>
          <w:r>
            <w:t>Ethical considerations in the Era of Digitalization: A Closer Look at the Accounting Profession</w:t>
          </w:r>
          <w:r>
            <w:t xml:space="preserve">. Available at: </w:t>
          </w:r>
          <w:hyperlink r:id="rId12" w:history="1">
            <w:r>
              <w:rPr>
                <w:rStyle w:val="Hyperlink"/>
              </w:rPr>
              <w:t>Ethical considerations in the Era of Digitalization: A Closer Look at the Accounting Profession</w:t>
            </w:r>
          </w:hyperlink>
          <w:r>
            <w:t>. (Accessed: 18/11/2025).</w:t>
          </w:r>
        </w:p>
        <w:p w14:paraId="347772F0" w14:textId="31C9F6D5" w:rsidR="004B76DE" w:rsidRDefault="00D66900" w:rsidP="004B76DE">
          <w:r>
            <w:t xml:space="preserve">Data Study Group Team, (2022). Data Study Group Final Report: ASDA. Available at: </w:t>
          </w:r>
          <w:hyperlink r:id="rId13" w:history="1">
            <w:r>
              <w:rPr>
                <w:rStyle w:val="Hyperlink"/>
              </w:rPr>
              <w:t>Data Study Group Final Report: ASDA | The Alan Turing Institute</w:t>
            </w:r>
          </w:hyperlink>
          <w:r>
            <w:t>. (Accessed: 11/11/2025).</w:t>
          </w:r>
        </w:p>
        <w:p w14:paraId="7DE94D24" w14:textId="20B5F276" w:rsidR="00D66900" w:rsidRDefault="00D66900" w:rsidP="004B76DE">
          <w:r>
            <w:t xml:space="preserve">Davey, J., (2025). </w:t>
          </w:r>
          <w:r w:rsidRPr="00D66900">
            <w:t>UK's Asda warns of sales hit from completion of Walmart IT separation</w:t>
          </w:r>
          <w:r>
            <w:t xml:space="preserve">. Available at: </w:t>
          </w:r>
          <w:hyperlink r:id="rId14" w:history="1">
            <w:r w:rsidR="00F931B1">
              <w:rPr>
                <w:rStyle w:val="Hyperlink"/>
              </w:rPr>
              <w:t>UK's Asda warns of sales hit from completion of Walmart IT separation | Reuters</w:t>
            </w:r>
          </w:hyperlink>
          <w:r w:rsidR="00F931B1">
            <w:t>. (Accessed: 12/11/2025).</w:t>
          </w:r>
        </w:p>
        <w:p w14:paraId="0A4B4597" w14:textId="32566AF0" w:rsidR="00F931B1" w:rsidRDefault="00F931B1" w:rsidP="004B76DE">
          <w:r>
            <w:t xml:space="preserve">Delaney, I., (2025). </w:t>
          </w:r>
          <w:r w:rsidRPr="00F931B1">
            <w:t>‘When the magic starts to happen’: ASDA’s cloud-first mission to sharpen value and competitiveness</w:t>
          </w:r>
          <w:r>
            <w:t xml:space="preserve">. Available at: </w:t>
          </w:r>
          <w:hyperlink r:id="rId15" w:history="1">
            <w:r>
              <w:rPr>
                <w:rStyle w:val="Hyperlink"/>
              </w:rPr>
              <w:t>ASDA’s cloud-first mission to sharpen value and competitiveness</w:t>
            </w:r>
          </w:hyperlink>
          <w:r>
            <w:t>. (Accessed: 16/11/2025).</w:t>
          </w:r>
        </w:p>
        <w:p w14:paraId="1EBACBB6" w14:textId="1A0D065E" w:rsidR="00D9057F" w:rsidRDefault="00D9057F" w:rsidP="004B76DE">
          <w:r>
            <w:t xml:space="preserve">Dinh, T., </w:t>
          </w:r>
          <w:proofErr w:type="spellStart"/>
          <w:r>
            <w:t>Hauchi</w:t>
          </w:r>
          <w:proofErr w:type="spellEnd"/>
          <w:r>
            <w:t>, W., Lisik, D., Koren, M., Tran, D., Yu, P.S., and Torres-</w:t>
          </w:r>
          <w:proofErr w:type="spellStart"/>
          <w:r>
            <w:t>Sospedra</w:t>
          </w:r>
          <w:proofErr w:type="spellEnd"/>
          <w:r>
            <w:t xml:space="preserve">, J., (2024). </w:t>
          </w:r>
          <w:r w:rsidRPr="00D9057F">
            <w:t>Data clustering: a fundamental method in data science and management</w:t>
          </w:r>
          <w:r>
            <w:t xml:space="preserve">. Available at: </w:t>
          </w:r>
          <w:hyperlink r:id="rId16" w:history="1">
            <w:r>
              <w:rPr>
                <w:rStyle w:val="Hyperlink"/>
              </w:rPr>
              <w:t>Data clustering: a fundamental method in data science and management</w:t>
            </w:r>
          </w:hyperlink>
          <w:r>
            <w:t>. (Accessed: 13/11/2025).</w:t>
          </w:r>
        </w:p>
        <w:p w14:paraId="64FDAAE1" w14:textId="1560E69F" w:rsidR="00D9057F" w:rsidRDefault="00D9057F" w:rsidP="004B76DE">
          <w:r>
            <w:t xml:space="preserve">Easton, J., (2025). </w:t>
          </w:r>
          <w:r w:rsidRPr="00D9057F">
            <w:t>ASDA deepens Microsoft partnership to drive cloud-first retail transformation</w:t>
          </w:r>
          <w:r>
            <w:t xml:space="preserve">. Available at: </w:t>
          </w:r>
          <w:hyperlink r:id="rId17" w:history="1">
            <w:r>
              <w:rPr>
                <w:rStyle w:val="Hyperlink"/>
              </w:rPr>
              <w:t>ASDA deepens Microsoft partnership to drive cloud-first retail transformation - Retail Systems</w:t>
            </w:r>
          </w:hyperlink>
          <w:r>
            <w:t>. (Accessed: 12/11/2025).</w:t>
          </w:r>
        </w:p>
        <w:p w14:paraId="5401EBE5" w14:textId="37EC70C5" w:rsidR="00D9057F" w:rsidRDefault="00195E9A" w:rsidP="004B76DE">
          <w:r>
            <w:lastRenderedPageBreak/>
            <w:t xml:space="preserve">Han, J., Kamber, M., and Pei, J., (2012). Data mining: Concepts and Techniques. Available at: </w:t>
          </w:r>
          <w:hyperlink r:id="rId18" w:history="1">
            <w:r>
              <w:rPr>
                <w:rStyle w:val="Hyperlink"/>
              </w:rPr>
              <w:t>Data Mining. Concepts and Techniques, 3rd Edition (The Morgan Kaufmann Series in Data Management Systems)</w:t>
            </w:r>
          </w:hyperlink>
          <w:r>
            <w:t>. (Accessed: 1/</w:t>
          </w:r>
          <w:r w:rsidR="00FF3441">
            <w:t>0</w:t>
          </w:r>
          <w:r>
            <w:t>11/2025).</w:t>
          </w:r>
        </w:p>
        <w:p w14:paraId="0BFEFBE3" w14:textId="35897863" w:rsidR="003B38AB" w:rsidRDefault="003B38AB" w:rsidP="004B76DE">
          <w:r>
            <w:t xml:space="preserve">IBM, (2025). IBM SPSS Statistics – Features. Available at: </w:t>
          </w:r>
          <w:hyperlink r:id="rId19" w:history="1">
            <w:r>
              <w:rPr>
                <w:rStyle w:val="Hyperlink"/>
              </w:rPr>
              <w:t>IBM SPSS Statistics - Features</w:t>
            </w:r>
          </w:hyperlink>
          <w:r>
            <w:t>. (Accessed: 16/11/2025).</w:t>
          </w:r>
        </w:p>
        <w:p w14:paraId="1E905D73" w14:textId="370FA284" w:rsidR="003B38AB" w:rsidRDefault="003B38AB" w:rsidP="004B76DE">
          <w:r>
            <w:t xml:space="preserve">IBM, (2025). What is Business Intelligence (BI)? Available at: </w:t>
          </w:r>
          <w:hyperlink r:id="rId20" w:history="1">
            <w:r>
              <w:rPr>
                <w:rStyle w:val="Hyperlink"/>
              </w:rPr>
              <w:t>What Is Business Intelligence (BI)? | IBM</w:t>
            </w:r>
          </w:hyperlink>
          <w:r>
            <w:t>. (Accessed: 10/11/2025).</w:t>
          </w:r>
        </w:p>
        <w:p w14:paraId="1EA4B229" w14:textId="498839F3" w:rsidR="00F74226" w:rsidRDefault="00F74226" w:rsidP="004B76DE">
          <w:r>
            <w:t xml:space="preserve">ICO, (2021). UK GDPR Guidance and Resource. Available at: </w:t>
          </w:r>
          <w:hyperlink r:id="rId21" w:history="1">
            <w:r>
              <w:rPr>
                <w:rStyle w:val="Hyperlink"/>
              </w:rPr>
              <w:t>UK GDPR guidance and resources | ICO</w:t>
            </w:r>
          </w:hyperlink>
          <w:r>
            <w:t>. (Accessed: 18/11/2025).</w:t>
          </w:r>
        </w:p>
        <w:p w14:paraId="20E22808" w14:textId="5BD551C9" w:rsidR="00F74226" w:rsidRDefault="00F74226" w:rsidP="004B76DE">
          <w:r>
            <w:t xml:space="preserve">Jonker, A., Holdworth, J., and Kosinski, M., (2025). What is a Data Warehouse? Available at: </w:t>
          </w:r>
          <w:hyperlink r:id="rId22" w:history="1">
            <w:r>
              <w:rPr>
                <w:rStyle w:val="Hyperlink"/>
              </w:rPr>
              <w:t>What Is a Data Warehouse? | IBM</w:t>
            </w:r>
          </w:hyperlink>
          <w:r>
            <w:t>. (Accessed: 10/11/2025).</w:t>
          </w:r>
        </w:p>
        <w:p w14:paraId="6555C761" w14:textId="2658001E" w:rsidR="00F74226" w:rsidRDefault="00215684" w:rsidP="004B76DE">
          <w:r>
            <w:t xml:space="preserve">Kimball, R. and Ross, M., (2013). The Data Warehouse Toolkit: The Definitive Guide to Dimensional </w:t>
          </w:r>
          <w:proofErr w:type="spellStart"/>
          <w:r>
            <w:t>Modeling</w:t>
          </w:r>
          <w:proofErr w:type="spellEnd"/>
          <w:r>
            <w:t xml:space="preserve">. Available at: </w:t>
          </w:r>
          <w:hyperlink r:id="rId23" w:history="1">
            <w:r>
              <w:rPr>
                <w:rStyle w:val="Hyperlink"/>
              </w:rPr>
              <w:t>The Data Warehouse Toolkit, 3rd Edition</w:t>
            </w:r>
          </w:hyperlink>
          <w:r>
            <w:t>. (Accessed: 10/11/2025).</w:t>
          </w:r>
        </w:p>
        <w:p w14:paraId="114B99A3" w14:textId="59163DE2" w:rsidR="00215684" w:rsidRDefault="00123A45" w:rsidP="004B76DE">
          <w:proofErr w:type="spellStart"/>
          <w:r>
            <w:t>Kotu</w:t>
          </w:r>
          <w:proofErr w:type="spellEnd"/>
          <w:r>
            <w:t xml:space="preserve">, V. and Deshpande, B., (2014). </w:t>
          </w:r>
          <w:r w:rsidRPr="00123A45">
            <w:t>Predictive Analytics and Data Mining: Concepts and Practice with RapidMiner</w:t>
          </w:r>
          <w:r>
            <w:t xml:space="preserve">. Available at: </w:t>
          </w:r>
          <w:hyperlink r:id="rId24" w:history="1">
            <w:r>
              <w:rPr>
                <w:rStyle w:val="Hyperlink"/>
              </w:rPr>
              <w:t>Predictive Analytics and Data Mining: Concepts and Practice with RapidMiner - Vijay Kotu, Bala Deshpande - Google Books</w:t>
            </w:r>
          </w:hyperlink>
          <w:r>
            <w:t>. (Accessed: 17/11/2025).</w:t>
          </w:r>
        </w:p>
        <w:p w14:paraId="4EDA40CB" w14:textId="204D8540" w:rsidR="00123A45" w:rsidRDefault="00DD73F8" w:rsidP="004B76DE">
          <w:proofErr w:type="spellStart"/>
          <w:r>
            <w:t>Maaitah</w:t>
          </w:r>
          <w:proofErr w:type="spellEnd"/>
          <w:r>
            <w:t xml:space="preserve">, T., (2023). </w:t>
          </w:r>
          <w:r w:rsidRPr="00DD73F8">
            <w:t xml:space="preserve">The Role of Business Intelligence Tools in the </w:t>
          </w:r>
          <w:proofErr w:type="gramStart"/>
          <w:r w:rsidRPr="00DD73F8">
            <w:t>Decision Making</w:t>
          </w:r>
          <w:proofErr w:type="gramEnd"/>
          <w:r w:rsidRPr="00DD73F8">
            <w:t xml:space="preserve"> Process and Performance</w:t>
          </w:r>
          <w:r>
            <w:t xml:space="preserve">. Available at: </w:t>
          </w:r>
          <w:hyperlink r:id="rId25" w:history="1">
            <w:r>
              <w:rPr>
                <w:rStyle w:val="Hyperlink"/>
              </w:rPr>
              <w:t>(PDF) The Role of Business Intelligence Tools in the Decision Making Process and Performance</w:t>
            </w:r>
          </w:hyperlink>
          <w:r>
            <w:t>. (Accessed: 10/11/2025).</w:t>
          </w:r>
        </w:p>
        <w:p w14:paraId="14B65B76" w14:textId="16D16520" w:rsidR="00DD73F8" w:rsidRDefault="00DD73F8" w:rsidP="004B76DE">
          <w:r>
            <w:t>Nicholas, F., (2025). Connected Commerce Summit 2025: Unveiling ASDA Xpert’s Impact. Available at:</w:t>
          </w:r>
          <w:r w:rsidRPr="00DD73F8">
            <w:t xml:space="preserve"> </w:t>
          </w:r>
          <w:hyperlink r:id="rId26" w:anchor=":~:text=What%20This%20Means%20for%20Digital,to%20arrange%20a%20detailed%20demonstration." w:history="1">
            <w:r>
              <w:rPr>
                <w:rStyle w:val="Hyperlink"/>
              </w:rPr>
              <w:t>Connected Commerce Summit 2025: Unveiling ASDA Xpert's Impact</w:t>
            </w:r>
          </w:hyperlink>
          <w:r>
            <w:t>. (Accessed: 19/11/2025).</w:t>
          </w:r>
        </w:p>
        <w:p w14:paraId="32489026" w14:textId="77777777" w:rsidR="00A535C6" w:rsidRDefault="00A535C6" w:rsidP="00A535C6">
          <w:r>
            <w:t xml:space="preserve">Palmer, A., Jimenez, R. and </w:t>
          </w:r>
          <w:proofErr w:type="spellStart"/>
          <w:r>
            <w:t>Gervilla</w:t>
          </w:r>
          <w:proofErr w:type="spellEnd"/>
          <w:r>
            <w:t xml:space="preserve">, E., (2011). </w:t>
          </w:r>
          <w:r>
            <w:t xml:space="preserve">Data Mining: Machine Learning and  </w:t>
          </w:r>
        </w:p>
        <w:p w14:paraId="3FF322D4" w14:textId="0A344198" w:rsidR="00A535C6" w:rsidRDefault="00A535C6" w:rsidP="00A535C6">
          <w:r>
            <w:t>Statistical Techniques</w:t>
          </w:r>
          <w:r>
            <w:t xml:space="preserve">. Available at: </w:t>
          </w:r>
          <w:hyperlink r:id="rId27" w:history="1">
            <w:r>
              <w:rPr>
                <w:rStyle w:val="Hyperlink"/>
              </w:rPr>
              <w:t>InTech-Data_mining_machine_learning_and_statistical_techniques.pdf</w:t>
            </w:r>
          </w:hyperlink>
          <w:r>
            <w:t>. (Accessed: 10/11/2025).</w:t>
          </w:r>
        </w:p>
        <w:p w14:paraId="2BF6CD30" w14:textId="01B87ED6" w:rsidR="00A535C6" w:rsidRDefault="00A535C6" w:rsidP="00A535C6">
          <w:r>
            <w:t>Rabadiya, S., (2025).</w:t>
          </w:r>
          <w:r w:rsidRPr="00A535C6">
            <w:t xml:space="preserve"> </w:t>
          </w:r>
          <w:r w:rsidRPr="00A535C6">
            <w:t>10 Business Intelligence and Analytics Trends Reshaping Mid-Sized Companies in 2025</w:t>
          </w:r>
          <w:r>
            <w:t xml:space="preserve">. Available at: </w:t>
          </w:r>
          <w:hyperlink r:id="rId28" w:history="1">
            <w:r>
              <w:rPr>
                <w:rStyle w:val="Hyperlink"/>
              </w:rPr>
              <w:t>Top 10 Business Intelligence and Analytics Trends 2025</w:t>
            </w:r>
          </w:hyperlink>
          <w:r>
            <w:t>. (Accessed: 10.11.2025).</w:t>
          </w:r>
        </w:p>
        <w:p w14:paraId="1584B69C" w14:textId="77777777" w:rsidR="00FF3441" w:rsidRDefault="00FF3441" w:rsidP="00FF3441">
          <w:r>
            <w:t xml:space="preserve">Sainsbury’s, (2025). Sainsbury’s Archive. Available at: </w:t>
          </w:r>
          <w:hyperlink r:id="rId29" w:history="1">
            <w:r>
              <w:rPr>
                <w:rStyle w:val="Hyperlink"/>
              </w:rPr>
              <w:t>Sainsbury Mary Ann | DS/UK/143 - Sainsbury; Mary Ann (1849-1927); Sainsbury Family; Sainsbury's Founder | The people that made Sainsbury's | People | Sainsbury Archive</w:t>
            </w:r>
          </w:hyperlink>
          <w:r>
            <w:t>. (Accessed: 10/11/2025).</w:t>
          </w:r>
        </w:p>
        <w:p w14:paraId="3AAFA4C9" w14:textId="77777777" w:rsidR="00FF3441" w:rsidRDefault="00FF3441" w:rsidP="00A535C6"/>
        <w:p w14:paraId="75D9E24D" w14:textId="4114DD37" w:rsidR="008A01C2" w:rsidRDefault="008A01C2" w:rsidP="00A535C6">
          <w:proofErr w:type="spellStart"/>
          <w:r>
            <w:lastRenderedPageBreak/>
            <w:t>Sensormatic</w:t>
          </w:r>
          <w:proofErr w:type="spellEnd"/>
          <w:r>
            <w:t xml:space="preserve">, (2019). </w:t>
          </w:r>
          <w:r w:rsidRPr="008A01C2">
            <w:t>ASDA Embarks on Digital Transformation Journey for Smarter Loss Prevention</w:t>
          </w:r>
          <w:r>
            <w:t xml:space="preserve">. Available at:  </w:t>
          </w:r>
          <w:hyperlink r:id="rId30" w:history="1">
            <w:r>
              <w:rPr>
                <w:rStyle w:val="Hyperlink"/>
              </w:rPr>
              <w:t xml:space="preserve">ASDA Embarks on Digital Transformation Journey for Smarter Loss Prevention - </w:t>
            </w:r>
            <w:proofErr w:type="spellStart"/>
            <w:r>
              <w:rPr>
                <w:rStyle w:val="Hyperlink"/>
              </w:rPr>
              <w:t>Sensormatic</w:t>
            </w:r>
            <w:proofErr w:type="spellEnd"/>
            <w:r>
              <w:rPr>
                <w:rStyle w:val="Hyperlink"/>
              </w:rPr>
              <w:t xml:space="preserve"> | UK</w:t>
            </w:r>
          </w:hyperlink>
          <w:r>
            <w:t xml:space="preserve">. (Accessed: </w:t>
          </w:r>
          <w:r w:rsidR="00163609">
            <w:t>12/11/2025).</w:t>
          </w:r>
        </w:p>
        <w:p w14:paraId="78373989" w14:textId="0EC8A516" w:rsidR="00163609" w:rsidRDefault="00163609" w:rsidP="00A535C6">
          <w:r>
            <w:t xml:space="preserve">Sharma, R., (2022). </w:t>
          </w:r>
          <w:r w:rsidRPr="00163609">
            <w:t>Regression in Data Mining: Different Types of Regression Techniques</w:t>
          </w:r>
          <w:r>
            <w:t xml:space="preserve">. Available at: </w:t>
          </w:r>
          <w:hyperlink r:id="rId31" w:history="1">
            <w:r>
              <w:rPr>
                <w:rStyle w:val="Hyperlink"/>
              </w:rPr>
              <w:t xml:space="preserve">Regression in Data Mining: Different Types of Regression Techniques [2024] | </w:t>
            </w:r>
            <w:proofErr w:type="spellStart"/>
            <w:r>
              <w:rPr>
                <w:rStyle w:val="Hyperlink"/>
              </w:rPr>
              <w:t>upGrad</w:t>
            </w:r>
            <w:proofErr w:type="spellEnd"/>
            <w:r>
              <w:rPr>
                <w:rStyle w:val="Hyperlink"/>
              </w:rPr>
              <w:t xml:space="preserve"> blog</w:t>
            </w:r>
          </w:hyperlink>
          <w:r>
            <w:t>. (Accessed: 16/11/2025).</w:t>
          </w:r>
        </w:p>
        <w:p w14:paraId="295C4F2C" w14:textId="0CD07DB7" w:rsidR="00163609" w:rsidRDefault="00163609" w:rsidP="00A535C6">
          <w:proofErr w:type="spellStart"/>
          <w:r>
            <w:t>Shreenivasa</w:t>
          </w:r>
          <w:proofErr w:type="spellEnd"/>
          <w:r>
            <w:t xml:space="preserve">, S., C., (2022). </w:t>
          </w:r>
          <w:r w:rsidRPr="00163609">
            <w:t>RapidMiner to build and visualize data science workflow</w:t>
          </w:r>
          <w:r>
            <w:t xml:space="preserve">. Available at: </w:t>
          </w:r>
          <w:hyperlink r:id="rId32" w:history="1">
            <w:r>
              <w:rPr>
                <w:rStyle w:val="Hyperlink"/>
              </w:rPr>
              <w:t xml:space="preserve">RapidMiner to build and visualize data science workflow | by Satish C </w:t>
            </w:r>
            <w:proofErr w:type="spellStart"/>
            <w:r>
              <w:rPr>
                <w:rStyle w:val="Hyperlink"/>
              </w:rPr>
              <w:t>Shreenivasa</w:t>
            </w:r>
            <w:proofErr w:type="spellEnd"/>
            <w:r>
              <w:rPr>
                <w:rStyle w:val="Hyperlink"/>
              </w:rPr>
              <w:t xml:space="preserve"> | Medium</w:t>
            </w:r>
          </w:hyperlink>
          <w:r>
            <w:t>. (Accessed: 17/11/2025).</w:t>
          </w:r>
        </w:p>
        <w:p w14:paraId="2BCA3725" w14:textId="558099C8" w:rsidR="00163609" w:rsidRDefault="00E11614" w:rsidP="00A535C6">
          <w:proofErr w:type="spellStart"/>
          <w:r>
            <w:t>SiRA</w:t>
          </w:r>
          <w:proofErr w:type="spellEnd"/>
          <w:r>
            <w:t xml:space="preserve">, (2025). </w:t>
          </w:r>
          <w:r w:rsidRPr="00E11614">
            <w:t>Data Governance in Power BI: Policies Every Organization Needs</w:t>
          </w:r>
          <w:r>
            <w:t xml:space="preserve">. Available at: </w:t>
          </w:r>
          <w:hyperlink r:id="rId33" w:anchor=":~:text=Set%20Clear%20Enterprise%20Data%20Policies%20Every%20company,and%20shared%20with%20all%20Power%20BI%20users." w:history="1">
            <w:r>
              <w:rPr>
                <w:rStyle w:val="Hyperlink"/>
              </w:rPr>
              <w:t>Data Governance in Power BI: Policies Every Organization Needs</w:t>
            </w:r>
          </w:hyperlink>
          <w:r>
            <w:t>. (Accessed: 18/11/2025).</w:t>
          </w:r>
        </w:p>
        <w:p w14:paraId="0EB045D9" w14:textId="03551972" w:rsidR="00E11614" w:rsidRDefault="00A128E7" w:rsidP="00A535C6">
          <w:r>
            <w:t xml:space="preserve">Strategy, (2025). </w:t>
          </w:r>
          <w:r w:rsidRPr="00A128E7">
            <w:t>How Sainsbury’s Democratized Its Data to Empower Every Colleague</w:t>
          </w:r>
          <w:r>
            <w:t xml:space="preserve">. Available at: </w:t>
          </w:r>
          <w:hyperlink r:id="rId34" w:history="1">
            <w:r>
              <w:rPr>
                <w:rStyle w:val="Hyperlink"/>
              </w:rPr>
              <w:t>How Sainsbury’s Democratized Its Data to Empower Every Colleague</w:t>
            </w:r>
          </w:hyperlink>
          <w:r>
            <w:t>. (Accessed: 11/11/2025).</w:t>
          </w:r>
        </w:p>
        <w:p w14:paraId="79A59D9C" w14:textId="7EA64CF1" w:rsidR="00A128E7" w:rsidRDefault="00A128E7" w:rsidP="00A535C6">
          <w:r>
            <w:t xml:space="preserve">The World Bank, (2025). </w:t>
          </w:r>
          <w:r w:rsidRPr="00A128E7">
            <w:t>Data protection and privacy laws</w:t>
          </w:r>
          <w:r>
            <w:t xml:space="preserve">. Available at: </w:t>
          </w:r>
          <w:hyperlink r:id="rId35" w:anchor=":~:text=Lawfulness.,compliance%20with%20data%20protection%20rules" w:history="1">
            <w:r>
              <w:rPr>
                <w:rStyle w:val="Hyperlink"/>
              </w:rPr>
              <w:t>Data protection and privacy laws | Identification for Development</w:t>
            </w:r>
          </w:hyperlink>
          <w:r>
            <w:t>. (Accessed: 18/11/2025).</w:t>
          </w:r>
        </w:p>
        <w:p w14:paraId="2F538600" w14:textId="62CE99FA" w:rsidR="00A128E7" w:rsidRDefault="00CA0213" w:rsidP="00A535C6">
          <w:r>
            <w:t xml:space="preserve">Venu, V., M., (2025). </w:t>
          </w:r>
          <w:r w:rsidRPr="00CA0213">
            <w:t>Power BI Integration</w:t>
          </w:r>
          <w:r>
            <w:t xml:space="preserve">. Available at: </w:t>
          </w:r>
          <w:hyperlink r:id="rId36" w:history="1">
            <w:r>
              <w:rPr>
                <w:rStyle w:val="Hyperlink"/>
              </w:rPr>
              <w:t>Power BI Integration: Everything You Need to Know!</w:t>
            </w:r>
          </w:hyperlink>
          <w:r>
            <w:t xml:space="preserve"> (Accessed: 16/11/2025).</w:t>
          </w:r>
        </w:p>
        <w:p w14:paraId="3904D8B6" w14:textId="5D6D833D" w:rsidR="00CA0213" w:rsidRDefault="00CA0213" w:rsidP="00CA0213">
          <w:proofErr w:type="spellStart"/>
          <w:r>
            <w:t>Vercellis</w:t>
          </w:r>
          <w:proofErr w:type="spellEnd"/>
          <w:r>
            <w:t xml:space="preserve">, C., (2011). </w:t>
          </w:r>
          <w:r>
            <w:t>Business Intelligence</w:t>
          </w:r>
          <w:r>
            <w:t xml:space="preserve">: </w:t>
          </w:r>
          <w:r>
            <w:t>Data Mining and Optimization for Decision Making</w:t>
          </w:r>
          <w:r>
            <w:t xml:space="preserve">. Available at: </w:t>
          </w:r>
          <w:hyperlink r:id="rId37" w:history="1">
            <w:r>
              <w:rPr>
                <w:rStyle w:val="Hyperlink"/>
              </w:rPr>
              <w:t>[PDF] Business Intelligence by Carlo Vercellis | 9780470511398, 9781119965473</w:t>
            </w:r>
          </w:hyperlink>
          <w:r>
            <w:t xml:space="preserve">. (Accessed: </w:t>
          </w:r>
          <w:r w:rsidR="00E26B5F">
            <w:t>13/11/2025).</w:t>
          </w:r>
        </w:p>
        <w:p w14:paraId="2A175427" w14:textId="7A7E60B8" w:rsidR="00E26B5F" w:rsidRDefault="00E26B5F" w:rsidP="00CA0213">
          <w:proofErr w:type="spellStart"/>
          <w:r>
            <w:t>Vududala</w:t>
          </w:r>
          <w:proofErr w:type="spellEnd"/>
          <w:r>
            <w:t xml:space="preserve">, S., K., (2025). </w:t>
          </w:r>
          <w:r w:rsidRPr="00E26B5F">
            <w:t xml:space="preserve">Snowflake Migration </w:t>
          </w:r>
          <w:proofErr w:type="gramStart"/>
          <w:r w:rsidRPr="00E26B5F">
            <w:t>As</w:t>
          </w:r>
          <w:proofErr w:type="gramEnd"/>
          <w:r w:rsidRPr="00E26B5F">
            <w:t xml:space="preserve"> </w:t>
          </w:r>
          <w:proofErr w:type="gramStart"/>
          <w:r w:rsidRPr="00E26B5F">
            <w:t>A</w:t>
          </w:r>
          <w:proofErr w:type="gramEnd"/>
          <w:r w:rsidRPr="00E26B5F">
            <w:t xml:space="preserve"> Strategic Imperative: Unlocking Scalable Data Warehousing </w:t>
          </w:r>
          <w:proofErr w:type="gramStart"/>
          <w:r w:rsidRPr="00E26B5F">
            <w:t>For</w:t>
          </w:r>
          <w:proofErr w:type="gramEnd"/>
          <w:r w:rsidRPr="00E26B5F">
            <w:t xml:space="preserve"> </w:t>
          </w:r>
          <w:proofErr w:type="gramStart"/>
          <w:r w:rsidRPr="00E26B5F">
            <w:t>The</w:t>
          </w:r>
          <w:proofErr w:type="gramEnd"/>
          <w:r w:rsidRPr="00E26B5F">
            <w:t xml:space="preserve"> Financial </w:t>
          </w:r>
          <w:proofErr w:type="gramStart"/>
          <w:r w:rsidRPr="00E26B5F">
            <w:t>And</w:t>
          </w:r>
          <w:proofErr w:type="gramEnd"/>
          <w:r w:rsidRPr="00E26B5F">
            <w:t xml:space="preserve"> Insurance Sectors </w:t>
          </w:r>
          <w:proofErr w:type="gramStart"/>
          <w:r w:rsidRPr="00E26B5F">
            <w:t>In</w:t>
          </w:r>
          <w:proofErr w:type="gramEnd"/>
          <w:r w:rsidRPr="00E26B5F">
            <w:t xml:space="preserve"> </w:t>
          </w:r>
          <w:proofErr w:type="gramStart"/>
          <w:r w:rsidRPr="00E26B5F">
            <w:t>The</w:t>
          </w:r>
          <w:proofErr w:type="gramEnd"/>
          <w:r w:rsidRPr="00E26B5F">
            <w:t xml:space="preserve"> Cloud Era</w:t>
          </w:r>
          <w:r>
            <w:t xml:space="preserve">. Available at: </w:t>
          </w:r>
          <w:hyperlink r:id="rId38" w:history="1">
            <w:r>
              <w:rPr>
                <w:rStyle w:val="Hyperlink"/>
              </w:rPr>
              <w:t xml:space="preserve">Snowflake Migration As A Strategic Imperative: Unlocking Scalable Data Warehousing For The Financial And Insurance Sectors In The Cloud Era by Santosh Kumar </w:t>
            </w:r>
            <w:proofErr w:type="spellStart"/>
            <w:r>
              <w:rPr>
                <w:rStyle w:val="Hyperlink"/>
              </w:rPr>
              <w:t>Vududala</w:t>
            </w:r>
            <w:proofErr w:type="spellEnd"/>
            <w:r>
              <w:rPr>
                <w:rStyle w:val="Hyperlink"/>
              </w:rPr>
              <w:t xml:space="preserve"> :: SSRN</w:t>
            </w:r>
          </w:hyperlink>
          <w:r>
            <w:t>. (Accessed: 12/11/2025).</w:t>
          </w:r>
        </w:p>
        <w:p w14:paraId="591E5FD2" w14:textId="77777777" w:rsidR="00E26B5F" w:rsidRDefault="00E26B5F" w:rsidP="00E26B5F">
          <w:r>
            <w:t xml:space="preserve">Wirth, R. and Hipp, J., (2000). </w:t>
          </w:r>
          <w:r>
            <w:t>CRISP-DM: Towards a Standard Process Model for Data</w:t>
          </w:r>
        </w:p>
        <w:p w14:paraId="1A6C5174" w14:textId="5A54389A" w:rsidR="00E26B5F" w:rsidRDefault="00E26B5F" w:rsidP="00E26B5F">
          <w:r>
            <w:t xml:space="preserve"> Mining</w:t>
          </w:r>
          <w:r>
            <w:t xml:space="preserve">. Available at: </w:t>
          </w:r>
          <w:hyperlink r:id="rId39" w:history="1">
            <w:r>
              <w:rPr>
                <w:rStyle w:val="Hyperlink"/>
              </w:rPr>
              <w:t>10.1.1.198.5133.pdf</w:t>
            </w:r>
          </w:hyperlink>
          <w:r>
            <w:t>. (Accessed: 11/11/2025).</w:t>
          </w:r>
        </w:p>
        <w:p w14:paraId="1E535A1D" w14:textId="77777777" w:rsidR="00F931B1" w:rsidRDefault="00F931B1" w:rsidP="004B76DE">
          <w:bookmarkStart w:id="0" w:name="_Hlk214490553"/>
        </w:p>
        <w:p w14:paraId="3E5EE022" w14:textId="07C403E1" w:rsidR="002E6D4D" w:rsidRDefault="00EE7B0A">
          <w:r>
            <w:t xml:space="preserve">Sainsbury’s, (2025). Sainsbury’s Archive. Available at: </w:t>
          </w:r>
          <w:hyperlink r:id="rId40" w:history="1">
            <w:r>
              <w:rPr>
                <w:rStyle w:val="Hyperlink"/>
              </w:rPr>
              <w:t>Sainsbury Mary Ann | DS/UK/143 - Sainsbury; Mary Ann (1849-1927); Sainsbury Family; Sainsbury's Founder | The people that made Sainsbury's | People | Sainsbury Archive</w:t>
            </w:r>
          </w:hyperlink>
          <w:r>
            <w:t>. (Accessed: 10/11/2025).</w:t>
          </w:r>
        </w:p>
      </w:sdtContent>
    </w:sdt>
    <w:bookmarkEnd w:id="0"/>
    <w:p w14:paraId="0D095EAD" w14:textId="77777777" w:rsidR="0081581D" w:rsidRDefault="0081581D" w:rsidP="004C7EA2">
      <w:pPr>
        <w:tabs>
          <w:tab w:val="left" w:pos="3084"/>
        </w:tabs>
        <w:spacing w:line="276" w:lineRule="auto"/>
        <w:rPr>
          <w:rFonts w:ascii="Times New Roman" w:hAnsi="Times New Roman" w:cs="Times New Roman"/>
          <w:sz w:val="28"/>
          <w:szCs w:val="28"/>
        </w:rPr>
      </w:pPr>
    </w:p>
    <w:p w14:paraId="7C32205E" w14:textId="77777777" w:rsidR="0081581D" w:rsidRDefault="0081581D" w:rsidP="004C7EA2">
      <w:pPr>
        <w:tabs>
          <w:tab w:val="left" w:pos="3084"/>
        </w:tabs>
        <w:spacing w:line="276" w:lineRule="auto"/>
        <w:rPr>
          <w:rFonts w:ascii="Times New Roman" w:hAnsi="Times New Roman" w:cs="Times New Roman"/>
          <w:sz w:val="28"/>
          <w:szCs w:val="28"/>
        </w:rPr>
      </w:pPr>
    </w:p>
    <w:p w14:paraId="244D0130" w14:textId="77777777" w:rsidR="0081581D" w:rsidRDefault="0081581D" w:rsidP="004C7EA2">
      <w:pPr>
        <w:tabs>
          <w:tab w:val="left" w:pos="3084"/>
        </w:tabs>
        <w:spacing w:line="276" w:lineRule="auto"/>
        <w:rPr>
          <w:rFonts w:ascii="Times New Roman" w:hAnsi="Times New Roman" w:cs="Times New Roman"/>
          <w:sz w:val="28"/>
          <w:szCs w:val="28"/>
        </w:rPr>
      </w:pPr>
    </w:p>
    <w:p w14:paraId="77052E89" w14:textId="77777777" w:rsidR="00994141" w:rsidRPr="006D7782" w:rsidRDefault="00994141" w:rsidP="004C7EA2">
      <w:pPr>
        <w:tabs>
          <w:tab w:val="left" w:pos="3084"/>
        </w:tabs>
        <w:spacing w:line="276" w:lineRule="auto"/>
        <w:rPr>
          <w:rFonts w:ascii="Times New Roman" w:hAnsi="Times New Roman" w:cs="Times New Roman"/>
          <w:sz w:val="28"/>
          <w:szCs w:val="28"/>
        </w:rPr>
      </w:pPr>
    </w:p>
    <w:p w14:paraId="503014DC" w14:textId="77777777" w:rsidR="00E74752" w:rsidRPr="00E74752" w:rsidRDefault="00E74752" w:rsidP="004C7EA2">
      <w:pPr>
        <w:tabs>
          <w:tab w:val="left" w:pos="3084"/>
        </w:tabs>
        <w:spacing w:line="276" w:lineRule="auto"/>
        <w:rPr>
          <w:rFonts w:ascii="Times New Roman" w:hAnsi="Times New Roman" w:cs="Times New Roman"/>
          <w:sz w:val="28"/>
          <w:szCs w:val="28"/>
        </w:rPr>
      </w:pPr>
    </w:p>
    <w:sectPr w:rsidR="00E74752" w:rsidRPr="00E74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C11E14"/>
    <w:multiLevelType w:val="hybridMultilevel"/>
    <w:tmpl w:val="AD5E9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7820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313"/>
    <w:rsid w:val="00083313"/>
    <w:rsid w:val="00123A45"/>
    <w:rsid w:val="00163609"/>
    <w:rsid w:val="00195E9A"/>
    <w:rsid w:val="00215684"/>
    <w:rsid w:val="002E6D4D"/>
    <w:rsid w:val="002E70C3"/>
    <w:rsid w:val="003B38AB"/>
    <w:rsid w:val="0046390E"/>
    <w:rsid w:val="004B76DE"/>
    <w:rsid w:val="004C7EA2"/>
    <w:rsid w:val="00563854"/>
    <w:rsid w:val="00613D10"/>
    <w:rsid w:val="006D7782"/>
    <w:rsid w:val="006F2660"/>
    <w:rsid w:val="0081581D"/>
    <w:rsid w:val="00877441"/>
    <w:rsid w:val="008A01C2"/>
    <w:rsid w:val="008E79D0"/>
    <w:rsid w:val="00947BB1"/>
    <w:rsid w:val="00952258"/>
    <w:rsid w:val="00994141"/>
    <w:rsid w:val="009A3910"/>
    <w:rsid w:val="00A128E7"/>
    <w:rsid w:val="00A45679"/>
    <w:rsid w:val="00A4734C"/>
    <w:rsid w:val="00A535C6"/>
    <w:rsid w:val="00A81EAD"/>
    <w:rsid w:val="00AD3971"/>
    <w:rsid w:val="00BB736E"/>
    <w:rsid w:val="00BC1670"/>
    <w:rsid w:val="00CA0213"/>
    <w:rsid w:val="00D66900"/>
    <w:rsid w:val="00D754A7"/>
    <w:rsid w:val="00D9057F"/>
    <w:rsid w:val="00DD73F8"/>
    <w:rsid w:val="00E11614"/>
    <w:rsid w:val="00E26B5F"/>
    <w:rsid w:val="00E74752"/>
    <w:rsid w:val="00EC7230"/>
    <w:rsid w:val="00EE7B0A"/>
    <w:rsid w:val="00F74226"/>
    <w:rsid w:val="00F931B1"/>
    <w:rsid w:val="00FF3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D8D8"/>
  <w15:chartTrackingRefBased/>
  <w15:docId w15:val="{3940B7EE-32D6-4939-AB9D-13E03AFC0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441"/>
  </w:style>
  <w:style w:type="paragraph" w:styleId="Heading1">
    <w:name w:val="heading 1"/>
    <w:basedOn w:val="Normal"/>
    <w:next w:val="Normal"/>
    <w:link w:val="Heading1Char"/>
    <w:uiPriority w:val="9"/>
    <w:qFormat/>
    <w:rsid w:val="000833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3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3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3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3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3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3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3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3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3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3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3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3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3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313"/>
    <w:rPr>
      <w:rFonts w:eastAsiaTheme="majorEastAsia" w:cstheme="majorBidi"/>
      <w:color w:val="272727" w:themeColor="text1" w:themeTint="D8"/>
    </w:rPr>
  </w:style>
  <w:style w:type="paragraph" w:styleId="Title">
    <w:name w:val="Title"/>
    <w:basedOn w:val="Normal"/>
    <w:next w:val="Normal"/>
    <w:link w:val="TitleChar"/>
    <w:uiPriority w:val="10"/>
    <w:qFormat/>
    <w:rsid w:val="00083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313"/>
    <w:pPr>
      <w:spacing w:before="160"/>
      <w:jc w:val="center"/>
    </w:pPr>
    <w:rPr>
      <w:i/>
      <w:iCs/>
      <w:color w:val="404040" w:themeColor="text1" w:themeTint="BF"/>
    </w:rPr>
  </w:style>
  <w:style w:type="character" w:customStyle="1" w:styleId="QuoteChar">
    <w:name w:val="Quote Char"/>
    <w:basedOn w:val="DefaultParagraphFont"/>
    <w:link w:val="Quote"/>
    <w:uiPriority w:val="29"/>
    <w:rsid w:val="00083313"/>
    <w:rPr>
      <w:i/>
      <w:iCs/>
      <w:color w:val="404040" w:themeColor="text1" w:themeTint="BF"/>
    </w:rPr>
  </w:style>
  <w:style w:type="paragraph" w:styleId="ListParagraph">
    <w:name w:val="List Paragraph"/>
    <w:basedOn w:val="Normal"/>
    <w:uiPriority w:val="34"/>
    <w:qFormat/>
    <w:rsid w:val="00083313"/>
    <w:pPr>
      <w:ind w:left="720"/>
      <w:contextualSpacing/>
    </w:pPr>
  </w:style>
  <w:style w:type="character" w:styleId="IntenseEmphasis">
    <w:name w:val="Intense Emphasis"/>
    <w:basedOn w:val="DefaultParagraphFont"/>
    <w:uiPriority w:val="21"/>
    <w:qFormat/>
    <w:rsid w:val="00083313"/>
    <w:rPr>
      <w:i/>
      <w:iCs/>
      <w:color w:val="0F4761" w:themeColor="accent1" w:themeShade="BF"/>
    </w:rPr>
  </w:style>
  <w:style w:type="paragraph" w:styleId="IntenseQuote">
    <w:name w:val="Intense Quote"/>
    <w:basedOn w:val="Normal"/>
    <w:next w:val="Normal"/>
    <w:link w:val="IntenseQuoteChar"/>
    <w:uiPriority w:val="30"/>
    <w:qFormat/>
    <w:rsid w:val="000833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313"/>
    <w:rPr>
      <w:i/>
      <w:iCs/>
      <w:color w:val="0F4761" w:themeColor="accent1" w:themeShade="BF"/>
    </w:rPr>
  </w:style>
  <w:style w:type="character" w:styleId="IntenseReference">
    <w:name w:val="Intense Reference"/>
    <w:basedOn w:val="DefaultParagraphFont"/>
    <w:uiPriority w:val="32"/>
    <w:qFormat/>
    <w:rsid w:val="00083313"/>
    <w:rPr>
      <w:b/>
      <w:bCs/>
      <w:smallCaps/>
      <w:color w:val="0F4761" w:themeColor="accent1" w:themeShade="BF"/>
      <w:spacing w:val="5"/>
    </w:rPr>
  </w:style>
  <w:style w:type="paragraph" w:styleId="TOCHeading">
    <w:name w:val="TOC Heading"/>
    <w:basedOn w:val="Heading1"/>
    <w:next w:val="Normal"/>
    <w:uiPriority w:val="39"/>
    <w:unhideWhenUsed/>
    <w:qFormat/>
    <w:rsid w:val="00083313"/>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semiHidden/>
    <w:unhideWhenUsed/>
    <w:rsid w:val="00BC16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uring.ac.uk/news/publications/data-study-group-final-report-asda" TargetMode="External"/><Relationship Id="rId18" Type="http://schemas.openxmlformats.org/officeDocument/2006/relationships/hyperlink" Target="https://ia600603.us.archive.org/2/items/datamining_201811/DS-book%20u5.pdf" TargetMode="External"/><Relationship Id="rId26" Type="http://schemas.openxmlformats.org/officeDocument/2006/relationships/hyperlink" Target="https://estorebrands.com/ignite/connected-commerce-summit-2025-unveiling-asda-xperts-impact" TargetMode="External"/><Relationship Id="rId39" Type="http://schemas.openxmlformats.org/officeDocument/2006/relationships/hyperlink" Target="http://www.cs.unibo.it/~danilo.montesi/CBD/Beatriz/10.1.1.198.5133.pdf" TargetMode="External"/><Relationship Id="rId21" Type="http://schemas.openxmlformats.org/officeDocument/2006/relationships/hyperlink" Target="https://ico.org.uk/for-organisations/uk-gdpr-guidance-and-resources/" TargetMode="External"/><Relationship Id="rId34" Type="http://schemas.openxmlformats.org/officeDocument/2006/relationships/hyperlink" Target="https://www.strategysoftware.com/customer-stories/sainsburys-data-and-analytics-case-study" TargetMode="External"/><Relationship Id="rId42" Type="http://schemas.openxmlformats.org/officeDocument/2006/relationships/theme" Target="theme/theme1.xml"/><Relationship Id="rId7" Type="http://schemas.openxmlformats.org/officeDocument/2006/relationships/hyperlink" Target="https://www.vldb.org/conf/1994/P487.PDF" TargetMode="External"/><Relationship Id="rId2" Type="http://schemas.openxmlformats.org/officeDocument/2006/relationships/numbering" Target="numbering.xml"/><Relationship Id="rId16" Type="http://schemas.openxmlformats.org/officeDocument/2006/relationships/hyperlink" Target="https://arxiv.org/html/2412.18760v3" TargetMode="External"/><Relationship Id="rId20" Type="http://schemas.openxmlformats.org/officeDocument/2006/relationships/hyperlink" Target="https://www.ibm.com/think/topics/business-intelligence" TargetMode="External"/><Relationship Id="rId29" Type="http://schemas.openxmlformats.org/officeDocument/2006/relationships/hyperlink" Target="https://www.sainsburyarchive.org.uk/people/the-people-that-made-sainsburys/dsuk143-sainsbury-mary-ann-1849-1927-sainsbury-family-sainsburys-founder"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rndel.com/case-studies/fostering-a-data-driven-culture-asdas-triumph-with-data-analytics" TargetMode="External"/><Relationship Id="rId24" Type="http://schemas.openxmlformats.org/officeDocument/2006/relationships/hyperlink" Target="https://books.google.co.uk/books/about/Predictive_Analytics_and_Data_Mining.html?id=dRHoAwAAQBAJ&amp;redir_esc=y" TargetMode="External"/><Relationship Id="rId32" Type="http://schemas.openxmlformats.org/officeDocument/2006/relationships/hyperlink" Target="https://medium.com/@SatishCShreenivasa/rapidminer-to-build-and-visualize-data-science-workflow-fd689afd6a2b" TargetMode="External"/><Relationship Id="rId37" Type="http://schemas.openxmlformats.org/officeDocument/2006/relationships/hyperlink" Target="https://www.perlego.com/book/1010960/business-intelligence-data-mining-and-optimization-for-decision-making-pdf" TargetMode="External"/><Relationship Id="rId40" Type="http://schemas.openxmlformats.org/officeDocument/2006/relationships/hyperlink" Target="https://www.sainsburyarchive.org.uk/people/the-people-that-made-sainsburys/dsuk143-sainsbury-mary-ann-1849-1927-sainsbury-family-sainsburys-founder" TargetMode="External"/><Relationship Id="rId5" Type="http://schemas.openxmlformats.org/officeDocument/2006/relationships/webSettings" Target="webSettings.xml"/><Relationship Id="rId15" Type="http://schemas.openxmlformats.org/officeDocument/2006/relationships/hyperlink" Target="https://ukstories.microsoft.com/features/when-the-magic-starts-to-happen-asdas-cloud-first-mission-to-sharpen-value-and-competitiveness/" TargetMode="External"/><Relationship Id="rId23" Type="http://schemas.openxmlformats.org/officeDocument/2006/relationships/hyperlink" Target="https://ia801609.us.archive.org/14/items/the-data-warehouse-toolkit-kimball/The%20Data%20Warehouse%20Toolkit%20-%20Kimball.pdf" TargetMode="External"/><Relationship Id="rId28" Type="http://schemas.openxmlformats.org/officeDocument/2006/relationships/hyperlink" Target="https://sranalytics.io/blog/business-intelligence-and-analytics-trends-2025/" TargetMode="External"/><Relationship Id="rId36" Type="http://schemas.openxmlformats.org/officeDocument/2006/relationships/hyperlink" Target="https://experionglobal.com/power-bi-integration/" TargetMode="External"/><Relationship Id="rId10" Type="http://schemas.openxmlformats.org/officeDocument/2006/relationships/hyperlink" Target="https://www.tandfonline.com/doi/pdf/10.1080/17477778.2025.2508245" TargetMode="External"/><Relationship Id="rId19" Type="http://schemas.openxmlformats.org/officeDocument/2006/relationships/hyperlink" Target="https://www.ibm.com/products/spss-statistics/features" TargetMode="External"/><Relationship Id="rId31" Type="http://schemas.openxmlformats.org/officeDocument/2006/relationships/hyperlink" Target="https://www.upgrad.com/blog/regression-in-data-mining/" TargetMode="External"/><Relationship Id="rId4" Type="http://schemas.openxmlformats.org/officeDocument/2006/relationships/settings" Target="settings.xml"/><Relationship Id="rId9" Type="http://schemas.openxmlformats.org/officeDocument/2006/relationships/hyperlink" Target="https://corporate.asda.com/our-story/our-history" TargetMode="External"/><Relationship Id="rId14" Type="http://schemas.openxmlformats.org/officeDocument/2006/relationships/hyperlink" Target="https://www.reuters.com/world/uk/uks-asda-warns-sales-hit-completion-walmart-it-separation-2025-08-28/" TargetMode="External"/><Relationship Id="rId22" Type="http://schemas.openxmlformats.org/officeDocument/2006/relationships/hyperlink" Target="https://www.ibm.com/think/topics/data-warehouse" TargetMode="External"/><Relationship Id="rId27" Type="http://schemas.openxmlformats.org/officeDocument/2006/relationships/hyperlink" Target="https://cdn.intechopen.com/pdfs/13179/InTech-Data_mining_machine_learning_and_statistical_techniques.pdf" TargetMode="External"/><Relationship Id="rId30" Type="http://schemas.openxmlformats.org/officeDocument/2006/relationships/hyperlink" Target="https://www.sensormatic.com/en_uk/resources/cs/2019/case-study-sensormatic_asda" TargetMode="External"/><Relationship Id="rId35" Type="http://schemas.openxmlformats.org/officeDocument/2006/relationships/hyperlink" Target="https://id4d.worldbank.org/guide/data-protection-and-privacy-laws" TargetMode="External"/><Relationship Id="rId8" Type="http://schemas.openxmlformats.org/officeDocument/2006/relationships/hyperlink" Target="https://www.scielo.cl/pdf/jtaer/v9n1/art01.pdf" TargetMode="External"/><Relationship Id="rId3" Type="http://schemas.openxmlformats.org/officeDocument/2006/relationships/styles" Target="styles.xml"/><Relationship Id="rId12" Type="http://schemas.openxmlformats.org/officeDocument/2006/relationships/hyperlink" Target="https://irispublishers.com/ijebm/pdf/IJEBM.MS.ID.000517.pdf" TargetMode="External"/><Relationship Id="rId17" Type="http://schemas.openxmlformats.org/officeDocument/2006/relationships/hyperlink" Target="https://retail-systems.com/rs/ASDA_Deepens_Microsoft_Partnership.php" TargetMode="External"/><Relationship Id="rId25" Type="http://schemas.openxmlformats.org/officeDocument/2006/relationships/hyperlink" Target="https://www.researchgate.net/publication/370944107_The_Role_of_Business_Intelligence_Tools_in_the_Decision_Making_Process_and_Performance" TargetMode="External"/><Relationship Id="rId33" Type="http://schemas.openxmlformats.org/officeDocument/2006/relationships/hyperlink" Target="https://siraconsultinginc.com/data-governance-in-power-bi-policies-every-organization-needs/" TargetMode="External"/><Relationship Id="rId38" Type="http://schemas.openxmlformats.org/officeDocument/2006/relationships/hyperlink" Target="https://papers.ssrn.com/sol3/papers.cfm?abstract_id=5259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A383E2-99EA-4871-BFFC-D5FB75FE8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1903</TotalTime>
  <Pages>14</Pages>
  <Words>4010</Words>
  <Characters>23342</Characters>
  <Application>Microsoft Office Word</Application>
  <DocSecurity>0</DocSecurity>
  <Lines>686</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Doncheva (2411732)</dc:creator>
  <cp:keywords/>
  <dc:description/>
  <cp:lastModifiedBy>Greta Doncheva (2411732)</cp:lastModifiedBy>
  <cp:revision>22</cp:revision>
  <dcterms:created xsi:type="dcterms:W3CDTF">2025-11-18T13:58:00Z</dcterms:created>
  <dcterms:modified xsi:type="dcterms:W3CDTF">2025-11-20T00:32:00Z</dcterms:modified>
</cp:coreProperties>
</file>