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8DDAF" w14:textId="2FC4CACE" w:rsidR="003F2CFA" w:rsidRPr="002B0F97" w:rsidRDefault="003F2CFA" w:rsidP="003F2CFA">
      <w:pPr>
        <w:jc w:val="center"/>
        <w:rPr>
          <w:rFonts w:ascii="Times New Roman" w:hAnsi="Times New Roman" w:cs="Times New Roman"/>
          <w:b/>
          <w:bCs/>
          <w:sz w:val="28"/>
          <w:szCs w:val="28"/>
        </w:rPr>
      </w:pPr>
      <w:r w:rsidRPr="002B0F97">
        <w:rPr>
          <w:b/>
          <w:bCs/>
          <w:sz w:val="28"/>
          <w:szCs w:val="28"/>
        </w:rPr>
        <w:t>T</w:t>
      </w:r>
      <w:r w:rsidRPr="002B0F97">
        <w:rPr>
          <w:rFonts w:ascii="Times New Roman" w:hAnsi="Times New Roman" w:cs="Times New Roman"/>
          <w:b/>
          <w:bCs/>
          <w:sz w:val="28"/>
          <w:szCs w:val="28"/>
        </w:rPr>
        <w:t xml:space="preserve">OPIC: </w:t>
      </w:r>
      <w:r>
        <w:rPr>
          <w:rFonts w:ascii="Times New Roman" w:hAnsi="Times New Roman" w:cs="Times New Roman"/>
          <w:b/>
          <w:bCs/>
          <w:sz w:val="28"/>
          <w:szCs w:val="28"/>
        </w:rPr>
        <w:t>A Life Course Approach to Heath</w:t>
      </w:r>
    </w:p>
    <w:p w14:paraId="277D87E0" w14:textId="77777777" w:rsidR="003F2CFA" w:rsidRPr="003F2CFA" w:rsidRDefault="003F2CFA" w:rsidP="003F2CFA">
      <w:pPr>
        <w:jc w:val="center"/>
        <w:rPr>
          <w:rFonts w:ascii="Times New Roman" w:hAnsi="Times New Roman" w:cs="Times New Roman"/>
          <w:b/>
          <w:bCs/>
          <w:sz w:val="28"/>
          <w:szCs w:val="28"/>
          <w:lang w:val="nl-NL"/>
        </w:rPr>
      </w:pPr>
      <w:r w:rsidRPr="003F2CFA">
        <w:rPr>
          <w:b/>
          <w:bCs/>
          <w:sz w:val="28"/>
          <w:szCs w:val="28"/>
          <w:lang w:val="nl-NL"/>
        </w:rPr>
        <w:t xml:space="preserve">Name: </w:t>
      </w:r>
      <w:proofErr w:type="spellStart"/>
      <w:r w:rsidRPr="003F2CFA">
        <w:rPr>
          <w:b/>
          <w:bCs/>
          <w:sz w:val="28"/>
          <w:szCs w:val="28"/>
          <w:lang w:val="nl-NL"/>
        </w:rPr>
        <w:t>Sia</w:t>
      </w:r>
      <w:proofErr w:type="spellEnd"/>
      <w:r w:rsidRPr="003F2CFA">
        <w:rPr>
          <w:b/>
          <w:bCs/>
          <w:sz w:val="28"/>
          <w:szCs w:val="28"/>
          <w:lang w:val="nl-NL"/>
        </w:rPr>
        <w:t xml:space="preserve"> </w:t>
      </w:r>
      <w:proofErr w:type="spellStart"/>
      <w:r w:rsidRPr="003F2CFA">
        <w:rPr>
          <w:b/>
          <w:bCs/>
          <w:sz w:val="28"/>
          <w:szCs w:val="28"/>
          <w:lang w:val="nl-NL"/>
        </w:rPr>
        <w:t>Koroma</w:t>
      </w:r>
      <w:proofErr w:type="spellEnd"/>
      <w:r w:rsidRPr="003F2CFA">
        <w:rPr>
          <w:sz w:val="28"/>
          <w:szCs w:val="28"/>
          <w:lang w:val="nl-NL"/>
        </w:rPr>
        <w:br/>
      </w:r>
      <w:r w:rsidRPr="003F2CFA">
        <w:rPr>
          <w:b/>
          <w:bCs/>
          <w:sz w:val="28"/>
          <w:szCs w:val="28"/>
          <w:lang w:val="nl-NL"/>
        </w:rPr>
        <w:t xml:space="preserve">  Student ID: 2411195</w:t>
      </w:r>
    </w:p>
    <w:p w14:paraId="1F0A98E9" w14:textId="77777777" w:rsidR="003F2CFA" w:rsidRPr="003F2CFA" w:rsidRDefault="003F2CFA" w:rsidP="003F2CFA">
      <w:pPr>
        <w:jc w:val="center"/>
        <w:rPr>
          <w:rFonts w:ascii="Times New Roman" w:hAnsi="Times New Roman" w:cs="Times New Roman"/>
          <w:b/>
          <w:bCs/>
          <w:lang w:val="nl-NL"/>
        </w:rPr>
      </w:pPr>
    </w:p>
    <w:p w14:paraId="1B976043" w14:textId="29222C4F" w:rsidR="00E43F5C" w:rsidRPr="00DF453F" w:rsidRDefault="00EF2E2F" w:rsidP="00EF2E2F">
      <w:pPr>
        <w:rPr>
          <w:rFonts w:ascii="Times New Roman" w:hAnsi="Times New Roman" w:cs="Times New Roman"/>
          <w:b/>
          <w:bCs/>
        </w:rPr>
      </w:pPr>
      <w:r w:rsidRPr="00DF453F">
        <w:rPr>
          <w:rFonts w:ascii="Times New Roman" w:hAnsi="Times New Roman" w:cs="Times New Roman"/>
          <w:b/>
          <w:bCs/>
        </w:rPr>
        <w:t xml:space="preserve">Introduction </w:t>
      </w:r>
    </w:p>
    <w:p w14:paraId="16CD80D6" w14:textId="77777777" w:rsidR="00E43F5C" w:rsidRPr="00DF453F" w:rsidRDefault="00E43F5C" w:rsidP="00EF2E2F">
      <w:pPr>
        <w:rPr>
          <w:rFonts w:ascii="Times New Roman" w:hAnsi="Times New Roman" w:cs="Times New Roman"/>
        </w:rPr>
      </w:pPr>
      <w:r w:rsidRPr="00DF453F">
        <w:rPr>
          <w:rFonts w:ascii="Times New Roman" w:hAnsi="Times New Roman" w:cs="Times New Roman"/>
        </w:rPr>
        <w:t>A person's health and well-being are influenced throughout their life and are not just decided by their personal decisions.  The life course approach to health recognises that biological, behavioural, and social factors interact throughout time and influence outcomes from early development through to old age.  This viewpoint emphasises that health is a cumulative phenomenon and that early life experiences, lifestyle decisions, and the larger social environment can all contribute to the emergence and exacerbation of wellbeing disparities.</w:t>
      </w:r>
    </w:p>
    <w:p w14:paraId="7776EF5E" w14:textId="77777777" w:rsidR="00E43F5C" w:rsidRPr="00DF453F" w:rsidRDefault="00E43F5C" w:rsidP="00EF2E2F">
      <w:pPr>
        <w:rPr>
          <w:rFonts w:ascii="Times New Roman" w:hAnsi="Times New Roman" w:cs="Times New Roman"/>
        </w:rPr>
      </w:pPr>
      <w:r w:rsidRPr="00DF453F">
        <w:rPr>
          <w:rFonts w:ascii="Times New Roman" w:hAnsi="Times New Roman" w:cs="Times New Roman"/>
        </w:rPr>
        <w:t>Better health outcomes later in life are a result of early childhood interventions, supportive adolescent environments, and healthy behaviours carried into adulthood.  On the other hand, risk factors such a poor diet, inactivity, mental health issues, and unfavourable social circumstances can have long-term effects on one's physical and mental health.</w:t>
      </w:r>
    </w:p>
    <w:p w14:paraId="17AC29B3" w14:textId="7EBFC033" w:rsidR="00EF2E2F" w:rsidRPr="00DF453F" w:rsidRDefault="00E43F5C" w:rsidP="00EF2E2F">
      <w:pPr>
        <w:rPr>
          <w:rFonts w:ascii="Times New Roman" w:hAnsi="Times New Roman" w:cs="Times New Roman"/>
        </w:rPr>
      </w:pPr>
      <w:r w:rsidRPr="00DF453F">
        <w:rPr>
          <w:rFonts w:ascii="Times New Roman" w:hAnsi="Times New Roman" w:cs="Times New Roman"/>
        </w:rPr>
        <w:t xml:space="preserve">The impact of lifestyle decisions and social determinants of health at different phases of life on long-term health and wellbeing is critically examined in this report.  It will look at how early life experiences, nutrition, physical activity, mental health, and social factors affect health outcomes at the individual and population levels at several important stages, including early childhood, adolescence, adulthood, and older age, using the UK context and the life course approach as a framework.  Additionally, the report will emphasise how tackling inequities at every level can result in more </w:t>
      </w:r>
      <w:r w:rsidR="00DF453F" w:rsidRPr="00DF453F">
        <w:rPr>
          <w:rFonts w:ascii="Times New Roman" w:hAnsi="Times New Roman" w:cs="Times New Roman"/>
        </w:rPr>
        <w:t>fair</w:t>
      </w:r>
      <w:r w:rsidRPr="00DF453F">
        <w:rPr>
          <w:rFonts w:ascii="Times New Roman" w:hAnsi="Times New Roman" w:cs="Times New Roman"/>
        </w:rPr>
        <w:t xml:space="preserve"> and healthful lives.</w:t>
      </w:r>
    </w:p>
    <w:p w14:paraId="0A69AB5A" w14:textId="77777777" w:rsidR="003F2CFA" w:rsidRDefault="00EF2E2F" w:rsidP="00EF2E2F">
      <w:pPr>
        <w:rPr>
          <w:rFonts w:ascii="Times New Roman" w:hAnsi="Times New Roman" w:cs="Times New Roman"/>
          <w:b/>
          <w:bCs/>
        </w:rPr>
      </w:pPr>
      <w:r w:rsidRPr="00DF453F">
        <w:rPr>
          <w:rFonts w:ascii="Times New Roman" w:hAnsi="Times New Roman" w:cs="Times New Roman"/>
          <w:b/>
          <w:bCs/>
        </w:rPr>
        <w:t xml:space="preserve">1: Early Life Experiences (Pre-birth to Age 5) </w:t>
      </w:r>
    </w:p>
    <w:p w14:paraId="0F54E261" w14:textId="2106514D" w:rsidR="00EF2E2F" w:rsidRPr="00DF453F" w:rsidRDefault="00E43F5C" w:rsidP="00EF2E2F">
      <w:pPr>
        <w:rPr>
          <w:rFonts w:ascii="Times New Roman" w:hAnsi="Times New Roman" w:cs="Times New Roman"/>
        </w:rPr>
      </w:pPr>
      <w:r w:rsidRPr="00DF453F">
        <w:rPr>
          <w:rFonts w:ascii="Times New Roman" w:hAnsi="Times New Roman" w:cs="Times New Roman"/>
        </w:rPr>
        <w:t>Early experiences have a significant impact on a person's health and wellbeing throughout their life, especially from conception to age five.  The life course concept holds that exposures at this delicate time have a long-term effect on behaviour, emotional development, and biological systems.  These early foundations affect adult social results and vulnerability to chronic diseases in addition to acute health.</w:t>
      </w:r>
    </w:p>
    <w:p w14:paraId="520435AF" w14:textId="212B3D90" w:rsidR="00EF2E2F" w:rsidRPr="00DF453F" w:rsidRDefault="00E43F5C" w:rsidP="00EF2E2F">
      <w:pPr>
        <w:rPr>
          <w:rFonts w:ascii="Times New Roman" w:hAnsi="Times New Roman" w:cs="Times New Roman"/>
        </w:rPr>
      </w:pPr>
      <w:r w:rsidRPr="00DF453F">
        <w:rPr>
          <w:rFonts w:ascii="Times New Roman" w:hAnsi="Times New Roman" w:cs="Times New Roman"/>
        </w:rPr>
        <w:t>According to the Barker Hypothesis, also referred to as the Developmental Origins of Health and Disease, low birth weight and altered foetal development might result from inadequate maternal nutrition and stress during pregnancy.  These alterations may raise the chance of later-life obesity, cardiovascular disease, and type 2 diabetes (Barker, 1998).</w:t>
      </w:r>
    </w:p>
    <w:p w14:paraId="541B8F50" w14:textId="3A972BE9" w:rsidR="00EF2E2F" w:rsidRPr="00DF453F" w:rsidRDefault="00E43F5C" w:rsidP="00EF2E2F">
      <w:pPr>
        <w:rPr>
          <w:rFonts w:ascii="Times New Roman" w:hAnsi="Times New Roman" w:cs="Times New Roman"/>
        </w:rPr>
      </w:pPr>
      <w:r w:rsidRPr="00DF453F">
        <w:rPr>
          <w:rFonts w:ascii="Times New Roman" w:hAnsi="Times New Roman" w:cs="Times New Roman"/>
        </w:rPr>
        <w:t>Breastfeeding and other forms of nutrition during infancy have been associated with improved immune function and a lower risk of obesity (World Health Organisation, 2020).  Healthy emotional development and resilience also depend on early attachment and supportive carer interactions.  Abuse, neglect, and exposure to domestic violence are examples of Adverse Childhood Experiences (ACEs) that have been closely linked to long-</w:t>
      </w:r>
      <w:r w:rsidRPr="00DF453F">
        <w:rPr>
          <w:rFonts w:ascii="Times New Roman" w:hAnsi="Times New Roman" w:cs="Times New Roman"/>
        </w:rPr>
        <w:lastRenderedPageBreak/>
        <w:t>term effects on mental health, substance abuse, and physical illness (Public Health Wales, 2015).</w:t>
      </w:r>
    </w:p>
    <w:p w14:paraId="509AAA80" w14:textId="77777777" w:rsidR="00E43F5C" w:rsidRPr="00DF453F" w:rsidRDefault="00E43F5C" w:rsidP="00E43F5C">
      <w:pPr>
        <w:rPr>
          <w:rFonts w:ascii="Times New Roman" w:hAnsi="Times New Roman" w:cs="Times New Roman"/>
        </w:rPr>
      </w:pPr>
      <w:r w:rsidRPr="00DF453F">
        <w:rPr>
          <w:rFonts w:ascii="Times New Roman" w:hAnsi="Times New Roman" w:cs="Times New Roman"/>
        </w:rPr>
        <w:t>Children from poorer socioeconomic families in the UK have more deprivation, substandard housing, and restricted access to early education and wholesome food, all of which might impede their ability to develop normally (Marmot, 2010).  This is in line with the idea of socioeconomic determinants of health, which holds that inequality and structural issues lead to differences in long-term results.</w:t>
      </w:r>
    </w:p>
    <w:p w14:paraId="588BD26E" w14:textId="77777777" w:rsidR="00E43F5C" w:rsidRPr="00DF453F" w:rsidRDefault="00E43F5C" w:rsidP="00E43F5C">
      <w:pPr>
        <w:rPr>
          <w:rFonts w:ascii="Times New Roman" w:hAnsi="Times New Roman" w:cs="Times New Roman"/>
        </w:rPr>
      </w:pPr>
    </w:p>
    <w:p w14:paraId="04E2FD34" w14:textId="77777777" w:rsidR="00E43F5C" w:rsidRPr="00DF453F" w:rsidRDefault="00E43F5C" w:rsidP="00E43F5C">
      <w:pPr>
        <w:rPr>
          <w:rFonts w:ascii="Times New Roman" w:hAnsi="Times New Roman" w:cs="Times New Roman"/>
        </w:rPr>
      </w:pPr>
      <w:r w:rsidRPr="00DF453F">
        <w:rPr>
          <w:rFonts w:ascii="Times New Roman" w:hAnsi="Times New Roman" w:cs="Times New Roman"/>
        </w:rPr>
        <w:t xml:space="preserve"> Access to high-quality early childhood education, maternal mental health care, and nutritional support are examples of early interventions that can lower these risks and improve lifelong outcomes.</w:t>
      </w:r>
    </w:p>
    <w:p w14:paraId="77411BEF" w14:textId="77777777" w:rsidR="00DF453F" w:rsidRPr="00DF453F" w:rsidRDefault="00EF2E2F" w:rsidP="00EF2E2F">
      <w:pPr>
        <w:rPr>
          <w:rFonts w:ascii="Times New Roman" w:hAnsi="Times New Roman" w:cs="Times New Roman"/>
          <w:b/>
          <w:bCs/>
        </w:rPr>
      </w:pPr>
      <w:r w:rsidRPr="00DF453F">
        <w:rPr>
          <w:rFonts w:ascii="Times New Roman" w:hAnsi="Times New Roman" w:cs="Times New Roman"/>
          <w:b/>
          <w:bCs/>
        </w:rPr>
        <w:t xml:space="preserve">2: Adolescence and Emerging Adulthood (Age 11–25) </w:t>
      </w:r>
    </w:p>
    <w:p w14:paraId="230E46B9" w14:textId="08712264" w:rsidR="00EF2E2F" w:rsidRPr="00DF453F" w:rsidRDefault="00E43F5C" w:rsidP="00EF2E2F">
      <w:pPr>
        <w:rPr>
          <w:rFonts w:ascii="Times New Roman" w:hAnsi="Times New Roman" w:cs="Times New Roman"/>
        </w:rPr>
      </w:pPr>
      <w:r w:rsidRPr="00DF453F">
        <w:rPr>
          <w:rFonts w:ascii="Times New Roman" w:hAnsi="Times New Roman" w:cs="Times New Roman"/>
        </w:rPr>
        <w:t>Rapid physical, emotional, and cognitive development characterises adolescence and the early years of adulthood, which are crucial life phases.  Many lifestyle choices, including those related to diet, exercise, sleep patterns, and risky conduct, are developed during this time and can have long-term health effects as an adult (Sawyer et al., 2012).</w:t>
      </w:r>
    </w:p>
    <w:p w14:paraId="45B81B1B" w14:textId="226727A3" w:rsidR="00EF2E2F" w:rsidRPr="00DF453F" w:rsidRDefault="00E43F5C" w:rsidP="00EF2E2F">
      <w:pPr>
        <w:rPr>
          <w:rFonts w:ascii="Times New Roman" w:hAnsi="Times New Roman" w:cs="Times New Roman"/>
        </w:rPr>
      </w:pPr>
      <w:r w:rsidRPr="00DF453F">
        <w:rPr>
          <w:rFonts w:ascii="Times New Roman" w:hAnsi="Times New Roman" w:cs="Times New Roman"/>
        </w:rPr>
        <w:t>Teenagers start to make more decisions on their own, which may or may not have a beneficial impact on their health.  Young people in the UK are increasingly leading sedentary lifestyles and eating poorly.  Only about 18% of boys and 10% of girls between the ages of 13 and 15 fulfilled the necessary physical activity criteria, according to the Health Survey for England (2021).  Increased obesity rates are also a result of the intake of processed meals and sugar-filled beverages.</w:t>
      </w:r>
    </w:p>
    <w:p w14:paraId="3EA6AE4A" w14:textId="03A0AA11" w:rsidR="00EF2E2F" w:rsidRPr="00DF453F" w:rsidRDefault="00E43F5C" w:rsidP="00EF2E2F">
      <w:pPr>
        <w:rPr>
          <w:rFonts w:ascii="Times New Roman" w:hAnsi="Times New Roman" w:cs="Times New Roman"/>
        </w:rPr>
      </w:pPr>
      <w:r w:rsidRPr="00DF453F">
        <w:rPr>
          <w:rFonts w:ascii="Times New Roman" w:hAnsi="Times New Roman" w:cs="Times New Roman"/>
        </w:rPr>
        <w:t xml:space="preserve">At this point, mental health is still another important problem.  A likely mental health condition affects one in six children and young people in England, according to NHS Digital (2021).  Psychological wellness is greatly influenced by </w:t>
      </w:r>
      <w:r w:rsidR="00DF453F" w:rsidRPr="00DF453F">
        <w:rPr>
          <w:rFonts w:ascii="Times New Roman" w:hAnsi="Times New Roman" w:cs="Times New Roman"/>
        </w:rPr>
        <w:t>several</w:t>
      </w:r>
      <w:r w:rsidRPr="00DF453F">
        <w:rPr>
          <w:rFonts w:ascii="Times New Roman" w:hAnsi="Times New Roman" w:cs="Times New Roman"/>
        </w:rPr>
        <w:t xml:space="preserve"> factors, including familial stress, bullying, social media, and academic pressure.  These can have long-term effects including substance abuse, self-harm, or unemployment if they are not treated.</w:t>
      </w:r>
    </w:p>
    <w:p w14:paraId="12DD8CBA" w14:textId="719FE8A4" w:rsidR="00EF2E2F" w:rsidRPr="00DF453F" w:rsidRDefault="00E43F5C" w:rsidP="00EF2E2F">
      <w:pPr>
        <w:rPr>
          <w:rFonts w:ascii="Times New Roman" w:hAnsi="Times New Roman" w:cs="Times New Roman"/>
        </w:rPr>
      </w:pPr>
      <w:r w:rsidRPr="00DF453F">
        <w:rPr>
          <w:rFonts w:ascii="Times New Roman" w:hAnsi="Times New Roman" w:cs="Times New Roman"/>
        </w:rPr>
        <w:t>Adolescent health is also influenced by social variables, including neighbourhood safety, home income, and the quality of schooling.  Poor health outcomes, both now and in the future, are more likely to be experienced by young people who grow up in underprivileged neighbourhoods (Marmot, 2010).</w:t>
      </w:r>
    </w:p>
    <w:p w14:paraId="524BF846" w14:textId="1ACBC679" w:rsidR="00EF2E2F" w:rsidRPr="00DF453F" w:rsidRDefault="00E43F5C" w:rsidP="00EF2E2F">
      <w:pPr>
        <w:rPr>
          <w:rFonts w:ascii="Times New Roman" w:hAnsi="Times New Roman" w:cs="Times New Roman"/>
          <w:b/>
          <w:bCs/>
        </w:rPr>
      </w:pPr>
      <w:r w:rsidRPr="00DF453F">
        <w:rPr>
          <w:rFonts w:ascii="Times New Roman" w:hAnsi="Times New Roman" w:cs="Times New Roman"/>
        </w:rPr>
        <w:t>Strong peer and family support, inclusive education, juvenile mental health services, and physical activity opportunities are protective factors throughout this stage.  Teenagers' prospects of leading fulfilling lives well into adulthood can be greatly increased by helping them develop wholesome routines, emotional stability, and a sense of community.</w:t>
      </w:r>
    </w:p>
    <w:p w14:paraId="05D9AED6" w14:textId="77777777" w:rsidR="00EF2E2F" w:rsidRPr="00DF453F" w:rsidRDefault="00EF2E2F" w:rsidP="00EF2E2F">
      <w:pPr>
        <w:rPr>
          <w:rFonts w:ascii="Times New Roman" w:hAnsi="Times New Roman" w:cs="Times New Roman"/>
          <w:b/>
          <w:bCs/>
        </w:rPr>
      </w:pPr>
    </w:p>
    <w:p w14:paraId="0B14F05B" w14:textId="77777777" w:rsidR="00EF2E2F" w:rsidRPr="00DF453F" w:rsidRDefault="00EF2E2F" w:rsidP="00EF2E2F">
      <w:pPr>
        <w:rPr>
          <w:rFonts w:ascii="Times New Roman" w:hAnsi="Times New Roman" w:cs="Times New Roman"/>
          <w:b/>
          <w:bCs/>
        </w:rPr>
      </w:pPr>
    </w:p>
    <w:p w14:paraId="6AA33D00" w14:textId="77777777" w:rsidR="00EF2E2F" w:rsidRPr="00DF453F" w:rsidRDefault="00EF2E2F" w:rsidP="00EF2E2F">
      <w:pPr>
        <w:rPr>
          <w:rFonts w:ascii="Times New Roman" w:hAnsi="Times New Roman" w:cs="Times New Roman"/>
          <w:b/>
          <w:bCs/>
        </w:rPr>
      </w:pPr>
    </w:p>
    <w:p w14:paraId="16875A85" w14:textId="06694C31" w:rsidR="00EF2E2F" w:rsidRPr="00DF453F" w:rsidRDefault="00EF2E2F" w:rsidP="00EF2E2F">
      <w:pPr>
        <w:rPr>
          <w:rFonts w:ascii="Times New Roman" w:hAnsi="Times New Roman" w:cs="Times New Roman"/>
          <w:b/>
          <w:bCs/>
        </w:rPr>
      </w:pPr>
      <w:r w:rsidRPr="00DF453F">
        <w:rPr>
          <w:rFonts w:ascii="Times New Roman" w:hAnsi="Times New Roman" w:cs="Times New Roman"/>
          <w:b/>
          <w:bCs/>
        </w:rPr>
        <w:t xml:space="preserve">3 Adulthood and Lifestyle Choices (Age 25–64) </w:t>
      </w:r>
    </w:p>
    <w:p w14:paraId="1410487D" w14:textId="575F6AE7" w:rsidR="00EF2E2F" w:rsidRPr="00DF453F" w:rsidRDefault="00E43F5C" w:rsidP="00EF2E2F">
      <w:pPr>
        <w:rPr>
          <w:rFonts w:ascii="Times New Roman" w:hAnsi="Times New Roman" w:cs="Times New Roman"/>
        </w:rPr>
      </w:pPr>
      <w:r w:rsidRPr="00DF453F">
        <w:rPr>
          <w:rFonts w:ascii="Times New Roman" w:hAnsi="Times New Roman" w:cs="Times New Roman"/>
        </w:rPr>
        <w:t xml:space="preserve">The longest and </w:t>
      </w:r>
      <w:r w:rsidR="00DF453F" w:rsidRPr="00DF453F">
        <w:rPr>
          <w:rFonts w:ascii="Times New Roman" w:hAnsi="Times New Roman" w:cs="Times New Roman"/>
        </w:rPr>
        <w:t>often</w:t>
      </w:r>
      <w:r w:rsidRPr="00DF453F">
        <w:rPr>
          <w:rFonts w:ascii="Times New Roman" w:hAnsi="Times New Roman" w:cs="Times New Roman"/>
        </w:rPr>
        <w:t xml:space="preserve"> most taxing stage of life is adulthood, when accumulated exposures from </w:t>
      </w:r>
      <w:r w:rsidR="00DF453F" w:rsidRPr="00DF453F">
        <w:rPr>
          <w:rFonts w:ascii="Times New Roman" w:hAnsi="Times New Roman" w:cs="Times New Roman"/>
        </w:rPr>
        <w:t>earlier</w:t>
      </w:r>
      <w:r w:rsidRPr="00DF453F">
        <w:rPr>
          <w:rFonts w:ascii="Times New Roman" w:hAnsi="Times New Roman" w:cs="Times New Roman"/>
        </w:rPr>
        <w:t xml:space="preserve"> stages and lifestyle decisions start to show more obviously in health outcomes.  People </w:t>
      </w:r>
      <w:r w:rsidR="00DF453F" w:rsidRPr="00DF453F">
        <w:rPr>
          <w:rFonts w:ascii="Times New Roman" w:hAnsi="Times New Roman" w:cs="Times New Roman"/>
        </w:rPr>
        <w:t>often</w:t>
      </w:r>
      <w:r w:rsidRPr="00DF453F">
        <w:rPr>
          <w:rFonts w:ascii="Times New Roman" w:hAnsi="Times New Roman" w:cs="Times New Roman"/>
        </w:rPr>
        <w:t xml:space="preserve"> balance job, family, and financial obligations during this time, all of which have an impact on their wellbeing and health-related behaviours.</w:t>
      </w:r>
    </w:p>
    <w:p w14:paraId="1CA2225D" w14:textId="473C2B56" w:rsidR="00EF2E2F" w:rsidRPr="00DF453F" w:rsidRDefault="00E43F5C" w:rsidP="00EF2E2F">
      <w:pPr>
        <w:rPr>
          <w:rFonts w:ascii="Times New Roman" w:hAnsi="Times New Roman" w:cs="Times New Roman"/>
        </w:rPr>
      </w:pPr>
      <w:r w:rsidRPr="00DF453F">
        <w:rPr>
          <w:rFonts w:ascii="Times New Roman" w:hAnsi="Times New Roman" w:cs="Times New Roman"/>
        </w:rPr>
        <w:t xml:space="preserve">Non-communicable diseases like cardiovascular disease, type 2 diabetes, and some types of cancer are </w:t>
      </w:r>
      <w:r w:rsidR="00DF453F" w:rsidRPr="00DF453F">
        <w:rPr>
          <w:rFonts w:ascii="Times New Roman" w:hAnsi="Times New Roman" w:cs="Times New Roman"/>
        </w:rPr>
        <w:t>often</w:t>
      </w:r>
      <w:r w:rsidRPr="00DF453F">
        <w:rPr>
          <w:rFonts w:ascii="Times New Roman" w:hAnsi="Times New Roman" w:cs="Times New Roman"/>
        </w:rPr>
        <w:t xml:space="preserve"> caused by unhealthy lifestyle choices like smoking, excessive alcohol consumption, poor food, and physical inactivity.  Approximately 63% of individuals in the UK are overweight or obese (NHS Digital, 2022), primarily </w:t>
      </w:r>
      <w:r w:rsidR="00DF453F" w:rsidRPr="00DF453F">
        <w:rPr>
          <w:rFonts w:ascii="Times New Roman" w:hAnsi="Times New Roman" w:cs="Times New Roman"/>
        </w:rPr>
        <w:t>because of</w:t>
      </w:r>
      <w:r w:rsidRPr="00DF453F">
        <w:rPr>
          <w:rFonts w:ascii="Times New Roman" w:hAnsi="Times New Roman" w:cs="Times New Roman"/>
        </w:rPr>
        <w:t xml:space="preserve"> sedentary lifestyles and high-calorie meals.  In maturity, it becomes increasingly challenging to break these tendencies, which </w:t>
      </w:r>
      <w:r w:rsidR="00DF453F" w:rsidRPr="00DF453F">
        <w:rPr>
          <w:rFonts w:ascii="Times New Roman" w:hAnsi="Times New Roman" w:cs="Times New Roman"/>
        </w:rPr>
        <w:t>often</w:t>
      </w:r>
      <w:r w:rsidRPr="00DF453F">
        <w:rPr>
          <w:rFonts w:ascii="Times New Roman" w:hAnsi="Times New Roman" w:cs="Times New Roman"/>
        </w:rPr>
        <w:t xml:space="preserve"> start earlier in life.</w:t>
      </w:r>
    </w:p>
    <w:p w14:paraId="78FD0FBA" w14:textId="36518DD5" w:rsidR="00EF2E2F" w:rsidRPr="00DF453F" w:rsidRDefault="00E43F5C" w:rsidP="00EF2E2F">
      <w:pPr>
        <w:rPr>
          <w:rFonts w:ascii="Times New Roman" w:hAnsi="Times New Roman" w:cs="Times New Roman"/>
        </w:rPr>
      </w:pPr>
      <w:r w:rsidRPr="00DF453F">
        <w:rPr>
          <w:rFonts w:ascii="Times New Roman" w:hAnsi="Times New Roman" w:cs="Times New Roman"/>
        </w:rPr>
        <w:t xml:space="preserve">Both physical and mental health are </w:t>
      </w:r>
      <w:r w:rsidR="00DF453F" w:rsidRPr="00DF453F">
        <w:rPr>
          <w:rFonts w:ascii="Times New Roman" w:hAnsi="Times New Roman" w:cs="Times New Roman"/>
        </w:rPr>
        <w:t>affected</w:t>
      </w:r>
      <w:r w:rsidRPr="00DF453F">
        <w:rPr>
          <w:rFonts w:ascii="Times New Roman" w:hAnsi="Times New Roman" w:cs="Times New Roman"/>
        </w:rPr>
        <w:t xml:space="preserve"> by work-related stress, lengthy workdays, and a lack of work-life balance.  Anxiety, sadness, insomnia, and high blood pressure are all linked to chronic stress.  Over 875,000 UK workers reported experiencing stress, despair, or anxiety at work in the previous year, according to the Health and Safety Executive (2023), underscoring a serious public health issue.</w:t>
      </w:r>
    </w:p>
    <w:p w14:paraId="0C549987" w14:textId="24645B03" w:rsidR="00EF2E2F" w:rsidRPr="00DF453F" w:rsidRDefault="00E43F5C" w:rsidP="00EF2E2F">
      <w:pPr>
        <w:rPr>
          <w:rFonts w:ascii="Times New Roman" w:hAnsi="Times New Roman" w:cs="Times New Roman"/>
        </w:rPr>
      </w:pPr>
      <w:r w:rsidRPr="00DF453F">
        <w:rPr>
          <w:rFonts w:ascii="Times New Roman" w:hAnsi="Times New Roman" w:cs="Times New Roman"/>
        </w:rPr>
        <w:t>Adulthood is when health disparities are most noticeable.  In the UK, residents of underprivileged areas have worse health and pass away earlier than residents of more prosperous places.  Social factors, including housing quality, income, education, and access to health care, continue to influence health opportunities well into midlife, according to the Marmot Review (2010).</w:t>
      </w:r>
    </w:p>
    <w:p w14:paraId="173296C2" w14:textId="2E9D71AC" w:rsidR="00E43F5C" w:rsidRPr="00DF453F" w:rsidRDefault="00E43F5C" w:rsidP="00E43F5C">
      <w:pPr>
        <w:rPr>
          <w:rFonts w:ascii="Times New Roman" w:hAnsi="Times New Roman" w:cs="Times New Roman"/>
        </w:rPr>
      </w:pPr>
      <w:r w:rsidRPr="00DF453F">
        <w:rPr>
          <w:rFonts w:ascii="Times New Roman" w:hAnsi="Times New Roman" w:cs="Times New Roman"/>
        </w:rPr>
        <w:t xml:space="preserve">Another factor is gender; for instance, women may experience higher health burdens associated with caregiving responsibilities or socioeconomic deprivation, </w:t>
      </w:r>
      <w:r w:rsidR="00DF453F" w:rsidRPr="00DF453F">
        <w:rPr>
          <w:rFonts w:ascii="Times New Roman" w:hAnsi="Times New Roman" w:cs="Times New Roman"/>
        </w:rPr>
        <w:t>while</w:t>
      </w:r>
      <w:r w:rsidRPr="00DF453F">
        <w:rPr>
          <w:rFonts w:ascii="Times New Roman" w:hAnsi="Times New Roman" w:cs="Times New Roman"/>
        </w:rPr>
        <w:t xml:space="preserve"> men are statistically less likely to seek help for mental health issues.</w:t>
      </w:r>
    </w:p>
    <w:p w14:paraId="7584C6CE" w14:textId="5627608B" w:rsidR="00E43F5C" w:rsidRPr="00DF453F" w:rsidRDefault="00E43F5C" w:rsidP="00E43F5C">
      <w:pPr>
        <w:rPr>
          <w:rFonts w:ascii="Times New Roman" w:hAnsi="Times New Roman" w:cs="Times New Roman"/>
        </w:rPr>
      </w:pPr>
      <w:r w:rsidRPr="00DF453F">
        <w:rPr>
          <w:rFonts w:ascii="Times New Roman" w:hAnsi="Times New Roman" w:cs="Times New Roman"/>
        </w:rPr>
        <w:t xml:space="preserve"> Despite these obstacles, adulthood is also a time when making healthy lifestyle choices can greatly enhance long-term results.  Strong social ties, a healthy diet, regular exercise, and stress management can all lower the risk of disease and enhance quality of life.</w:t>
      </w:r>
    </w:p>
    <w:p w14:paraId="1E381F1C" w14:textId="01CBD56F" w:rsidR="00EF2E2F" w:rsidRPr="00DF453F" w:rsidRDefault="00E43F5C" w:rsidP="00E43F5C">
      <w:pPr>
        <w:rPr>
          <w:rFonts w:ascii="Times New Roman" w:hAnsi="Times New Roman" w:cs="Times New Roman"/>
          <w:b/>
          <w:bCs/>
        </w:rPr>
      </w:pPr>
      <w:r w:rsidRPr="00DF453F">
        <w:rPr>
          <w:rFonts w:ascii="Times New Roman" w:hAnsi="Times New Roman" w:cs="Times New Roman"/>
        </w:rPr>
        <w:t xml:space="preserve"> For people to live well and age healthily, health promotion tactics in adulthood—such as smoking cessation programs, workplace wellness efforts, and easier access to mental health support—are essential.</w:t>
      </w:r>
    </w:p>
    <w:p w14:paraId="48747548" w14:textId="4C125DAA" w:rsidR="00EF2E2F" w:rsidRPr="00DF453F" w:rsidRDefault="00EF2E2F" w:rsidP="00EF2E2F">
      <w:pPr>
        <w:rPr>
          <w:rFonts w:ascii="Times New Roman" w:hAnsi="Times New Roman" w:cs="Times New Roman"/>
          <w:b/>
          <w:bCs/>
        </w:rPr>
      </w:pPr>
      <w:r w:rsidRPr="00DF453F">
        <w:rPr>
          <w:rFonts w:ascii="Times New Roman" w:hAnsi="Times New Roman" w:cs="Times New Roman"/>
          <w:b/>
          <w:bCs/>
        </w:rPr>
        <w:t xml:space="preserve">Section 4: Older Age and Healthy Ageing (65+) </w:t>
      </w:r>
    </w:p>
    <w:p w14:paraId="7C450E16" w14:textId="43181A5A" w:rsidR="00E43F5C" w:rsidRPr="00DF453F" w:rsidRDefault="00E43F5C" w:rsidP="00EF2E2F">
      <w:pPr>
        <w:rPr>
          <w:rFonts w:ascii="Times New Roman" w:hAnsi="Times New Roman" w:cs="Times New Roman"/>
        </w:rPr>
      </w:pPr>
      <w:r w:rsidRPr="00DF453F">
        <w:rPr>
          <w:rFonts w:ascii="Times New Roman" w:hAnsi="Times New Roman" w:cs="Times New Roman"/>
        </w:rPr>
        <w:t>The cumulative consequences of lifestyle decisions and social circumstances are most noticeable in later life, which is a crucial stage in the life course.  Maintaining one's independence, sense of purpose, and quality of life as one ages is just as important as avoiding illness.  Healthy ageing, according to the World Health Organisation (2020), is "the process of developing and maintaining the functional ability that enables wellbeing in older age.</w:t>
      </w:r>
      <w:r w:rsidR="00DF453F">
        <w:rPr>
          <w:rFonts w:ascii="Times New Roman" w:hAnsi="Times New Roman" w:cs="Times New Roman"/>
        </w:rPr>
        <w:t xml:space="preserve"> </w:t>
      </w:r>
      <w:r w:rsidRPr="00DF453F">
        <w:rPr>
          <w:rFonts w:ascii="Times New Roman" w:hAnsi="Times New Roman" w:cs="Times New Roman"/>
        </w:rPr>
        <w:t>The UK's ageing population offers both opportunities and challenges for public health.  Though not always in good health, people are living longer.  The average healthy life expectancy at age 65 is slightly under 10 years, according to the Office for National Statistics (2021). This suggests that a sizable amount of later life may be devoted to managing disabilities or chronic diseases.</w:t>
      </w:r>
    </w:p>
    <w:p w14:paraId="5CBE9359" w14:textId="77777777" w:rsidR="00662313" w:rsidRPr="00DF453F" w:rsidRDefault="00662313" w:rsidP="00662313">
      <w:pPr>
        <w:rPr>
          <w:rFonts w:ascii="Times New Roman" w:hAnsi="Times New Roman" w:cs="Times New Roman"/>
        </w:rPr>
      </w:pPr>
      <w:r w:rsidRPr="00DF453F">
        <w:rPr>
          <w:rFonts w:ascii="Times New Roman" w:hAnsi="Times New Roman" w:cs="Times New Roman"/>
        </w:rPr>
        <w:t>The risk of age-related diseases including dementia, arthritis, and cardiovascular disease is greatly influenced by behaviours that occur earlier in life, such as smoking, not exercising, and eating poorly.  Even in older age, though, leading a healthier lifestyle can improve wellbeing, lower healthcare costs, and slow functional deterioration.</w:t>
      </w:r>
    </w:p>
    <w:p w14:paraId="2ACF1526" w14:textId="77777777" w:rsidR="00662313" w:rsidRPr="00DF453F" w:rsidRDefault="00662313" w:rsidP="00662313">
      <w:pPr>
        <w:rPr>
          <w:rFonts w:ascii="Times New Roman" w:hAnsi="Times New Roman" w:cs="Times New Roman"/>
        </w:rPr>
      </w:pPr>
      <w:r w:rsidRPr="00DF453F">
        <w:rPr>
          <w:rFonts w:ascii="Times New Roman" w:hAnsi="Times New Roman" w:cs="Times New Roman"/>
        </w:rPr>
        <w:t xml:space="preserve"> Social considerations are also very important.  According to Age UK (2020), loneliness and social isolation are prevalent among older persons and are linked to higher rates of death, depression, and cognitive impairment.  preserving relationships with others, taking part in</w:t>
      </w:r>
    </w:p>
    <w:p w14:paraId="2F6D18C8" w14:textId="77777777" w:rsidR="00662313" w:rsidRPr="00DF453F" w:rsidRDefault="00662313" w:rsidP="00662313">
      <w:pPr>
        <w:rPr>
          <w:rFonts w:ascii="Times New Roman" w:hAnsi="Times New Roman" w:cs="Times New Roman"/>
        </w:rPr>
      </w:pPr>
      <w:r w:rsidRPr="00DF453F">
        <w:rPr>
          <w:rFonts w:ascii="Times New Roman" w:hAnsi="Times New Roman" w:cs="Times New Roman"/>
        </w:rPr>
        <w:t>Participating in lifelong learning and community service are linked to improved health outcomes.</w:t>
      </w:r>
    </w:p>
    <w:p w14:paraId="0A035831" w14:textId="075C7F09" w:rsidR="00EF2E2F" w:rsidRPr="00DF453F" w:rsidRDefault="00662313" w:rsidP="00662313">
      <w:pPr>
        <w:rPr>
          <w:rFonts w:ascii="Times New Roman" w:hAnsi="Times New Roman" w:cs="Times New Roman"/>
          <w:b/>
          <w:bCs/>
        </w:rPr>
      </w:pPr>
      <w:r w:rsidRPr="00DF453F">
        <w:rPr>
          <w:rFonts w:ascii="Times New Roman" w:hAnsi="Times New Roman" w:cs="Times New Roman"/>
        </w:rPr>
        <w:t xml:space="preserve"> Age-friendly settings, accessible transportation, and supportive housing all contribute to older individuals' continued engagement and activity.  To guarantee that people can continue to have fulfilling, healthy lives as they age, public health initiatives that support autonomy and combat ageism are essential.</w:t>
      </w:r>
    </w:p>
    <w:p w14:paraId="124C5EE7" w14:textId="394FC880" w:rsidR="00EF2E2F" w:rsidRPr="00DF453F" w:rsidRDefault="00EF2E2F" w:rsidP="00EF2E2F">
      <w:pPr>
        <w:rPr>
          <w:rFonts w:ascii="Times New Roman" w:hAnsi="Times New Roman" w:cs="Times New Roman"/>
          <w:b/>
          <w:bCs/>
        </w:rPr>
      </w:pPr>
      <w:r w:rsidRPr="00DF453F">
        <w:rPr>
          <w:rFonts w:ascii="Times New Roman" w:hAnsi="Times New Roman" w:cs="Times New Roman"/>
          <w:b/>
          <w:bCs/>
        </w:rPr>
        <w:t xml:space="preserve"> Conclusion </w:t>
      </w:r>
    </w:p>
    <w:p w14:paraId="5B109D85" w14:textId="68501150" w:rsidR="00EF2E2F" w:rsidRPr="00DF453F" w:rsidRDefault="00662313" w:rsidP="00EF2E2F">
      <w:pPr>
        <w:rPr>
          <w:rFonts w:ascii="Times New Roman" w:hAnsi="Times New Roman" w:cs="Times New Roman"/>
        </w:rPr>
      </w:pPr>
      <w:r w:rsidRPr="00DF453F">
        <w:rPr>
          <w:rFonts w:ascii="Times New Roman" w:hAnsi="Times New Roman" w:cs="Times New Roman"/>
        </w:rPr>
        <w:t xml:space="preserve">All aspects of life influence health and well-being, with early experiences, lifestyle choices, and social circumstances all having a significant impact on long-term results.  The life course approach emphasises that opportunities and exposures throughout time, rather than single incidents, </w:t>
      </w:r>
      <w:r w:rsidR="00DF453F" w:rsidRPr="00DF453F">
        <w:rPr>
          <w:rFonts w:ascii="Times New Roman" w:hAnsi="Times New Roman" w:cs="Times New Roman"/>
        </w:rPr>
        <w:t>decide</w:t>
      </w:r>
      <w:r w:rsidRPr="00DF453F">
        <w:rPr>
          <w:rFonts w:ascii="Times New Roman" w:hAnsi="Times New Roman" w:cs="Times New Roman"/>
        </w:rPr>
        <w:t xml:space="preserve"> health.  Every stage of life presents opportunities to either lower or raise health risks, from early nutrition and prenatal care to later mental health </w:t>
      </w:r>
      <w:r w:rsidR="00DF453F" w:rsidRPr="00DF453F">
        <w:rPr>
          <w:rFonts w:ascii="Times New Roman" w:hAnsi="Times New Roman" w:cs="Times New Roman"/>
        </w:rPr>
        <w:t>aid</w:t>
      </w:r>
      <w:r w:rsidRPr="00DF453F">
        <w:rPr>
          <w:rFonts w:ascii="Times New Roman" w:hAnsi="Times New Roman" w:cs="Times New Roman"/>
        </w:rPr>
        <w:t xml:space="preserve"> and physical activity.  Improving population health requires addressing social injustices, encouraging healthy lifestyle choices, and helping people through life transitions.  We can guarantee that more people live longer, healthier, and more satisfying lives by implementing interventions and policies that are informed by life courses.</w:t>
      </w:r>
    </w:p>
    <w:p w14:paraId="2777EEE7" w14:textId="62EEA6FD" w:rsidR="00EF2E2F" w:rsidRPr="00EF2E2F" w:rsidRDefault="00EF2E2F" w:rsidP="00EF2E2F">
      <w:pPr>
        <w:rPr>
          <w:b/>
          <w:bCs/>
        </w:rPr>
      </w:pPr>
      <w:r w:rsidRPr="00EF2E2F">
        <w:rPr>
          <w:b/>
          <w:bCs/>
        </w:rPr>
        <w:t xml:space="preserve"> References </w:t>
      </w:r>
    </w:p>
    <w:p w14:paraId="3F14E9DC" w14:textId="169AB5B8" w:rsidR="00EF2E2F" w:rsidRPr="00EF2E2F" w:rsidRDefault="00EF2E2F" w:rsidP="00EF2E2F">
      <w:pPr>
        <w:numPr>
          <w:ilvl w:val="0"/>
          <w:numId w:val="1"/>
        </w:numPr>
      </w:pPr>
      <w:r w:rsidRPr="00EF2E2F">
        <w:t xml:space="preserve">Age UK (2020) </w:t>
      </w:r>
      <w:r w:rsidRPr="00EF2E2F">
        <w:rPr>
          <w:i/>
          <w:iCs/>
        </w:rPr>
        <w:t>The state of health and care of older people in England 2020</w:t>
      </w:r>
      <w:r w:rsidRPr="00EF2E2F">
        <w:t xml:space="preserve">.  Available at: </w:t>
      </w:r>
      <w:hyperlink r:id="rId5" w:history="1">
        <w:r w:rsidRPr="00EF2E2F">
          <w:rPr>
            <w:rStyle w:val="Hyperlink"/>
          </w:rPr>
          <w:t>https://www.ageuk.org.uk</w:t>
        </w:r>
      </w:hyperlink>
    </w:p>
    <w:p w14:paraId="205C83E0" w14:textId="77777777" w:rsidR="00EF2E2F" w:rsidRPr="00EF2E2F" w:rsidRDefault="00EF2E2F" w:rsidP="00EF2E2F">
      <w:pPr>
        <w:numPr>
          <w:ilvl w:val="0"/>
          <w:numId w:val="1"/>
        </w:numPr>
      </w:pPr>
      <w:r w:rsidRPr="00EF2E2F">
        <w:t xml:space="preserve">Barker, D. (1998) </w:t>
      </w:r>
      <w:r w:rsidRPr="00EF2E2F">
        <w:rPr>
          <w:i/>
          <w:iCs/>
        </w:rPr>
        <w:t>Mothers, Babies and Health in Later Life</w:t>
      </w:r>
      <w:r w:rsidRPr="00EF2E2F">
        <w:t>. 2nd ed. Edinburgh: Churchill Livingstone.</w:t>
      </w:r>
    </w:p>
    <w:p w14:paraId="183BF1E2" w14:textId="3047187E" w:rsidR="00EF2E2F" w:rsidRPr="00EF2E2F" w:rsidRDefault="00EF2E2F" w:rsidP="00EF2E2F">
      <w:pPr>
        <w:numPr>
          <w:ilvl w:val="0"/>
          <w:numId w:val="1"/>
        </w:numPr>
      </w:pPr>
      <w:r w:rsidRPr="00EF2E2F">
        <w:t xml:space="preserve">Health and Safety Executive (2023) </w:t>
      </w:r>
      <w:r w:rsidRPr="00EF2E2F">
        <w:rPr>
          <w:i/>
          <w:iCs/>
        </w:rPr>
        <w:t>Work-related stress, anxiety or depression statistics in Great Britain</w:t>
      </w:r>
      <w:r w:rsidRPr="00EF2E2F">
        <w:t xml:space="preserve">.  Available at: </w:t>
      </w:r>
      <w:hyperlink r:id="rId6" w:history="1">
        <w:r w:rsidRPr="00EF2E2F">
          <w:rPr>
            <w:rStyle w:val="Hyperlink"/>
          </w:rPr>
          <w:t>https://www.hse.gov.uk</w:t>
        </w:r>
      </w:hyperlink>
    </w:p>
    <w:p w14:paraId="4EBB25D8" w14:textId="77777777" w:rsidR="00EF2E2F" w:rsidRPr="00EF2E2F" w:rsidRDefault="00EF2E2F" w:rsidP="00EF2E2F">
      <w:pPr>
        <w:numPr>
          <w:ilvl w:val="0"/>
          <w:numId w:val="1"/>
        </w:numPr>
      </w:pPr>
      <w:r w:rsidRPr="00EF2E2F">
        <w:t xml:space="preserve">Marmot, M. (2010) </w:t>
      </w:r>
      <w:r w:rsidRPr="00EF2E2F">
        <w:rPr>
          <w:i/>
          <w:iCs/>
        </w:rPr>
        <w:t>Fair Society, Healthy Lives: The Marmot Review</w:t>
      </w:r>
      <w:r w:rsidRPr="00EF2E2F">
        <w:t>. London: Institute of Health Equity.</w:t>
      </w:r>
    </w:p>
    <w:p w14:paraId="7CA7B8E4" w14:textId="35057314" w:rsidR="00EF2E2F" w:rsidRPr="00EF2E2F" w:rsidRDefault="00EF2E2F" w:rsidP="00EF2E2F">
      <w:pPr>
        <w:numPr>
          <w:ilvl w:val="0"/>
          <w:numId w:val="1"/>
        </w:numPr>
      </w:pPr>
      <w:r w:rsidRPr="00EF2E2F">
        <w:t xml:space="preserve">NHS Digital (2021) </w:t>
      </w:r>
      <w:r w:rsidRPr="00EF2E2F">
        <w:rPr>
          <w:i/>
          <w:iCs/>
        </w:rPr>
        <w:t>Mental Health of Children and Young People in England</w:t>
      </w:r>
      <w:r w:rsidRPr="00EF2E2F">
        <w:t xml:space="preserve">. Available at: </w:t>
      </w:r>
      <w:hyperlink r:id="rId7" w:history="1">
        <w:r w:rsidRPr="00EF2E2F">
          <w:rPr>
            <w:rStyle w:val="Hyperlink"/>
          </w:rPr>
          <w:t>https://digital.nhs.uk</w:t>
        </w:r>
      </w:hyperlink>
    </w:p>
    <w:p w14:paraId="496CF279" w14:textId="13928CEA" w:rsidR="00EF2E2F" w:rsidRPr="00EF2E2F" w:rsidRDefault="00EF2E2F" w:rsidP="00EF2E2F">
      <w:pPr>
        <w:numPr>
          <w:ilvl w:val="0"/>
          <w:numId w:val="1"/>
        </w:numPr>
      </w:pPr>
      <w:r w:rsidRPr="00EF2E2F">
        <w:t xml:space="preserve">NHS Digital (2022) </w:t>
      </w:r>
      <w:r w:rsidRPr="00EF2E2F">
        <w:rPr>
          <w:i/>
          <w:iCs/>
        </w:rPr>
        <w:t>Statistics on Obesity, Physical Activity and Diet</w:t>
      </w:r>
      <w:r w:rsidRPr="00EF2E2F">
        <w:t>.</w:t>
      </w:r>
      <w:r w:rsidR="00DF453F">
        <w:t xml:space="preserve"> </w:t>
      </w:r>
      <w:r w:rsidRPr="00EF2E2F">
        <w:t xml:space="preserve">Available at: </w:t>
      </w:r>
      <w:hyperlink r:id="rId8" w:history="1">
        <w:r w:rsidRPr="00EF2E2F">
          <w:rPr>
            <w:rStyle w:val="Hyperlink"/>
          </w:rPr>
          <w:t>https://digital.nhs.uk</w:t>
        </w:r>
      </w:hyperlink>
    </w:p>
    <w:p w14:paraId="739ED84E" w14:textId="2034EEEA" w:rsidR="00EF2E2F" w:rsidRPr="00EF2E2F" w:rsidRDefault="00EF2E2F" w:rsidP="00EF2E2F">
      <w:pPr>
        <w:numPr>
          <w:ilvl w:val="0"/>
          <w:numId w:val="1"/>
        </w:numPr>
      </w:pPr>
      <w:r w:rsidRPr="00EF2E2F">
        <w:t xml:space="preserve">Office for National Statistics (2021) </w:t>
      </w:r>
      <w:r w:rsidRPr="00EF2E2F">
        <w:rPr>
          <w:i/>
          <w:iCs/>
        </w:rPr>
        <w:t>Health state life expectancies, UK</w:t>
      </w:r>
      <w:r w:rsidRPr="00EF2E2F">
        <w:t xml:space="preserve">. Available at: </w:t>
      </w:r>
      <w:hyperlink r:id="rId9" w:history="1">
        <w:r w:rsidRPr="00EF2E2F">
          <w:rPr>
            <w:rStyle w:val="Hyperlink"/>
          </w:rPr>
          <w:t>https://www.ons.gov.uk</w:t>
        </w:r>
      </w:hyperlink>
    </w:p>
    <w:p w14:paraId="2FDD2C10" w14:textId="6BDAE2B6" w:rsidR="00EF2E2F" w:rsidRPr="00EF2E2F" w:rsidRDefault="00EF2E2F" w:rsidP="00EF2E2F">
      <w:pPr>
        <w:numPr>
          <w:ilvl w:val="0"/>
          <w:numId w:val="1"/>
        </w:numPr>
      </w:pPr>
      <w:r w:rsidRPr="00EF2E2F">
        <w:t xml:space="preserve">Public Health Wales (2015) </w:t>
      </w:r>
      <w:r w:rsidRPr="00EF2E2F">
        <w:rPr>
          <w:i/>
          <w:iCs/>
        </w:rPr>
        <w:t>Adverse Childhood Experiences and their impact on health-harming behaviours</w:t>
      </w:r>
      <w:r w:rsidRPr="00EF2E2F">
        <w:t xml:space="preserve">. Available at: </w:t>
      </w:r>
      <w:hyperlink r:id="rId10" w:history="1">
        <w:r w:rsidRPr="00EF2E2F">
          <w:rPr>
            <w:rStyle w:val="Hyperlink"/>
          </w:rPr>
          <w:t>https://phw.nhs.wales</w:t>
        </w:r>
      </w:hyperlink>
    </w:p>
    <w:p w14:paraId="52F021E0" w14:textId="77777777" w:rsidR="00EF2E2F" w:rsidRPr="00EF2E2F" w:rsidRDefault="00EF2E2F" w:rsidP="00EF2E2F">
      <w:pPr>
        <w:numPr>
          <w:ilvl w:val="0"/>
          <w:numId w:val="1"/>
        </w:numPr>
      </w:pPr>
      <w:r w:rsidRPr="00EF2E2F">
        <w:rPr>
          <w:lang w:val="fr-FR"/>
        </w:rPr>
        <w:t xml:space="preserve">Sawyer, S.M. et al. </w:t>
      </w:r>
      <w:r w:rsidRPr="00EF2E2F">
        <w:t xml:space="preserve">(2012) ‘Adolescence: A foundation for future health’, </w:t>
      </w:r>
      <w:r w:rsidRPr="00EF2E2F">
        <w:rPr>
          <w:i/>
          <w:iCs/>
        </w:rPr>
        <w:t>The Lancet</w:t>
      </w:r>
      <w:r w:rsidRPr="00EF2E2F">
        <w:t>, 379(9826), pp. 1630–1640.</w:t>
      </w:r>
    </w:p>
    <w:p w14:paraId="615073D4" w14:textId="10E9AE8A" w:rsidR="00EF2E2F" w:rsidRPr="00EF2E2F" w:rsidRDefault="00EF2E2F" w:rsidP="00EF2E2F">
      <w:pPr>
        <w:numPr>
          <w:ilvl w:val="0"/>
          <w:numId w:val="1"/>
        </w:numPr>
      </w:pPr>
      <w:r w:rsidRPr="00EF2E2F">
        <w:t xml:space="preserve">The King’s Fund (2022) </w:t>
      </w:r>
      <w:r w:rsidRPr="00EF2E2F">
        <w:rPr>
          <w:i/>
          <w:iCs/>
        </w:rPr>
        <w:t>The social determinants of health</w:t>
      </w:r>
      <w:r w:rsidRPr="00EF2E2F">
        <w:t xml:space="preserve">.  Available at: </w:t>
      </w:r>
      <w:hyperlink r:id="rId11" w:history="1">
        <w:r w:rsidRPr="00EF2E2F">
          <w:rPr>
            <w:rStyle w:val="Hyperlink"/>
          </w:rPr>
          <w:t>https://www.kingsfund.org.uk</w:t>
        </w:r>
      </w:hyperlink>
    </w:p>
    <w:p w14:paraId="6678639B" w14:textId="77777777" w:rsidR="00EF2E2F" w:rsidRPr="00EF2E2F" w:rsidRDefault="00EF2E2F" w:rsidP="00EF2E2F">
      <w:pPr>
        <w:numPr>
          <w:ilvl w:val="0"/>
          <w:numId w:val="1"/>
        </w:numPr>
      </w:pPr>
      <w:r w:rsidRPr="00EF2E2F">
        <w:t xml:space="preserve">UNICEF UK (2020) </w:t>
      </w:r>
      <w:r w:rsidRPr="00EF2E2F">
        <w:rPr>
          <w:i/>
          <w:iCs/>
        </w:rPr>
        <w:t>Child Wellbeing in Rich Countries: A comparative overview</w:t>
      </w:r>
      <w:r w:rsidRPr="00EF2E2F">
        <w:t xml:space="preserve">. [Online] Available at: </w:t>
      </w:r>
      <w:hyperlink r:id="rId12" w:history="1">
        <w:r w:rsidRPr="00EF2E2F">
          <w:rPr>
            <w:rStyle w:val="Hyperlink"/>
          </w:rPr>
          <w:t>https://www.unicef.org.uk</w:t>
        </w:r>
      </w:hyperlink>
    </w:p>
    <w:p w14:paraId="3392181C" w14:textId="61DD9522" w:rsidR="00EF2E2F" w:rsidRPr="00EF2E2F" w:rsidRDefault="00EF2E2F" w:rsidP="00EF2E2F">
      <w:pPr>
        <w:numPr>
          <w:ilvl w:val="0"/>
          <w:numId w:val="1"/>
        </w:numPr>
      </w:pPr>
      <w:r w:rsidRPr="00EF2E2F">
        <w:t xml:space="preserve">WHO (2020) </w:t>
      </w:r>
      <w:r w:rsidRPr="00EF2E2F">
        <w:rPr>
          <w:i/>
          <w:iCs/>
        </w:rPr>
        <w:t>Healthy Ageing and Functional Ability</w:t>
      </w:r>
      <w:r w:rsidRPr="00EF2E2F">
        <w:t xml:space="preserve">.  Available at: </w:t>
      </w:r>
      <w:hyperlink r:id="rId13" w:history="1">
        <w:r w:rsidRPr="00EF2E2F">
          <w:rPr>
            <w:rStyle w:val="Hyperlink"/>
          </w:rPr>
          <w:t>https://www.who.int</w:t>
        </w:r>
      </w:hyperlink>
    </w:p>
    <w:p w14:paraId="06B3CC1B" w14:textId="596CF395" w:rsidR="00EF2E2F" w:rsidRPr="00EF2E2F" w:rsidRDefault="00EF2E2F" w:rsidP="00EF2E2F">
      <w:pPr>
        <w:numPr>
          <w:ilvl w:val="0"/>
          <w:numId w:val="1"/>
        </w:numPr>
      </w:pPr>
      <w:r w:rsidRPr="00EF2E2F">
        <w:t xml:space="preserve">WHO (2022) </w:t>
      </w:r>
      <w:r w:rsidRPr="00EF2E2F">
        <w:rPr>
          <w:i/>
          <w:iCs/>
        </w:rPr>
        <w:t>Life course approach to health</w:t>
      </w:r>
      <w:r w:rsidRPr="00EF2E2F">
        <w:t xml:space="preserve">. Available at: </w:t>
      </w:r>
      <w:hyperlink r:id="rId14" w:history="1">
        <w:r w:rsidRPr="00EF2E2F">
          <w:rPr>
            <w:rStyle w:val="Hyperlink"/>
          </w:rPr>
          <w:t>https://www.who.int</w:t>
        </w:r>
      </w:hyperlink>
    </w:p>
    <w:p w14:paraId="3AA9EACC" w14:textId="2147B53C" w:rsidR="00EF2E2F" w:rsidRPr="00EF2E2F" w:rsidRDefault="00EF2E2F" w:rsidP="00EF2E2F">
      <w:pPr>
        <w:numPr>
          <w:ilvl w:val="0"/>
          <w:numId w:val="1"/>
        </w:numPr>
      </w:pPr>
      <w:r w:rsidRPr="00EF2E2F">
        <w:t xml:space="preserve">World Health Organization (2020) </w:t>
      </w:r>
      <w:r w:rsidRPr="00EF2E2F">
        <w:rPr>
          <w:i/>
          <w:iCs/>
        </w:rPr>
        <w:t xml:space="preserve">Infant and young child </w:t>
      </w:r>
      <w:r w:rsidR="003F2CFA" w:rsidRPr="00EF2E2F">
        <w:rPr>
          <w:i/>
          <w:iCs/>
        </w:rPr>
        <w:t>feeding</w:t>
      </w:r>
      <w:r w:rsidR="003F2CFA" w:rsidRPr="00EF2E2F">
        <w:t>. Available</w:t>
      </w:r>
      <w:r w:rsidRPr="00EF2E2F">
        <w:t xml:space="preserve"> at: </w:t>
      </w:r>
      <w:hyperlink r:id="rId15" w:history="1">
        <w:r w:rsidRPr="00EF2E2F">
          <w:rPr>
            <w:rStyle w:val="Hyperlink"/>
          </w:rPr>
          <w:t>https://www.who.int</w:t>
        </w:r>
      </w:hyperlink>
    </w:p>
    <w:p w14:paraId="23A1566C" w14:textId="126FC946" w:rsidR="00EF2E2F" w:rsidRPr="00EF2E2F" w:rsidRDefault="00EF2E2F" w:rsidP="00EF2E2F">
      <w:pPr>
        <w:numPr>
          <w:ilvl w:val="0"/>
          <w:numId w:val="1"/>
        </w:numPr>
      </w:pPr>
      <w:r w:rsidRPr="00EF2E2F">
        <w:t xml:space="preserve">The Health Foundation (2022) </w:t>
      </w:r>
      <w:r w:rsidRPr="00EF2E2F">
        <w:rPr>
          <w:i/>
          <w:iCs/>
        </w:rPr>
        <w:t>What makes us healthy?</w:t>
      </w:r>
      <w:r w:rsidRPr="00EF2E2F">
        <w:t xml:space="preserve">  Available at: </w:t>
      </w:r>
      <w:hyperlink r:id="rId16" w:history="1">
        <w:r w:rsidRPr="00EF2E2F">
          <w:rPr>
            <w:rStyle w:val="Hyperlink"/>
          </w:rPr>
          <w:t>https://www.health.org.uk</w:t>
        </w:r>
      </w:hyperlink>
    </w:p>
    <w:p w14:paraId="7F7D3D8E" w14:textId="4398C95D" w:rsidR="00EF2E2F" w:rsidRPr="00EF2E2F" w:rsidRDefault="00EF2E2F" w:rsidP="00EF2E2F"/>
    <w:p w14:paraId="0CBD03A1" w14:textId="5771D451" w:rsidR="00EF2E2F" w:rsidRDefault="00EF2E2F">
      <w:r w:rsidRPr="00EF2E2F">
        <w:t xml:space="preserve"> </w:t>
      </w:r>
    </w:p>
    <w:sectPr w:rsidR="00EF2E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6084C"/>
    <w:multiLevelType w:val="multilevel"/>
    <w:tmpl w:val="FE80F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4712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E2F"/>
    <w:rsid w:val="00064D46"/>
    <w:rsid w:val="001E2F9A"/>
    <w:rsid w:val="003F2CFA"/>
    <w:rsid w:val="00662313"/>
    <w:rsid w:val="00DF453F"/>
    <w:rsid w:val="00E43F5C"/>
    <w:rsid w:val="00EC19BE"/>
    <w:rsid w:val="00EF2E2F"/>
    <w:rsid w:val="00F04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C21F2"/>
  <w15:chartTrackingRefBased/>
  <w15:docId w15:val="{55ED05B1-6B57-4FCD-83FB-71539E52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E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2E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E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E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E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E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E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E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E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E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2E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E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E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E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E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E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E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E2F"/>
    <w:rPr>
      <w:rFonts w:eastAsiaTheme="majorEastAsia" w:cstheme="majorBidi"/>
      <w:color w:val="272727" w:themeColor="text1" w:themeTint="D8"/>
    </w:rPr>
  </w:style>
  <w:style w:type="paragraph" w:styleId="Title">
    <w:name w:val="Title"/>
    <w:basedOn w:val="Normal"/>
    <w:next w:val="Normal"/>
    <w:link w:val="TitleChar"/>
    <w:uiPriority w:val="10"/>
    <w:qFormat/>
    <w:rsid w:val="00EF2E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E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E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E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E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E2F"/>
    <w:rPr>
      <w:i/>
      <w:iCs/>
      <w:color w:val="404040" w:themeColor="text1" w:themeTint="BF"/>
    </w:rPr>
  </w:style>
  <w:style w:type="paragraph" w:styleId="ListParagraph">
    <w:name w:val="List Paragraph"/>
    <w:basedOn w:val="Normal"/>
    <w:uiPriority w:val="34"/>
    <w:qFormat/>
    <w:rsid w:val="00EF2E2F"/>
    <w:pPr>
      <w:ind w:left="720"/>
      <w:contextualSpacing/>
    </w:pPr>
  </w:style>
  <w:style w:type="character" w:styleId="IntenseEmphasis">
    <w:name w:val="Intense Emphasis"/>
    <w:basedOn w:val="DefaultParagraphFont"/>
    <w:uiPriority w:val="21"/>
    <w:qFormat/>
    <w:rsid w:val="00EF2E2F"/>
    <w:rPr>
      <w:i/>
      <w:iCs/>
      <w:color w:val="0F4761" w:themeColor="accent1" w:themeShade="BF"/>
    </w:rPr>
  </w:style>
  <w:style w:type="paragraph" w:styleId="IntenseQuote">
    <w:name w:val="Intense Quote"/>
    <w:basedOn w:val="Normal"/>
    <w:next w:val="Normal"/>
    <w:link w:val="IntenseQuoteChar"/>
    <w:uiPriority w:val="30"/>
    <w:qFormat/>
    <w:rsid w:val="00EF2E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E2F"/>
    <w:rPr>
      <w:i/>
      <w:iCs/>
      <w:color w:val="0F4761" w:themeColor="accent1" w:themeShade="BF"/>
    </w:rPr>
  </w:style>
  <w:style w:type="character" w:styleId="IntenseReference">
    <w:name w:val="Intense Reference"/>
    <w:basedOn w:val="DefaultParagraphFont"/>
    <w:uiPriority w:val="32"/>
    <w:qFormat/>
    <w:rsid w:val="00EF2E2F"/>
    <w:rPr>
      <w:b/>
      <w:bCs/>
      <w:smallCaps/>
      <w:color w:val="0F4761" w:themeColor="accent1" w:themeShade="BF"/>
      <w:spacing w:val="5"/>
    </w:rPr>
  </w:style>
  <w:style w:type="character" w:styleId="Hyperlink">
    <w:name w:val="Hyperlink"/>
    <w:basedOn w:val="DefaultParagraphFont"/>
    <w:uiPriority w:val="99"/>
    <w:unhideWhenUsed/>
    <w:rsid w:val="00EF2E2F"/>
    <w:rPr>
      <w:color w:val="467886" w:themeColor="hyperlink"/>
      <w:u w:val="single"/>
    </w:rPr>
  </w:style>
  <w:style w:type="character" w:styleId="UnresolvedMention">
    <w:name w:val="Unresolved Mention"/>
    <w:basedOn w:val="DefaultParagraphFont"/>
    <w:uiPriority w:val="99"/>
    <w:semiHidden/>
    <w:unhideWhenUsed/>
    <w:rsid w:val="00EF2E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75403">
      <w:bodyDiv w:val="1"/>
      <w:marLeft w:val="0"/>
      <w:marRight w:val="0"/>
      <w:marTop w:val="0"/>
      <w:marBottom w:val="0"/>
      <w:divBdr>
        <w:top w:val="none" w:sz="0" w:space="0" w:color="auto"/>
        <w:left w:val="none" w:sz="0" w:space="0" w:color="auto"/>
        <w:bottom w:val="none" w:sz="0" w:space="0" w:color="auto"/>
        <w:right w:val="none" w:sz="0" w:space="0" w:color="auto"/>
      </w:divBdr>
    </w:div>
    <w:div w:id="175929537">
      <w:bodyDiv w:val="1"/>
      <w:marLeft w:val="0"/>
      <w:marRight w:val="0"/>
      <w:marTop w:val="0"/>
      <w:marBottom w:val="0"/>
      <w:divBdr>
        <w:top w:val="none" w:sz="0" w:space="0" w:color="auto"/>
        <w:left w:val="none" w:sz="0" w:space="0" w:color="auto"/>
        <w:bottom w:val="none" w:sz="0" w:space="0" w:color="auto"/>
        <w:right w:val="none" w:sz="0" w:space="0" w:color="auto"/>
      </w:divBdr>
    </w:div>
    <w:div w:id="738137999">
      <w:bodyDiv w:val="1"/>
      <w:marLeft w:val="0"/>
      <w:marRight w:val="0"/>
      <w:marTop w:val="0"/>
      <w:marBottom w:val="0"/>
      <w:divBdr>
        <w:top w:val="none" w:sz="0" w:space="0" w:color="auto"/>
        <w:left w:val="none" w:sz="0" w:space="0" w:color="auto"/>
        <w:bottom w:val="none" w:sz="0" w:space="0" w:color="auto"/>
        <w:right w:val="none" w:sz="0" w:space="0" w:color="auto"/>
      </w:divBdr>
    </w:div>
    <w:div w:id="922301645">
      <w:bodyDiv w:val="1"/>
      <w:marLeft w:val="0"/>
      <w:marRight w:val="0"/>
      <w:marTop w:val="0"/>
      <w:marBottom w:val="0"/>
      <w:divBdr>
        <w:top w:val="none" w:sz="0" w:space="0" w:color="auto"/>
        <w:left w:val="none" w:sz="0" w:space="0" w:color="auto"/>
        <w:bottom w:val="none" w:sz="0" w:space="0" w:color="auto"/>
        <w:right w:val="none" w:sz="0" w:space="0" w:color="auto"/>
      </w:divBdr>
    </w:div>
    <w:div w:id="1747803118">
      <w:bodyDiv w:val="1"/>
      <w:marLeft w:val="0"/>
      <w:marRight w:val="0"/>
      <w:marTop w:val="0"/>
      <w:marBottom w:val="0"/>
      <w:divBdr>
        <w:top w:val="none" w:sz="0" w:space="0" w:color="auto"/>
        <w:left w:val="none" w:sz="0" w:space="0" w:color="auto"/>
        <w:bottom w:val="none" w:sz="0" w:space="0" w:color="auto"/>
        <w:right w:val="none" w:sz="0" w:space="0" w:color="auto"/>
      </w:divBdr>
    </w:div>
    <w:div w:id="1917543954">
      <w:bodyDiv w:val="1"/>
      <w:marLeft w:val="0"/>
      <w:marRight w:val="0"/>
      <w:marTop w:val="0"/>
      <w:marBottom w:val="0"/>
      <w:divBdr>
        <w:top w:val="none" w:sz="0" w:space="0" w:color="auto"/>
        <w:left w:val="none" w:sz="0" w:space="0" w:color="auto"/>
        <w:bottom w:val="none" w:sz="0" w:space="0" w:color="auto"/>
        <w:right w:val="none" w:sz="0" w:space="0" w:color="auto"/>
      </w:divBdr>
    </w:div>
    <w:div w:id="1955598620">
      <w:bodyDiv w:val="1"/>
      <w:marLeft w:val="0"/>
      <w:marRight w:val="0"/>
      <w:marTop w:val="0"/>
      <w:marBottom w:val="0"/>
      <w:divBdr>
        <w:top w:val="none" w:sz="0" w:space="0" w:color="auto"/>
        <w:left w:val="none" w:sz="0" w:space="0" w:color="auto"/>
        <w:bottom w:val="none" w:sz="0" w:space="0" w:color="auto"/>
        <w:right w:val="none" w:sz="0" w:space="0" w:color="auto"/>
      </w:divBdr>
    </w:div>
    <w:div w:id="207173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 TargetMode="External"/><Relationship Id="rId13" Type="http://schemas.openxmlformats.org/officeDocument/2006/relationships/hyperlink" Target="https://www.who.i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gital.nhs.uk/" TargetMode="External"/><Relationship Id="rId12" Type="http://schemas.openxmlformats.org/officeDocument/2006/relationships/hyperlink" Target="https://www.unicef.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ealth.org.uk/" TargetMode="External"/><Relationship Id="rId1" Type="http://schemas.openxmlformats.org/officeDocument/2006/relationships/numbering" Target="numbering.xml"/><Relationship Id="rId6" Type="http://schemas.openxmlformats.org/officeDocument/2006/relationships/hyperlink" Target="https://www.hse.gov.uk/" TargetMode="External"/><Relationship Id="rId11" Type="http://schemas.openxmlformats.org/officeDocument/2006/relationships/hyperlink" Target="https://www.kingsfund.org.uk/" TargetMode="External"/><Relationship Id="rId5" Type="http://schemas.openxmlformats.org/officeDocument/2006/relationships/hyperlink" Target="https://www.ageuk.org.uk/" TargetMode="External"/><Relationship Id="rId15" Type="http://schemas.openxmlformats.org/officeDocument/2006/relationships/hyperlink" Target="https://www.who.int/" TargetMode="External"/><Relationship Id="rId10" Type="http://schemas.openxmlformats.org/officeDocument/2006/relationships/hyperlink" Target="https://phw.nhs.wales/" TargetMode="External"/><Relationship Id="rId4" Type="http://schemas.openxmlformats.org/officeDocument/2006/relationships/webSettings" Target="webSettings.xml"/><Relationship Id="rId9" Type="http://schemas.openxmlformats.org/officeDocument/2006/relationships/hyperlink" Target="https://www.ons.gov.uk/" TargetMode="External"/><Relationship Id="rId14"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1904</Words>
  <Characters>10854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Koroma</dc:creator>
  <cp:keywords/>
  <dc:description/>
  <cp:lastModifiedBy>John Sesay</cp:lastModifiedBy>
  <cp:revision>2</cp:revision>
  <dcterms:created xsi:type="dcterms:W3CDTF">2025-04-25T07:50:00Z</dcterms:created>
  <dcterms:modified xsi:type="dcterms:W3CDTF">2025-04-25T07:50:00Z</dcterms:modified>
</cp:coreProperties>
</file>