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13D6D" w14:textId="6DAACE28" w:rsidR="00355EEA" w:rsidRPr="00355EEA" w:rsidRDefault="008E4369" w:rsidP="00425D40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               </w:t>
      </w:r>
      <w:r w:rsidR="00355EEA" w:rsidRPr="00355EEA">
        <w:rPr>
          <w:rFonts w:ascii="Arial" w:hAnsi="Arial" w:cs="Arial"/>
          <w:b/>
          <w:bCs/>
          <w:color w:val="000000" w:themeColor="text1"/>
          <w:sz w:val="32"/>
          <w:szCs w:val="32"/>
        </w:rPr>
        <w:t>Student Name: Fatima Toj Zohora</w:t>
      </w:r>
    </w:p>
    <w:p w14:paraId="668E5DAE" w14:textId="30FF6731" w:rsidR="00355EEA" w:rsidRPr="00355EEA" w:rsidRDefault="00355EEA" w:rsidP="00355EEA">
      <w:pPr>
        <w:spacing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                         </w:t>
      </w:r>
      <w:r w:rsidRPr="00355EEA">
        <w:rPr>
          <w:rFonts w:ascii="Arial" w:hAnsi="Arial" w:cs="Arial"/>
          <w:b/>
          <w:bCs/>
          <w:color w:val="000000" w:themeColor="text1"/>
          <w:sz w:val="32"/>
          <w:szCs w:val="32"/>
        </w:rPr>
        <w:t>Student ID: 2241808</w:t>
      </w:r>
    </w:p>
    <w:p w14:paraId="7EACC961" w14:textId="648C8A25" w:rsidR="00355EEA" w:rsidRPr="00355EEA" w:rsidRDefault="00355EEA" w:rsidP="00355EEA">
      <w:pPr>
        <w:spacing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      </w:t>
      </w:r>
      <w:r w:rsidRPr="00355EEA">
        <w:rPr>
          <w:rFonts w:ascii="Arial" w:hAnsi="Arial" w:cs="Arial"/>
          <w:b/>
          <w:bCs/>
          <w:color w:val="000000" w:themeColor="text1"/>
          <w:sz w:val="32"/>
          <w:szCs w:val="32"/>
        </w:rPr>
        <w:t>Module: BMHP6027 - Empowering the Older Person</w:t>
      </w:r>
    </w:p>
    <w:p w14:paraId="45B68107" w14:textId="1E81726B" w:rsidR="00355EEA" w:rsidRPr="00355EEA" w:rsidRDefault="00355EEA" w:rsidP="00355EEA">
      <w:pPr>
        <w:spacing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               </w:t>
      </w:r>
      <w:r w:rsidRPr="00355EEA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Assignment </w:t>
      </w: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2</w:t>
      </w:r>
      <w:r w:rsidRPr="00355EEA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: </w:t>
      </w: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Debate Reference List</w:t>
      </w:r>
    </w:p>
    <w:p w14:paraId="00EC3F29" w14:textId="09847FE9" w:rsidR="00355EEA" w:rsidRPr="00355EEA" w:rsidRDefault="00355EEA" w:rsidP="00355EEA">
      <w:pPr>
        <w:spacing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                   </w:t>
      </w:r>
      <w:r w:rsidRPr="00355EEA">
        <w:rPr>
          <w:rFonts w:ascii="Arial" w:hAnsi="Arial" w:cs="Arial"/>
          <w:b/>
          <w:bCs/>
          <w:color w:val="000000" w:themeColor="text1"/>
          <w:sz w:val="32"/>
          <w:szCs w:val="32"/>
        </w:rPr>
        <w:t>Lecturer's Name: Joanne Davies</w:t>
      </w:r>
    </w:p>
    <w:p w14:paraId="63824BFC" w14:textId="77777777" w:rsidR="00355EEA" w:rsidRDefault="00355EEA" w:rsidP="00355EEA">
      <w:pPr>
        <w:spacing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4779EC9B" w14:textId="77777777" w:rsidR="00355EEA" w:rsidRDefault="00355EEA" w:rsidP="00355EEA">
      <w:pPr>
        <w:spacing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099D4227" w14:textId="77777777" w:rsidR="00355EEA" w:rsidRDefault="00355EEA" w:rsidP="00355EEA">
      <w:pPr>
        <w:spacing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1360F784" w14:textId="77777777" w:rsidR="00355EEA" w:rsidRDefault="00355EEA" w:rsidP="00355EEA">
      <w:pPr>
        <w:spacing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60975563" w14:textId="77777777" w:rsidR="00355EEA" w:rsidRDefault="00355EEA" w:rsidP="00355EEA">
      <w:pPr>
        <w:spacing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0EB81EA1" w14:textId="77777777" w:rsidR="00355EEA" w:rsidRDefault="00355EEA" w:rsidP="00355EEA">
      <w:pPr>
        <w:spacing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4CB414BF" w14:textId="77777777" w:rsidR="00355EEA" w:rsidRDefault="00355EEA" w:rsidP="00355EEA">
      <w:pPr>
        <w:spacing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3C9CC534" w14:textId="77777777" w:rsidR="00355EEA" w:rsidRDefault="00355EEA" w:rsidP="00355EEA">
      <w:pPr>
        <w:spacing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51659A28" w14:textId="77777777" w:rsidR="00355EEA" w:rsidRDefault="00355EEA" w:rsidP="00355EEA">
      <w:pPr>
        <w:spacing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10139DD3" w14:textId="77777777" w:rsidR="00355EEA" w:rsidRDefault="00355EEA" w:rsidP="00355EEA">
      <w:pPr>
        <w:spacing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4A1FE440" w14:textId="77777777" w:rsidR="00355EEA" w:rsidRDefault="00355EEA" w:rsidP="00355EEA">
      <w:pPr>
        <w:spacing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1F0B2FAC" w14:textId="77777777" w:rsidR="00355EEA" w:rsidRDefault="00355EEA" w:rsidP="00355EEA">
      <w:pPr>
        <w:spacing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61490347" w14:textId="77777777" w:rsidR="00355EEA" w:rsidRDefault="00355EEA" w:rsidP="00355EEA">
      <w:pPr>
        <w:spacing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78E4F891" w14:textId="77777777" w:rsidR="00355EEA" w:rsidRDefault="00355EEA" w:rsidP="00355EEA">
      <w:pPr>
        <w:spacing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34F9E455" w14:textId="77777777" w:rsidR="00B37DCC" w:rsidRDefault="00B37DCC" w:rsidP="00355EEA">
      <w:pPr>
        <w:spacing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7CB9F3A9" w14:textId="0A428520" w:rsidR="00355EEA" w:rsidRPr="00355EEA" w:rsidRDefault="00355EEA" w:rsidP="00355EEA">
      <w:pPr>
        <w:spacing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355EEA">
        <w:rPr>
          <w:rFonts w:ascii="Arial" w:hAnsi="Arial" w:cs="Arial"/>
          <w:b/>
          <w:bCs/>
          <w:color w:val="000000" w:themeColor="text1"/>
          <w:sz w:val="28"/>
          <w:szCs w:val="28"/>
        </w:rPr>
        <w:t>Reference List</w:t>
      </w:r>
    </w:p>
    <w:p w14:paraId="17E8C56A" w14:textId="77777777" w:rsidR="00654008" w:rsidRPr="00355EEA" w:rsidRDefault="00654008" w:rsidP="00355EEA">
      <w:pPr>
        <w:spacing w:line="360" w:lineRule="auto"/>
        <w:rPr>
          <w:rFonts w:ascii="Arial" w:hAnsi="Arial" w:cs="Arial"/>
          <w:color w:val="000000" w:themeColor="text1"/>
        </w:rPr>
      </w:pPr>
      <w:r w:rsidRPr="00355EEA">
        <w:rPr>
          <w:rFonts w:ascii="Arial" w:hAnsi="Arial" w:cs="Arial"/>
          <w:color w:val="000000" w:themeColor="text1"/>
        </w:rPr>
        <w:t xml:space="preserve">Agrawal, A.K., Gowda, M., Achary, U., Gowda, G.S. and </w:t>
      </w:r>
      <w:proofErr w:type="spellStart"/>
      <w:r w:rsidRPr="00355EEA">
        <w:rPr>
          <w:rFonts w:ascii="Arial" w:hAnsi="Arial" w:cs="Arial"/>
          <w:color w:val="000000" w:themeColor="text1"/>
        </w:rPr>
        <w:t>Harbishettar</w:t>
      </w:r>
      <w:proofErr w:type="spellEnd"/>
      <w:r w:rsidRPr="00355EEA">
        <w:rPr>
          <w:rFonts w:ascii="Arial" w:hAnsi="Arial" w:cs="Arial"/>
          <w:color w:val="000000" w:themeColor="text1"/>
        </w:rPr>
        <w:t xml:space="preserve">, V. (2021). Approach to management of wandering in dementia: Ethical and legal issue. Indian Journal of Psychological Medicine, 43(5), pp.53–59. https://doi.org/10.1177/02537176211030979. </w:t>
      </w:r>
      <w:bookmarkStart w:id="0" w:name="_Hlk212839564"/>
      <w:r>
        <w:rPr>
          <w:rFonts w:ascii="Arial" w:hAnsi="Arial" w:cs="Arial"/>
          <w:color w:val="000000" w:themeColor="text1"/>
        </w:rPr>
        <w:t>(Accessed 12 Oct 2025)</w:t>
      </w:r>
      <w:bookmarkEnd w:id="0"/>
    </w:p>
    <w:p w14:paraId="57EA33B8" w14:textId="77777777" w:rsidR="00654008" w:rsidRPr="00355EEA" w:rsidRDefault="00654008" w:rsidP="00355EEA">
      <w:pPr>
        <w:spacing w:line="360" w:lineRule="auto"/>
        <w:rPr>
          <w:rFonts w:ascii="Arial" w:hAnsi="Arial" w:cs="Arial"/>
          <w:color w:val="000000" w:themeColor="text1"/>
        </w:rPr>
      </w:pPr>
      <w:r w:rsidRPr="00355EEA">
        <w:rPr>
          <w:rFonts w:ascii="Arial" w:hAnsi="Arial" w:cs="Arial"/>
          <w:color w:val="000000" w:themeColor="text1"/>
        </w:rPr>
        <w:t xml:space="preserve">Bartlett, R. &amp; Brannelly, T. (2019) ‘Using GPS technologies with people with dementia: a synthesising review and recommendations for future practice’, </w:t>
      </w:r>
      <w:proofErr w:type="spellStart"/>
      <w:r w:rsidRPr="00355EEA">
        <w:rPr>
          <w:rFonts w:ascii="Arial" w:hAnsi="Arial" w:cs="Arial"/>
          <w:color w:val="000000" w:themeColor="text1"/>
        </w:rPr>
        <w:t>Tidsskrift</w:t>
      </w:r>
      <w:proofErr w:type="spellEnd"/>
      <w:r w:rsidRPr="00355EEA">
        <w:rPr>
          <w:rFonts w:ascii="Arial" w:hAnsi="Arial" w:cs="Arial"/>
          <w:color w:val="000000" w:themeColor="text1"/>
        </w:rPr>
        <w:t xml:space="preserve"> for </w:t>
      </w:r>
      <w:proofErr w:type="spellStart"/>
      <w:r w:rsidRPr="00355EEA">
        <w:rPr>
          <w:rFonts w:ascii="Arial" w:hAnsi="Arial" w:cs="Arial"/>
          <w:color w:val="000000" w:themeColor="text1"/>
        </w:rPr>
        <w:t>omsorgsforskning</w:t>
      </w:r>
      <w:proofErr w:type="spellEnd"/>
      <w:r w:rsidRPr="00355EEA">
        <w:rPr>
          <w:rFonts w:ascii="Arial" w:hAnsi="Arial" w:cs="Arial"/>
          <w:color w:val="000000" w:themeColor="text1"/>
        </w:rPr>
        <w:t>, 5(3), pp. 84-94.</w:t>
      </w:r>
      <w:r w:rsidRPr="00355EEA">
        <w:t xml:space="preserve"> </w:t>
      </w:r>
      <w:r w:rsidRPr="00355EEA">
        <w:rPr>
          <w:rFonts w:ascii="Arial" w:hAnsi="Arial" w:cs="Arial"/>
          <w:color w:val="000000" w:themeColor="text1"/>
        </w:rPr>
        <w:t>(Accessed 1</w:t>
      </w:r>
      <w:r>
        <w:rPr>
          <w:rFonts w:ascii="Arial" w:hAnsi="Arial" w:cs="Arial"/>
          <w:color w:val="000000" w:themeColor="text1"/>
        </w:rPr>
        <w:t>8</w:t>
      </w:r>
      <w:r w:rsidRPr="00355EEA">
        <w:rPr>
          <w:rFonts w:ascii="Arial" w:hAnsi="Arial" w:cs="Arial"/>
          <w:color w:val="000000" w:themeColor="text1"/>
        </w:rPr>
        <w:t xml:space="preserve"> Oct 2025)</w:t>
      </w:r>
    </w:p>
    <w:p w14:paraId="4ECF0D3C" w14:textId="77777777" w:rsidR="00654008" w:rsidRDefault="00654008" w:rsidP="00355EEA">
      <w:pPr>
        <w:spacing w:line="360" w:lineRule="auto"/>
        <w:rPr>
          <w:rFonts w:ascii="Arial" w:hAnsi="Arial" w:cs="Arial"/>
          <w:color w:val="000000" w:themeColor="text1"/>
        </w:rPr>
      </w:pPr>
      <w:r w:rsidRPr="00355EEA">
        <w:rPr>
          <w:rFonts w:ascii="Arial" w:hAnsi="Arial" w:cs="Arial"/>
          <w:color w:val="000000" w:themeColor="text1"/>
        </w:rPr>
        <w:t xml:space="preserve">Capulli, E., Druda, Y., Palmese, F., Butt, A.H., </w:t>
      </w:r>
      <w:proofErr w:type="spellStart"/>
      <w:r w:rsidRPr="00355EEA">
        <w:rPr>
          <w:rFonts w:ascii="Arial" w:hAnsi="Arial" w:cs="Arial"/>
          <w:color w:val="000000" w:themeColor="text1"/>
        </w:rPr>
        <w:t>Domenicali</w:t>
      </w:r>
      <w:proofErr w:type="spellEnd"/>
      <w:r w:rsidRPr="00355EEA">
        <w:rPr>
          <w:rFonts w:ascii="Arial" w:hAnsi="Arial" w:cs="Arial"/>
          <w:color w:val="000000" w:themeColor="text1"/>
        </w:rPr>
        <w:t xml:space="preserve">, M., Macchiarelli, A.G., Silvani, A., </w:t>
      </w:r>
      <w:proofErr w:type="spellStart"/>
      <w:r w:rsidRPr="00355EEA">
        <w:rPr>
          <w:rFonts w:ascii="Arial" w:hAnsi="Arial" w:cs="Arial"/>
          <w:color w:val="000000" w:themeColor="text1"/>
        </w:rPr>
        <w:t>Bedogni</w:t>
      </w:r>
      <w:proofErr w:type="spellEnd"/>
      <w:r w:rsidRPr="00355EEA">
        <w:rPr>
          <w:rFonts w:ascii="Arial" w:hAnsi="Arial" w:cs="Arial"/>
          <w:color w:val="000000" w:themeColor="text1"/>
        </w:rPr>
        <w:t xml:space="preserve">, G. and </w:t>
      </w:r>
      <w:proofErr w:type="spellStart"/>
      <w:r w:rsidRPr="00355EEA">
        <w:rPr>
          <w:rFonts w:ascii="Arial" w:hAnsi="Arial" w:cs="Arial"/>
          <w:color w:val="000000" w:themeColor="text1"/>
        </w:rPr>
        <w:t>Ingravallo</w:t>
      </w:r>
      <w:proofErr w:type="spellEnd"/>
      <w:r w:rsidRPr="00355EEA">
        <w:rPr>
          <w:rFonts w:ascii="Arial" w:hAnsi="Arial" w:cs="Arial"/>
          <w:color w:val="000000" w:themeColor="text1"/>
        </w:rPr>
        <w:t xml:space="preserve">, F. (2025). Ethical and Legal Implications of Health Monitoring Wearable Devices: A Scoping Review. Social Science &amp; Medicine, 370, p.117685. </w:t>
      </w:r>
      <w:hyperlink r:id="rId7" w:history="1">
        <w:r w:rsidRPr="00CE24CD">
          <w:rPr>
            <w:rStyle w:val="Hyperlink"/>
            <w:rFonts w:ascii="Arial" w:hAnsi="Arial" w:cs="Arial"/>
          </w:rPr>
          <w:t>https://doi.org/10.1016/j.socscimed.2025.117685</w:t>
        </w:r>
      </w:hyperlink>
      <w:r w:rsidRPr="00355EEA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</w:t>
      </w:r>
      <w:r w:rsidRPr="00355EEA">
        <w:rPr>
          <w:rFonts w:ascii="Arial" w:hAnsi="Arial" w:cs="Arial"/>
          <w:color w:val="000000" w:themeColor="text1"/>
        </w:rPr>
        <w:t xml:space="preserve">(Accessed </w:t>
      </w:r>
      <w:r>
        <w:rPr>
          <w:rFonts w:ascii="Arial" w:hAnsi="Arial" w:cs="Arial"/>
          <w:color w:val="000000" w:themeColor="text1"/>
        </w:rPr>
        <w:t xml:space="preserve">23 </w:t>
      </w:r>
      <w:r w:rsidRPr="00355EEA">
        <w:rPr>
          <w:rFonts w:ascii="Arial" w:hAnsi="Arial" w:cs="Arial"/>
          <w:color w:val="000000" w:themeColor="text1"/>
        </w:rPr>
        <w:t>Oct 2025)</w:t>
      </w:r>
    </w:p>
    <w:p w14:paraId="783B8625" w14:textId="77777777" w:rsidR="00654008" w:rsidRPr="00355EEA" w:rsidRDefault="00654008" w:rsidP="00355EEA">
      <w:pPr>
        <w:spacing w:line="360" w:lineRule="auto"/>
        <w:rPr>
          <w:rFonts w:ascii="Arial" w:hAnsi="Arial" w:cs="Arial"/>
          <w:color w:val="000000" w:themeColor="text1"/>
        </w:rPr>
      </w:pPr>
      <w:r w:rsidRPr="00355EEA">
        <w:rPr>
          <w:rFonts w:ascii="Arial" w:hAnsi="Arial" w:cs="Arial"/>
          <w:color w:val="000000" w:themeColor="text1"/>
        </w:rPr>
        <w:t xml:space="preserve">Doyle, M., </w:t>
      </w:r>
      <w:proofErr w:type="spellStart"/>
      <w:r w:rsidRPr="00355EEA">
        <w:rPr>
          <w:rFonts w:ascii="Arial" w:hAnsi="Arial" w:cs="Arial"/>
          <w:color w:val="000000" w:themeColor="text1"/>
        </w:rPr>
        <w:t>Nwofe</w:t>
      </w:r>
      <w:proofErr w:type="spellEnd"/>
      <w:r w:rsidRPr="00355EEA">
        <w:rPr>
          <w:rFonts w:ascii="Arial" w:hAnsi="Arial" w:cs="Arial"/>
          <w:color w:val="000000" w:themeColor="text1"/>
        </w:rPr>
        <w:t xml:space="preserve">, E.S., Rooke, C., Kalyan Seelam, Porter, J. and Bishop, D. (2024). Implementing global positioning system trackers for people with dementia who are at risk of wandering. Dementia, 23(6). </w:t>
      </w:r>
      <w:hyperlink r:id="rId8" w:history="1">
        <w:r w:rsidRPr="00CE24CD">
          <w:rPr>
            <w:rStyle w:val="Hyperlink"/>
            <w:rFonts w:ascii="Arial" w:hAnsi="Arial" w:cs="Arial"/>
          </w:rPr>
          <w:t>https://doi.org/10.1177/14713012241248556</w:t>
        </w:r>
      </w:hyperlink>
      <w:r w:rsidRPr="00355EEA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</w:t>
      </w:r>
      <w:r w:rsidRPr="00355EEA">
        <w:rPr>
          <w:rFonts w:ascii="Arial" w:hAnsi="Arial" w:cs="Arial"/>
          <w:color w:val="000000" w:themeColor="text1"/>
        </w:rPr>
        <w:t xml:space="preserve">(Accessed </w:t>
      </w:r>
      <w:r>
        <w:rPr>
          <w:rFonts w:ascii="Arial" w:hAnsi="Arial" w:cs="Arial"/>
          <w:color w:val="000000" w:themeColor="text1"/>
        </w:rPr>
        <w:t>25</w:t>
      </w:r>
      <w:r w:rsidRPr="00355EEA">
        <w:rPr>
          <w:rFonts w:ascii="Arial" w:hAnsi="Arial" w:cs="Arial"/>
          <w:color w:val="000000" w:themeColor="text1"/>
        </w:rPr>
        <w:t xml:space="preserve"> Oct 2025)</w:t>
      </w:r>
    </w:p>
    <w:p w14:paraId="1E9620FF" w14:textId="77777777" w:rsidR="00654008" w:rsidRPr="00355EEA" w:rsidRDefault="00654008" w:rsidP="00355EEA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355EEA">
        <w:rPr>
          <w:rFonts w:ascii="Arial" w:hAnsi="Arial" w:cs="Arial"/>
          <w:color w:val="000000" w:themeColor="text1"/>
        </w:rPr>
        <w:t>Eldenburg</w:t>
      </w:r>
      <w:proofErr w:type="spellEnd"/>
      <w:r w:rsidRPr="00355EEA">
        <w:rPr>
          <w:rFonts w:ascii="Arial" w:hAnsi="Arial" w:cs="Arial"/>
          <w:color w:val="000000" w:themeColor="text1"/>
        </w:rPr>
        <w:t>, L.G., Wolcott, S.K., Chen, L.H. and Cook, G., (2016). Cost management: Measuring, monitoring, and motivating performance. John Wiley &amp; Sons.</w:t>
      </w:r>
      <w:r w:rsidRPr="00355EEA">
        <w:t xml:space="preserve"> </w:t>
      </w:r>
      <w:r w:rsidRPr="00355EEA">
        <w:rPr>
          <w:rFonts w:ascii="Arial" w:hAnsi="Arial" w:cs="Arial"/>
          <w:color w:val="000000" w:themeColor="text1"/>
        </w:rPr>
        <w:t>(Accessed 12 Oct 2025)</w:t>
      </w:r>
    </w:p>
    <w:p w14:paraId="007C8B51" w14:textId="77777777" w:rsidR="00654008" w:rsidRPr="00355EEA" w:rsidRDefault="00654008" w:rsidP="00355EEA">
      <w:pPr>
        <w:spacing w:line="360" w:lineRule="auto"/>
        <w:rPr>
          <w:rFonts w:ascii="Arial" w:hAnsi="Arial" w:cs="Arial"/>
          <w:color w:val="000000" w:themeColor="text1"/>
        </w:rPr>
      </w:pPr>
      <w:r w:rsidRPr="00355EEA">
        <w:rPr>
          <w:rFonts w:ascii="Arial" w:hAnsi="Arial" w:cs="Arial"/>
          <w:color w:val="000000" w:themeColor="text1"/>
        </w:rPr>
        <w:t xml:space="preserve">Giebel, C., Cannon, J., </w:t>
      </w:r>
      <w:proofErr w:type="spellStart"/>
      <w:r w:rsidRPr="00355EEA">
        <w:rPr>
          <w:rFonts w:ascii="Arial" w:hAnsi="Arial" w:cs="Arial"/>
          <w:color w:val="000000" w:themeColor="text1"/>
        </w:rPr>
        <w:t>Komuravelli</w:t>
      </w:r>
      <w:proofErr w:type="spellEnd"/>
      <w:r w:rsidRPr="00355EEA">
        <w:rPr>
          <w:rFonts w:ascii="Arial" w:hAnsi="Arial" w:cs="Arial"/>
          <w:color w:val="000000" w:themeColor="text1"/>
        </w:rPr>
        <w:t xml:space="preserve">, A. and Whittington, R. (2025). Challenges of dementia care in the UK. BMJ, [online] 389, p.r1135. </w:t>
      </w:r>
      <w:hyperlink r:id="rId9" w:history="1">
        <w:r w:rsidRPr="00CE24CD">
          <w:rPr>
            <w:rStyle w:val="Hyperlink"/>
            <w:rFonts w:ascii="Arial" w:hAnsi="Arial" w:cs="Arial"/>
          </w:rPr>
          <w:t>https://doi.org/10.1136/bmj.r1135</w:t>
        </w:r>
      </w:hyperlink>
      <w:r w:rsidRPr="00355EEA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(Accessed 31 Oct 2025)</w:t>
      </w:r>
    </w:p>
    <w:p w14:paraId="44F94A23" w14:textId="77777777" w:rsidR="00654008" w:rsidRPr="00355EEA" w:rsidRDefault="00654008" w:rsidP="00355EEA">
      <w:pPr>
        <w:spacing w:line="360" w:lineRule="auto"/>
        <w:rPr>
          <w:rFonts w:ascii="Arial" w:hAnsi="Arial" w:cs="Arial"/>
          <w:color w:val="000000" w:themeColor="text1"/>
        </w:rPr>
      </w:pPr>
      <w:r w:rsidRPr="00355EEA">
        <w:rPr>
          <w:rFonts w:ascii="Arial" w:hAnsi="Arial" w:cs="Arial"/>
          <w:color w:val="000000" w:themeColor="text1"/>
        </w:rPr>
        <w:t>Giuliani, A., et al. (2012) ‘Electronic tracking devices in dementia care: a systematic review’, International Psychogeriatrics, 24(6), pp. 919–930.</w:t>
      </w:r>
      <w:r w:rsidRPr="00355EEA">
        <w:t xml:space="preserve"> </w:t>
      </w:r>
      <w:r w:rsidRPr="00355EEA">
        <w:rPr>
          <w:rFonts w:ascii="Arial" w:hAnsi="Arial" w:cs="Arial"/>
          <w:color w:val="000000" w:themeColor="text1"/>
        </w:rPr>
        <w:t>(Accessed 1</w:t>
      </w:r>
      <w:r>
        <w:rPr>
          <w:rFonts w:ascii="Arial" w:hAnsi="Arial" w:cs="Arial"/>
          <w:color w:val="000000" w:themeColor="text1"/>
        </w:rPr>
        <w:t>8</w:t>
      </w:r>
      <w:r w:rsidRPr="00355EEA">
        <w:rPr>
          <w:rFonts w:ascii="Arial" w:hAnsi="Arial" w:cs="Arial"/>
          <w:color w:val="000000" w:themeColor="text1"/>
        </w:rPr>
        <w:t xml:space="preserve"> Oct 2025)</w:t>
      </w:r>
    </w:p>
    <w:p w14:paraId="2A9E04E6" w14:textId="77777777" w:rsidR="00654008" w:rsidRDefault="00654008">
      <w:pPr>
        <w:spacing w:line="360" w:lineRule="auto"/>
        <w:rPr>
          <w:rFonts w:ascii="Arial" w:hAnsi="Arial" w:cs="Arial"/>
          <w:color w:val="000000" w:themeColor="text1"/>
        </w:rPr>
      </w:pPr>
      <w:r w:rsidRPr="0087020D">
        <w:rPr>
          <w:rFonts w:ascii="Arial" w:hAnsi="Arial" w:cs="Arial"/>
          <w:color w:val="000000" w:themeColor="text1"/>
        </w:rPr>
        <w:t xml:space="preserve">Grey, E., Baber, F., Corbett, E., Ellis, D., Gillison, F. and Barnett, J., </w:t>
      </w:r>
      <w:r>
        <w:rPr>
          <w:rFonts w:ascii="Arial" w:hAnsi="Arial" w:cs="Arial"/>
          <w:color w:val="000000" w:themeColor="text1"/>
        </w:rPr>
        <w:t>(</w:t>
      </w:r>
      <w:r w:rsidRPr="0087020D">
        <w:rPr>
          <w:rFonts w:ascii="Arial" w:hAnsi="Arial" w:cs="Arial"/>
          <w:color w:val="000000" w:themeColor="text1"/>
        </w:rPr>
        <w:t>2024</w:t>
      </w:r>
      <w:r>
        <w:rPr>
          <w:rFonts w:ascii="Arial" w:hAnsi="Arial" w:cs="Arial"/>
          <w:color w:val="000000" w:themeColor="text1"/>
        </w:rPr>
        <w:t>)</w:t>
      </w:r>
      <w:r w:rsidRPr="0087020D">
        <w:rPr>
          <w:rFonts w:ascii="Arial" w:hAnsi="Arial" w:cs="Arial"/>
          <w:color w:val="000000" w:themeColor="text1"/>
        </w:rPr>
        <w:t>. The use of technology to address loneliness and social isolation among older adults: the role of social care providers. BMC Public Health, 24(1), p.108.</w:t>
      </w:r>
      <w:r>
        <w:rPr>
          <w:rFonts w:ascii="Arial" w:hAnsi="Arial" w:cs="Arial"/>
          <w:color w:val="000000" w:themeColor="text1"/>
        </w:rPr>
        <w:t xml:space="preserve"> (Accessed 27 Oct 2025)</w:t>
      </w:r>
    </w:p>
    <w:p w14:paraId="0B2EA4E1" w14:textId="77777777" w:rsidR="00654008" w:rsidRPr="00355EEA" w:rsidRDefault="00654008">
      <w:pPr>
        <w:spacing w:line="360" w:lineRule="auto"/>
        <w:rPr>
          <w:rFonts w:ascii="Arial" w:hAnsi="Arial" w:cs="Arial"/>
          <w:color w:val="000000" w:themeColor="text1"/>
        </w:rPr>
      </w:pPr>
      <w:r w:rsidRPr="005D1CC5">
        <w:rPr>
          <w:rFonts w:ascii="Arial" w:hAnsi="Arial" w:cs="Arial"/>
          <w:color w:val="000000" w:themeColor="text1"/>
        </w:rPr>
        <w:t xml:space="preserve">Hine, C., </w:t>
      </w:r>
      <w:proofErr w:type="spellStart"/>
      <w:r w:rsidRPr="005D1CC5">
        <w:rPr>
          <w:rFonts w:ascii="Arial" w:hAnsi="Arial" w:cs="Arial"/>
          <w:color w:val="000000" w:themeColor="text1"/>
        </w:rPr>
        <w:t>Nilforooshan</w:t>
      </w:r>
      <w:proofErr w:type="spellEnd"/>
      <w:r w:rsidRPr="005D1CC5">
        <w:rPr>
          <w:rFonts w:ascii="Arial" w:hAnsi="Arial" w:cs="Arial"/>
          <w:color w:val="000000" w:themeColor="text1"/>
        </w:rPr>
        <w:t xml:space="preserve">, R. and </w:t>
      </w:r>
      <w:proofErr w:type="spellStart"/>
      <w:r w:rsidRPr="005D1CC5">
        <w:rPr>
          <w:rFonts w:ascii="Arial" w:hAnsi="Arial" w:cs="Arial"/>
          <w:color w:val="000000" w:themeColor="text1"/>
        </w:rPr>
        <w:t>Barnaghi</w:t>
      </w:r>
      <w:proofErr w:type="spellEnd"/>
      <w:r w:rsidRPr="005D1CC5">
        <w:rPr>
          <w:rFonts w:ascii="Arial" w:hAnsi="Arial" w:cs="Arial"/>
          <w:color w:val="000000" w:themeColor="text1"/>
        </w:rPr>
        <w:t>, P. (2022) ‘Ethical considerations in design and implementation of home-based smart care for dementia’, Nursing Ethics, 29(4), pp. 1035–1046. doi:10.1177/09697330211062980.</w:t>
      </w:r>
      <w:r>
        <w:rPr>
          <w:rFonts w:ascii="Arial" w:hAnsi="Arial" w:cs="Arial"/>
          <w:color w:val="000000" w:themeColor="text1"/>
        </w:rPr>
        <w:t xml:space="preserve">  (Accessed 27 Oct 2025)</w:t>
      </w:r>
    </w:p>
    <w:p w14:paraId="1777FD7E" w14:textId="77777777" w:rsidR="00654008" w:rsidRPr="00355EEA" w:rsidRDefault="00654008" w:rsidP="00355EEA">
      <w:pPr>
        <w:spacing w:line="360" w:lineRule="auto"/>
        <w:rPr>
          <w:rFonts w:ascii="Arial" w:hAnsi="Arial" w:cs="Arial"/>
          <w:color w:val="000000" w:themeColor="text1"/>
        </w:rPr>
      </w:pPr>
      <w:r w:rsidRPr="00355EEA">
        <w:rPr>
          <w:rFonts w:ascii="Arial" w:hAnsi="Arial" w:cs="Arial"/>
          <w:color w:val="000000" w:themeColor="text1"/>
        </w:rPr>
        <w:t>Jin, S. (2013) ‘Private use of electronic tracking devices on individuals with dementia: balancing possible ethical and legal issues with potential safety benefits’, Annals of Health Law, 22(Spring), pp. 14-31.</w:t>
      </w:r>
      <w:r w:rsidRPr="00355EEA">
        <w:t xml:space="preserve"> </w:t>
      </w:r>
      <w:r w:rsidRPr="00355EEA">
        <w:rPr>
          <w:rFonts w:ascii="Arial" w:hAnsi="Arial" w:cs="Arial"/>
          <w:color w:val="000000" w:themeColor="text1"/>
        </w:rPr>
        <w:t xml:space="preserve">(Accessed </w:t>
      </w:r>
      <w:r>
        <w:rPr>
          <w:rFonts w:ascii="Arial" w:hAnsi="Arial" w:cs="Arial"/>
          <w:color w:val="000000" w:themeColor="text1"/>
        </w:rPr>
        <w:t>23</w:t>
      </w:r>
      <w:r w:rsidRPr="00355EEA">
        <w:rPr>
          <w:rFonts w:ascii="Arial" w:hAnsi="Arial" w:cs="Arial"/>
          <w:color w:val="000000" w:themeColor="text1"/>
        </w:rPr>
        <w:t xml:space="preserve"> Oct 2025)</w:t>
      </w:r>
    </w:p>
    <w:p w14:paraId="714495A0" w14:textId="77777777" w:rsidR="00654008" w:rsidRPr="00355EEA" w:rsidRDefault="00654008" w:rsidP="00355EEA">
      <w:pPr>
        <w:spacing w:line="360" w:lineRule="auto"/>
        <w:rPr>
          <w:rFonts w:ascii="Arial" w:hAnsi="Arial" w:cs="Arial"/>
          <w:color w:val="000000" w:themeColor="text1"/>
        </w:rPr>
      </w:pPr>
      <w:r w:rsidRPr="00355EEA">
        <w:rPr>
          <w:rFonts w:ascii="Arial" w:hAnsi="Arial" w:cs="Arial"/>
          <w:color w:val="000000" w:themeColor="text1"/>
        </w:rPr>
        <w:t xml:space="preserve">Landau, R. and Werner, S. (2011). Ethical aspects of using GPS for tracking people with dementia: recommendations for practice. International Psychogeriatrics, 24(03), pp.358–366. </w:t>
      </w:r>
      <w:hyperlink r:id="rId10" w:history="1">
        <w:r w:rsidRPr="00CE24CD">
          <w:rPr>
            <w:rStyle w:val="Hyperlink"/>
            <w:rFonts w:ascii="Arial" w:hAnsi="Arial" w:cs="Arial"/>
          </w:rPr>
          <w:t>https://doi.org/10.1017/s1041610211001888</w:t>
        </w:r>
      </w:hyperlink>
      <w:r w:rsidRPr="00355EEA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</w:t>
      </w:r>
      <w:r w:rsidRPr="00355EEA">
        <w:rPr>
          <w:rFonts w:ascii="Arial" w:hAnsi="Arial" w:cs="Arial"/>
          <w:color w:val="000000" w:themeColor="text1"/>
        </w:rPr>
        <w:t xml:space="preserve">(Accessed 12 Oct 2025) </w:t>
      </w:r>
    </w:p>
    <w:p w14:paraId="6F2D0692" w14:textId="77777777" w:rsidR="00654008" w:rsidRPr="00355EEA" w:rsidRDefault="00654008" w:rsidP="00355EEA">
      <w:pPr>
        <w:spacing w:line="360" w:lineRule="auto"/>
        <w:rPr>
          <w:rFonts w:ascii="Arial" w:hAnsi="Arial" w:cs="Arial"/>
          <w:color w:val="000000" w:themeColor="text1"/>
        </w:rPr>
      </w:pPr>
      <w:r w:rsidRPr="00355EEA">
        <w:rPr>
          <w:rFonts w:ascii="Arial" w:hAnsi="Arial" w:cs="Arial"/>
          <w:color w:val="000000" w:themeColor="text1"/>
        </w:rPr>
        <w:t xml:space="preserve">Malek, S., Hearn, D.D., Fahy, T., Tully, J. and </w:t>
      </w:r>
      <w:proofErr w:type="spellStart"/>
      <w:r w:rsidRPr="00355EEA">
        <w:rPr>
          <w:rFonts w:ascii="Arial" w:hAnsi="Arial" w:cs="Arial"/>
          <w:color w:val="000000" w:themeColor="text1"/>
        </w:rPr>
        <w:t>Exworthy</w:t>
      </w:r>
      <w:proofErr w:type="spellEnd"/>
      <w:r w:rsidRPr="00355EEA">
        <w:rPr>
          <w:rFonts w:ascii="Arial" w:hAnsi="Arial" w:cs="Arial"/>
          <w:color w:val="000000" w:themeColor="text1"/>
        </w:rPr>
        <w:t xml:space="preserve">, T. (2023). Legal and human rights issues in the use of electronic monitoring (using GPS ‘tracking’ technology) in forensic mental health settings in the UK. Medicine Science and The Law, 63(4), pp.309–315. </w:t>
      </w:r>
      <w:hyperlink r:id="rId11" w:history="1">
        <w:r w:rsidRPr="00CE24CD">
          <w:rPr>
            <w:rStyle w:val="Hyperlink"/>
            <w:rFonts w:ascii="Arial" w:hAnsi="Arial" w:cs="Arial"/>
          </w:rPr>
          <w:t>https://doi.org/10.1177/00258024231174820</w:t>
        </w:r>
      </w:hyperlink>
      <w:r w:rsidRPr="00355EEA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</w:t>
      </w:r>
      <w:r w:rsidRPr="00355EEA">
        <w:rPr>
          <w:rFonts w:ascii="Arial" w:hAnsi="Arial" w:cs="Arial"/>
          <w:color w:val="000000" w:themeColor="text1"/>
        </w:rPr>
        <w:t xml:space="preserve"> (Accessed 1</w:t>
      </w:r>
      <w:r>
        <w:rPr>
          <w:rFonts w:ascii="Arial" w:hAnsi="Arial" w:cs="Arial"/>
          <w:color w:val="000000" w:themeColor="text1"/>
        </w:rPr>
        <w:t>8</w:t>
      </w:r>
      <w:r w:rsidRPr="00355EEA">
        <w:rPr>
          <w:rFonts w:ascii="Arial" w:hAnsi="Arial" w:cs="Arial"/>
          <w:color w:val="000000" w:themeColor="text1"/>
        </w:rPr>
        <w:t xml:space="preserve"> Oct 2025)</w:t>
      </w:r>
    </w:p>
    <w:p w14:paraId="2D61FB29" w14:textId="77777777" w:rsidR="00654008" w:rsidRPr="00355EEA" w:rsidRDefault="00654008" w:rsidP="00355EEA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355EEA">
        <w:rPr>
          <w:rFonts w:ascii="Arial" w:hAnsi="Arial" w:cs="Arial"/>
          <w:color w:val="000000" w:themeColor="text1"/>
        </w:rPr>
        <w:t>Meschtscherjakov</w:t>
      </w:r>
      <w:proofErr w:type="spellEnd"/>
      <w:r w:rsidRPr="00355EEA">
        <w:rPr>
          <w:rFonts w:ascii="Arial" w:hAnsi="Arial" w:cs="Arial"/>
          <w:color w:val="000000" w:themeColor="text1"/>
        </w:rPr>
        <w:t>, A., et al. (2012) ‘Ethical aspects of using GPS for tracking people with dementia: recommendations for practice’, International Psychogeriatrics, 24(2), pp. 358–366.</w:t>
      </w:r>
      <w:r w:rsidRPr="00355EEA">
        <w:t xml:space="preserve"> </w:t>
      </w:r>
      <w:r w:rsidRPr="00355EEA">
        <w:rPr>
          <w:rFonts w:ascii="Arial" w:hAnsi="Arial" w:cs="Arial"/>
          <w:color w:val="000000" w:themeColor="text1"/>
        </w:rPr>
        <w:t xml:space="preserve">(Accessed </w:t>
      </w:r>
      <w:r>
        <w:rPr>
          <w:rFonts w:ascii="Arial" w:hAnsi="Arial" w:cs="Arial"/>
          <w:color w:val="000000" w:themeColor="text1"/>
        </w:rPr>
        <w:t>23</w:t>
      </w:r>
      <w:r w:rsidRPr="00355EEA">
        <w:rPr>
          <w:rFonts w:ascii="Arial" w:hAnsi="Arial" w:cs="Arial"/>
          <w:color w:val="000000" w:themeColor="text1"/>
        </w:rPr>
        <w:t xml:space="preserve"> Oct 2025)</w:t>
      </w:r>
    </w:p>
    <w:p w14:paraId="22ED31EE" w14:textId="77777777" w:rsidR="00654008" w:rsidRPr="00355EEA" w:rsidRDefault="00654008" w:rsidP="00355EEA">
      <w:pPr>
        <w:spacing w:line="360" w:lineRule="auto"/>
        <w:rPr>
          <w:rFonts w:ascii="Arial" w:hAnsi="Arial" w:cs="Arial"/>
          <w:color w:val="000000" w:themeColor="text1"/>
        </w:rPr>
      </w:pPr>
      <w:r w:rsidRPr="00355EEA">
        <w:rPr>
          <w:rFonts w:ascii="Arial" w:hAnsi="Arial" w:cs="Arial"/>
          <w:color w:val="000000" w:themeColor="text1"/>
        </w:rPr>
        <w:t xml:space="preserve">National Institute on Aging (2024). Coping With Alzheimer’s </w:t>
      </w:r>
      <w:proofErr w:type="spellStart"/>
      <w:r w:rsidRPr="00355EEA">
        <w:rPr>
          <w:rFonts w:ascii="Arial" w:hAnsi="Arial" w:cs="Arial"/>
          <w:color w:val="000000" w:themeColor="text1"/>
        </w:rPr>
        <w:t>Behaviors</w:t>
      </w:r>
      <w:proofErr w:type="spellEnd"/>
      <w:r w:rsidRPr="00355EEA">
        <w:rPr>
          <w:rFonts w:ascii="Arial" w:hAnsi="Arial" w:cs="Arial"/>
          <w:color w:val="000000" w:themeColor="text1"/>
        </w:rPr>
        <w:t xml:space="preserve">: Wandering and Getting Lost. National Institute on Aging. Available at: </w:t>
      </w:r>
      <w:hyperlink r:id="rId12" w:history="1">
        <w:r w:rsidRPr="00CE24CD">
          <w:rPr>
            <w:rStyle w:val="Hyperlink"/>
            <w:rFonts w:ascii="Arial" w:hAnsi="Arial" w:cs="Arial"/>
          </w:rPr>
          <w:t>https://www.nia.nih.gov/health/alzheimers-changes-behavior-and-communication/coping-alzheimers-behaviors-wandering-and</w:t>
        </w:r>
      </w:hyperlink>
      <w:r w:rsidRPr="00355EEA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</w:t>
      </w:r>
      <w:r w:rsidRPr="00355EEA">
        <w:rPr>
          <w:rFonts w:ascii="Arial" w:hAnsi="Arial" w:cs="Arial"/>
          <w:color w:val="000000" w:themeColor="text1"/>
        </w:rPr>
        <w:t xml:space="preserve">(Accessed </w:t>
      </w:r>
      <w:r>
        <w:rPr>
          <w:rFonts w:ascii="Arial" w:hAnsi="Arial" w:cs="Arial"/>
          <w:color w:val="000000" w:themeColor="text1"/>
        </w:rPr>
        <w:t>25</w:t>
      </w:r>
      <w:r w:rsidRPr="00355EEA">
        <w:rPr>
          <w:rFonts w:ascii="Arial" w:hAnsi="Arial" w:cs="Arial"/>
          <w:color w:val="000000" w:themeColor="text1"/>
        </w:rPr>
        <w:t xml:space="preserve"> Oct 2025)</w:t>
      </w:r>
    </w:p>
    <w:p w14:paraId="00A14FBB" w14:textId="77777777" w:rsidR="00654008" w:rsidRPr="00355EEA" w:rsidRDefault="00654008" w:rsidP="00355EEA">
      <w:pPr>
        <w:spacing w:line="360" w:lineRule="auto"/>
        <w:rPr>
          <w:rFonts w:ascii="Arial" w:hAnsi="Arial" w:cs="Arial"/>
          <w:color w:val="000000" w:themeColor="text1"/>
        </w:rPr>
      </w:pPr>
      <w:r w:rsidRPr="00AD580D">
        <w:rPr>
          <w:rFonts w:ascii="Arial" w:hAnsi="Arial" w:cs="Arial"/>
          <w:color w:val="000000" w:themeColor="text1"/>
        </w:rPr>
        <w:t>Neubauer N, Perez H, Miguel-Cruz A, Daum C, Marshall SD, Letts E, Liu L</w:t>
      </w:r>
      <w:r>
        <w:rPr>
          <w:rFonts w:ascii="Arial" w:hAnsi="Arial" w:cs="Arial"/>
          <w:color w:val="000000" w:themeColor="text1"/>
        </w:rPr>
        <w:t xml:space="preserve">. (2021) </w:t>
      </w:r>
      <w:r w:rsidRPr="00AD580D">
        <w:rPr>
          <w:rFonts w:ascii="Arial" w:hAnsi="Arial" w:cs="Arial"/>
          <w:color w:val="000000" w:themeColor="text1"/>
        </w:rPr>
        <w:t xml:space="preserve">Risk Factors of Going Missing in People Living </w:t>
      </w:r>
      <w:proofErr w:type="gramStart"/>
      <w:r w:rsidRPr="00AD580D">
        <w:rPr>
          <w:rFonts w:ascii="Arial" w:hAnsi="Arial" w:cs="Arial"/>
          <w:color w:val="000000" w:themeColor="text1"/>
        </w:rPr>
        <w:t>With</w:t>
      </w:r>
      <w:proofErr w:type="gramEnd"/>
      <w:r w:rsidRPr="00AD580D">
        <w:rPr>
          <w:rFonts w:ascii="Arial" w:hAnsi="Arial" w:cs="Arial"/>
          <w:color w:val="000000" w:themeColor="text1"/>
        </w:rPr>
        <w:t xml:space="preserve"> Dementia: A Scoping Review. 5(</w:t>
      </w:r>
      <w:proofErr w:type="spellStart"/>
      <w:r w:rsidRPr="00AD580D">
        <w:rPr>
          <w:rFonts w:ascii="Arial" w:hAnsi="Arial" w:cs="Arial"/>
          <w:color w:val="000000" w:themeColor="text1"/>
        </w:rPr>
        <w:t>Suppl</w:t>
      </w:r>
      <w:proofErr w:type="spellEnd"/>
      <w:r w:rsidRPr="00AD580D">
        <w:rPr>
          <w:rFonts w:ascii="Arial" w:hAnsi="Arial" w:cs="Arial"/>
          <w:color w:val="000000" w:themeColor="text1"/>
        </w:rPr>
        <w:t xml:space="preserve"> 1):640–1. doi:10.1093/</w:t>
      </w:r>
      <w:proofErr w:type="spellStart"/>
      <w:r w:rsidRPr="00AD580D">
        <w:rPr>
          <w:rFonts w:ascii="Arial" w:hAnsi="Arial" w:cs="Arial"/>
          <w:color w:val="000000" w:themeColor="text1"/>
        </w:rPr>
        <w:t>geroni</w:t>
      </w:r>
      <w:proofErr w:type="spellEnd"/>
      <w:r w:rsidRPr="00AD580D">
        <w:rPr>
          <w:rFonts w:ascii="Arial" w:hAnsi="Arial" w:cs="Arial"/>
          <w:color w:val="000000" w:themeColor="text1"/>
        </w:rPr>
        <w:t>/igab046.2432. PMCID: PMC8681559.</w:t>
      </w:r>
      <w:r>
        <w:rPr>
          <w:rFonts w:ascii="Arial" w:hAnsi="Arial" w:cs="Arial"/>
          <w:color w:val="000000" w:themeColor="text1"/>
        </w:rPr>
        <w:t xml:space="preserve"> (Accessed 28 Oct 2025)</w:t>
      </w:r>
    </w:p>
    <w:p w14:paraId="477C6B5C" w14:textId="77777777" w:rsidR="00654008" w:rsidRPr="00355EEA" w:rsidRDefault="00654008" w:rsidP="00355EEA">
      <w:pPr>
        <w:spacing w:line="360" w:lineRule="auto"/>
        <w:rPr>
          <w:rFonts w:ascii="Arial" w:hAnsi="Arial" w:cs="Arial"/>
          <w:color w:val="000000" w:themeColor="text1"/>
        </w:rPr>
      </w:pPr>
      <w:r w:rsidRPr="00355EEA">
        <w:rPr>
          <w:rFonts w:ascii="Arial" w:hAnsi="Arial" w:cs="Arial"/>
          <w:color w:val="000000" w:themeColor="text1"/>
        </w:rPr>
        <w:t>Nguyen, T., et al. (2018) ‘Ethical considerations in the use of GPS</w:t>
      </w:r>
      <w:r w:rsidRPr="00355EEA">
        <w:rPr>
          <w:rFonts w:ascii="Cambria Math" w:hAnsi="Cambria Math" w:cs="Cambria Math"/>
          <w:color w:val="000000" w:themeColor="text1"/>
        </w:rPr>
        <w:t>‐</w:t>
      </w:r>
      <w:r w:rsidRPr="00355EEA">
        <w:rPr>
          <w:rFonts w:ascii="Arial" w:hAnsi="Arial" w:cs="Arial"/>
          <w:color w:val="000000" w:themeColor="text1"/>
        </w:rPr>
        <w:t>based movement tracking in health research’, Global Health Action, 11(1).</w:t>
      </w:r>
      <w:r w:rsidRPr="00355EEA">
        <w:t xml:space="preserve"> </w:t>
      </w:r>
      <w:r w:rsidRPr="00355EEA">
        <w:rPr>
          <w:rFonts w:ascii="Arial" w:hAnsi="Arial" w:cs="Arial"/>
          <w:color w:val="000000" w:themeColor="text1"/>
        </w:rPr>
        <w:t>(Accessed 1</w:t>
      </w:r>
      <w:r>
        <w:rPr>
          <w:rFonts w:ascii="Arial" w:hAnsi="Arial" w:cs="Arial"/>
          <w:color w:val="000000" w:themeColor="text1"/>
        </w:rPr>
        <w:t>5</w:t>
      </w:r>
      <w:r w:rsidRPr="00355EEA">
        <w:rPr>
          <w:rFonts w:ascii="Arial" w:hAnsi="Arial" w:cs="Arial"/>
          <w:color w:val="000000" w:themeColor="text1"/>
        </w:rPr>
        <w:t xml:space="preserve"> Oct 2025)</w:t>
      </w:r>
    </w:p>
    <w:p w14:paraId="0B2F8BA2" w14:textId="77777777" w:rsidR="00654008" w:rsidRPr="00355EEA" w:rsidRDefault="00654008" w:rsidP="00355EEA">
      <w:pPr>
        <w:spacing w:line="360" w:lineRule="auto"/>
        <w:rPr>
          <w:rFonts w:ascii="Arial" w:hAnsi="Arial" w:cs="Arial"/>
          <w:color w:val="000000" w:themeColor="text1"/>
        </w:rPr>
      </w:pPr>
      <w:r w:rsidRPr="00355EEA">
        <w:rPr>
          <w:rFonts w:ascii="Arial" w:hAnsi="Arial" w:cs="Arial"/>
          <w:color w:val="000000" w:themeColor="text1"/>
        </w:rPr>
        <w:t xml:space="preserve">NICE (2016). Recommendations | Community engagement: improving health and wellbeing and reducing health inequalities | Guidance | NICE. Available at: </w:t>
      </w:r>
      <w:hyperlink r:id="rId13" w:history="1">
        <w:r w:rsidRPr="00CE24CD">
          <w:rPr>
            <w:rStyle w:val="Hyperlink"/>
            <w:rFonts w:ascii="Arial" w:hAnsi="Arial" w:cs="Arial"/>
          </w:rPr>
          <w:t>https://www.nice.org.uk/guidance/ng44/chapter/recommendations</w:t>
        </w:r>
      </w:hyperlink>
      <w:r w:rsidRPr="00355EEA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</w:t>
      </w:r>
      <w:r w:rsidRPr="00355EEA">
        <w:rPr>
          <w:rFonts w:ascii="Arial" w:hAnsi="Arial" w:cs="Arial"/>
          <w:color w:val="000000" w:themeColor="text1"/>
        </w:rPr>
        <w:t>(Accessed 1</w:t>
      </w:r>
      <w:r>
        <w:rPr>
          <w:rFonts w:ascii="Arial" w:hAnsi="Arial" w:cs="Arial"/>
          <w:color w:val="000000" w:themeColor="text1"/>
        </w:rPr>
        <w:t>8</w:t>
      </w:r>
      <w:r w:rsidRPr="00355EEA">
        <w:rPr>
          <w:rFonts w:ascii="Arial" w:hAnsi="Arial" w:cs="Arial"/>
          <w:color w:val="000000" w:themeColor="text1"/>
        </w:rPr>
        <w:t xml:space="preserve"> Oct 2025) </w:t>
      </w:r>
    </w:p>
    <w:p w14:paraId="3A0C7150" w14:textId="77777777" w:rsidR="00654008" w:rsidRPr="00355EEA" w:rsidRDefault="00654008" w:rsidP="00355EEA">
      <w:pPr>
        <w:spacing w:line="360" w:lineRule="auto"/>
        <w:rPr>
          <w:rFonts w:ascii="Arial" w:hAnsi="Arial" w:cs="Arial"/>
          <w:color w:val="000000" w:themeColor="text1"/>
        </w:rPr>
      </w:pPr>
      <w:r w:rsidRPr="00355EEA">
        <w:rPr>
          <w:rFonts w:ascii="Arial" w:hAnsi="Arial" w:cs="Arial"/>
          <w:color w:val="000000" w:themeColor="text1"/>
        </w:rPr>
        <w:t xml:space="preserve">Paiva, S. and Abreu, C. (2012). </w:t>
      </w:r>
      <w:proofErr w:type="gramStart"/>
      <w:r w:rsidRPr="00355EEA">
        <w:rPr>
          <w:rFonts w:ascii="Arial" w:hAnsi="Arial" w:cs="Arial"/>
          <w:color w:val="000000" w:themeColor="text1"/>
        </w:rPr>
        <w:t>Low Cost</w:t>
      </w:r>
      <w:proofErr w:type="gramEnd"/>
      <w:r w:rsidRPr="00355EEA">
        <w:rPr>
          <w:rFonts w:ascii="Arial" w:hAnsi="Arial" w:cs="Arial"/>
          <w:color w:val="000000" w:themeColor="text1"/>
        </w:rPr>
        <w:t xml:space="preserve"> GPS Tracking for the Elderly and Alzheimer Patients. Procedia Technology, 5, pp.793–802. </w:t>
      </w:r>
      <w:hyperlink r:id="rId14" w:history="1">
        <w:r w:rsidRPr="00CE24CD">
          <w:rPr>
            <w:rStyle w:val="Hyperlink"/>
            <w:rFonts w:ascii="Arial" w:hAnsi="Arial" w:cs="Arial"/>
          </w:rPr>
          <w:t>https://doi.org/10.1016/j.protcy.2012.09.088</w:t>
        </w:r>
      </w:hyperlink>
      <w:r w:rsidRPr="00355EEA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</w:t>
      </w:r>
      <w:r w:rsidRPr="00355EEA">
        <w:rPr>
          <w:rFonts w:ascii="Arial" w:hAnsi="Arial" w:cs="Arial"/>
          <w:color w:val="000000" w:themeColor="text1"/>
        </w:rPr>
        <w:t xml:space="preserve">(Accessed </w:t>
      </w:r>
      <w:r>
        <w:rPr>
          <w:rFonts w:ascii="Arial" w:hAnsi="Arial" w:cs="Arial"/>
          <w:color w:val="000000" w:themeColor="text1"/>
        </w:rPr>
        <w:t>23</w:t>
      </w:r>
      <w:r w:rsidRPr="00355EEA">
        <w:rPr>
          <w:rFonts w:ascii="Arial" w:hAnsi="Arial" w:cs="Arial"/>
          <w:color w:val="000000" w:themeColor="text1"/>
        </w:rPr>
        <w:t xml:space="preserve"> Oct 2025)</w:t>
      </w:r>
    </w:p>
    <w:p w14:paraId="0A63CB07" w14:textId="77777777" w:rsidR="00654008" w:rsidRPr="00355EEA" w:rsidRDefault="00654008" w:rsidP="00355EEA">
      <w:pPr>
        <w:spacing w:line="360" w:lineRule="auto"/>
        <w:rPr>
          <w:rFonts w:ascii="Arial" w:hAnsi="Arial" w:cs="Arial"/>
          <w:color w:val="000000" w:themeColor="text1"/>
        </w:rPr>
      </w:pPr>
      <w:r w:rsidRPr="00355EEA">
        <w:rPr>
          <w:rFonts w:ascii="Arial" w:hAnsi="Arial" w:cs="Arial"/>
          <w:color w:val="000000" w:themeColor="text1"/>
        </w:rPr>
        <w:t xml:space="preserve">Power, D. J., Heavin, C., &amp; O’Connor, Y. (2021). Balancing privacy rights and surveillance analytics: a decision process guide. Journal of Business Analytics, 4(2), 155–170. </w:t>
      </w:r>
      <w:hyperlink r:id="rId15" w:history="1">
        <w:r w:rsidRPr="00CE24CD">
          <w:rPr>
            <w:rStyle w:val="Hyperlink"/>
            <w:rFonts w:ascii="Arial" w:hAnsi="Arial" w:cs="Arial"/>
          </w:rPr>
          <w:t>https://doi.org/10.1080/2573234X.2021.1920856</w:t>
        </w:r>
      </w:hyperlink>
      <w:r>
        <w:rPr>
          <w:rFonts w:ascii="Arial" w:hAnsi="Arial" w:cs="Arial"/>
          <w:color w:val="000000" w:themeColor="text1"/>
        </w:rPr>
        <w:t xml:space="preserve"> </w:t>
      </w:r>
      <w:r w:rsidRPr="00355EEA">
        <w:rPr>
          <w:rFonts w:ascii="Arial" w:hAnsi="Arial" w:cs="Arial"/>
          <w:color w:val="000000" w:themeColor="text1"/>
        </w:rPr>
        <w:t>(Accessed 1</w:t>
      </w:r>
      <w:r>
        <w:rPr>
          <w:rFonts w:ascii="Arial" w:hAnsi="Arial" w:cs="Arial"/>
          <w:color w:val="000000" w:themeColor="text1"/>
        </w:rPr>
        <w:t>5</w:t>
      </w:r>
      <w:r w:rsidRPr="00355EEA">
        <w:rPr>
          <w:rFonts w:ascii="Arial" w:hAnsi="Arial" w:cs="Arial"/>
          <w:color w:val="000000" w:themeColor="text1"/>
        </w:rPr>
        <w:t xml:space="preserve"> Oct 2025) </w:t>
      </w:r>
    </w:p>
    <w:p w14:paraId="31709187" w14:textId="77777777" w:rsidR="00654008" w:rsidRPr="00355EEA" w:rsidRDefault="00654008" w:rsidP="00355EEA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355EEA">
        <w:rPr>
          <w:rFonts w:ascii="Arial" w:hAnsi="Arial" w:cs="Arial"/>
          <w:color w:val="000000" w:themeColor="text1"/>
        </w:rPr>
        <w:t>Puthusseryppady</w:t>
      </w:r>
      <w:proofErr w:type="spellEnd"/>
      <w:r w:rsidRPr="00355EEA">
        <w:rPr>
          <w:rFonts w:ascii="Arial" w:hAnsi="Arial" w:cs="Arial"/>
          <w:color w:val="000000" w:themeColor="text1"/>
        </w:rPr>
        <w:t>, V., et al. (2020) ‘Impact of road network structure on dementia-related missing incidents: a spatial buffer approach’, Scientific Reports, 10(18574).</w:t>
      </w:r>
      <w:r w:rsidRPr="00355EEA">
        <w:t xml:space="preserve"> </w:t>
      </w:r>
      <w:r w:rsidRPr="00355EEA">
        <w:rPr>
          <w:rFonts w:ascii="Arial" w:hAnsi="Arial" w:cs="Arial"/>
          <w:color w:val="000000" w:themeColor="text1"/>
        </w:rPr>
        <w:t xml:space="preserve">(Accessed </w:t>
      </w:r>
      <w:r>
        <w:rPr>
          <w:rFonts w:ascii="Arial" w:hAnsi="Arial" w:cs="Arial"/>
          <w:color w:val="000000" w:themeColor="text1"/>
        </w:rPr>
        <w:t xml:space="preserve">23 </w:t>
      </w:r>
      <w:r w:rsidRPr="00355EEA">
        <w:rPr>
          <w:rFonts w:ascii="Arial" w:hAnsi="Arial" w:cs="Arial"/>
          <w:color w:val="000000" w:themeColor="text1"/>
        </w:rPr>
        <w:t>Oct 2025)</w:t>
      </w:r>
    </w:p>
    <w:p w14:paraId="468BB48B" w14:textId="77777777" w:rsidR="00654008" w:rsidRDefault="00654008" w:rsidP="00355EEA">
      <w:pPr>
        <w:spacing w:line="360" w:lineRule="auto"/>
        <w:rPr>
          <w:rFonts w:ascii="Arial" w:hAnsi="Arial" w:cs="Arial"/>
          <w:color w:val="000000" w:themeColor="text1"/>
        </w:rPr>
      </w:pPr>
      <w:r w:rsidRPr="00355EEA">
        <w:rPr>
          <w:rFonts w:ascii="Arial" w:hAnsi="Arial" w:cs="Arial"/>
          <w:color w:val="000000" w:themeColor="text1"/>
        </w:rPr>
        <w:t>White, E. B. &amp; Montgomery, P. (2014) ‘Electronic tracking for people with dementia: an exploratory study of the ethical issues experienced by carers in making decisions about usage’, Dementia (London), 13(2), pp. 216-232.</w:t>
      </w:r>
      <w:r w:rsidRPr="00355EEA">
        <w:t xml:space="preserve"> </w:t>
      </w:r>
      <w:r w:rsidRPr="00355EEA">
        <w:rPr>
          <w:rFonts w:ascii="Arial" w:hAnsi="Arial" w:cs="Arial"/>
          <w:color w:val="000000" w:themeColor="text1"/>
        </w:rPr>
        <w:t>(Accessed 12 Oct 2025)</w:t>
      </w:r>
    </w:p>
    <w:sectPr w:rsidR="00654008" w:rsidSect="00A32219">
      <w:footerReference w:type="default" r:id="rId16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794922" w14:textId="77777777" w:rsidR="00335B1E" w:rsidRDefault="00335B1E" w:rsidP="00335B1E">
      <w:pPr>
        <w:spacing w:after="0" w:line="240" w:lineRule="auto"/>
      </w:pPr>
      <w:r>
        <w:separator/>
      </w:r>
    </w:p>
  </w:endnote>
  <w:endnote w:type="continuationSeparator" w:id="0">
    <w:p w14:paraId="120770B9" w14:textId="77777777" w:rsidR="00335B1E" w:rsidRDefault="00335B1E" w:rsidP="00335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29130013"/>
      <w:docPartObj>
        <w:docPartGallery w:val="Page Numbers (Bottom of Page)"/>
        <w:docPartUnique/>
      </w:docPartObj>
    </w:sdtPr>
    <w:sdtContent>
      <w:p w14:paraId="234D9CDC" w14:textId="5650C22D" w:rsidR="00335B1E" w:rsidRDefault="00335B1E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F5AFA0" w14:textId="77777777" w:rsidR="00335B1E" w:rsidRDefault="00335B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BD789" w14:textId="77777777" w:rsidR="00335B1E" w:rsidRDefault="00335B1E" w:rsidP="00335B1E">
      <w:pPr>
        <w:spacing w:after="0" w:line="240" w:lineRule="auto"/>
      </w:pPr>
      <w:r>
        <w:separator/>
      </w:r>
    </w:p>
  </w:footnote>
  <w:footnote w:type="continuationSeparator" w:id="0">
    <w:p w14:paraId="436291C6" w14:textId="77777777" w:rsidR="00335B1E" w:rsidRDefault="00335B1E" w:rsidP="00335B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183437"/>
    <w:multiLevelType w:val="hybridMultilevel"/>
    <w:tmpl w:val="D194C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8928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4C8B"/>
    <w:rsid w:val="00002B51"/>
    <w:rsid w:val="000224F0"/>
    <w:rsid w:val="000A2ADC"/>
    <w:rsid w:val="000B19B8"/>
    <w:rsid w:val="00105FF5"/>
    <w:rsid w:val="0017597E"/>
    <w:rsid w:val="001C262F"/>
    <w:rsid w:val="00257079"/>
    <w:rsid w:val="0027400B"/>
    <w:rsid w:val="00274C8B"/>
    <w:rsid w:val="00320286"/>
    <w:rsid w:val="00335B1E"/>
    <w:rsid w:val="00355EEA"/>
    <w:rsid w:val="003D10F1"/>
    <w:rsid w:val="00406EC6"/>
    <w:rsid w:val="00410BCE"/>
    <w:rsid w:val="00425D40"/>
    <w:rsid w:val="0049318D"/>
    <w:rsid w:val="005D1CC5"/>
    <w:rsid w:val="00654008"/>
    <w:rsid w:val="007101AE"/>
    <w:rsid w:val="0075769A"/>
    <w:rsid w:val="0087020D"/>
    <w:rsid w:val="008B3133"/>
    <w:rsid w:val="008E4369"/>
    <w:rsid w:val="00A32219"/>
    <w:rsid w:val="00AA7F72"/>
    <w:rsid w:val="00AD580D"/>
    <w:rsid w:val="00B37DCC"/>
    <w:rsid w:val="00B648AB"/>
    <w:rsid w:val="00BE744F"/>
    <w:rsid w:val="00E10CBA"/>
    <w:rsid w:val="00F724FC"/>
    <w:rsid w:val="00FE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1698F"/>
  <w15:docId w15:val="{C6C88D3F-5BAF-4E64-9ECF-BD49F80BB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76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55EE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5EE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35B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5B1E"/>
  </w:style>
  <w:style w:type="paragraph" w:styleId="Footer">
    <w:name w:val="footer"/>
    <w:basedOn w:val="Normal"/>
    <w:link w:val="FooterChar"/>
    <w:uiPriority w:val="99"/>
    <w:unhideWhenUsed/>
    <w:rsid w:val="00335B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5B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77/14713012241248556" TargetMode="External"/><Relationship Id="rId13" Type="http://schemas.openxmlformats.org/officeDocument/2006/relationships/hyperlink" Target="https://www.nice.org.uk/guidance/ng44/chapter/recommendation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i.org/10.1016/j.socscimed.2025.117685" TargetMode="External"/><Relationship Id="rId12" Type="http://schemas.openxmlformats.org/officeDocument/2006/relationships/hyperlink" Target="https://www.nia.nih.gov/health/alzheimers-changes-behavior-and-communication/coping-alzheimers-behaviors-wandering-and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177/0025802423117482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i.org/10.1080/2573234X.2021.1920856" TargetMode="External"/><Relationship Id="rId10" Type="http://schemas.openxmlformats.org/officeDocument/2006/relationships/hyperlink" Target="https://doi.org/10.1017/s104161021100188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136/bmj.r1135" TargetMode="External"/><Relationship Id="rId14" Type="http://schemas.openxmlformats.org/officeDocument/2006/relationships/hyperlink" Target="https://doi.org/10.1016/j.protcy.2012.09.0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877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fatima zohora</cp:lastModifiedBy>
  <cp:revision>2</cp:revision>
  <dcterms:created xsi:type="dcterms:W3CDTF">2025-11-03T20:56:00Z</dcterms:created>
  <dcterms:modified xsi:type="dcterms:W3CDTF">2025-11-03T20:56:00Z</dcterms:modified>
</cp:coreProperties>
</file>