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40F07D20" w14:textId="77777777" w:rsidR="00010A29" w:rsidRDefault="004873AB" w:rsidP="004873AB">
      <w:pPr>
        <w:pStyle w:val="Heading1"/>
        <w:jc w:val="center"/>
      </w:pPr>
      <w:r>
        <w:t>Lucan 10.15-52</w:t>
      </w:r>
    </w:p>
    <w:p w14:paraId="64FD13DB" w14:textId="77777777" w:rsidR="0014170B" w:rsidRPr="0014170B" w:rsidRDefault="0014170B" w:rsidP="0014170B"/>
    <w:p w14:paraId="5BEFB397" w14:textId="5AE5BEC7" w:rsidR="0014170B" w:rsidRDefault="0014170B" w:rsidP="0014170B">
      <w:pPr>
        <w:spacing w:line="480" w:lineRule="auto"/>
        <w:rPr>
          <w:sz w:val="24"/>
          <w:szCs w:val="24"/>
        </w:rPr>
      </w:pPr>
      <w:r w:rsidRPr="004873AB">
        <w:rPr>
          <w:sz w:val="24"/>
          <w:szCs w:val="24"/>
        </w:rPr>
        <w:t>Lucan</w:t>
      </w:r>
      <w:r>
        <w:rPr>
          <w:sz w:val="24"/>
          <w:szCs w:val="24"/>
        </w:rPr>
        <w:t>’</w:t>
      </w:r>
      <w:r w:rsidRPr="004873AB">
        <w:rPr>
          <w:sz w:val="24"/>
          <w:szCs w:val="24"/>
        </w:rPr>
        <w:t>s work of 10 books, of which</w:t>
      </w:r>
      <w:r>
        <w:rPr>
          <w:sz w:val="24"/>
          <w:szCs w:val="24"/>
        </w:rPr>
        <w:t xml:space="preserve"> only the first three</w:t>
      </w:r>
      <w:r w:rsidRPr="004873AB">
        <w:rPr>
          <w:sz w:val="24"/>
          <w:szCs w:val="24"/>
        </w:rPr>
        <w:t xml:space="preserve"> were </w:t>
      </w:r>
      <w:r>
        <w:rPr>
          <w:sz w:val="24"/>
          <w:szCs w:val="24"/>
        </w:rPr>
        <w:t>completed</w:t>
      </w:r>
      <w:r w:rsidRPr="004873AB">
        <w:rPr>
          <w:sz w:val="24"/>
          <w:szCs w:val="24"/>
        </w:rPr>
        <w:t>, covers the subject of the Roman Civil war</w:t>
      </w:r>
      <w:r>
        <w:rPr>
          <w:sz w:val="24"/>
          <w:szCs w:val="24"/>
        </w:rPr>
        <w:t xml:space="preserve"> between Julius Caesar and the Roman Republic. However, it is important to note that his work was not written as a history, but as an epic, and therefore the narrative is tinted with Lucan’s perspective, using fabrications as well as historical evidence.</w:t>
      </w:r>
      <w:r>
        <w:rPr>
          <w:rStyle w:val="FootnoteReference"/>
          <w:sz w:val="24"/>
          <w:szCs w:val="24"/>
        </w:rPr>
        <w:footnoteReference w:id="1"/>
      </w:r>
      <w:r>
        <w:rPr>
          <w:sz w:val="24"/>
          <w:szCs w:val="24"/>
        </w:rPr>
        <w:t xml:space="preserve">  The war was triggered by</w:t>
      </w:r>
      <w:r w:rsidR="0088163C">
        <w:rPr>
          <w:sz w:val="24"/>
          <w:szCs w:val="24"/>
        </w:rPr>
        <w:t xml:space="preserve"> Julius</w:t>
      </w:r>
      <w:r>
        <w:rPr>
          <w:sz w:val="24"/>
          <w:szCs w:val="24"/>
        </w:rPr>
        <w:t xml:space="preserve"> Caesar crossing the Rubico</w:t>
      </w:r>
      <w:r w:rsidR="007B3C85">
        <w:rPr>
          <w:sz w:val="24"/>
          <w:szCs w:val="24"/>
        </w:rPr>
        <w:t>n</w:t>
      </w:r>
      <w:r w:rsidR="00420D9C">
        <w:rPr>
          <w:sz w:val="24"/>
          <w:szCs w:val="24"/>
        </w:rPr>
        <w:t xml:space="preserve"> in 49AD</w:t>
      </w:r>
      <w:r>
        <w:rPr>
          <w:sz w:val="24"/>
          <w:szCs w:val="24"/>
        </w:rPr>
        <w:t>, famously saying ‘Let the die be cast’</w:t>
      </w:r>
      <w:r w:rsidR="007B3C85">
        <w:rPr>
          <w:sz w:val="24"/>
          <w:szCs w:val="24"/>
        </w:rPr>
        <w:t xml:space="preserve"> </w:t>
      </w:r>
      <w:r>
        <w:rPr>
          <w:sz w:val="24"/>
          <w:szCs w:val="24"/>
        </w:rPr>
        <w:t>after committing to do so.</w:t>
      </w:r>
      <w:r w:rsidR="007B3C85" w:rsidRPr="007B3C85">
        <w:rPr>
          <w:rStyle w:val="FootnoteReference"/>
          <w:sz w:val="24"/>
          <w:szCs w:val="24"/>
        </w:rPr>
        <w:t xml:space="preserve"> </w:t>
      </w:r>
      <w:r w:rsidR="007B3C85">
        <w:rPr>
          <w:rStyle w:val="FootnoteReference"/>
          <w:sz w:val="24"/>
          <w:szCs w:val="24"/>
        </w:rPr>
        <w:footnoteReference w:id="2"/>
      </w:r>
      <w:r w:rsidR="007B3C85">
        <w:rPr>
          <w:sz w:val="24"/>
          <w:szCs w:val="24"/>
        </w:rPr>
        <w:t xml:space="preserve"> </w:t>
      </w:r>
      <w:r>
        <w:rPr>
          <w:sz w:val="24"/>
          <w:szCs w:val="24"/>
        </w:rPr>
        <w:t xml:space="preserve"> </w:t>
      </w:r>
      <w:r w:rsidR="007B3C85">
        <w:rPr>
          <w:sz w:val="24"/>
          <w:szCs w:val="24"/>
        </w:rPr>
        <w:t>It</w:t>
      </w:r>
      <w:r>
        <w:rPr>
          <w:sz w:val="24"/>
          <w:szCs w:val="24"/>
        </w:rPr>
        <w:t xml:space="preserve"> was this single action which triggered the Civil Wars and the end of a Republic in Rome,</w:t>
      </w:r>
      <w:r>
        <w:rPr>
          <w:rStyle w:val="FootnoteReference"/>
          <w:sz w:val="24"/>
          <w:szCs w:val="24"/>
        </w:rPr>
        <w:footnoteReference w:id="3"/>
      </w:r>
      <w:r>
        <w:rPr>
          <w:sz w:val="24"/>
          <w:szCs w:val="24"/>
        </w:rPr>
        <w:t xml:space="preserve"> and therefore Lucan’s </w:t>
      </w:r>
      <w:r>
        <w:rPr>
          <w:i/>
          <w:sz w:val="24"/>
          <w:szCs w:val="24"/>
        </w:rPr>
        <w:t>Civil War</w:t>
      </w:r>
      <w:r>
        <w:rPr>
          <w:sz w:val="24"/>
          <w:szCs w:val="24"/>
        </w:rPr>
        <w:t>.</w:t>
      </w:r>
      <w:r w:rsidRPr="005876F8">
        <w:rPr>
          <w:sz w:val="24"/>
          <w:szCs w:val="24"/>
        </w:rPr>
        <w:t xml:space="preserve"> </w:t>
      </w:r>
      <w:r>
        <w:rPr>
          <w:sz w:val="24"/>
          <w:szCs w:val="24"/>
        </w:rPr>
        <w:t>The epic has been criticised for its lack of adherence to the heroic tradition within the form of a Heroic Epic</w:t>
      </w:r>
      <w:r w:rsidR="007B3C85">
        <w:rPr>
          <w:sz w:val="24"/>
          <w:szCs w:val="24"/>
        </w:rPr>
        <w:t>,</w:t>
      </w:r>
      <w:r>
        <w:rPr>
          <w:rStyle w:val="FootnoteReference"/>
          <w:sz w:val="24"/>
          <w:szCs w:val="24"/>
        </w:rPr>
        <w:footnoteReference w:id="4"/>
      </w:r>
      <w:r>
        <w:rPr>
          <w:sz w:val="24"/>
          <w:szCs w:val="24"/>
        </w:rPr>
        <w:t xml:space="preserve"> </w:t>
      </w:r>
      <w:r w:rsidR="006F7630">
        <w:rPr>
          <w:sz w:val="24"/>
          <w:szCs w:val="24"/>
        </w:rPr>
        <w:t>and a</w:t>
      </w:r>
      <w:r>
        <w:rPr>
          <w:sz w:val="24"/>
          <w:szCs w:val="24"/>
        </w:rPr>
        <w:t xml:space="preserve"> sense of irony stifles the entire collection</w:t>
      </w:r>
      <w:r w:rsidR="00E85798">
        <w:rPr>
          <w:sz w:val="24"/>
          <w:szCs w:val="24"/>
        </w:rPr>
        <w:t xml:space="preserve">. </w:t>
      </w:r>
      <w:r>
        <w:rPr>
          <w:sz w:val="24"/>
          <w:szCs w:val="24"/>
        </w:rPr>
        <w:t xml:space="preserve">Throughout, it will be implied that Lucan uses his words and the symbol of thunder and lightning to vilify the heroes which were often idolised in Ancient Greece and Rome. </w:t>
      </w:r>
      <w:r w:rsidR="00C9635F">
        <w:rPr>
          <w:sz w:val="24"/>
          <w:szCs w:val="24"/>
        </w:rPr>
        <w:t>It also seems as though Lucan is making links between Nero and the tyranny of Alexander and Caesar too, so that will also be taken in to account throughout.</w:t>
      </w:r>
      <w:r w:rsidR="003F49CE">
        <w:rPr>
          <w:sz w:val="24"/>
          <w:szCs w:val="24"/>
        </w:rPr>
        <w:t xml:space="preserve"> </w:t>
      </w:r>
    </w:p>
    <w:p w14:paraId="6FF70A85" w14:textId="4B6F7EA3" w:rsidR="00420D9C" w:rsidRDefault="00420D9C" w:rsidP="00420D9C">
      <w:pPr>
        <w:spacing w:line="480" w:lineRule="auto"/>
        <w:rPr>
          <w:sz w:val="24"/>
          <w:szCs w:val="24"/>
        </w:rPr>
      </w:pPr>
      <w:r>
        <w:rPr>
          <w:sz w:val="24"/>
          <w:szCs w:val="24"/>
        </w:rPr>
        <w:t>In the scene, Caesar is paying his respects to Alexanders tomb, possibly in Paraetonium, and Lucan goes on to put in some narrative input on Alexander</w:t>
      </w:r>
      <w:r w:rsidR="000C626F">
        <w:rPr>
          <w:sz w:val="24"/>
          <w:szCs w:val="24"/>
        </w:rPr>
        <w:t>; this scene is historically based, and it is known that Caesar really did visit Alexanders tomb at some point in time</w:t>
      </w:r>
      <w:r>
        <w:rPr>
          <w:sz w:val="24"/>
          <w:szCs w:val="24"/>
        </w:rPr>
        <w:t>.</w:t>
      </w:r>
      <w:r w:rsidR="000C626F">
        <w:rPr>
          <w:rStyle w:val="FootnoteReference"/>
          <w:sz w:val="24"/>
          <w:szCs w:val="24"/>
        </w:rPr>
        <w:footnoteReference w:id="5"/>
      </w:r>
      <w:r>
        <w:rPr>
          <w:sz w:val="24"/>
          <w:szCs w:val="24"/>
        </w:rPr>
        <w:t xml:space="preserve"> </w:t>
      </w:r>
      <w:r w:rsidR="000C626F">
        <w:rPr>
          <w:sz w:val="24"/>
          <w:szCs w:val="24"/>
        </w:rPr>
        <w:t xml:space="preserve">It follows Caesars supposed visit to Troy on the chase for Pompey, a scene which infers that Caesars appearances were only skin-deep, and he did not really possess respect for tradition and his </w:t>
      </w:r>
      <w:r w:rsidR="000C626F">
        <w:rPr>
          <w:sz w:val="24"/>
          <w:szCs w:val="24"/>
        </w:rPr>
        <w:lastRenderedPageBreak/>
        <w:t xml:space="preserve">heroic heritage. </w:t>
      </w:r>
      <w:r>
        <w:rPr>
          <w:sz w:val="24"/>
          <w:szCs w:val="24"/>
        </w:rPr>
        <w:t>The tomb itself is not really exalted within the passage, supposedly it shows ‘the Macedonian might,’</w:t>
      </w:r>
      <w:r>
        <w:rPr>
          <w:rStyle w:val="FootnoteReference"/>
          <w:sz w:val="24"/>
          <w:szCs w:val="24"/>
        </w:rPr>
        <w:footnoteReference w:id="6"/>
      </w:r>
      <w:r>
        <w:rPr>
          <w:sz w:val="24"/>
          <w:szCs w:val="24"/>
        </w:rPr>
        <w:t xml:space="preserve"> yet it is portrayed as lying in a cavern.</w:t>
      </w:r>
      <w:r>
        <w:rPr>
          <w:rStyle w:val="FootnoteReference"/>
          <w:sz w:val="24"/>
          <w:szCs w:val="24"/>
        </w:rPr>
        <w:footnoteReference w:id="7"/>
      </w:r>
      <w:r>
        <w:rPr>
          <w:sz w:val="24"/>
          <w:szCs w:val="24"/>
        </w:rPr>
        <w:t xml:space="preserve"> This is counterintuitive, as it was most likely that Alexanders tomb was within Alexandria’s temple and would be brought to a special place for viewing.</w:t>
      </w:r>
      <w:r>
        <w:rPr>
          <w:rStyle w:val="FootnoteReference"/>
          <w:sz w:val="24"/>
          <w:szCs w:val="24"/>
        </w:rPr>
        <w:footnoteReference w:id="8"/>
      </w:r>
      <w:r>
        <w:rPr>
          <w:sz w:val="24"/>
          <w:szCs w:val="24"/>
        </w:rPr>
        <w:t xml:space="preserve"> Therefore, the reader is forced to recognise the cave to be a symbol of the darkness Alexander could not escape, whether in life or death</w:t>
      </w:r>
      <w:r w:rsidR="00E85798">
        <w:rPr>
          <w:sz w:val="24"/>
          <w:szCs w:val="24"/>
        </w:rPr>
        <w:t>;</w:t>
      </w:r>
      <w:r>
        <w:rPr>
          <w:sz w:val="24"/>
          <w:szCs w:val="24"/>
        </w:rPr>
        <w:t xml:space="preserve"> a cave which Caesar, during his chase for Pompey, was now entering in reverence to a man he aspired to b</w:t>
      </w:r>
      <w:r w:rsidR="00E85798">
        <w:rPr>
          <w:sz w:val="24"/>
          <w:szCs w:val="24"/>
        </w:rPr>
        <w:t>e</w:t>
      </w:r>
      <w:r>
        <w:rPr>
          <w:sz w:val="24"/>
          <w:szCs w:val="24"/>
        </w:rPr>
        <w:t>. It also brings to mind the fact that someone so great would be confined into a space which was so dark, and what this means about our position in life in regards to the mortality we are all chained by. By Caesar entering the cave of Alexander, he is entering the fate of Alexander, one which had been speculated to be an assassination by many.</w:t>
      </w:r>
    </w:p>
    <w:p w14:paraId="28AB337F" w14:textId="77777777" w:rsidR="003F49CE" w:rsidRDefault="00420D9C" w:rsidP="003F49CE">
      <w:pPr>
        <w:spacing w:line="480" w:lineRule="auto"/>
        <w:rPr>
          <w:sz w:val="24"/>
          <w:szCs w:val="24"/>
        </w:rPr>
      </w:pPr>
      <w:r>
        <w:rPr>
          <w:sz w:val="24"/>
          <w:szCs w:val="24"/>
        </w:rPr>
        <w:t xml:space="preserve">For Lucan it was perhaps an image created to reflect on the fate of all tyrants, as </w:t>
      </w:r>
      <w:proofErr w:type="spellStart"/>
      <w:r>
        <w:rPr>
          <w:i/>
          <w:sz w:val="24"/>
          <w:szCs w:val="24"/>
        </w:rPr>
        <w:t>libertas</w:t>
      </w:r>
      <w:proofErr w:type="spellEnd"/>
      <w:r>
        <w:rPr>
          <w:sz w:val="24"/>
          <w:szCs w:val="24"/>
        </w:rPr>
        <w:t xml:space="preserve"> would have seen Alexander ‘not serviceable to this world,’ for so many countries should not ‘be under one man’s sway.’</w:t>
      </w:r>
      <w:r>
        <w:rPr>
          <w:rStyle w:val="FootnoteReference"/>
          <w:sz w:val="24"/>
          <w:szCs w:val="24"/>
        </w:rPr>
        <w:footnoteReference w:id="9"/>
      </w:r>
      <w:r w:rsidRPr="00B32616">
        <w:rPr>
          <w:sz w:val="24"/>
          <w:szCs w:val="24"/>
        </w:rPr>
        <w:t xml:space="preserve"> </w:t>
      </w:r>
      <w:r>
        <w:rPr>
          <w:sz w:val="24"/>
          <w:szCs w:val="24"/>
        </w:rPr>
        <w:t>When Lucan was writing his epic, the Empire that Rome had built was slowly crumbling apart under an incompetent emperor who was a disappointment,</w:t>
      </w:r>
      <w:r>
        <w:rPr>
          <w:rStyle w:val="FootnoteReference"/>
          <w:sz w:val="24"/>
          <w:szCs w:val="24"/>
        </w:rPr>
        <w:footnoteReference w:id="10"/>
      </w:r>
      <w:r>
        <w:rPr>
          <w:sz w:val="24"/>
          <w:szCs w:val="24"/>
        </w:rPr>
        <w:t xml:space="preserve"> the reality of having such an empire was accepted because of the examples of Alexander and Caesar who created dictatorship-style empires. He references the deteri</w:t>
      </w:r>
      <w:r w:rsidR="009525F9">
        <w:rPr>
          <w:sz w:val="24"/>
          <w:szCs w:val="24"/>
        </w:rPr>
        <w:t>oratio</w:t>
      </w:r>
      <w:r>
        <w:rPr>
          <w:sz w:val="24"/>
          <w:szCs w:val="24"/>
        </w:rPr>
        <w:t xml:space="preserve">n of the Empire in this gobbet, as </w:t>
      </w:r>
      <w:r w:rsidR="009525F9">
        <w:rPr>
          <w:sz w:val="24"/>
          <w:szCs w:val="24"/>
        </w:rPr>
        <w:t>‘al</w:t>
      </w:r>
      <w:r>
        <w:rPr>
          <w:sz w:val="24"/>
          <w:szCs w:val="24"/>
        </w:rPr>
        <w:t>though we rule as far as Arctos and the homes of Zephyr,’</w:t>
      </w:r>
      <w:r>
        <w:rPr>
          <w:rStyle w:val="FootnoteReference"/>
          <w:sz w:val="24"/>
          <w:szCs w:val="24"/>
        </w:rPr>
        <w:footnoteReference w:id="11"/>
      </w:r>
      <w:r>
        <w:rPr>
          <w:sz w:val="24"/>
          <w:szCs w:val="24"/>
        </w:rPr>
        <w:t xml:space="preserve"> ‘in the East we shall now yield to the master of the Arsacids.’</w:t>
      </w:r>
      <w:r>
        <w:rPr>
          <w:rStyle w:val="FootnoteReference"/>
          <w:sz w:val="24"/>
          <w:szCs w:val="24"/>
        </w:rPr>
        <w:footnoteReference w:id="12"/>
      </w:r>
      <w:r w:rsidR="009525F9">
        <w:rPr>
          <w:sz w:val="24"/>
          <w:szCs w:val="24"/>
        </w:rPr>
        <w:t xml:space="preserve"> This quite plainly states that the Empire is being lost, and currently crumbling. </w:t>
      </w:r>
      <w:r w:rsidR="009E26A4">
        <w:rPr>
          <w:sz w:val="24"/>
          <w:szCs w:val="24"/>
        </w:rPr>
        <w:t xml:space="preserve">However, it could </w:t>
      </w:r>
      <w:r w:rsidR="00685761">
        <w:rPr>
          <w:sz w:val="24"/>
          <w:szCs w:val="24"/>
        </w:rPr>
        <w:lastRenderedPageBreak/>
        <w:t>be said that</w:t>
      </w:r>
      <w:r w:rsidR="003F49CE">
        <w:rPr>
          <w:sz w:val="24"/>
          <w:szCs w:val="24"/>
        </w:rPr>
        <w:t xml:space="preserve"> this could have been a glorification of Alexander, as it acknowledges that he conquered the East, whereas Rome lost it, but this could just as likely be a slight against Rome without his conquest in mind.</w:t>
      </w:r>
      <w:r w:rsidR="003F49CE" w:rsidRPr="003F49CE">
        <w:rPr>
          <w:sz w:val="24"/>
          <w:szCs w:val="24"/>
        </w:rPr>
        <w:t xml:space="preserve"> </w:t>
      </w:r>
    </w:p>
    <w:p w14:paraId="735B916A" w14:textId="3C733558" w:rsidR="00420D9C" w:rsidRDefault="003F49CE" w:rsidP="00420D9C">
      <w:pPr>
        <w:spacing w:line="480" w:lineRule="auto"/>
        <w:rPr>
          <w:sz w:val="24"/>
          <w:szCs w:val="24"/>
        </w:rPr>
      </w:pPr>
      <w:r>
        <w:rPr>
          <w:sz w:val="24"/>
          <w:szCs w:val="24"/>
        </w:rPr>
        <w:t>Lucan’s distaste for glorifying those seen as heroes comes out initially when he introduces Alexander the Great as ‘the crazy offspring of Pellean Phillip, […] the lucky bandit.’</w:t>
      </w:r>
      <w:r>
        <w:rPr>
          <w:rStyle w:val="FootnoteReference"/>
          <w:sz w:val="24"/>
          <w:szCs w:val="24"/>
        </w:rPr>
        <w:footnoteReference w:id="13"/>
      </w:r>
      <w:r>
        <w:rPr>
          <w:sz w:val="24"/>
          <w:szCs w:val="24"/>
        </w:rPr>
        <w:t xml:space="preserve"> The use of words such as crazy to describe Alexander do not match most other written Alexandrian tales, which tend to glorify his actions and view them with the glasses of expansionism on. Here, Lucan invites the reader to see past this common trope and see his actions for what they should have been seen as; a man’s inconsideration for anyone else apart from ambitions and not just a man whose goal was to conquer the world. Alexanders goals were so big that they blinded him to reason, and this was the beginning of his downfall, similar to Caesars crossing of the Rubicon. Their ambition was why they were both loved and hated, and both had questionable deaths, one assasination and the other through illness likely caused by poison;</w:t>
      </w:r>
      <w:r>
        <w:rPr>
          <w:rStyle w:val="FootnoteReference"/>
          <w:sz w:val="24"/>
          <w:szCs w:val="24"/>
        </w:rPr>
        <w:footnoteReference w:id="14"/>
      </w:r>
      <w:r>
        <w:rPr>
          <w:sz w:val="24"/>
          <w:szCs w:val="24"/>
        </w:rPr>
        <w:t xml:space="preserve"> implying that they were both seen as too destructive for their own good. </w:t>
      </w:r>
    </w:p>
    <w:p w14:paraId="1AE68E84" w14:textId="612DB1A1" w:rsidR="00C9635F" w:rsidRDefault="00420D9C" w:rsidP="00043279">
      <w:pPr>
        <w:spacing w:line="480" w:lineRule="auto"/>
        <w:rPr>
          <w:sz w:val="24"/>
          <w:szCs w:val="24"/>
        </w:rPr>
      </w:pPr>
      <w:r>
        <w:rPr>
          <w:sz w:val="24"/>
          <w:szCs w:val="24"/>
        </w:rPr>
        <w:t>He calls</w:t>
      </w:r>
      <w:r w:rsidR="00794C80">
        <w:rPr>
          <w:sz w:val="24"/>
          <w:szCs w:val="24"/>
        </w:rPr>
        <w:t xml:space="preserve"> Alexander</w:t>
      </w:r>
      <w:r w:rsidR="00893D5C">
        <w:rPr>
          <w:sz w:val="24"/>
          <w:szCs w:val="24"/>
        </w:rPr>
        <w:t>,</w:t>
      </w:r>
      <w:r w:rsidR="009525F9">
        <w:rPr>
          <w:sz w:val="24"/>
          <w:szCs w:val="24"/>
        </w:rPr>
        <w:t xml:space="preserve"> and therefore Caesar</w:t>
      </w:r>
      <w:r w:rsidR="00893D5C">
        <w:rPr>
          <w:sz w:val="24"/>
          <w:szCs w:val="24"/>
        </w:rPr>
        <w:t>,</w:t>
      </w:r>
      <w:r w:rsidR="009525F9">
        <w:rPr>
          <w:sz w:val="24"/>
          <w:szCs w:val="24"/>
        </w:rPr>
        <w:t xml:space="preserve"> </w:t>
      </w:r>
      <w:r w:rsidR="00794C80">
        <w:rPr>
          <w:sz w:val="24"/>
          <w:szCs w:val="24"/>
        </w:rPr>
        <w:t>‘an evil deadly to the earth, a thunderbolt which struck all the peoples equally, a star baneful to humankind.’</w:t>
      </w:r>
      <w:r w:rsidR="00794C80">
        <w:rPr>
          <w:rStyle w:val="FootnoteReference"/>
          <w:sz w:val="24"/>
          <w:szCs w:val="24"/>
        </w:rPr>
        <w:footnoteReference w:id="15"/>
      </w:r>
      <w:r w:rsidR="00794C80" w:rsidRPr="00794C80">
        <w:rPr>
          <w:sz w:val="24"/>
          <w:szCs w:val="24"/>
        </w:rPr>
        <w:t xml:space="preserve"> </w:t>
      </w:r>
      <w:r w:rsidR="00794C80">
        <w:rPr>
          <w:sz w:val="24"/>
          <w:szCs w:val="24"/>
        </w:rPr>
        <w:t>The symbol of a thunderbolt is also used by him in relation to Caesar earlier in the epic, and the destruction thunder and lightning can bring.</w:t>
      </w:r>
      <w:r w:rsidR="00794C80">
        <w:rPr>
          <w:rStyle w:val="FootnoteReference"/>
          <w:sz w:val="24"/>
          <w:szCs w:val="24"/>
        </w:rPr>
        <w:footnoteReference w:id="16"/>
      </w:r>
      <w:r w:rsidR="00794C80">
        <w:rPr>
          <w:sz w:val="24"/>
          <w:szCs w:val="24"/>
        </w:rPr>
        <w:t xml:space="preserve"> The contrast here with Caesar is hard to ignore, in</w:t>
      </w:r>
      <w:r w:rsidR="00794C80" w:rsidRPr="00794C80">
        <w:rPr>
          <w:sz w:val="24"/>
          <w:szCs w:val="24"/>
        </w:rPr>
        <w:t xml:space="preserve"> </w:t>
      </w:r>
      <w:r w:rsidR="00794C80">
        <w:rPr>
          <w:sz w:val="24"/>
          <w:szCs w:val="24"/>
        </w:rPr>
        <w:t xml:space="preserve">this scene he is linking them both together as similar destructive forces, both of which had no heirs, and </w:t>
      </w:r>
      <w:r w:rsidR="00794C80">
        <w:rPr>
          <w:sz w:val="24"/>
          <w:szCs w:val="24"/>
        </w:rPr>
        <w:lastRenderedPageBreak/>
        <w:t>whose actions caused the destruction of their empires</w:t>
      </w:r>
      <w:r w:rsidR="009A49A8">
        <w:rPr>
          <w:sz w:val="24"/>
          <w:szCs w:val="24"/>
        </w:rPr>
        <w:t>; both of whom will</w:t>
      </w:r>
      <w:r w:rsidR="00BD3AD7">
        <w:rPr>
          <w:sz w:val="24"/>
          <w:szCs w:val="24"/>
        </w:rPr>
        <w:t xml:space="preserve"> later</w:t>
      </w:r>
      <w:r w:rsidR="009A49A8">
        <w:rPr>
          <w:sz w:val="24"/>
          <w:szCs w:val="24"/>
        </w:rPr>
        <w:t xml:space="preserve"> be constrained by their mortality </w:t>
      </w:r>
      <w:r>
        <w:rPr>
          <w:sz w:val="24"/>
          <w:szCs w:val="24"/>
        </w:rPr>
        <w:t>within the confines of opulent tombs.</w:t>
      </w:r>
      <w:r w:rsidR="00C9635F">
        <w:rPr>
          <w:sz w:val="24"/>
          <w:szCs w:val="24"/>
        </w:rPr>
        <w:t xml:space="preserve"> </w:t>
      </w:r>
      <w:r w:rsidR="003F49CE">
        <w:rPr>
          <w:sz w:val="24"/>
          <w:szCs w:val="24"/>
        </w:rPr>
        <w:t xml:space="preserve">It also summons images of flashes, which can only be seen and not touched, out of reach to man and in a Godly realm; though not quite with the Gods as they are just a product of them. An image of a life which can only be seen temporarily, a life of beauty and danger, but a selfish and destructive beauty which does not care for the destruction it brings, as it will not be there to experience the aftermath. </w:t>
      </w:r>
      <w:r w:rsidR="00C9635F">
        <w:rPr>
          <w:sz w:val="24"/>
          <w:szCs w:val="24"/>
        </w:rPr>
        <w:t>One can also question whether he is also refencing Nero in this gobbet too and foreshadowing the assassination which he himself was eventually ready to partake in,</w:t>
      </w:r>
      <w:r w:rsidR="00BD3AD7">
        <w:rPr>
          <w:rStyle w:val="FootnoteReference"/>
          <w:sz w:val="24"/>
          <w:szCs w:val="24"/>
        </w:rPr>
        <w:footnoteReference w:id="17"/>
      </w:r>
      <w:r w:rsidR="00C9635F">
        <w:rPr>
          <w:sz w:val="24"/>
          <w:szCs w:val="24"/>
        </w:rPr>
        <w:t xml:space="preserve"> since he jumps back towards Romes current decay within the passage.</w:t>
      </w:r>
    </w:p>
    <w:p w14:paraId="3177A0CD" w14:textId="651C7DCD" w:rsidR="004879B0" w:rsidRDefault="00794C80" w:rsidP="00043279">
      <w:pPr>
        <w:spacing w:line="480" w:lineRule="auto"/>
        <w:rPr>
          <w:sz w:val="24"/>
          <w:szCs w:val="24"/>
        </w:rPr>
      </w:pPr>
      <w:r>
        <w:rPr>
          <w:sz w:val="24"/>
          <w:szCs w:val="24"/>
        </w:rPr>
        <w:t>The intentional hero of the epic has been the source of debate amongst scholars,</w:t>
      </w:r>
      <w:r>
        <w:rPr>
          <w:rStyle w:val="FootnoteReference"/>
          <w:sz w:val="24"/>
          <w:szCs w:val="24"/>
        </w:rPr>
        <w:footnoteReference w:id="18"/>
      </w:r>
      <w:r>
        <w:rPr>
          <w:sz w:val="24"/>
          <w:szCs w:val="24"/>
        </w:rPr>
        <w:t xml:space="preserve"> but it seems likely that Lucan wanted it to be clear that there was no hero </w:t>
      </w:r>
      <w:r w:rsidR="00BD3AD7">
        <w:rPr>
          <w:sz w:val="24"/>
          <w:szCs w:val="24"/>
        </w:rPr>
        <w:t xml:space="preserve">in </w:t>
      </w:r>
      <w:r>
        <w:rPr>
          <w:sz w:val="24"/>
          <w:szCs w:val="24"/>
        </w:rPr>
        <w:t>any civil war like the one which Alexander and Caesars deaths created.</w:t>
      </w:r>
      <w:r w:rsidR="00BD3AD7">
        <w:rPr>
          <w:rStyle w:val="FootnoteReference"/>
          <w:sz w:val="24"/>
          <w:szCs w:val="24"/>
        </w:rPr>
        <w:footnoteReference w:id="19"/>
      </w:r>
      <w:r>
        <w:rPr>
          <w:sz w:val="24"/>
          <w:szCs w:val="24"/>
        </w:rPr>
        <w:t xml:space="preserve"> </w:t>
      </w:r>
      <w:r w:rsidR="003F49CE">
        <w:rPr>
          <w:sz w:val="24"/>
          <w:szCs w:val="24"/>
        </w:rPr>
        <w:t>This can be seen when he portrays Alexander as incompetent, dying with ‘none as heir’ and thus exposing ‘the cities to be torn apart.’</w:t>
      </w:r>
      <w:r w:rsidR="003F49CE">
        <w:rPr>
          <w:rStyle w:val="FootnoteReference"/>
          <w:sz w:val="24"/>
          <w:szCs w:val="24"/>
        </w:rPr>
        <w:footnoteReference w:id="20"/>
      </w:r>
      <w:r w:rsidR="003F49CE">
        <w:rPr>
          <w:sz w:val="24"/>
          <w:szCs w:val="24"/>
        </w:rPr>
        <w:t xml:space="preserve"> </w:t>
      </w:r>
      <w:r>
        <w:rPr>
          <w:sz w:val="24"/>
          <w:szCs w:val="24"/>
        </w:rPr>
        <w:t xml:space="preserve">It has been suggested by </w:t>
      </w:r>
      <w:proofErr w:type="spellStart"/>
      <w:r>
        <w:rPr>
          <w:sz w:val="24"/>
          <w:szCs w:val="24"/>
        </w:rPr>
        <w:t>Giraus</w:t>
      </w:r>
      <w:proofErr w:type="spellEnd"/>
      <w:r>
        <w:rPr>
          <w:sz w:val="24"/>
          <w:szCs w:val="24"/>
        </w:rPr>
        <w:t xml:space="preserve"> that to Lucan, the democratic state was the hero, as when it died, so did </w:t>
      </w:r>
      <w:r>
        <w:rPr>
          <w:i/>
          <w:sz w:val="24"/>
          <w:szCs w:val="24"/>
        </w:rPr>
        <w:t>Libertas</w:t>
      </w:r>
      <w:r>
        <w:rPr>
          <w:sz w:val="24"/>
          <w:szCs w:val="24"/>
        </w:rPr>
        <w:t>.</w:t>
      </w:r>
      <w:r>
        <w:rPr>
          <w:rStyle w:val="FootnoteReference"/>
          <w:sz w:val="24"/>
          <w:szCs w:val="24"/>
        </w:rPr>
        <w:footnoteReference w:id="21"/>
      </w:r>
      <w:r>
        <w:rPr>
          <w:sz w:val="24"/>
          <w:szCs w:val="24"/>
        </w:rPr>
        <w:t xml:space="preserve"> This seems to match the ideals which Lucan himself portrayed in his life,</w:t>
      </w:r>
      <w:r>
        <w:rPr>
          <w:rStyle w:val="FootnoteReference"/>
          <w:sz w:val="24"/>
          <w:szCs w:val="24"/>
        </w:rPr>
        <w:footnoteReference w:id="22"/>
      </w:r>
      <w:r>
        <w:rPr>
          <w:sz w:val="24"/>
          <w:szCs w:val="24"/>
        </w:rPr>
        <w:t xml:space="preserve"> with him committing suicide after being involved within the </w:t>
      </w:r>
      <w:r w:rsidRPr="0076189A">
        <w:rPr>
          <w:sz w:val="24"/>
          <w:szCs w:val="24"/>
          <w:lang w:val="de-DE"/>
        </w:rPr>
        <w:t>Pisonian conspirac</w:t>
      </w:r>
      <w:r>
        <w:rPr>
          <w:sz w:val="24"/>
          <w:szCs w:val="24"/>
          <w:lang w:val="de-DE"/>
        </w:rPr>
        <w:t>y.</w:t>
      </w:r>
      <w:r>
        <w:rPr>
          <w:sz w:val="24"/>
          <w:szCs w:val="24"/>
        </w:rPr>
        <w:t xml:space="preserve"> Therefore, it seems reasonable to conclude that the reason why he vilifies Alexanders tomb, and his person, is because of the own beliefs he held on free speech and </w:t>
      </w:r>
      <w:r>
        <w:rPr>
          <w:sz w:val="24"/>
          <w:szCs w:val="24"/>
        </w:rPr>
        <w:lastRenderedPageBreak/>
        <w:t>democracy; two traits which Alexander and Caesar both suppressed within their times as rulers.</w:t>
      </w:r>
    </w:p>
    <w:p w14:paraId="004D12E0" w14:textId="5E42D145" w:rsidR="00420D9C" w:rsidRDefault="003F49CE" w:rsidP="00043279">
      <w:pPr>
        <w:spacing w:line="480" w:lineRule="auto"/>
        <w:rPr>
          <w:sz w:val="24"/>
          <w:szCs w:val="24"/>
        </w:rPr>
      </w:pPr>
      <w:r>
        <w:rPr>
          <w:sz w:val="24"/>
          <w:szCs w:val="24"/>
        </w:rPr>
        <w:t xml:space="preserve">Within </w:t>
      </w:r>
      <w:r w:rsidR="000D3D4E">
        <w:rPr>
          <w:sz w:val="24"/>
          <w:szCs w:val="24"/>
        </w:rPr>
        <w:t>Lucan’s</w:t>
      </w:r>
      <w:r w:rsidRPr="000D3D4E">
        <w:rPr>
          <w:i/>
          <w:iCs/>
          <w:sz w:val="24"/>
          <w:szCs w:val="24"/>
        </w:rPr>
        <w:t xml:space="preserve"> Civil War</w:t>
      </w:r>
      <w:r>
        <w:rPr>
          <w:sz w:val="24"/>
          <w:szCs w:val="24"/>
        </w:rPr>
        <w:t xml:space="preserve"> </w:t>
      </w:r>
      <w:r w:rsidR="000D3D4E">
        <w:rPr>
          <w:sz w:val="24"/>
          <w:szCs w:val="24"/>
        </w:rPr>
        <w:t xml:space="preserve">is complex </w:t>
      </w:r>
      <w:r w:rsidR="005078B2">
        <w:rPr>
          <w:sz w:val="24"/>
          <w:szCs w:val="24"/>
        </w:rPr>
        <w:t>imagery</w:t>
      </w:r>
      <w:r w:rsidR="000D3D4E">
        <w:rPr>
          <w:sz w:val="24"/>
          <w:szCs w:val="24"/>
        </w:rPr>
        <w:t xml:space="preserve"> which runs throughout all ten books and links characters together along a tenuous string, some more obviously interlinked than others. Within this passage, he does so by using lightning and death to</w:t>
      </w:r>
      <w:r w:rsidR="005078B2">
        <w:rPr>
          <w:sz w:val="24"/>
          <w:szCs w:val="24"/>
        </w:rPr>
        <w:t xml:space="preserve"> symbolise Alexander and Caesar, and p</w:t>
      </w:r>
      <w:r w:rsidR="00241D8A">
        <w:rPr>
          <w:sz w:val="24"/>
          <w:szCs w:val="24"/>
        </w:rPr>
        <w:t>robably</w:t>
      </w:r>
      <w:r w:rsidR="005078B2">
        <w:rPr>
          <w:sz w:val="24"/>
          <w:szCs w:val="24"/>
        </w:rPr>
        <w:t xml:space="preserve"> Nero</w:t>
      </w:r>
      <w:r w:rsidR="00241D8A">
        <w:rPr>
          <w:sz w:val="24"/>
          <w:szCs w:val="24"/>
        </w:rPr>
        <w:t xml:space="preserve"> too</w:t>
      </w:r>
      <w:r w:rsidR="005078B2">
        <w:rPr>
          <w:sz w:val="24"/>
          <w:szCs w:val="24"/>
        </w:rPr>
        <w:t>, as similar characters who are both tyrannical and have no regard for the destruction they brought to the world and their empires.</w:t>
      </w:r>
      <w:r w:rsidR="000D3D4E">
        <w:rPr>
          <w:sz w:val="24"/>
          <w:szCs w:val="24"/>
        </w:rPr>
        <w:t xml:space="preserve"> </w:t>
      </w:r>
      <w:r w:rsidR="005078B2">
        <w:rPr>
          <w:sz w:val="24"/>
          <w:szCs w:val="24"/>
        </w:rPr>
        <w:t>Lucan does not seem to create any heroes, even though it is written within the epic style and therefore it would have been expected of him to do so; this was probably because of his own opinions on those he wrote of.</w:t>
      </w:r>
    </w:p>
    <w:p w14:paraId="1BEF609D" w14:textId="6DCD4AF1" w:rsidR="003F49CE" w:rsidRDefault="003F49CE" w:rsidP="00043279">
      <w:pPr>
        <w:spacing w:line="480" w:lineRule="auto"/>
        <w:rPr>
          <w:sz w:val="24"/>
          <w:szCs w:val="24"/>
        </w:rPr>
      </w:pPr>
    </w:p>
    <w:p w14:paraId="26A1B612" w14:textId="24D28B49" w:rsidR="000D3D4E" w:rsidRDefault="000D3D4E" w:rsidP="00043279">
      <w:pPr>
        <w:spacing w:line="480" w:lineRule="auto"/>
        <w:rPr>
          <w:sz w:val="24"/>
          <w:szCs w:val="24"/>
        </w:rPr>
      </w:pPr>
    </w:p>
    <w:p w14:paraId="3C363295" w14:textId="063F476A" w:rsidR="000D3D4E" w:rsidRDefault="000D3D4E" w:rsidP="00043279">
      <w:pPr>
        <w:spacing w:line="480" w:lineRule="auto"/>
        <w:rPr>
          <w:sz w:val="24"/>
          <w:szCs w:val="24"/>
        </w:rPr>
      </w:pPr>
    </w:p>
    <w:p w14:paraId="44A35359" w14:textId="48C14CC1" w:rsidR="000D3D4E" w:rsidRDefault="000D3D4E" w:rsidP="00043279">
      <w:pPr>
        <w:spacing w:line="480" w:lineRule="auto"/>
        <w:rPr>
          <w:sz w:val="24"/>
          <w:szCs w:val="24"/>
        </w:rPr>
      </w:pPr>
    </w:p>
    <w:p w14:paraId="3AAA76A2" w14:textId="3895FB9F" w:rsidR="000D3D4E" w:rsidRDefault="000D3D4E" w:rsidP="00043279">
      <w:pPr>
        <w:spacing w:line="480" w:lineRule="auto"/>
        <w:rPr>
          <w:sz w:val="24"/>
          <w:szCs w:val="24"/>
        </w:rPr>
      </w:pPr>
    </w:p>
    <w:p w14:paraId="6CE2C346" w14:textId="526A3D54" w:rsidR="000D3D4E" w:rsidRDefault="000D3D4E" w:rsidP="00043279">
      <w:pPr>
        <w:spacing w:line="480" w:lineRule="auto"/>
        <w:rPr>
          <w:sz w:val="24"/>
          <w:szCs w:val="24"/>
        </w:rPr>
      </w:pPr>
    </w:p>
    <w:p w14:paraId="50BFA4BE" w14:textId="631FF612" w:rsidR="000D3D4E" w:rsidRDefault="000D3D4E" w:rsidP="00043279">
      <w:pPr>
        <w:spacing w:line="480" w:lineRule="auto"/>
        <w:rPr>
          <w:sz w:val="24"/>
          <w:szCs w:val="24"/>
        </w:rPr>
      </w:pPr>
    </w:p>
    <w:p w14:paraId="5C3003B4" w14:textId="390AF133" w:rsidR="000D3D4E" w:rsidRDefault="000D3D4E" w:rsidP="00043279">
      <w:pPr>
        <w:spacing w:line="480" w:lineRule="auto"/>
        <w:rPr>
          <w:sz w:val="24"/>
          <w:szCs w:val="24"/>
        </w:rPr>
      </w:pPr>
    </w:p>
    <w:p w14:paraId="73D3FF13" w14:textId="26ED7C08" w:rsidR="000D3D4E" w:rsidRDefault="000D3D4E" w:rsidP="00043279">
      <w:pPr>
        <w:spacing w:line="480" w:lineRule="auto"/>
        <w:rPr>
          <w:sz w:val="24"/>
          <w:szCs w:val="24"/>
        </w:rPr>
      </w:pPr>
    </w:p>
    <w:p w14:paraId="2CB63838" w14:textId="77777777" w:rsidR="000D3D4E" w:rsidRDefault="000D3D4E" w:rsidP="00043279">
      <w:pPr>
        <w:spacing w:line="480" w:lineRule="auto"/>
        <w:rPr>
          <w:sz w:val="24"/>
          <w:szCs w:val="24"/>
        </w:rPr>
      </w:pPr>
    </w:p>
    <w:sdt>
      <w:sdtPr>
        <w:id w:val="-375696323"/>
        <w:docPartObj>
          <w:docPartGallery w:val="Bibliographies"/>
          <w:docPartUnique/>
        </w:docPartObj>
      </w:sdtPr>
      <w:sdtEndPr>
        <w:rPr>
          <w:rFonts w:asciiTheme="minorHAnsi" w:eastAsiaTheme="minorHAnsi" w:hAnsiTheme="minorHAnsi" w:cstheme="minorBidi"/>
          <w:b/>
          <w:bCs/>
          <w:color w:val="auto"/>
          <w:sz w:val="22"/>
          <w:szCs w:val="22"/>
        </w:rPr>
      </w:sdtEndPr>
      <w:sdtContent>
        <w:p w14:paraId="27D9C5C9" w14:textId="77777777" w:rsidR="00043279" w:rsidRDefault="00043279">
          <w:pPr>
            <w:pStyle w:val="Heading1"/>
          </w:pPr>
          <w:r>
            <w:t>Works Cited</w:t>
          </w:r>
        </w:p>
      </w:sdtContent>
    </w:sdt>
    <w:p w14:paraId="68858284" w14:textId="77777777" w:rsidR="008466D0" w:rsidRPr="00CC2D00" w:rsidRDefault="008466D0" w:rsidP="00043279">
      <w:pPr>
        <w:pStyle w:val="FootnoteText"/>
        <w:rPr>
          <w:sz w:val="22"/>
          <w:szCs w:val="22"/>
        </w:rPr>
      </w:pPr>
    </w:p>
    <w:p w14:paraId="64ECE9A7" w14:textId="77777777" w:rsidR="00F42E30" w:rsidRPr="00DE18F5" w:rsidRDefault="00F42E30" w:rsidP="00043279">
      <w:pPr>
        <w:pStyle w:val="FootnoteText"/>
        <w:rPr>
          <w:sz w:val="22"/>
          <w:szCs w:val="22"/>
        </w:rPr>
      </w:pPr>
      <w:r w:rsidRPr="00DE18F5">
        <w:rPr>
          <w:rFonts w:cstheme="minorHAnsi"/>
          <w:color w:val="000000"/>
          <w:sz w:val="22"/>
          <w:szCs w:val="22"/>
        </w:rPr>
        <w:t xml:space="preserve">Charlesworth, Martin Percival. Guy Edward Farquhar </w:t>
      </w:r>
      <w:proofErr w:type="spellStart"/>
      <w:r w:rsidRPr="00DE18F5">
        <w:rPr>
          <w:rFonts w:cstheme="minorHAnsi"/>
          <w:color w:val="000000"/>
          <w:sz w:val="22"/>
          <w:szCs w:val="22"/>
        </w:rPr>
        <w:t>Chilver</w:t>
      </w:r>
      <w:proofErr w:type="spellEnd"/>
      <w:r w:rsidRPr="00DE18F5">
        <w:rPr>
          <w:rFonts w:cstheme="minorHAnsi"/>
          <w:color w:val="000000"/>
          <w:sz w:val="22"/>
          <w:szCs w:val="22"/>
        </w:rPr>
        <w:t>, and Miriam T. Griffin. "Nero." </w:t>
      </w:r>
      <w:r w:rsidRPr="00DE18F5">
        <w:rPr>
          <w:rFonts w:cstheme="minorHAnsi"/>
          <w:i/>
          <w:color w:val="000000"/>
          <w:sz w:val="22"/>
          <w:szCs w:val="22"/>
        </w:rPr>
        <w:t>The Oxford Companion to Classical Civilization</w:t>
      </w:r>
      <w:r w:rsidRPr="00DE18F5">
        <w:rPr>
          <w:rFonts w:cstheme="minorHAnsi"/>
          <w:color w:val="000000"/>
          <w:sz w:val="22"/>
          <w:szCs w:val="22"/>
        </w:rPr>
        <w:t>. (Oxford University Press, 2014) </w:t>
      </w:r>
    </w:p>
    <w:p w14:paraId="6FCC947D" w14:textId="77777777" w:rsidR="00F42E30" w:rsidRPr="00DE18F5" w:rsidRDefault="00F42E30" w:rsidP="00043279">
      <w:pPr>
        <w:pStyle w:val="FootnoteText"/>
        <w:rPr>
          <w:sz w:val="22"/>
          <w:szCs w:val="22"/>
        </w:rPr>
      </w:pPr>
    </w:p>
    <w:p w14:paraId="16698409" w14:textId="77777777" w:rsidR="00CC2D00" w:rsidRPr="00DE18F5" w:rsidRDefault="00CC2D00" w:rsidP="00043279">
      <w:pPr>
        <w:pStyle w:val="FootnoteText"/>
        <w:rPr>
          <w:sz w:val="22"/>
          <w:szCs w:val="22"/>
        </w:rPr>
      </w:pPr>
      <w:proofErr w:type="spellStart"/>
      <w:r w:rsidRPr="00DE18F5">
        <w:rPr>
          <w:sz w:val="22"/>
          <w:szCs w:val="22"/>
        </w:rPr>
        <w:t>Beneker</w:t>
      </w:r>
      <w:proofErr w:type="spellEnd"/>
      <w:r w:rsidRPr="00DE18F5">
        <w:rPr>
          <w:sz w:val="22"/>
          <w:szCs w:val="22"/>
        </w:rPr>
        <w:t>, Jeffrey. ‘The Crossing of the</w:t>
      </w:r>
      <w:bookmarkStart w:id="0" w:name="_GoBack"/>
      <w:bookmarkEnd w:id="0"/>
      <w:r w:rsidRPr="00DE18F5">
        <w:rPr>
          <w:sz w:val="22"/>
          <w:szCs w:val="22"/>
        </w:rPr>
        <w:t xml:space="preserve"> Rubicon and the Outbreak of Civil War in Cicero, Lucan, Plutarch and Suetonius.’ </w:t>
      </w:r>
      <w:r w:rsidRPr="00DE18F5">
        <w:rPr>
          <w:i/>
          <w:sz w:val="22"/>
          <w:szCs w:val="22"/>
        </w:rPr>
        <w:t>Phoenix</w:t>
      </w:r>
      <w:r w:rsidRPr="00DE18F5">
        <w:rPr>
          <w:sz w:val="22"/>
          <w:szCs w:val="22"/>
        </w:rPr>
        <w:t xml:space="preserve"> 65.1/2 (2011) p.74-99, 205-206</w:t>
      </w:r>
    </w:p>
    <w:p w14:paraId="68FB1439" w14:textId="77777777" w:rsidR="0001685F" w:rsidRPr="00DE18F5" w:rsidRDefault="0001685F" w:rsidP="00043279">
      <w:pPr>
        <w:pStyle w:val="FootnoteText"/>
        <w:rPr>
          <w:sz w:val="22"/>
          <w:szCs w:val="22"/>
        </w:rPr>
      </w:pPr>
    </w:p>
    <w:p w14:paraId="0343CF70" w14:textId="77777777" w:rsidR="0001685F" w:rsidRPr="00DE18F5" w:rsidRDefault="0001685F" w:rsidP="00043279">
      <w:pPr>
        <w:pStyle w:val="FootnoteText"/>
        <w:rPr>
          <w:rFonts w:cstheme="minorHAnsi"/>
          <w:sz w:val="22"/>
          <w:szCs w:val="22"/>
          <w:shd w:val="clear" w:color="auto" w:fill="FFFFFF"/>
        </w:rPr>
      </w:pPr>
      <w:proofErr w:type="spellStart"/>
      <w:r w:rsidRPr="00DE18F5">
        <w:rPr>
          <w:rFonts w:cstheme="minorHAnsi"/>
          <w:sz w:val="22"/>
          <w:szCs w:val="22"/>
        </w:rPr>
        <w:t>Dinter</w:t>
      </w:r>
      <w:proofErr w:type="spellEnd"/>
      <w:r w:rsidRPr="00DE18F5">
        <w:rPr>
          <w:rFonts w:cstheme="minorHAnsi"/>
          <w:sz w:val="22"/>
          <w:szCs w:val="22"/>
        </w:rPr>
        <w:t xml:space="preserve">, Martin T. ‘Anatomising Civil War: </w:t>
      </w:r>
      <w:r w:rsidRPr="00DE18F5">
        <w:rPr>
          <w:rFonts w:cstheme="minorHAnsi"/>
          <w:i/>
          <w:iCs/>
          <w:sz w:val="22"/>
          <w:szCs w:val="22"/>
          <w:shd w:val="clear" w:color="auto" w:fill="FFFFFF"/>
        </w:rPr>
        <w:t>Studies in Lucan's Epic Technique</w:t>
      </w:r>
      <w:r w:rsidRPr="00DE18F5">
        <w:rPr>
          <w:rFonts w:cstheme="minorHAnsi"/>
          <w:sz w:val="22"/>
          <w:szCs w:val="22"/>
          <w:shd w:val="clear" w:color="auto" w:fill="FFFFFF"/>
        </w:rPr>
        <w:t>. (University of Michigan Press, 2012) p.9-49</w:t>
      </w:r>
    </w:p>
    <w:p w14:paraId="5B79B169" w14:textId="77777777" w:rsidR="00CC2D00" w:rsidRPr="00DE18F5" w:rsidRDefault="00CC2D00" w:rsidP="00043279">
      <w:pPr>
        <w:pStyle w:val="FootnoteText"/>
        <w:rPr>
          <w:sz w:val="22"/>
          <w:szCs w:val="22"/>
        </w:rPr>
      </w:pPr>
    </w:p>
    <w:p w14:paraId="6697EC0D" w14:textId="77777777" w:rsidR="006406B3" w:rsidRPr="00DE18F5" w:rsidRDefault="006406B3" w:rsidP="00043279">
      <w:pPr>
        <w:pStyle w:val="FootnoteText"/>
        <w:rPr>
          <w:sz w:val="22"/>
          <w:szCs w:val="22"/>
        </w:rPr>
      </w:pPr>
      <w:r w:rsidRPr="00DE18F5">
        <w:rPr>
          <w:sz w:val="22"/>
          <w:szCs w:val="22"/>
        </w:rPr>
        <w:t>Duff</w:t>
      </w:r>
      <w:r w:rsidR="00A04C7B" w:rsidRPr="00DE18F5">
        <w:rPr>
          <w:sz w:val="22"/>
          <w:szCs w:val="22"/>
        </w:rPr>
        <w:t>,</w:t>
      </w:r>
      <w:r w:rsidRPr="00DE18F5">
        <w:rPr>
          <w:sz w:val="22"/>
          <w:szCs w:val="22"/>
        </w:rPr>
        <w:t xml:space="preserve"> J. Wight. </w:t>
      </w:r>
      <w:r w:rsidRPr="00DE18F5">
        <w:rPr>
          <w:i/>
          <w:sz w:val="22"/>
          <w:szCs w:val="22"/>
        </w:rPr>
        <w:t>A Literary History of Rome in the Silver Age</w:t>
      </w:r>
      <w:r w:rsidRPr="00DE18F5">
        <w:rPr>
          <w:sz w:val="22"/>
          <w:szCs w:val="22"/>
        </w:rPr>
        <w:t xml:space="preserve"> (New York, 1927)</w:t>
      </w:r>
    </w:p>
    <w:p w14:paraId="6D479692" w14:textId="77777777" w:rsidR="00CC2D00" w:rsidRPr="00DE18F5" w:rsidRDefault="00CC2D00" w:rsidP="00043279">
      <w:pPr>
        <w:pStyle w:val="FootnoteText"/>
        <w:rPr>
          <w:sz w:val="22"/>
          <w:szCs w:val="22"/>
        </w:rPr>
      </w:pPr>
    </w:p>
    <w:p w14:paraId="6E6855CC" w14:textId="77777777" w:rsidR="00CC2D00" w:rsidRPr="00DE18F5" w:rsidRDefault="00CC2D00" w:rsidP="00043279">
      <w:pPr>
        <w:pStyle w:val="FootnoteText"/>
        <w:rPr>
          <w:sz w:val="22"/>
          <w:szCs w:val="22"/>
        </w:rPr>
      </w:pPr>
      <w:r w:rsidRPr="00DE18F5">
        <w:rPr>
          <w:sz w:val="22"/>
          <w:szCs w:val="22"/>
        </w:rPr>
        <w:t xml:space="preserve">Erskine, Andrew. ‘Life after Death: Alexandria and the Body of Alexander.’ </w:t>
      </w:r>
      <w:r w:rsidRPr="00DE18F5">
        <w:rPr>
          <w:i/>
          <w:sz w:val="22"/>
          <w:szCs w:val="22"/>
        </w:rPr>
        <w:t>Greece &amp; Rome</w:t>
      </w:r>
      <w:r w:rsidRPr="00DE18F5">
        <w:rPr>
          <w:sz w:val="22"/>
          <w:szCs w:val="22"/>
        </w:rPr>
        <w:t xml:space="preserve"> 49.2 (2002) p.163-179</w:t>
      </w:r>
    </w:p>
    <w:p w14:paraId="33B06F91" w14:textId="77777777" w:rsidR="006406B3" w:rsidRPr="004879B0" w:rsidRDefault="006406B3" w:rsidP="00043279">
      <w:pPr>
        <w:pStyle w:val="FootnoteText"/>
        <w:rPr>
          <w:sz w:val="22"/>
          <w:szCs w:val="22"/>
        </w:rPr>
      </w:pPr>
    </w:p>
    <w:p w14:paraId="12B4DC47" w14:textId="77777777" w:rsidR="004879B0" w:rsidRPr="004879B0" w:rsidRDefault="004879B0" w:rsidP="00043279">
      <w:pPr>
        <w:pStyle w:val="FootnoteText"/>
        <w:rPr>
          <w:sz w:val="22"/>
          <w:szCs w:val="22"/>
        </w:rPr>
      </w:pPr>
      <w:r w:rsidRPr="004879B0">
        <w:rPr>
          <w:sz w:val="22"/>
          <w:szCs w:val="22"/>
        </w:rPr>
        <w:t xml:space="preserve">Gamble, Nathan &amp; </w:t>
      </w:r>
      <w:proofErr w:type="spellStart"/>
      <w:r w:rsidRPr="004879B0">
        <w:rPr>
          <w:sz w:val="22"/>
          <w:szCs w:val="22"/>
        </w:rPr>
        <w:t>Edmbund</w:t>
      </w:r>
      <w:proofErr w:type="spellEnd"/>
      <w:r w:rsidRPr="004879B0">
        <w:rPr>
          <w:sz w:val="22"/>
          <w:szCs w:val="22"/>
        </w:rPr>
        <w:t xml:space="preserve"> Bloedow. ‘A Medical-Historical Examination of the Death of Alexander the Great.’ </w:t>
      </w:r>
      <w:r w:rsidRPr="004879B0">
        <w:rPr>
          <w:i/>
          <w:sz w:val="22"/>
          <w:szCs w:val="22"/>
        </w:rPr>
        <w:t xml:space="preserve">Journal of Ancient History and </w:t>
      </w:r>
      <w:r w:rsidR="007B655C" w:rsidRPr="004879B0">
        <w:rPr>
          <w:i/>
          <w:sz w:val="22"/>
          <w:szCs w:val="22"/>
        </w:rPr>
        <w:t>Archaeology</w:t>
      </w:r>
      <w:r w:rsidRPr="004879B0">
        <w:rPr>
          <w:sz w:val="22"/>
          <w:szCs w:val="22"/>
        </w:rPr>
        <w:t xml:space="preserve"> 4.3 (2017)</w:t>
      </w:r>
    </w:p>
    <w:p w14:paraId="3F735806" w14:textId="77777777" w:rsidR="004879B0" w:rsidRPr="00DE18F5" w:rsidRDefault="004879B0" w:rsidP="00043279">
      <w:pPr>
        <w:pStyle w:val="FootnoteText"/>
        <w:rPr>
          <w:sz w:val="22"/>
          <w:szCs w:val="22"/>
        </w:rPr>
      </w:pPr>
    </w:p>
    <w:p w14:paraId="4704BBEA" w14:textId="77777777" w:rsidR="00287992" w:rsidRPr="00DE18F5" w:rsidRDefault="00287992" w:rsidP="00043279">
      <w:pPr>
        <w:pStyle w:val="FootnoteText"/>
        <w:rPr>
          <w:sz w:val="22"/>
          <w:szCs w:val="22"/>
        </w:rPr>
      </w:pPr>
      <w:proofErr w:type="spellStart"/>
      <w:r w:rsidRPr="00DE18F5">
        <w:rPr>
          <w:rFonts w:cstheme="minorHAnsi"/>
          <w:sz w:val="22"/>
          <w:szCs w:val="22"/>
          <w:shd w:val="clear" w:color="auto" w:fill="FFFFFF"/>
        </w:rPr>
        <w:t>Kleijwegt</w:t>
      </w:r>
      <w:proofErr w:type="spellEnd"/>
      <w:r w:rsidRPr="00DE18F5">
        <w:rPr>
          <w:rFonts w:cstheme="minorHAnsi"/>
          <w:sz w:val="22"/>
          <w:szCs w:val="22"/>
          <w:shd w:val="clear" w:color="auto" w:fill="FFFFFF"/>
        </w:rPr>
        <w:t xml:space="preserve">, Marc. “‘Lucan's Civil War: Programming the Revolution; Ideology in Cold Blood: A Reading of Lucan's Civil War’ </w:t>
      </w:r>
      <w:proofErr w:type="spellStart"/>
      <w:r w:rsidRPr="00DE18F5">
        <w:rPr>
          <w:rFonts w:cstheme="minorHAnsi"/>
          <w:sz w:val="22"/>
          <w:szCs w:val="22"/>
          <w:shd w:val="clear" w:color="auto" w:fill="FFFFFF"/>
        </w:rPr>
        <w:t>Shadi</w:t>
      </w:r>
      <w:proofErr w:type="spellEnd"/>
      <w:r w:rsidRPr="00DE18F5">
        <w:rPr>
          <w:rFonts w:cstheme="minorHAnsi"/>
          <w:sz w:val="22"/>
          <w:szCs w:val="22"/>
          <w:shd w:val="clear" w:color="auto" w:fill="FFFFFF"/>
        </w:rPr>
        <w:t xml:space="preserve"> Bartsch Review Article." 7 (1998) p.126-133</w:t>
      </w:r>
    </w:p>
    <w:p w14:paraId="1BA9E2C4" w14:textId="77777777" w:rsidR="00287992" w:rsidRPr="00DE18F5" w:rsidRDefault="00287992" w:rsidP="00043279">
      <w:pPr>
        <w:pStyle w:val="FootnoteText"/>
        <w:rPr>
          <w:sz w:val="22"/>
          <w:szCs w:val="22"/>
        </w:rPr>
      </w:pPr>
    </w:p>
    <w:p w14:paraId="5F6D3C1D" w14:textId="77777777" w:rsidR="00043279" w:rsidRPr="00DE18F5" w:rsidRDefault="00043279" w:rsidP="00043279">
      <w:pPr>
        <w:pStyle w:val="FootnoteText"/>
        <w:rPr>
          <w:sz w:val="22"/>
          <w:szCs w:val="22"/>
        </w:rPr>
      </w:pPr>
      <w:r w:rsidRPr="00DE18F5">
        <w:rPr>
          <w:sz w:val="22"/>
          <w:szCs w:val="22"/>
        </w:rPr>
        <w:t>Lintott</w:t>
      </w:r>
      <w:r w:rsidR="00A04C7B" w:rsidRPr="00DE18F5">
        <w:rPr>
          <w:sz w:val="22"/>
          <w:szCs w:val="22"/>
        </w:rPr>
        <w:t>,</w:t>
      </w:r>
      <w:r w:rsidRPr="00DE18F5">
        <w:rPr>
          <w:sz w:val="22"/>
          <w:szCs w:val="22"/>
        </w:rPr>
        <w:t xml:space="preserve"> A. W. ‘Lucan and the History of the Civil War’ </w:t>
      </w:r>
      <w:r w:rsidRPr="00DE18F5">
        <w:rPr>
          <w:i/>
          <w:sz w:val="22"/>
          <w:szCs w:val="22"/>
        </w:rPr>
        <w:t xml:space="preserve">The Classical Quarterly </w:t>
      </w:r>
      <w:r w:rsidRPr="00DE18F5">
        <w:rPr>
          <w:sz w:val="22"/>
          <w:szCs w:val="22"/>
        </w:rPr>
        <w:t>21.2 (1971) p.488-505</w:t>
      </w:r>
    </w:p>
    <w:p w14:paraId="7CA8063D" w14:textId="77777777" w:rsidR="00816E6B" w:rsidRPr="00DE18F5" w:rsidRDefault="00816E6B" w:rsidP="00043279">
      <w:pPr>
        <w:pStyle w:val="FootnoteText"/>
        <w:rPr>
          <w:sz w:val="22"/>
          <w:szCs w:val="22"/>
        </w:rPr>
      </w:pPr>
    </w:p>
    <w:p w14:paraId="55044CF7" w14:textId="77777777" w:rsidR="00816E6B" w:rsidRPr="00DE18F5" w:rsidRDefault="00816E6B" w:rsidP="00043279">
      <w:pPr>
        <w:pStyle w:val="FootnoteText"/>
        <w:rPr>
          <w:sz w:val="22"/>
          <w:szCs w:val="22"/>
        </w:rPr>
      </w:pPr>
      <w:r w:rsidRPr="00DE18F5">
        <w:rPr>
          <w:sz w:val="22"/>
          <w:szCs w:val="22"/>
        </w:rPr>
        <w:t xml:space="preserve">Lucan. </w:t>
      </w:r>
      <w:r w:rsidRPr="00DE18F5">
        <w:rPr>
          <w:i/>
          <w:sz w:val="22"/>
          <w:szCs w:val="22"/>
        </w:rPr>
        <w:t>Civil War:</w:t>
      </w:r>
      <w:r w:rsidRPr="00DE18F5">
        <w:rPr>
          <w:sz w:val="22"/>
          <w:szCs w:val="22"/>
        </w:rPr>
        <w:t xml:space="preserve"> </w:t>
      </w:r>
      <w:r w:rsidRPr="00DE18F5">
        <w:rPr>
          <w:i/>
          <w:sz w:val="22"/>
          <w:szCs w:val="22"/>
        </w:rPr>
        <w:t>Book 10.</w:t>
      </w:r>
      <w:r w:rsidRPr="00DE18F5">
        <w:rPr>
          <w:sz w:val="22"/>
          <w:szCs w:val="22"/>
        </w:rPr>
        <w:t xml:space="preserve"> Transl. by</w:t>
      </w:r>
      <w:r w:rsidR="00DE18F5">
        <w:rPr>
          <w:sz w:val="22"/>
          <w:szCs w:val="22"/>
        </w:rPr>
        <w:t xml:space="preserve"> Susan H. </w:t>
      </w:r>
      <w:proofErr w:type="spellStart"/>
      <w:r w:rsidR="00DE18F5">
        <w:rPr>
          <w:sz w:val="22"/>
          <w:szCs w:val="22"/>
        </w:rPr>
        <w:t>Braund</w:t>
      </w:r>
      <w:proofErr w:type="spellEnd"/>
      <w:r w:rsidR="00DE18F5">
        <w:rPr>
          <w:sz w:val="22"/>
          <w:szCs w:val="22"/>
        </w:rPr>
        <w:t xml:space="preserve"> </w:t>
      </w:r>
      <w:r w:rsidRPr="00DE18F5">
        <w:rPr>
          <w:sz w:val="22"/>
          <w:szCs w:val="22"/>
        </w:rPr>
        <w:t>(O</w:t>
      </w:r>
      <w:r w:rsidR="00DE18F5">
        <w:rPr>
          <w:sz w:val="22"/>
          <w:szCs w:val="22"/>
        </w:rPr>
        <w:t>xford: Oxford University Press,</w:t>
      </w:r>
      <w:r w:rsidRPr="00DE18F5">
        <w:rPr>
          <w:sz w:val="22"/>
          <w:szCs w:val="22"/>
        </w:rPr>
        <w:t xml:space="preserve"> </w:t>
      </w:r>
      <w:r w:rsidR="00DE18F5">
        <w:rPr>
          <w:sz w:val="22"/>
          <w:szCs w:val="22"/>
        </w:rPr>
        <w:t>1992</w:t>
      </w:r>
      <w:r w:rsidRPr="00DE18F5">
        <w:rPr>
          <w:sz w:val="22"/>
          <w:szCs w:val="22"/>
        </w:rPr>
        <w:t>)</w:t>
      </w:r>
    </w:p>
    <w:p w14:paraId="210994D8" w14:textId="77777777" w:rsidR="008176E2" w:rsidRPr="00DE18F5" w:rsidRDefault="008176E2" w:rsidP="00043279">
      <w:pPr>
        <w:pStyle w:val="FootnoteText"/>
        <w:rPr>
          <w:sz w:val="22"/>
          <w:szCs w:val="22"/>
        </w:rPr>
      </w:pPr>
    </w:p>
    <w:p w14:paraId="079FF8A4" w14:textId="77777777" w:rsidR="008176E2" w:rsidRPr="00DE18F5" w:rsidRDefault="008176E2" w:rsidP="00043279">
      <w:pPr>
        <w:pStyle w:val="FootnoteText"/>
        <w:rPr>
          <w:sz w:val="22"/>
          <w:szCs w:val="22"/>
        </w:rPr>
      </w:pPr>
      <w:r w:rsidRPr="00DE18F5">
        <w:rPr>
          <w:sz w:val="22"/>
          <w:szCs w:val="22"/>
        </w:rPr>
        <w:t xml:space="preserve">Martindale, Charles. ‘The Politician Lucan.’ </w:t>
      </w:r>
      <w:r w:rsidRPr="00DE18F5">
        <w:rPr>
          <w:i/>
          <w:sz w:val="22"/>
          <w:szCs w:val="22"/>
        </w:rPr>
        <w:t>Greece &amp; Rome</w:t>
      </w:r>
      <w:r w:rsidRPr="00DE18F5">
        <w:rPr>
          <w:sz w:val="22"/>
          <w:szCs w:val="22"/>
        </w:rPr>
        <w:t>. 31.1 (1984) p.64-79</w:t>
      </w:r>
    </w:p>
    <w:p w14:paraId="1F125AB6" w14:textId="77777777" w:rsidR="00043279" w:rsidRPr="00DE18F5" w:rsidRDefault="00043279" w:rsidP="00043279">
      <w:pPr>
        <w:pStyle w:val="FootnoteText"/>
        <w:rPr>
          <w:sz w:val="22"/>
          <w:szCs w:val="22"/>
        </w:rPr>
      </w:pPr>
    </w:p>
    <w:p w14:paraId="1E2EB543" w14:textId="77777777" w:rsidR="00043279" w:rsidRPr="00DE18F5" w:rsidRDefault="00043279" w:rsidP="00043279">
      <w:pPr>
        <w:pStyle w:val="FootnoteText"/>
        <w:rPr>
          <w:sz w:val="22"/>
          <w:szCs w:val="22"/>
        </w:rPr>
      </w:pPr>
      <w:proofErr w:type="spellStart"/>
      <w:r w:rsidRPr="00DE18F5">
        <w:rPr>
          <w:sz w:val="22"/>
          <w:szCs w:val="22"/>
        </w:rPr>
        <w:t>Rondholz</w:t>
      </w:r>
      <w:proofErr w:type="spellEnd"/>
      <w:r w:rsidR="00A04C7B" w:rsidRPr="00DE18F5">
        <w:rPr>
          <w:sz w:val="22"/>
          <w:szCs w:val="22"/>
        </w:rPr>
        <w:t>,</w:t>
      </w:r>
      <w:r w:rsidRPr="00DE18F5">
        <w:rPr>
          <w:sz w:val="22"/>
          <w:szCs w:val="22"/>
        </w:rPr>
        <w:t xml:space="preserve"> </w:t>
      </w:r>
      <w:proofErr w:type="spellStart"/>
      <w:r w:rsidRPr="00DE18F5">
        <w:rPr>
          <w:sz w:val="22"/>
          <w:szCs w:val="22"/>
        </w:rPr>
        <w:t>Anke</w:t>
      </w:r>
      <w:proofErr w:type="spellEnd"/>
      <w:r w:rsidRPr="00DE18F5">
        <w:rPr>
          <w:sz w:val="22"/>
          <w:szCs w:val="22"/>
        </w:rPr>
        <w:t xml:space="preserve">. ‘Crossing the Rubicon. A Historiographical Study’ </w:t>
      </w:r>
      <w:r w:rsidRPr="00DE18F5">
        <w:rPr>
          <w:i/>
          <w:sz w:val="22"/>
          <w:szCs w:val="22"/>
        </w:rPr>
        <w:t>Mnemosyne</w:t>
      </w:r>
      <w:r w:rsidRPr="00DE18F5">
        <w:rPr>
          <w:sz w:val="22"/>
          <w:szCs w:val="22"/>
        </w:rPr>
        <w:t xml:space="preserve"> 62.3 (2009) p.432-450</w:t>
      </w:r>
    </w:p>
    <w:p w14:paraId="00EC8736" w14:textId="77777777" w:rsidR="00A04C7B" w:rsidRPr="00DE18F5" w:rsidRDefault="00A04C7B" w:rsidP="00043279">
      <w:pPr>
        <w:pStyle w:val="FootnoteText"/>
        <w:rPr>
          <w:sz w:val="22"/>
          <w:szCs w:val="22"/>
        </w:rPr>
      </w:pPr>
    </w:p>
    <w:p w14:paraId="0D0BDB1E" w14:textId="77777777" w:rsidR="004873AB" w:rsidRPr="00DE18F5" w:rsidRDefault="00A04C7B" w:rsidP="00816E6B">
      <w:pPr>
        <w:pStyle w:val="FootnoteText"/>
        <w:rPr>
          <w:rFonts w:cstheme="minorHAnsi"/>
          <w:sz w:val="22"/>
          <w:szCs w:val="22"/>
          <w:shd w:val="clear" w:color="auto" w:fill="FFFFFF"/>
        </w:rPr>
      </w:pPr>
      <w:r w:rsidRPr="00DE18F5">
        <w:rPr>
          <w:rFonts w:cstheme="minorHAnsi"/>
          <w:sz w:val="22"/>
          <w:szCs w:val="22"/>
          <w:shd w:val="clear" w:color="auto" w:fill="FFFFFF"/>
        </w:rPr>
        <w:t>Sanford, Eva Matthews. ‘Lucan and Civil War.’ </w:t>
      </w:r>
      <w:r w:rsidRPr="00DE18F5">
        <w:rPr>
          <w:rFonts w:cstheme="minorHAnsi"/>
          <w:i/>
          <w:iCs/>
          <w:sz w:val="22"/>
          <w:szCs w:val="22"/>
          <w:shd w:val="clear" w:color="auto" w:fill="FFFFFF"/>
        </w:rPr>
        <w:t>Classical Philology</w:t>
      </w:r>
      <w:r w:rsidRPr="00DE18F5">
        <w:rPr>
          <w:rFonts w:cstheme="minorHAnsi"/>
          <w:sz w:val="22"/>
          <w:szCs w:val="22"/>
          <w:shd w:val="clear" w:color="auto" w:fill="FFFFFF"/>
        </w:rPr>
        <w:t> 28.2 (1933) p.122</w:t>
      </w:r>
    </w:p>
    <w:p w14:paraId="1AE1BFBB" w14:textId="77777777" w:rsidR="00816E6B" w:rsidRPr="00DE18F5" w:rsidRDefault="00816E6B" w:rsidP="00816E6B">
      <w:pPr>
        <w:pStyle w:val="FootnoteText"/>
        <w:rPr>
          <w:sz w:val="22"/>
          <w:szCs w:val="22"/>
        </w:rPr>
      </w:pPr>
    </w:p>
    <w:p w14:paraId="61851FE4" w14:textId="77777777" w:rsidR="004873AB" w:rsidRPr="00DE18F5" w:rsidRDefault="004873AB" w:rsidP="004873AB"/>
    <w:sectPr w:rsidR="004873AB" w:rsidRPr="00DE18F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2E478" w14:textId="77777777" w:rsidR="007A2BC0" w:rsidRDefault="007A2BC0" w:rsidP="004873AB">
      <w:pPr>
        <w:spacing w:after="0" w:line="240" w:lineRule="auto"/>
      </w:pPr>
      <w:r>
        <w:separator/>
      </w:r>
    </w:p>
  </w:endnote>
  <w:endnote w:type="continuationSeparator" w:id="0">
    <w:p w14:paraId="787A67FF" w14:textId="77777777" w:rsidR="007A2BC0" w:rsidRDefault="007A2BC0" w:rsidP="00487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FF227" w14:textId="77777777" w:rsidR="007A2BC0" w:rsidRDefault="007A2BC0" w:rsidP="004873AB">
      <w:pPr>
        <w:spacing w:after="0" w:line="240" w:lineRule="auto"/>
      </w:pPr>
      <w:r>
        <w:separator/>
      </w:r>
    </w:p>
  </w:footnote>
  <w:footnote w:type="continuationSeparator" w:id="0">
    <w:p w14:paraId="698213DA" w14:textId="77777777" w:rsidR="007A2BC0" w:rsidRDefault="007A2BC0" w:rsidP="004873AB">
      <w:pPr>
        <w:spacing w:after="0" w:line="240" w:lineRule="auto"/>
      </w:pPr>
      <w:r>
        <w:continuationSeparator/>
      </w:r>
    </w:p>
  </w:footnote>
  <w:footnote w:id="1">
    <w:p w14:paraId="30A015ED" w14:textId="77777777" w:rsidR="0014170B" w:rsidRPr="004873AB" w:rsidRDefault="0014170B" w:rsidP="0014170B">
      <w:pPr>
        <w:pStyle w:val="FootnoteText"/>
      </w:pPr>
      <w:r>
        <w:rPr>
          <w:rStyle w:val="FootnoteReference"/>
        </w:rPr>
        <w:footnoteRef/>
      </w:r>
      <w:r>
        <w:t xml:space="preserve"> A. W. Lintott. ‘Lucan and the History of the Civil War’ </w:t>
      </w:r>
      <w:r>
        <w:rPr>
          <w:i/>
        </w:rPr>
        <w:t xml:space="preserve">The Classical Quarterly </w:t>
      </w:r>
      <w:r>
        <w:t>21.2 (1971) p.488-90</w:t>
      </w:r>
    </w:p>
  </w:footnote>
  <w:footnote w:id="2">
    <w:p w14:paraId="0875EB76" w14:textId="77777777" w:rsidR="007B3C85" w:rsidRPr="00043279" w:rsidRDefault="007B3C85" w:rsidP="007B3C85">
      <w:pPr>
        <w:pStyle w:val="FootnoteText"/>
      </w:pPr>
      <w:r>
        <w:rPr>
          <w:rStyle w:val="FootnoteReference"/>
        </w:rPr>
        <w:footnoteRef/>
      </w:r>
      <w:r>
        <w:t xml:space="preserve"> </w:t>
      </w:r>
      <w:proofErr w:type="spellStart"/>
      <w:r>
        <w:t>Anke</w:t>
      </w:r>
      <w:proofErr w:type="spellEnd"/>
      <w:r>
        <w:t xml:space="preserve"> </w:t>
      </w:r>
      <w:proofErr w:type="spellStart"/>
      <w:r>
        <w:t>Rondholz</w:t>
      </w:r>
      <w:proofErr w:type="spellEnd"/>
      <w:r>
        <w:t xml:space="preserve">. ‘Crossing the Rubicon. A Historiographical Study’ </w:t>
      </w:r>
      <w:r>
        <w:rPr>
          <w:i/>
        </w:rPr>
        <w:t>Mnemosyne</w:t>
      </w:r>
      <w:r>
        <w:t xml:space="preserve"> 62.3 (2009) p.436</w:t>
      </w:r>
    </w:p>
  </w:footnote>
  <w:footnote w:id="3">
    <w:p w14:paraId="2ED6B07C" w14:textId="77777777" w:rsidR="0014170B" w:rsidRPr="00DE18F5" w:rsidRDefault="0014170B" w:rsidP="0014170B">
      <w:pPr>
        <w:pStyle w:val="FootnoteText"/>
        <w:rPr>
          <w:rFonts w:cstheme="minorHAnsi"/>
        </w:rPr>
      </w:pPr>
      <w:r w:rsidRPr="00DE18F5">
        <w:rPr>
          <w:rStyle w:val="FootnoteReference"/>
        </w:rPr>
        <w:footnoteRef/>
      </w:r>
      <w:r w:rsidRPr="00DE18F5">
        <w:t xml:space="preserve"> Jeffrey </w:t>
      </w:r>
      <w:proofErr w:type="spellStart"/>
      <w:r w:rsidRPr="00DE18F5">
        <w:t>Beneker</w:t>
      </w:r>
      <w:proofErr w:type="spellEnd"/>
      <w:r w:rsidRPr="00DE18F5">
        <w:t xml:space="preserve">. ‘The Crossing of the Rubicon and the Outbreak of Civil War in Cicero, Lucan, Plutarch and </w:t>
      </w:r>
      <w:r w:rsidRPr="00DE18F5">
        <w:rPr>
          <w:rFonts w:cstheme="minorHAnsi"/>
        </w:rPr>
        <w:t xml:space="preserve">Suetonius.’ </w:t>
      </w:r>
      <w:r w:rsidRPr="00DE18F5">
        <w:rPr>
          <w:rFonts w:cstheme="minorHAnsi"/>
          <w:i/>
        </w:rPr>
        <w:t>Phoenix</w:t>
      </w:r>
      <w:r w:rsidRPr="00DE18F5">
        <w:rPr>
          <w:rFonts w:cstheme="minorHAnsi"/>
        </w:rPr>
        <w:t xml:space="preserve"> 65.1/2 (2011) p.74-99, 205-206</w:t>
      </w:r>
    </w:p>
  </w:footnote>
  <w:footnote w:id="4">
    <w:p w14:paraId="7D3D5BBC" w14:textId="77777777" w:rsidR="0014170B" w:rsidRPr="00DE18F5" w:rsidRDefault="0014170B" w:rsidP="0014170B">
      <w:pPr>
        <w:pStyle w:val="FootnoteText"/>
        <w:rPr>
          <w:rFonts w:cstheme="minorHAnsi"/>
          <w:i/>
        </w:rPr>
      </w:pPr>
      <w:r w:rsidRPr="00DE18F5">
        <w:rPr>
          <w:rStyle w:val="FootnoteReference"/>
          <w:rFonts w:cstheme="minorHAnsi"/>
        </w:rPr>
        <w:footnoteRef/>
      </w:r>
      <w:r w:rsidRPr="00DE18F5">
        <w:rPr>
          <w:rFonts w:cstheme="minorHAnsi"/>
        </w:rPr>
        <w:t xml:space="preserve"> Martin T. </w:t>
      </w:r>
      <w:proofErr w:type="spellStart"/>
      <w:r w:rsidRPr="00DE18F5">
        <w:rPr>
          <w:rFonts w:cstheme="minorHAnsi"/>
        </w:rPr>
        <w:t>Dinter</w:t>
      </w:r>
      <w:proofErr w:type="spellEnd"/>
      <w:r w:rsidRPr="00DE18F5">
        <w:rPr>
          <w:rFonts w:cstheme="minorHAnsi"/>
        </w:rPr>
        <w:t xml:space="preserve">. ‘Anatomising Civil War: </w:t>
      </w:r>
      <w:r w:rsidRPr="00DE18F5">
        <w:rPr>
          <w:rFonts w:cstheme="minorHAnsi"/>
          <w:i/>
          <w:iCs/>
          <w:shd w:val="clear" w:color="auto" w:fill="FFFFFF"/>
        </w:rPr>
        <w:t>Studies in Lucan's Epic Technique</w:t>
      </w:r>
      <w:r w:rsidRPr="00DE18F5">
        <w:rPr>
          <w:rFonts w:cstheme="minorHAnsi"/>
          <w:shd w:val="clear" w:color="auto" w:fill="FFFFFF"/>
        </w:rPr>
        <w:t>. (University of Michigan Press, 2012) p.9</w:t>
      </w:r>
    </w:p>
  </w:footnote>
  <w:footnote w:id="5">
    <w:p w14:paraId="3526268D" w14:textId="133239FD" w:rsidR="000C626F" w:rsidRDefault="000C626F">
      <w:pPr>
        <w:pStyle w:val="FootnoteText"/>
      </w:pPr>
      <w:r>
        <w:rPr>
          <w:rStyle w:val="FootnoteReference"/>
        </w:rPr>
        <w:footnoteRef/>
      </w:r>
      <w:r>
        <w:t xml:space="preserve"> </w:t>
      </w:r>
      <w:r w:rsidR="000D3D4E">
        <w:t xml:space="preserve">Andrew Erskine. ‘Life after Death: Alexandria and the Body of Alexander.’ </w:t>
      </w:r>
      <w:r w:rsidR="000D3D4E" w:rsidRPr="00CC2D00">
        <w:rPr>
          <w:i/>
        </w:rPr>
        <w:t>Greece &amp; Rome</w:t>
      </w:r>
      <w:r w:rsidR="000D3D4E">
        <w:t xml:space="preserve"> 49.2 (2002)</w:t>
      </w:r>
    </w:p>
  </w:footnote>
  <w:footnote w:id="6">
    <w:p w14:paraId="1018C587" w14:textId="77777777" w:rsidR="00420D9C" w:rsidRDefault="00420D9C" w:rsidP="00420D9C">
      <w:pPr>
        <w:pStyle w:val="FootnoteText"/>
      </w:pPr>
      <w:r w:rsidRPr="0001685F">
        <w:rPr>
          <w:rStyle w:val="FootnoteReference"/>
          <w:rFonts w:cstheme="minorHAnsi"/>
        </w:rPr>
        <w:footnoteRef/>
      </w:r>
      <w:r w:rsidRPr="0001685F">
        <w:rPr>
          <w:rFonts w:cstheme="minorHAnsi"/>
        </w:rPr>
        <w:t xml:space="preserve"> Luc. (10.15-19)</w:t>
      </w:r>
    </w:p>
  </w:footnote>
  <w:footnote w:id="7">
    <w:p w14:paraId="215E8717" w14:textId="77777777" w:rsidR="00420D9C" w:rsidRDefault="00420D9C" w:rsidP="00420D9C">
      <w:pPr>
        <w:pStyle w:val="FootnoteText"/>
      </w:pPr>
      <w:r>
        <w:rPr>
          <w:rStyle w:val="FootnoteReference"/>
        </w:rPr>
        <w:footnoteRef/>
      </w:r>
      <w:r>
        <w:t xml:space="preserve"> Luc. (10.18)</w:t>
      </w:r>
    </w:p>
  </w:footnote>
  <w:footnote w:id="8">
    <w:p w14:paraId="427135ED" w14:textId="781767EC" w:rsidR="00420D9C" w:rsidRPr="00CC2D00" w:rsidRDefault="00420D9C" w:rsidP="00420D9C">
      <w:pPr>
        <w:pStyle w:val="FootnoteText"/>
      </w:pPr>
      <w:r>
        <w:rPr>
          <w:rStyle w:val="FootnoteReference"/>
        </w:rPr>
        <w:footnoteRef/>
      </w:r>
      <w:r>
        <w:t xml:space="preserve"> </w:t>
      </w:r>
      <w:r w:rsidR="000D3D4E">
        <w:t>Erskine. p.163</w:t>
      </w:r>
    </w:p>
  </w:footnote>
  <w:footnote w:id="9">
    <w:p w14:paraId="0C2EA443" w14:textId="77777777" w:rsidR="00420D9C" w:rsidRDefault="00420D9C" w:rsidP="00420D9C">
      <w:pPr>
        <w:pStyle w:val="FootnoteText"/>
      </w:pPr>
      <w:r w:rsidRPr="0076189A">
        <w:rPr>
          <w:rStyle w:val="FootnoteReference"/>
          <w:rFonts w:cstheme="minorHAnsi"/>
        </w:rPr>
        <w:footnoteRef/>
      </w:r>
      <w:r w:rsidRPr="0076189A">
        <w:rPr>
          <w:rFonts w:cstheme="minorHAnsi"/>
        </w:rPr>
        <w:t xml:space="preserve"> Luc. (10.25-28)</w:t>
      </w:r>
    </w:p>
  </w:footnote>
  <w:footnote w:id="10">
    <w:p w14:paraId="746045AD" w14:textId="77777777" w:rsidR="00420D9C" w:rsidRDefault="00420D9C" w:rsidP="00420D9C">
      <w:pPr>
        <w:pStyle w:val="FootnoteText"/>
      </w:pPr>
      <w:r>
        <w:rPr>
          <w:rStyle w:val="FootnoteReference"/>
        </w:rPr>
        <w:footnoteRef/>
      </w:r>
      <w:r>
        <w:t xml:space="preserve"> </w:t>
      </w:r>
      <w:r w:rsidRPr="0076189A">
        <w:rPr>
          <w:rFonts w:cstheme="minorHAnsi"/>
          <w:color w:val="000000"/>
        </w:rPr>
        <w:t>Martin Percival Charlesworth</w:t>
      </w:r>
      <w:r>
        <w:rPr>
          <w:rFonts w:cstheme="minorHAnsi"/>
          <w:color w:val="000000"/>
        </w:rPr>
        <w:t>,</w:t>
      </w:r>
      <w:r w:rsidRPr="0076189A">
        <w:rPr>
          <w:rFonts w:cstheme="minorHAnsi"/>
          <w:color w:val="000000"/>
        </w:rPr>
        <w:t xml:space="preserve"> Guy Edward Farquhar </w:t>
      </w:r>
      <w:proofErr w:type="spellStart"/>
      <w:r w:rsidRPr="0076189A">
        <w:rPr>
          <w:rFonts w:cstheme="minorHAnsi"/>
          <w:color w:val="000000"/>
        </w:rPr>
        <w:t>Chilve</w:t>
      </w:r>
      <w:r>
        <w:rPr>
          <w:rFonts w:cstheme="minorHAnsi"/>
          <w:color w:val="000000"/>
        </w:rPr>
        <w:t>r</w:t>
      </w:r>
      <w:proofErr w:type="spellEnd"/>
      <w:r w:rsidRPr="0076189A">
        <w:rPr>
          <w:rFonts w:cstheme="minorHAnsi"/>
          <w:color w:val="000000"/>
        </w:rPr>
        <w:t>, and Miriam T. Griffin. "Nero." </w:t>
      </w:r>
      <w:r w:rsidRPr="0076189A">
        <w:rPr>
          <w:rFonts w:cstheme="minorHAnsi"/>
          <w:i/>
          <w:color w:val="000000"/>
        </w:rPr>
        <w:t>The Oxford Companion to Classical Civilization</w:t>
      </w:r>
      <w:r w:rsidRPr="0076189A">
        <w:rPr>
          <w:rFonts w:cstheme="minorHAnsi"/>
          <w:color w:val="000000"/>
        </w:rPr>
        <w:t>. </w:t>
      </w:r>
      <w:r>
        <w:rPr>
          <w:rFonts w:cstheme="minorHAnsi"/>
          <w:color w:val="000000"/>
        </w:rPr>
        <w:t>(</w:t>
      </w:r>
      <w:r w:rsidRPr="0076189A">
        <w:rPr>
          <w:rFonts w:cstheme="minorHAnsi"/>
          <w:color w:val="000000"/>
        </w:rPr>
        <w:t>Oxford University Press, 2014</w:t>
      </w:r>
      <w:r>
        <w:rPr>
          <w:rFonts w:cstheme="minorHAnsi"/>
          <w:color w:val="000000"/>
        </w:rPr>
        <w:t>)</w:t>
      </w:r>
      <w:r w:rsidRPr="0076189A">
        <w:rPr>
          <w:rFonts w:cstheme="minorHAnsi"/>
          <w:color w:val="000000"/>
        </w:rPr>
        <w:t> </w:t>
      </w:r>
    </w:p>
  </w:footnote>
  <w:footnote w:id="11">
    <w:p w14:paraId="2C5DE58D" w14:textId="77777777" w:rsidR="00420D9C" w:rsidRDefault="00420D9C">
      <w:pPr>
        <w:pStyle w:val="FootnoteText"/>
      </w:pPr>
      <w:r>
        <w:rPr>
          <w:rStyle w:val="FootnoteReference"/>
        </w:rPr>
        <w:footnoteRef/>
      </w:r>
      <w:r>
        <w:t xml:space="preserve"> Luc (10.48-49)</w:t>
      </w:r>
    </w:p>
  </w:footnote>
  <w:footnote w:id="12">
    <w:p w14:paraId="293C14B0" w14:textId="77777777" w:rsidR="00420D9C" w:rsidRDefault="00420D9C">
      <w:pPr>
        <w:pStyle w:val="FootnoteText"/>
      </w:pPr>
      <w:r>
        <w:rPr>
          <w:rStyle w:val="FootnoteReference"/>
        </w:rPr>
        <w:footnoteRef/>
      </w:r>
      <w:r>
        <w:t xml:space="preserve"> Luc. (10.50-52)</w:t>
      </w:r>
    </w:p>
  </w:footnote>
  <w:footnote w:id="13">
    <w:p w14:paraId="58BDF16B" w14:textId="77777777" w:rsidR="003F49CE" w:rsidRDefault="003F49CE" w:rsidP="003F49CE">
      <w:pPr>
        <w:pStyle w:val="FootnoteText"/>
      </w:pPr>
      <w:r w:rsidRPr="00DE18F5">
        <w:rPr>
          <w:rStyle w:val="FootnoteReference"/>
          <w:rFonts w:cstheme="minorHAnsi"/>
        </w:rPr>
        <w:footnoteRef/>
      </w:r>
      <w:r w:rsidRPr="00DE18F5">
        <w:rPr>
          <w:rFonts w:cstheme="minorHAnsi"/>
        </w:rPr>
        <w:t xml:space="preserve"> </w:t>
      </w:r>
      <w:r w:rsidRPr="00DE18F5">
        <w:t xml:space="preserve">Lucan. (10.20-21) </w:t>
      </w:r>
    </w:p>
    <w:p w14:paraId="09E38884" w14:textId="77777777" w:rsidR="003F49CE" w:rsidRPr="00DE18F5" w:rsidRDefault="003F49CE" w:rsidP="003F49CE">
      <w:pPr>
        <w:pStyle w:val="FootnoteText"/>
        <w:rPr>
          <w:sz w:val="22"/>
          <w:szCs w:val="22"/>
        </w:rPr>
      </w:pPr>
      <w:r>
        <w:t xml:space="preserve">In </w:t>
      </w:r>
      <w:r w:rsidRPr="00DE18F5">
        <w:rPr>
          <w:i/>
        </w:rPr>
        <w:t>Civil War</w:t>
      </w:r>
      <w:r w:rsidRPr="00DE18F5">
        <w:t xml:space="preserve"> Transl. by Susan H. </w:t>
      </w:r>
      <w:proofErr w:type="spellStart"/>
      <w:r w:rsidRPr="00DE18F5">
        <w:t>Braund</w:t>
      </w:r>
      <w:proofErr w:type="spellEnd"/>
      <w:r w:rsidRPr="00DE18F5">
        <w:t xml:space="preserve"> (Oxford: Oxford University Press, 1992)</w:t>
      </w:r>
      <w:r>
        <w:t xml:space="preserve"> p.207</w:t>
      </w:r>
    </w:p>
  </w:footnote>
  <w:footnote w:id="14">
    <w:p w14:paraId="78F8DFFB" w14:textId="77777777" w:rsidR="003F49CE" w:rsidRPr="007F2530" w:rsidRDefault="003F49CE" w:rsidP="003F49CE">
      <w:pPr>
        <w:pStyle w:val="FootnoteText"/>
      </w:pPr>
      <w:r>
        <w:rPr>
          <w:rStyle w:val="FootnoteReference"/>
        </w:rPr>
        <w:footnoteRef/>
      </w:r>
      <w:r>
        <w:t xml:space="preserve"> Nathan Gamble &amp; </w:t>
      </w:r>
      <w:proofErr w:type="spellStart"/>
      <w:r>
        <w:t>Edmbund</w:t>
      </w:r>
      <w:proofErr w:type="spellEnd"/>
      <w:r>
        <w:t xml:space="preserve"> Bloedow. ‘A Medical-Historical Examination of the Death of Alexander the Great.’ </w:t>
      </w:r>
      <w:r>
        <w:rPr>
          <w:i/>
        </w:rPr>
        <w:t>Journal of Ancient History and Archaeology</w:t>
      </w:r>
      <w:r>
        <w:t xml:space="preserve"> 4.3 (2017) p.27</w:t>
      </w:r>
    </w:p>
  </w:footnote>
  <w:footnote w:id="15">
    <w:p w14:paraId="00F25BD7" w14:textId="77777777" w:rsidR="00794C80" w:rsidRDefault="00794C80">
      <w:pPr>
        <w:pStyle w:val="FootnoteText"/>
      </w:pPr>
      <w:r>
        <w:rPr>
          <w:rStyle w:val="FootnoteReference"/>
        </w:rPr>
        <w:footnoteRef/>
      </w:r>
      <w:r>
        <w:t xml:space="preserve"> Luc. (10.34-6)</w:t>
      </w:r>
    </w:p>
  </w:footnote>
  <w:footnote w:id="16">
    <w:p w14:paraId="6CB9E78C" w14:textId="77777777" w:rsidR="00794C80" w:rsidRDefault="00794C80" w:rsidP="00794C80">
      <w:pPr>
        <w:pStyle w:val="FootnoteText"/>
      </w:pPr>
      <w:r>
        <w:rPr>
          <w:rStyle w:val="FootnoteReference"/>
        </w:rPr>
        <w:footnoteRef/>
      </w:r>
      <w:r>
        <w:t xml:space="preserve"> Luc. (1.154-8)</w:t>
      </w:r>
    </w:p>
  </w:footnote>
  <w:footnote w:id="17">
    <w:p w14:paraId="2D0541DB" w14:textId="77777777" w:rsidR="00BD3AD7" w:rsidRPr="00CF35CE" w:rsidRDefault="00BD3AD7" w:rsidP="00BD3AD7">
      <w:pPr>
        <w:pStyle w:val="FootnoteText"/>
        <w:rPr>
          <w:rFonts w:cstheme="minorHAnsi"/>
        </w:rPr>
      </w:pPr>
      <w:r w:rsidRPr="00CF35CE">
        <w:rPr>
          <w:rStyle w:val="FootnoteReference"/>
          <w:rFonts w:cstheme="minorHAnsi"/>
        </w:rPr>
        <w:footnoteRef/>
      </w:r>
      <w:r w:rsidRPr="00CF35CE">
        <w:rPr>
          <w:rFonts w:cstheme="minorHAnsi"/>
        </w:rPr>
        <w:t xml:space="preserve"> </w:t>
      </w:r>
      <w:r w:rsidRPr="00CF35CE">
        <w:rPr>
          <w:rFonts w:cstheme="minorHAnsi"/>
          <w:shd w:val="clear" w:color="auto" w:fill="FFFFFF"/>
        </w:rPr>
        <w:t xml:space="preserve">Marc </w:t>
      </w:r>
      <w:proofErr w:type="spellStart"/>
      <w:r w:rsidRPr="00CF35CE">
        <w:rPr>
          <w:rFonts w:cstheme="minorHAnsi"/>
          <w:shd w:val="clear" w:color="auto" w:fill="FFFFFF"/>
        </w:rPr>
        <w:t>Kleijwegt</w:t>
      </w:r>
      <w:proofErr w:type="spellEnd"/>
      <w:r w:rsidRPr="00CF35CE">
        <w:rPr>
          <w:rFonts w:cstheme="minorHAnsi"/>
          <w:shd w:val="clear" w:color="auto" w:fill="FFFFFF"/>
        </w:rPr>
        <w:t xml:space="preserve">. </w:t>
      </w:r>
      <w:r>
        <w:rPr>
          <w:rFonts w:cstheme="minorHAnsi"/>
          <w:shd w:val="clear" w:color="auto" w:fill="FFFFFF"/>
        </w:rPr>
        <w:t>“‘</w:t>
      </w:r>
      <w:r w:rsidRPr="00CF35CE">
        <w:rPr>
          <w:rFonts w:cstheme="minorHAnsi"/>
          <w:shd w:val="clear" w:color="auto" w:fill="FFFFFF"/>
        </w:rPr>
        <w:t>Lucan's Civil War: Programming the Revolution;</w:t>
      </w:r>
      <w:r>
        <w:rPr>
          <w:rFonts w:cstheme="minorHAnsi"/>
          <w:shd w:val="clear" w:color="auto" w:fill="FFFFFF"/>
        </w:rPr>
        <w:t xml:space="preserve"> </w:t>
      </w:r>
      <w:r w:rsidRPr="00CF35CE">
        <w:rPr>
          <w:rFonts w:cstheme="minorHAnsi"/>
          <w:shd w:val="clear" w:color="auto" w:fill="FFFFFF"/>
        </w:rPr>
        <w:t>Ideology in Cold Blood: A Reading of Lucan's Civil War</w:t>
      </w:r>
      <w:r>
        <w:rPr>
          <w:rFonts w:cstheme="minorHAnsi"/>
          <w:shd w:val="clear" w:color="auto" w:fill="FFFFFF"/>
        </w:rPr>
        <w:t>’</w:t>
      </w:r>
      <w:r w:rsidRPr="00CF35CE">
        <w:rPr>
          <w:rFonts w:cstheme="minorHAnsi"/>
          <w:shd w:val="clear" w:color="auto" w:fill="FFFFFF"/>
        </w:rPr>
        <w:t xml:space="preserve"> </w:t>
      </w:r>
      <w:proofErr w:type="spellStart"/>
      <w:r w:rsidRPr="00CF35CE">
        <w:rPr>
          <w:rFonts w:cstheme="minorHAnsi"/>
          <w:shd w:val="clear" w:color="auto" w:fill="FFFFFF"/>
        </w:rPr>
        <w:t>Shadi</w:t>
      </w:r>
      <w:proofErr w:type="spellEnd"/>
      <w:r w:rsidRPr="00CF35CE">
        <w:rPr>
          <w:rFonts w:cstheme="minorHAnsi"/>
          <w:shd w:val="clear" w:color="auto" w:fill="FFFFFF"/>
        </w:rPr>
        <w:t xml:space="preserve"> Bartsch Review Article." 7 (1998) </w:t>
      </w:r>
      <w:r>
        <w:rPr>
          <w:rFonts w:cstheme="minorHAnsi"/>
          <w:shd w:val="clear" w:color="auto" w:fill="FFFFFF"/>
        </w:rPr>
        <w:t>p.</w:t>
      </w:r>
      <w:r w:rsidRPr="00CF35CE">
        <w:rPr>
          <w:rFonts w:cstheme="minorHAnsi"/>
          <w:shd w:val="clear" w:color="auto" w:fill="FFFFFF"/>
        </w:rPr>
        <w:t>126</w:t>
      </w:r>
    </w:p>
  </w:footnote>
  <w:footnote w:id="18">
    <w:p w14:paraId="32F4D8A7" w14:textId="77777777" w:rsidR="00794C80" w:rsidRDefault="00794C80" w:rsidP="00794C80">
      <w:pPr>
        <w:pStyle w:val="FootnoteText"/>
      </w:pPr>
      <w:r>
        <w:rPr>
          <w:rStyle w:val="FootnoteReference"/>
        </w:rPr>
        <w:footnoteRef/>
      </w:r>
      <w:r>
        <w:t xml:space="preserve"> J. Wight Duff. </w:t>
      </w:r>
      <w:r w:rsidRPr="006406B3">
        <w:rPr>
          <w:i/>
        </w:rPr>
        <w:t>A Literary History of Rome in the Silver Age</w:t>
      </w:r>
      <w:r>
        <w:t xml:space="preserve"> (New York, 1927), p. 328.</w:t>
      </w:r>
    </w:p>
  </w:footnote>
  <w:footnote w:id="19">
    <w:p w14:paraId="0FC9A512" w14:textId="77777777" w:rsidR="00BD3AD7" w:rsidRDefault="00BD3AD7" w:rsidP="00BD3AD7">
      <w:pPr>
        <w:pStyle w:val="FootnoteText"/>
      </w:pPr>
      <w:r>
        <w:rPr>
          <w:rStyle w:val="FootnoteReference"/>
        </w:rPr>
        <w:footnoteRef/>
      </w:r>
      <w:r>
        <w:t xml:space="preserve"> Lucan (1.2-3)</w:t>
      </w:r>
    </w:p>
  </w:footnote>
  <w:footnote w:id="20">
    <w:p w14:paraId="62376898" w14:textId="77777777" w:rsidR="003F49CE" w:rsidRDefault="003F49CE" w:rsidP="003F49CE">
      <w:pPr>
        <w:pStyle w:val="FootnoteText"/>
      </w:pPr>
      <w:r>
        <w:rPr>
          <w:rStyle w:val="FootnoteReference"/>
        </w:rPr>
        <w:footnoteRef/>
      </w:r>
      <w:r>
        <w:t xml:space="preserve"> Luc. (10.44-45)</w:t>
      </w:r>
    </w:p>
  </w:footnote>
  <w:footnote w:id="21">
    <w:p w14:paraId="0265A118" w14:textId="77777777" w:rsidR="00794C80" w:rsidRPr="0076189A" w:rsidRDefault="00794C80" w:rsidP="00794C80">
      <w:pPr>
        <w:pStyle w:val="FootnoteText"/>
        <w:rPr>
          <w:rFonts w:cstheme="minorHAnsi"/>
        </w:rPr>
      </w:pPr>
      <w:r w:rsidRPr="00A04C7B">
        <w:rPr>
          <w:rStyle w:val="FootnoteReference"/>
          <w:rFonts w:cstheme="minorHAnsi"/>
        </w:rPr>
        <w:footnoteRef/>
      </w:r>
      <w:r w:rsidRPr="00A04C7B">
        <w:rPr>
          <w:rFonts w:cstheme="minorHAnsi"/>
          <w:shd w:val="clear" w:color="auto" w:fill="FFFFFF"/>
        </w:rPr>
        <w:t xml:space="preserve">Eva Matthews </w:t>
      </w:r>
      <w:r w:rsidRPr="0076189A">
        <w:rPr>
          <w:rFonts w:cstheme="minorHAnsi"/>
          <w:shd w:val="clear" w:color="auto" w:fill="FFFFFF"/>
        </w:rPr>
        <w:t>Sanford. ‘Lucan and Civil War.’ </w:t>
      </w:r>
      <w:r w:rsidRPr="0076189A">
        <w:rPr>
          <w:rFonts w:cstheme="minorHAnsi"/>
          <w:i/>
          <w:iCs/>
          <w:shd w:val="clear" w:color="auto" w:fill="FFFFFF"/>
        </w:rPr>
        <w:t>Classical Philology</w:t>
      </w:r>
      <w:r w:rsidRPr="0076189A">
        <w:rPr>
          <w:rFonts w:cstheme="minorHAnsi"/>
          <w:shd w:val="clear" w:color="auto" w:fill="FFFFFF"/>
        </w:rPr>
        <w:t> 28.2 (1933) p.122</w:t>
      </w:r>
    </w:p>
  </w:footnote>
  <w:footnote w:id="22">
    <w:p w14:paraId="0FE1D8C8" w14:textId="77777777" w:rsidR="00794C80" w:rsidRPr="00CF35CE" w:rsidRDefault="00794C80" w:rsidP="00794C80">
      <w:pPr>
        <w:pStyle w:val="FootnoteText"/>
        <w:rPr>
          <w:rFonts w:cstheme="minorHAnsi"/>
        </w:rPr>
      </w:pPr>
      <w:r w:rsidRPr="0076189A">
        <w:rPr>
          <w:rStyle w:val="FootnoteReference"/>
          <w:rFonts w:cstheme="minorHAnsi"/>
        </w:rPr>
        <w:footnoteRef/>
      </w:r>
      <w:r w:rsidRPr="0076189A">
        <w:rPr>
          <w:rFonts w:cstheme="minorHAnsi"/>
        </w:rPr>
        <w:t xml:space="preserve"> </w:t>
      </w:r>
      <w:r w:rsidRPr="00CF35CE">
        <w:rPr>
          <w:rFonts w:cstheme="minorHAnsi"/>
        </w:rPr>
        <w:t xml:space="preserve">Charles Martindale. ‘The Politician Lucan.’ </w:t>
      </w:r>
      <w:r w:rsidRPr="00CF35CE">
        <w:rPr>
          <w:rFonts w:cstheme="minorHAnsi"/>
          <w:i/>
        </w:rPr>
        <w:t>Greece &amp; Rome</w:t>
      </w:r>
      <w:r w:rsidRPr="00CF35CE">
        <w:rPr>
          <w:rFonts w:cstheme="minorHAnsi"/>
        </w:rPr>
        <w:t xml:space="preserve"> 31.1 (1984) p.64-79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A20CA" w14:textId="77777777" w:rsidR="00043279" w:rsidRDefault="00043279">
    <w:pPr>
      <w:pStyle w:val="Header"/>
    </w:pPr>
    <w:r>
      <w:t>Melantha Snow</w:t>
    </w:r>
    <w:r>
      <w:ptab w:relativeTo="margin" w:alignment="center" w:leader="none"/>
    </w:r>
    <w:r>
      <w:t>HPAH6058</w:t>
    </w:r>
    <w:r>
      <w:ptab w:relativeTo="margin" w:alignment="right" w:leader="none"/>
    </w:r>
    <w:r>
      <w:t>1601759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3AB"/>
    <w:rsid w:val="00010A29"/>
    <w:rsid w:val="000151C8"/>
    <w:rsid w:val="0001685F"/>
    <w:rsid w:val="00043279"/>
    <w:rsid w:val="0005631B"/>
    <w:rsid w:val="000C626F"/>
    <w:rsid w:val="000D3D4E"/>
    <w:rsid w:val="000D5FF6"/>
    <w:rsid w:val="000D792A"/>
    <w:rsid w:val="000E7A44"/>
    <w:rsid w:val="0013711B"/>
    <w:rsid w:val="0014170B"/>
    <w:rsid w:val="00141C41"/>
    <w:rsid w:val="00170568"/>
    <w:rsid w:val="001C52B4"/>
    <w:rsid w:val="001E2789"/>
    <w:rsid w:val="00241D8A"/>
    <w:rsid w:val="00246078"/>
    <w:rsid w:val="00251537"/>
    <w:rsid w:val="00270685"/>
    <w:rsid w:val="00287992"/>
    <w:rsid w:val="00327E89"/>
    <w:rsid w:val="003C01B5"/>
    <w:rsid w:val="003F49CE"/>
    <w:rsid w:val="00420D9C"/>
    <w:rsid w:val="004873AB"/>
    <w:rsid w:val="004879B0"/>
    <w:rsid w:val="004F750B"/>
    <w:rsid w:val="005078B2"/>
    <w:rsid w:val="00507A9B"/>
    <w:rsid w:val="00560E43"/>
    <w:rsid w:val="005876F8"/>
    <w:rsid w:val="005F7150"/>
    <w:rsid w:val="006406B3"/>
    <w:rsid w:val="00666D18"/>
    <w:rsid w:val="00685761"/>
    <w:rsid w:val="006F7630"/>
    <w:rsid w:val="00744FCC"/>
    <w:rsid w:val="0075192C"/>
    <w:rsid w:val="00751CAB"/>
    <w:rsid w:val="0075565C"/>
    <w:rsid w:val="0076189A"/>
    <w:rsid w:val="00773C9E"/>
    <w:rsid w:val="00794C80"/>
    <w:rsid w:val="007A2BC0"/>
    <w:rsid w:val="007B3C85"/>
    <w:rsid w:val="007B655C"/>
    <w:rsid w:val="007B7544"/>
    <w:rsid w:val="007C6ADF"/>
    <w:rsid w:val="007F22A1"/>
    <w:rsid w:val="007F2530"/>
    <w:rsid w:val="00816E6B"/>
    <w:rsid w:val="008176E2"/>
    <w:rsid w:val="008466D0"/>
    <w:rsid w:val="00861856"/>
    <w:rsid w:val="0088163C"/>
    <w:rsid w:val="00893D5C"/>
    <w:rsid w:val="008A566C"/>
    <w:rsid w:val="008C1A65"/>
    <w:rsid w:val="00917545"/>
    <w:rsid w:val="009525F9"/>
    <w:rsid w:val="0098298F"/>
    <w:rsid w:val="009A49A8"/>
    <w:rsid w:val="009E26A4"/>
    <w:rsid w:val="00A04C7B"/>
    <w:rsid w:val="00A6109A"/>
    <w:rsid w:val="00B2086C"/>
    <w:rsid w:val="00B32616"/>
    <w:rsid w:val="00B912C7"/>
    <w:rsid w:val="00BA2149"/>
    <w:rsid w:val="00BB18AD"/>
    <w:rsid w:val="00BD3AD7"/>
    <w:rsid w:val="00C41878"/>
    <w:rsid w:val="00C617DD"/>
    <w:rsid w:val="00C9635F"/>
    <w:rsid w:val="00CB2F8E"/>
    <w:rsid w:val="00CC2D00"/>
    <w:rsid w:val="00CE5FC5"/>
    <w:rsid w:val="00CF35CE"/>
    <w:rsid w:val="00DE18F5"/>
    <w:rsid w:val="00E511F6"/>
    <w:rsid w:val="00E73DF6"/>
    <w:rsid w:val="00E85798"/>
    <w:rsid w:val="00EA7D95"/>
    <w:rsid w:val="00ED4F4A"/>
    <w:rsid w:val="00F37475"/>
    <w:rsid w:val="00F42E30"/>
    <w:rsid w:val="00F94B9A"/>
    <w:rsid w:val="00F97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A7B16"/>
  <w15:chartTrackingRefBased/>
  <w15:docId w15:val="{39FD5D96-AFCB-4130-8400-D5139123A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3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3AB"/>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4873AB"/>
    <w:pPr>
      <w:spacing w:after="0" w:line="240" w:lineRule="auto"/>
    </w:pPr>
    <w:rPr>
      <w:sz w:val="20"/>
      <w:szCs w:val="20"/>
    </w:rPr>
  </w:style>
  <w:style w:type="character" w:customStyle="1" w:styleId="FootnoteTextChar">
    <w:name w:val="Footnote Text Char"/>
    <w:basedOn w:val="DefaultParagraphFont"/>
    <w:link w:val="FootnoteText"/>
    <w:uiPriority w:val="99"/>
    <w:rsid w:val="004873AB"/>
    <w:rPr>
      <w:sz w:val="20"/>
      <w:szCs w:val="20"/>
    </w:rPr>
  </w:style>
  <w:style w:type="character" w:styleId="FootnoteReference">
    <w:name w:val="footnote reference"/>
    <w:basedOn w:val="DefaultParagraphFont"/>
    <w:uiPriority w:val="99"/>
    <w:semiHidden/>
    <w:unhideWhenUsed/>
    <w:rsid w:val="004873AB"/>
    <w:rPr>
      <w:vertAlign w:val="superscript"/>
    </w:rPr>
  </w:style>
  <w:style w:type="paragraph" w:styleId="Header">
    <w:name w:val="header"/>
    <w:basedOn w:val="Normal"/>
    <w:link w:val="HeaderChar"/>
    <w:uiPriority w:val="99"/>
    <w:unhideWhenUsed/>
    <w:rsid w:val="0004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279"/>
  </w:style>
  <w:style w:type="paragraph" w:styleId="Footer">
    <w:name w:val="footer"/>
    <w:basedOn w:val="Normal"/>
    <w:link w:val="FooterChar"/>
    <w:uiPriority w:val="99"/>
    <w:unhideWhenUsed/>
    <w:rsid w:val="00043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279"/>
  </w:style>
  <w:style w:type="paragraph" w:styleId="HTMLPreformatted">
    <w:name w:val="HTML Preformatted"/>
    <w:basedOn w:val="Normal"/>
    <w:link w:val="HTMLPreformattedChar"/>
    <w:uiPriority w:val="99"/>
    <w:unhideWhenUsed/>
    <w:rsid w:val="00816E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16E6B"/>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89873">
      <w:bodyDiv w:val="1"/>
      <w:marLeft w:val="0"/>
      <w:marRight w:val="0"/>
      <w:marTop w:val="0"/>
      <w:marBottom w:val="0"/>
      <w:divBdr>
        <w:top w:val="none" w:sz="0" w:space="0" w:color="auto"/>
        <w:left w:val="none" w:sz="0" w:space="0" w:color="auto"/>
        <w:bottom w:val="none" w:sz="0" w:space="0" w:color="auto"/>
        <w:right w:val="none" w:sz="0" w:space="0" w:color="auto"/>
      </w:divBdr>
    </w:div>
    <w:div w:id="554897253">
      <w:bodyDiv w:val="1"/>
      <w:marLeft w:val="0"/>
      <w:marRight w:val="0"/>
      <w:marTop w:val="0"/>
      <w:marBottom w:val="0"/>
      <w:divBdr>
        <w:top w:val="none" w:sz="0" w:space="0" w:color="auto"/>
        <w:left w:val="none" w:sz="0" w:space="0" w:color="auto"/>
        <w:bottom w:val="none" w:sz="0" w:space="0" w:color="auto"/>
        <w:right w:val="none" w:sz="0" w:space="0" w:color="auto"/>
      </w:divBdr>
    </w:div>
    <w:div w:id="856381348">
      <w:bodyDiv w:val="1"/>
      <w:marLeft w:val="0"/>
      <w:marRight w:val="0"/>
      <w:marTop w:val="0"/>
      <w:marBottom w:val="0"/>
      <w:divBdr>
        <w:top w:val="none" w:sz="0" w:space="0" w:color="auto"/>
        <w:left w:val="none" w:sz="0" w:space="0" w:color="auto"/>
        <w:bottom w:val="none" w:sz="0" w:space="0" w:color="auto"/>
        <w:right w:val="none" w:sz="0" w:space="0" w:color="auto"/>
      </w:divBdr>
    </w:div>
    <w:div w:id="1372993445">
      <w:bodyDiv w:val="1"/>
      <w:marLeft w:val="0"/>
      <w:marRight w:val="0"/>
      <w:marTop w:val="0"/>
      <w:marBottom w:val="0"/>
      <w:divBdr>
        <w:top w:val="none" w:sz="0" w:space="0" w:color="auto"/>
        <w:left w:val="none" w:sz="0" w:space="0" w:color="auto"/>
        <w:bottom w:val="none" w:sz="0" w:space="0" w:color="auto"/>
        <w:right w:val="none" w:sz="0" w:space="0" w:color="auto"/>
      </w:divBdr>
    </w:div>
    <w:div w:id="1545602479">
      <w:bodyDiv w:val="1"/>
      <w:marLeft w:val="0"/>
      <w:marRight w:val="0"/>
      <w:marTop w:val="0"/>
      <w:marBottom w:val="0"/>
      <w:divBdr>
        <w:top w:val="none" w:sz="0" w:space="0" w:color="auto"/>
        <w:left w:val="none" w:sz="0" w:space="0" w:color="auto"/>
        <w:bottom w:val="none" w:sz="0" w:space="0" w:color="auto"/>
        <w:right w:val="none" w:sz="0" w:space="0" w:color="auto"/>
      </w:divBdr>
    </w:div>
    <w:div w:id="179563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0C0C8-6E35-41F7-8ED7-5C94A04AC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1311</Words>
  <Characters>7476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Melantha Snow (1601759)</dc:creator>
  <cp:keywords/>
  <dc:description/>
  <cp:lastModifiedBy>Melantha Snow</cp:lastModifiedBy>
  <cp:revision>35</cp:revision>
  <dcterms:created xsi:type="dcterms:W3CDTF">2020-01-16T15:55:00Z</dcterms:created>
  <dcterms:modified xsi:type="dcterms:W3CDTF">2020-01-20T20:55:00Z</dcterms:modified>
</cp:coreProperties>
</file>