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1A4B47" w14:textId="7D551440" w:rsidR="000D50D8" w:rsidRPr="009D400C" w:rsidRDefault="009D400C" w:rsidP="009D400C">
      <w:pPr>
        <w:spacing w:line="480" w:lineRule="auto"/>
        <w:rPr>
          <w:rFonts w:ascii="Arial" w:hAnsi="Arial" w:cs="Arial"/>
          <w:sz w:val="24"/>
          <w:szCs w:val="24"/>
        </w:rPr>
      </w:pPr>
      <w:r w:rsidRPr="009D400C">
        <w:rPr>
          <w:rFonts w:ascii="Arial" w:hAnsi="Arial" w:cs="Arial"/>
          <w:sz w:val="24"/>
          <w:szCs w:val="24"/>
        </w:rPr>
        <w:t>HPRS 7023:  Assessment 1 by Prasanthee Rajendram</w:t>
      </w:r>
    </w:p>
    <w:p w14:paraId="0E020FAB" w14:textId="2909424C" w:rsidR="009D400C" w:rsidRDefault="009D400C" w:rsidP="003707B7">
      <w:pPr>
        <w:spacing w:line="480" w:lineRule="auto"/>
        <w:jc w:val="both"/>
        <w:rPr>
          <w:rFonts w:ascii="Arial" w:hAnsi="Arial" w:cs="Arial"/>
          <w:sz w:val="24"/>
          <w:szCs w:val="24"/>
        </w:rPr>
      </w:pPr>
      <w:r w:rsidRPr="009D400C">
        <w:rPr>
          <w:rFonts w:ascii="Arial" w:hAnsi="Arial" w:cs="Arial"/>
          <w:sz w:val="24"/>
          <w:szCs w:val="24"/>
        </w:rPr>
        <w:t>The Battle of Yarmuk and its historical importance.</w:t>
      </w:r>
    </w:p>
    <w:p w14:paraId="1E94DD2E" w14:textId="15E15AC1" w:rsidR="00111344" w:rsidRDefault="009D400C" w:rsidP="003707B7">
      <w:pPr>
        <w:spacing w:line="480" w:lineRule="auto"/>
        <w:jc w:val="both"/>
        <w:rPr>
          <w:rFonts w:ascii="Arial" w:hAnsi="Arial" w:cs="Arial"/>
          <w:sz w:val="24"/>
          <w:szCs w:val="24"/>
        </w:rPr>
      </w:pPr>
      <w:r>
        <w:rPr>
          <w:rFonts w:ascii="Arial" w:hAnsi="Arial" w:cs="Arial"/>
          <w:sz w:val="24"/>
          <w:szCs w:val="24"/>
        </w:rPr>
        <w:t xml:space="preserve">The battle of Yarmuk </w:t>
      </w:r>
      <w:r w:rsidR="00111344">
        <w:rPr>
          <w:rFonts w:ascii="Arial" w:hAnsi="Arial" w:cs="Arial"/>
          <w:sz w:val="24"/>
          <w:szCs w:val="24"/>
        </w:rPr>
        <w:t xml:space="preserve">between the Byzantine and Arab army of the Rashidun caliphate </w:t>
      </w:r>
      <w:r>
        <w:rPr>
          <w:rFonts w:ascii="Arial" w:hAnsi="Arial" w:cs="Arial"/>
          <w:sz w:val="24"/>
          <w:szCs w:val="24"/>
        </w:rPr>
        <w:t xml:space="preserve">occurred in August 636 </w:t>
      </w:r>
      <w:r w:rsidR="00731E60">
        <w:rPr>
          <w:rFonts w:ascii="Arial" w:hAnsi="Arial" w:cs="Arial"/>
          <w:sz w:val="24"/>
          <w:szCs w:val="24"/>
        </w:rPr>
        <w:t xml:space="preserve">at the border between </w:t>
      </w:r>
      <w:r>
        <w:rPr>
          <w:rFonts w:ascii="Arial" w:hAnsi="Arial" w:cs="Arial"/>
          <w:sz w:val="24"/>
          <w:szCs w:val="24"/>
        </w:rPr>
        <w:t>modern day Jordan</w:t>
      </w:r>
      <w:r w:rsidR="00731E60">
        <w:rPr>
          <w:rFonts w:ascii="Arial" w:hAnsi="Arial" w:cs="Arial"/>
          <w:sz w:val="24"/>
          <w:szCs w:val="24"/>
        </w:rPr>
        <w:t xml:space="preserve"> and Syria</w:t>
      </w:r>
      <w:sdt>
        <w:sdtPr>
          <w:rPr>
            <w:rFonts w:ascii="Arial" w:hAnsi="Arial" w:cs="Arial"/>
            <w:sz w:val="24"/>
            <w:szCs w:val="24"/>
          </w:rPr>
          <w:id w:val="1815219807"/>
          <w:citation/>
        </w:sdtPr>
        <w:sdtContent>
          <w:r w:rsidR="005D5A2A">
            <w:rPr>
              <w:rFonts w:ascii="Arial" w:hAnsi="Arial" w:cs="Arial"/>
              <w:sz w:val="24"/>
              <w:szCs w:val="24"/>
            </w:rPr>
            <w:fldChar w:fldCharType="begin"/>
          </w:r>
          <w:r w:rsidR="005D5A2A">
            <w:rPr>
              <w:rFonts w:ascii="Arial" w:hAnsi="Arial" w:cs="Arial"/>
              <w:sz w:val="24"/>
              <w:szCs w:val="24"/>
              <w:lang w:val="en-US"/>
            </w:rPr>
            <w:instrText xml:space="preserve"> CITATION Jan85 \l 1033 </w:instrText>
          </w:r>
          <w:r w:rsidR="005D5A2A">
            <w:rPr>
              <w:rFonts w:ascii="Arial" w:hAnsi="Arial" w:cs="Arial"/>
              <w:sz w:val="24"/>
              <w:szCs w:val="24"/>
            </w:rPr>
            <w:fldChar w:fldCharType="separate"/>
          </w:r>
          <w:r w:rsidR="005D5A2A">
            <w:rPr>
              <w:rFonts w:ascii="Arial" w:hAnsi="Arial" w:cs="Arial"/>
              <w:noProof/>
              <w:sz w:val="24"/>
              <w:szCs w:val="24"/>
              <w:lang w:val="en-US"/>
            </w:rPr>
            <w:t xml:space="preserve"> </w:t>
          </w:r>
          <w:r w:rsidR="005D5A2A" w:rsidRPr="005D5A2A">
            <w:rPr>
              <w:rFonts w:ascii="Arial" w:hAnsi="Arial" w:cs="Arial"/>
              <w:noProof/>
              <w:sz w:val="24"/>
              <w:szCs w:val="24"/>
              <w:lang w:val="en-US"/>
            </w:rPr>
            <w:t>(Jandora, 1985)</w:t>
          </w:r>
          <w:r w:rsidR="005D5A2A">
            <w:rPr>
              <w:rFonts w:ascii="Arial" w:hAnsi="Arial" w:cs="Arial"/>
              <w:sz w:val="24"/>
              <w:szCs w:val="24"/>
            </w:rPr>
            <w:fldChar w:fldCharType="end"/>
          </w:r>
        </w:sdtContent>
      </w:sdt>
      <w:r>
        <w:rPr>
          <w:rFonts w:ascii="Arial" w:hAnsi="Arial" w:cs="Arial"/>
          <w:sz w:val="24"/>
          <w:szCs w:val="24"/>
        </w:rPr>
        <w:t xml:space="preserve">.  The </w:t>
      </w:r>
      <w:r w:rsidR="00731E60">
        <w:rPr>
          <w:rFonts w:ascii="Arial" w:hAnsi="Arial" w:cs="Arial"/>
          <w:sz w:val="24"/>
          <w:szCs w:val="24"/>
        </w:rPr>
        <w:t xml:space="preserve">location of the battle was on the plains surrounded by two </w:t>
      </w:r>
      <w:r>
        <w:rPr>
          <w:rFonts w:ascii="Arial" w:hAnsi="Arial" w:cs="Arial"/>
          <w:sz w:val="24"/>
          <w:szCs w:val="24"/>
        </w:rPr>
        <w:t>river</w:t>
      </w:r>
      <w:r w:rsidR="00731E60">
        <w:rPr>
          <w:rFonts w:ascii="Arial" w:hAnsi="Arial" w:cs="Arial"/>
          <w:sz w:val="24"/>
          <w:szCs w:val="24"/>
        </w:rPr>
        <w:t>s</w:t>
      </w:r>
      <w:r w:rsidR="00286BCC">
        <w:rPr>
          <w:rFonts w:ascii="Arial" w:hAnsi="Arial" w:cs="Arial"/>
          <w:sz w:val="24"/>
          <w:szCs w:val="24"/>
        </w:rPr>
        <w:t xml:space="preserve">, the Ruqqad and the </w:t>
      </w:r>
      <w:r>
        <w:rPr>
          <w:rFonts w:ascii="Arial" w:hAnsi="Arial" w:cs="Arial"/>
          <w:sz w:val="24"/>
          <w:szCs w:val="24"/>
        </w:rPr>
        <w:t>Yarmuk</w:t>
      </w:r>
      <w:r w:rsidR="00286BCC">
        <w:rPr>
          <w:rFonts w:ascii="Arial" w:hAnsi="Arial" w:cs="Arial"/>
          <w:sz w:val="24"/>
          <w:szCs w:val="24"/>
        </w:rPr>
        <w:t xml:space="preserve">.  </w:t>
      </w:r>
      <w:r w:rsidR="00827D77">
        <w:rPr>
          <w:rFonts w:ascii="Arial" w:hAnsi="Arial" w:cs="Arial"/>
          <w:sz w:val="24"/>
          <w:szCs w:val="24"/>
        </w:rPr>
        <w:t xml:space="preserve">There is </w:t>
      </w:r>
      <w:r w:rsidR="005624A3">
        <w:rPr>
          <w:rFonts w:ascii="Arial" w:hAnsi="Arial" w:cs="Arial"/>
          <w:sz w:val="24"/>
          <w:szCs w:val="24"/>
        </w:rPr>
        <w:t>confusion</w:t>
      </w:r>
      <w:r w:rsidR="00827D77">
        <w:rPr>
          <w:rFonts w:ascii="Arial" w:hAnsi="Arial" w:cs="Arial"/>
          <w:sz w:val="24"/>
          <w:szCs w:val="24"/>
        </w:rPr>
        <w:t xml:space="preserve"> over the actual sequence of events and dates of the battle due to the inconsistencies among the existing sources</w:t>
      </w:r>
      <w:r w:rsidR="00111344">
        <w:rPr>
          <w:rFonts w:ascii="Arial" w:hAnsi="Arial" w:cs="Arial"/>
          <w:sz w:val="24"/>
          <w:szCs w:val="24"/>
        </w:rPr>
        <w:t xml:space="preserve">, but the undisputed victor was the Muslim army.  It was an important battle as it ended the Byzantine rule of Syria and spearheaded the </w:t>
      </w:r>
      <w:r w:rsidR="003D22E8">
        <w:rPr>
          <w:rFonts w:ascii="Arial" w:hAnsi="Arial" w:cs="Arial"/>
          <w:sz w:val="24"/>
          <w:szCs w:val="24"/>
        </w:rPr>
        <w:t xml:space="preserve">subsequent </w:t>
      </w:r>
      <w:r w:rsidR="00111344">
        <w:rPr>
          <w:rFonts w:ascii="Arial" w:hAnsi="Arial" w:cs="Arial"/>
          <w:sz w:val="24"/>
          <w:szCs w:val="24"/>
        </w:rPr>
        <w:t>Muslim invasion</w:t>
      </w:r>
      <w:r w:rsidR="003D22E8">
        <w:rPr>
          <w:rFonts w:ascii="Arial" w:hAnsi="Arial" w:cs="Arial"/>
          <w:sz w:val="24"/>
          <w:szCs w:val="24"/>
        </w:rPr>
        <w:t>s</w:t>
      </w:r>
      <w:r w:rsidR="00C11A8B" w:rsidRPr="005624A3">
        <w:rPr>
          <w:rFonts w:ascii="Arial" w:hAnsi="Arial" w:cs="Arial"/>
          <w:sz w:val="24"/>
          <w:szCs w:val="24"/>
        </w:rPr>
        <w:t>.</w:t>
      </w:r>
    </w:p>
    <w:p w14:paraId="1F35B4CD" w14:textId="41115505" w:rsidR="0065545A" w:rsidRDefault="00195E18" w:rsidP="003707B7">
      <w:pPr>
        <w:spacing w:line="480" w:lineRule="auto"/>
        <w:jc w:val="both"/>
        <w:rPr>
          <w:rFonts w:ascii="Arial" w:hAnsi="Arial" w:cs="Arial"/>
          <w:sz w:val="24"/>
          <w:szCs w:val="24"/>
        </w:rPr>
      </w:pPr>
      <w:r>
        <w:rPr>
          <w:rFonts w:ascii="Arial" w:hAnsi="Arial" w:cs="Arial"/>
          <w:sz w:val="24"/>
          <w:szCs w:val="24"/>
        </w:rPr>
        <w:t>The Byzantine army</w:t>
      </w:r>
      <w:r w:rsidR="007B632E">
        <w:rPr>
          <w:rFonts w:ascii="Arial" w:hAnsi="Arial" w:cs="Arial"/>
          <w:sz w:val="24"/>
          <w:szCs w:val="24"/>
        </w:rPr>
        <w:t xml:space="preserve"> </w:t>
      </w:r>
      <w:r w:rsidR="002F06AC">
        <w:rPr>
          <w:rFonts w:ascii="Arial" w:hAnsi="Arial" w:cs="Arial"/>
          <w:sz w:val="24"/>
          <w:szCs w:val="24"/>
        </w:rPr>
        <w:t xml:space="preserve">had regional troops </w:t>
      </w:r>
      <w:r w:rsidR="00AD0C3D">
        <w:rPr>
          <w:rFonts w:ascii="Arial" w:hAnsi="Arial" w:cs="Arial"/>
          <w:sz w:val="24"/>
          <w:szCs w:val="24"/>
        </w:rPr>
        <w:t xml:space="preserve">led by the </w:t>
      </w:r>
      <w:r w:rsidR="005D5A2A">
        <w:rPr>
          <w:rFonts w:ascii="Arial" w:hAnsi="Arial" w:cs="Arial"/>
          <w:sz w:val="24"/>
          <w:szCs w:val="24"/>
        </w:rPr>
        <w:t>Vahan</w:t>
      </w:r>
      <w:r w:rsidR="00B43052">
        <w:rPr>
          <w:rFonts w:ascii="Arial" w:hAnsi="Arial" w:cs="Arial"/>
          <w:sz w:val="24"/>
          <w:szCs w:val="24"/>
        </w:rPr>
        <w:t xml:space="preserve"> </w:t>
      </w:r>
      <w:r w:rsidR="005D5A2A">
        <w:rPr>
          <w:rFonts w:ascii="Arial" w:hAnsi="Arial" w:cs="Arial"/>
          <w:sz w:val="24"/>
          <w:szCs w:val="24"/>
        </w:rPr>
        <w:t>(Armenian garrison leader from Emesa)</w:t>
      </w:r>
      <w:r w:rsidR="002F06AC">
        <w:rPr>
          <w:rFonts w:ascii="Arial" w:hAnsi="Arial" w:cs="Arial"/>
          <w:sz w:val="24"/>
          <w:szCs w:val="24"/>
        </w:rPr>
        <w:t xml:space="preserve"> and the main force led by </w:t>
      </w:r>
      <w:r w:rsidR="007B632E">
        <w:rPr>
          <w:rFonts w:ascii="Arial" w:hAnsi="Arial" w:cs="Arial"/>
          <w:sz w:val="24"/>
          <w:szCs w:val="24"/>
        </w:rPr>
        <w:t>Sacellarius (</w:t>
      </w:r>
      <w:r w:rsidR="00AD0C3D">
        <w:rPr>
          <w:rFonts w:ascii="Arial" w:hAnsi="Arial" w:cs="Arial"/>
          <w:sz w:val="24"/>
          <w:szCs w:val="24"/>
        </w:rPr>
        <w:t>Imperial Treasurer</w:t>
      </w:r>
      <w:r w:rsidR="007B632E">
        <w:rPr>
          <w:rFonts w:ascii="Arial" w:hAnsi="Arial" w:cs="Arial"/>
          <w:sz w:val="24"/>
          <w:szCs w:val="24"/>
        </w:rPr>
        <w:t>)</w:t>
      </w:r>
      <w:r w:rsidR="00AD0C3D">
        <w:rPr>
          <w:rFonts w:ascii="Arial" w:hAnsi="Arial" w:cs="Arial"/>
          <w:sz w:val="24"/>
          <w:szCs w:val="24"/>
        </w:rPr>
        <w:t xml:space="preserve"> Theodorus</w:t>
      </w:r>
      <w:sdt>
        <w:sdtPr>
          <w:rPr>
            <w:rFonts w:ascii="Arial" w:hAnsi="Arial" w:cs="Arial"/>
            <w:sz w:val="24"/>
            <w:szCs w:val="24"/>
          </w:rPr>
          <w:id w:val="1499689271"/>
          <w:citation/>
        </w:sdtPr>
        <w:sdtContent>
          <w:r w:rsidR="00F91E73">
            <w:rPr>
              <w:rFonts w:ascii="Arial" w:hAnsi="Arial" w:cs="Arial"/>
              <w:sz w:val="24"/>
              <w:szCs w:val="24"/>
            </w:rPr>
            <w:fldChar w:fldCharType="begin"/>
          </w:r>
          <w:r w:rsidR="00F91E73">
            <w:rPr>
              <w:rFonts w:ascii="Arial" w:hAnsi="Arial" w:cs="Arial"/>
              <w:sz w:val="24"/>
              <w:szCs w:val="24"/>
              <w:lang w:val="en-US"/>
            </w:rPr>
            <w:instrText xml:space="preserve"> CITATION Nic94 \l 1033 </w:instrText>
          </w:r>
          <w:r w:rsidR="00F91E73">
            <w:rPr>
              <w:rFonts w:ascii="Arial" w:hAnsi="Arial" w:cs="Arial"/>
              <w:sz w:val="24"/>
              <w:szCs w:val="24"/>
            </w:rPr>
            <w:fldChar w:fldCharType="separate"/>
          </w:r>
          <w:r w:rsidR="00F91E73">
            <w:rPr>
              <w:rFonts w:ascii="Arial" w:hAnsi="Arial" w:cs="Arial"/>
              <w:noProof/>
              <w:sz w:val="24"/>
              <w:szCs w:val="24"/>
              <w:lang w:val="en-US"/>
            </w:rPr>
            <w:t xml:space="preserve"> </w:t>
          </w:r>
          <w:r w:rsidR="00F91E73" w:rsidRPr="00F91E73">
            <w:rPr>
              <w:rFonts w:ascii="Arial" w:hAnsi="Arial" w:cs="Arial"/>
              <w:noProof/>
              <w:sz w:val="24"/>
              <w:szCs w:val="24"/>
              <w:lang w:val="en-US"/>
            </w:rPr>
            <w:t>(Nicolle, 1994)</w:t>
          </w:r>
          <w:r w:rsidR="00F91E73">
            <w:rPr>
              <w:rFonts w:ascii="Arial" w:hAnsi="Arial" w:cs="Arial"/>
              <w:sz w:val="24"/>
              <w:szCs w:val="24"/>
            </w:rPr>
            <w:fldChar w:fldCharType="end"/>
          </w:r>
        </w:sdtContent>
      </w:sdt>
      <w:r w:rsidR="002F06AC">
        <w:rPr>
          <w:rFonts w:ascii="Arial" w:hAnsi="Arial" w:cs="Arial"/>
          <w:sz w:val="24"/>
          <w:szCs w:val="24"/>
        </w:rPr>
        <w:t xml:space="preserve">.  </w:t>
      </w:r>
      <w:r w:rsidR="005D5A2A">
        <w:rPr>
          <w:rFonts w:ascii="Arial" w:hAnsi="Arial" w:cs="Arial"/>
          <w:sz w:val="24"/>
          <w:szCs w:val="24"/>
        </w:rPr>
        <w:t>The army was supported by militia from the Armenians, Christian Arabs, and garrisons from Upper Mesopotamia</w:t>
      </w:r>
      <w:r w:rsidR="005D5A2A" w:rsidRPr="00845A85">
        <w:rPr>
          <w:rFonts w:ascii="Arial" w:hAnsi="Arial" w:cs="Arial"/>
          <w:sz w:val="24"/>
          <w:szCs w:val="24"/>
        </w:rPr>
        <w:t xml:space="preserve"> </w:t>
      </w:r>
      <w:r w:rsidR="005D5A2A">
        <w:rPr>
          <w:rFonts w:ascii="Arial" w:hAnsi="Arial" w:cs="Arial"/>
          <w:sz w:val="24"/>
          <w:szCs w:val="24"/>
        </w:rPr>
        <w:t>and Northern Syria</w:t>
      </w:r>
      <w:sdt>
        <w:sdtPr>
          <w:rPr>
            <w:rFonts w:ascii="Arial" w:hAnsi="Arial" w:cs="Arial"/>
            <w:sz w:val="24"/>
            <w:szCs w:val="24"/>
          </w:rPr>
          <w:id w:val="2089963880"/>
          <w:citation/>
        </w:sdtPr>
        <w:sdtContent>
          <w:r w:rsidR="00B43052">
            <w:rPr>
              <w:rFonts w:ascii="Arial" w:hAnsi="Arial" w:cs="Arial"/>
              <w:sz w:val="24"/>
              <w:szCs w:val="24"/>
            </w:rPr>
            <w:fldChar w:fldCharType="begin"/>
          </w:r>
          <w:r w:rsidR="00B43052">
            <w:rPr>
              <w:rFonts w:ascii="Arial" w:hAnsi="Arial" w:cs="Arial"/>
              <w:sz w:val="24"/>
              <w:szCs w:val="24"/>
            </w:rPr>
            <w:instrText xml:space="preserve"> CITATION Oma24 \l 18441 </w:instrText>
          </w:r>
          <w:r w:rsidR="00B43052">
            <w:rPr>
              <w:rFonts w:ascii="Arial" w:hAnsi="Arial" w:cs="Arial"/>
              <w:sz w:val="24"/>
              <w:szCs w:val="24"/>
            </w:rPr>
            <w:fldChar w:fldCharType="separate"/>
          </w:r>
          <w:r w:rsidR="00B43052">
            <w:rPr>
              <w:rFonts w:ascii="Arial" w:hAnsi="Arial" w:cs="Arial"/>
              <w:noProof/>
              <w:sz w:val="24"/>
              <w:szCs w:val="24"/>
            </w:rPr>
            <w:t xml:space="preserve"> </w:t>
          </w:r>
          <w:r w:rsidR="00B43052" w:rsidRPr="00B43052">
            <w:rPr>
              <w:rFonts w:ascii="Arial" w:hAnsi="Arial" w:cs="Arial"/>
              <w:noProof/>
              <w:sz w:val="24"/>
              <w:szCs w:val="24"/>
            </w:rPr>
            <w:t>(Oman, 1924)</w:t>
          </w:r>
          <w:r w:rsidR="00B43052">
            <w:rPr>
              <w:rFonts w:ascii="Arial" w:hAnsi="Arial" w:cs="Arial"/>
              <w:sz w:val="24"/>
              <w:szCs w:val="24"/>
            </w:rPr>
            <w:fldChar w:fldCharType="end"/>
          </w:r>
        </w:sdtContent>
      </w:sdt>
      <w:r w:rsidR="005D5A2A">
        <w:rPr>
          <w:rFonts w:ascii="Arial" w:hAnsi="Arial" w:cs="Arial"/>
          <w:sz w:val="24"/>
          <w:szCs w:val="24"/>
        </w:rPr>
        <w:t xml:space="preserve">.  </w:t>
      </w:r>
      <w:r w:rsidR="005D5A2A">
        <w:rPr>
          <w:rFonts w:ascii="Arial" w:hAnsi="Arial" w:cs="Arial"/>
          <w:sz w:val="24"/>
          <w:szCs w:val="24"/>
        </w:rPr>
        <w:t xml:space="preserve">The main Byzantine army was made up of Slavs, Franks, Georgians, Balkans and other nationalities.  </w:t>
      </w:r>
      <w:r w:rsidR="002F06AC">
        <w:rPr>
          <w:rFonts w:ascii="Arial" w:hAnsi="Arial" w:cs="Arial"/>
          <w:sz w:val="24"/>
          <w:szCs w:val="24"/>
        </w:rPr>
        <w:t xml:space="preserve">The legion </w:t>
      </w:r>
      <w:r w:rsidR="00AD0C3D">
        <w:rPr>
          <w:rFonts w:ascii="Arial" w:hAnsi="Arial" w:cs="Arial"/>
          <w:sz w:val="24"/>
          <w:szCs w:val="24"/>
        </w:rPr>
        <w:t>was on the offensive moving from Northern Syria to retake Emesa and Damascus.</w:t>
      </w:r>
      <w:r w:rsidR="0073045B">
        <w:rPr>
          <w:rFonts w:ascii="Arial" w:hAnsi="Arial" w:cs="Arial"/>
          <w:sz w:val="24"/>
          <w:szCs w:val="24"/>
        </w:rPr>
        <w:t xml:space="preserve">  Arabic sources estimate the enemy army was 80,000 to 240,000.  Probably an exaggeration to emphasise the valour and skill of the Arab army in defeating them.  Christian sources approximate the troop strength to 40,000</w:t>
      </w:r>
      <w:sdt>
        <w:sdtPr>
          <w:rPr>
            <w:rFonts w:ascii="Arial" w:hAnsi="Arial" w:cs="Arial"/>
            <w:sz w:val="24"/>
            <w:szCs w:val="24"/>
          </w:rPr>
          <w:id w:val="1183165920"/>
          <w:citation/>
        </w:sdtPr>
        <w:sdtContent>
          <w:r w:rsidR="00CE4551">
            <w:rPr>
              <w:rFonts w:ascii="Arial" w:hAnsi="Arial" w:cs="Arial"/>
              <w:sz w:val="24"/>
              <w:szCs w:val="24"/>
            </w:rPr>
            <w:fldChar w:fldCharType="begin"/>
          </w:r>
          <w:r w:rsidR="00CE4551">
            <w:rPr>
              <w:rFonts w:ascii="Arial" w:hAnsi="Arial" w:cs="Arial"/>
              <w:sz w:val="24"/>
              <w:szCs w:val="24"/>
              <w:lang w:val="en-US"/>
            </w:rPr>
            <w:instrText xml:space="preserve"> CITATION The82 \l 1033 </w:instrText>
          </w:r>
          <w:r w:rsidR="00CE4551">
            <w:rPr>
              <w:rFonts w:ascii="Arial" w:hAnsi="Arial" w:cs="Arial"/>
              <w:sz w:val="24"/>
              <w:szCs w:val="24"/>
            </w:rPr>
            <w:fldChar w:fldCharType="separate"/>
          </w:r>
          <w:r w:rsidR="00CE4551">
            <w:rPr>
              <w:rFonts w:ascii="Arial" w:hAnsi="Arial" w:cs="Arial"/>
              <w:noProof/>
              <w:sz w:val="24"/>
              <w:szCs w:val="24"/>
              <w:lang w:val="en-US"/>
            </w:rPr>
            <w:t xml:space="preserve"> </w:t>
          </w:r>
          <w:r w:rsidR="00CE4551" w:rsidRPr="00CE4551">
            <w:rPr>
              <w:rFonts w:ascii="Arial" w:hAnsi="Arial" w:cs="Arial"/>
              <w:noProof/>
              <w:sz w:val="24"/>
              <w:szCs w:val="24"/>
              <w:lang w:val="en-US"/>
            </w:rPr>
            <w:t>(Theophanes, 1982)</w:t>
          </w:r>
          <w:r w:rsidR="00CE4551">
            <w:rPr>
              <w:rFonts w:ascii="Arial" w:hAnsi="Arial" w:cs="Arial"/>
              <w:sz w:val="24"/>
              <w:szCs w:val="24"/>
            </w:rPr>
            <w:fldChar w:fldCharType="end"/>
          </w:r>
        </w:sdtContent>
      </w:sdt>
      <w:r w:rsidR="0073045B">
        <w:rPr>
          <w:rFonts w:ascii="Arial" w:hAnsi="Arial" w:cs="Arial"/>
          <w:sz w:val="24"/>
          <w:szCs w:val="24"/>
        </w:rPr>
        <w:t>.  This figure is more plausible as the Byzantine army was not known to field a large army and the strained financial situation of the empire reduced military spending.</w:t>
      </w:r>
      <w:r w:rsidR="00B43052">
        <w:rPr>
          <w:rFonts w:ascii="Arial" w:hAnsi="Arial" w:cs="Arial"/>
          <w:sz w:val="24"/>
          <w:szCs w:val="24"/>
        </w:rPr>
        <w:t xml:space="preserve">  T</w:t>
      </w:r>
      <w:r w:rsidR="003B49F9">
        <w:rPr>
          <w:rFonts w:ascii="Arial" w:hAnsi="Arial" w:cs="Arial"/>
          <w:sz w:val="24"/>
          <w:szCs w:val="24"/>
        </w:rPr>
        <w:t xml:space="preserve">he Christian army was experienced, </w:t>
      </w:r>
      <w:r w:rsidR="00B43052">
        <w:rPr>
          <w:rFonts w:ascii="Arial" w:hAnsi="Arial" w:cs="Arial"/>
          <w:sz w:val="24"/>
          <w:szCs w:val="24"/>
        </w:rPr>
        <w:t>well-</w:t>
      </w:r>
      <w:r w:rsidR="003B49F9">
        <w:rPr>
          <w:rFonts w:ascii="Arial" w:hAnsi="Arial" w:cs="Arial"/>
          <w:sz w:val="24"/>
          <w:szCs w:val="24"/>
        </w:rPr>
        <w:t>train</w:t>
      </w:r>
      <w:r w:rsidR="00B43052">
        <w:rPr>
          <w:rFonts w:ascii="Arial" w:hAnsi="Arial" w:cs="Arial"/>
          <w:sz w:val="24"/>
          <w:szCs w:val="24"/>
        </w:rPr>
        <w:t>ed</w:t>
      </w:r>
      <w:r w:rsidR="003B49F9">
        <w:rPr>
          <w:rFonts w:ascii="Arial" w:hAnsi="Arial" w:cs="Arial"/>
          <w:sz w:val="24"/>
          <w:szCs w:val="24"/>
        </w:rPr>
        <w:t xml:space="preserve"> and </w:t>
      </w:r>
      <w:r w:rsidR="00B43052">
        <w:rPr>
          <w:rFonts w:ascii="Arial" w:hAnsi="Arial" w:cs="Arial"/>
          <w:sz w:val="24"/>
          <w:szCs w:val="24"/>
        </w:rPr>
        <w:t xml:space="preserve">better </w:t>
      </w:r>
      <w:r w:rsidR="003B49F9">
        <w:rPr>
          <w:rFonts w:ascii="Arial" w:hAnsi="Arial" w:cs="Arial"/>
          <w:sz w:val="24"/>
          <w:szCs w:val="24"/>
        </w:rPr>
        <w:t>equip</w:t>
      </w:r>
      <w:r w:rsidR="00B43052">
        <w:rPr>
          <w:rFonts w:ascii="Arial" w:hAnsi="Arial" w:cs="Arial"/>
          <w:sz w:val="24"/>
          <w:szCs w:val="24"/>
        </w:rPr>
        <w:t>ped</w:t>
      </w:r>
      <w:r w:rsidR="003B49F9">
        <w:rPr>
          <w:rFonts w:ascii="Arial" w:hAnsi="Arial" w:cs="Arial"/>
          <w:sz w:val="24"/>
          <w:szCs w:val="24"/>
        </w:rPr>
        <w:t xml:space="preserve"> than the Muslim army </w:t>
      </w:r>
      <w:r w:rsidR="00B43052">
        <w:rPr>
          <w:rFonts w:ascii="Arial" w:hAnsi="Arial" w:cs="Arial"/>
          <w:sz w:val="24"/>
          <w:szCs w:val="24"/>
        </w:rPr>
        <w:t xml:space="preserve">having </w:t>
      </w:r>
      <w:r w:rsidR="003B49F9">
        <w:rPr>
          <w:rFonts w:ascii="Arial" w:hAnsi="Arial" w:cs="Arial"/>
          <w:sz w:val="24"/>
          <w:szCs w:val="24"/>
        </w:rPr>
        <w:t xml:space="preserve">cataphracti cavalry as well.  </w:t>
      </w:r>
    </w:p>
    <w:p w14:paraId="25D9EFC0" w14:textId="2D048D97" w:rsidR="008D0AAB" w:rsidRDefault="00AD0C3D" w:rsidP="003707B7">
      <w:pPr>
        <w:spacing w:line="480" w:lineRule="auto"/>
        <w:jc w:val="both"/>
        <w:rPr>
          <w:rFonts w:ascii="Arial" w:hAnsi="Arial" w:cs="Arial"/>
          <w:sz w:val="24"/>
          <w:szCs w:val="24"/>
        </w:rPr>
      </w:pPr>
      <w:r>
        <w:rPr>
          <w:rFonts w:ascii="Arial" w:hAnsi="Arial" w:cs="Arial"/>
          <w:sz w:val="24"/>
          <w:szCs w:val="24"/>
        </w:rPr>
        <w:t xml:space="preserve">The Arab army was </w:t>
      </w:r>
      <w:r w:rsidR="007B632E">
        <w:rPr>
          <w:rFonts w:ascii="Arial" w:hAnsi="Arial" w:cs="Arial"/>
          <w:sz w:val="24"/>
          <w:szCs w:val="24"/>
        </w:rPr>
        <w:t xml:space="preserve">on the </w:t>
      </w:r>
      <w:r w:rsidR="007B632E" w:rsidRPr="002323FA">
        <w:rPr>
          <w:rFonts w:ascii="Arial" w:hAnsi="Arial" w:cs="Arial"/>
          <w:sz w:val="24"/>
          <w:szCs w:val="24"/>
        </w:rPr>
        <w:t>defensive retreating back towards</w:t>
      </w:r>
      <w:r w:rsidR="007B632E">
        <w:rPr>
          <w:rFonts w:ascii="Arial" w:hAnsi="Arial" w:cs="Arial"/>
          <w:sz w:val="24"/>
          <w:szCs w:val="24"/>
        </w:rPr>
        <w:t xml:space="preserve"> </w:t>
      </w:r>
      <w:r w:rsidR="002323FA">
        <w:rPr>
          <w:rFonts w:ascii="Arial" w:hAnsi="Arial" w:cs="Arial"/>
          <w:sz w:val="24"/>
          <w:szCs w:val="24"/>
        </w:rPr>
        <w:t>the south</w:t>
      </w:r>
      <w:r w:rsidR="007B632E">
        <w:rPr>
          <w:rFonts w:ascii="Arial" w:hAnsi="Arial" w:cs="Arial"/>
          <w:sz w:val="24"/>
          <w:szCs w:val="24"/>
        </w:rPr>
        <w:t xml:space="preserve"> and was led by a team of </w:t>
      </w:r>
      <w:r w:rsidR="007B632E" w:rsidRPr="00650894">
        <w:rPr>
          <w:rFonts w:ascii="Arial" w:hAnsi="Arial" w:cs="Arial"/>
          <w:sz w:val="24"/>
          <w:szCs w:val="24"/>
        </w:rPr>
        <w:t>formidable</w:t>
      </w:r>
      <w:r w:rsidR="007B632E">
        <w:rPr>
          <w:rFonts w:ascii="Arial" w:hAnsi="Arial" w:cs="Arial"/>
          <w:sz w:val="24"/>
          <w:szCs w:val="24"/>
        </w:rPr>
        <w:t xml:space="preserve"> leaders Khalid ibn al-Walid, Amr ibn al-As and Shaurahbil ibn </w:t>
      </w:r>
      <w:r w:rsidR="007B632E">
        <w:rPr>
          <w:rFonts w:ascii="Arial" w:hAnsi="Arial" w:cs="Arial"/>
          <w:sz w:val="24"/>
          <w:szCs w:val="24"/>
        </w:rPr>
        <w:lastRenderedPageBreak/>
        <w:t>Hasana.</w:t>
      </w:r>
      <w:r w:rsidR="00270B11">
        <w:rPr>
          <w:rFonts w:ascii="Arial" w:hAnsi="Arial" w:cs="Arial"/>
          <w:sz w:val="24"/>
          <w:szCs w:val="24"/>
        </w:rPr>
        <w:t xml:space="preserve">  Muslim sources estimated the army strength </w:t>
      </w:r>
      <w:r w:rsidR="0073045B">
        <w:rPr>
          <w:rFonts w:ascii="Arial" w:hAnsi="Arial" w:cs="Arial"/>
          <w:sz w:val="24"/>
          <w:szCs w:val="24"/>
        </w:rPr>
        <w:t xml:space="preserve">to around </w:t>
      </w:r>
      <w:r w:rsidR="00270B11">
        <w:rPr>
          <w:rFonts w:ascii="Arial" w:hAnsi="Arial" w:cs="Arial"/>
          <w:sz w:val="24"/>
          <w:szCs w:val="24"/>
        </w:rPr>
        <w:t>24,000 to 40,000.</w:t>
      </w:r>
      <w:r w:rsidR="00491C9B">
        <w:rPr>
          <w:rFonts w:ascii="Arial" w:hAnsi="Arial" w:cs="Arial"/>
          <w:sz w:val="24"/>
          <w:szCs w:val="24"/>
        </w:rPr>
        <w:t xml:space="preserve">  Most likely the value was around 36,000 as stated by </w:t>
      </w:r>
      <w:r w:rsidR="00491C9B" w:rsidRPr="00172F11">
        <w:rPr>
          <w:rFonts w:ascii="Arial" w:hAnsi="Arial" w:cs="Arial"/>
          <w:sz w:val="24"/>
          <w:szCs w:val="24"/>
        </w:rPr>
        <w:t>Sayf ibn Umar</w:t>
      </w:r>
      <w:sdt>
        <w:sdtPr>
          <w:rPr>
            <w:rFonts w:ascii="Arial" w:hAnsi="Arial" w:cs="Arial"/>
            <w:sz w:val="24"/>
            <w:szCs w:val="24"/>
          </w:rPr>
          <w:id w:val="1573466601"/>
          <w:citation/>
        </w:sdtPr>
        <w:sdtContent>
          <w:r w:rsidR="008E3089">
            <w:rPr>
              <w:rFonts w:ascii="Arial" w:hAnsi="Arial" w:cs="Arial"/>
              <w:sz w:val="24"/>
              <w:szCs w:val="24"/>
            </w:rPr>
            <w:fldChar w:fldCharType="begin"/>
          </w:r>
          <w:r w:rsidR="00172F11">
            <w:rPr>
              <w:rFonts w:ascii="Arial" w:hAnsi="Arial" w:cs="Arial"/>
              <w:sz w:val="24"/>
              <w:szCs w:val="24"/>
            </w:rPr>
            <w:instrText xml:space="preserve">CITATION Tho \l 18441 </w:instrText>
          </w:r>
          <w:r w:rsidR="008E3089">
            <w:rPr>
              <w:rFonts w:ascii="Arial" w:hAnsi="Arial" w:cs="Arial"/>
              <w:sz w:val="24"/>
              <w:szCs w:val="24"/>
            </w:rPr>
            <w:fldChar w:fldCharType="separate"/>
          </w:r>
          <w:r w:rsidR="00172F11">
            <w:rPr>
              <w:rFonts w:ascii="Arial" w:hAnsi="Arial" w:cs="Arial"/>
              <w:noProof/>
              <w:sz w:val="24"/>
              <w:szCs w:val="24"/>
            </w:rPr>
            <w:t xml:space="preserve"> </w:t>
          </w:r>
          <w:r w:rsidR="00172F11" w:rsidRPr="00172F11">
            <w:rPr>
              <w:rFonts w:ascii="Arial" w:hAnsi="Arial" w:cs="Arial"/>
              <w:noProof/>
              <w:sz w:val="24"/>
              <w:szCs w:val="24"/>
            </w:rPr>
            <w:t>(al-Tamimi)</w:t>
          </w:r>
          <w:r w:rsidR="008E3089">
            <w:rPr>
              <w:rFonts w:ascii="Arial" w:hAnsi="Arial" w:cs="Arial"/>
              <w:sz w:val="24"/>
              <w:szCs w:val="24"/>
            </w:rPr>
            <w:fldChar w:fldCharType="end"/>
          </w:r>
        </w:sdtContent>
      </w:sdt>
      <w:r w:rsidR="00491C9B">
        <w:rPr>
          <w:rFonts w:ascii="Arial" w:hAnsi="Arial" w:cs="Arial"/>
          <w:sz w:val="24"/>
          <w:szCs w:val="24"/>
        </w:rPr>
        <w:t>, an 8</w:t>
      </w:r>
      <w:r w:rsidR="00491C9B" w:rsidRPr="00491C9B">
        <w:rPr>
          <w:rFonts w:ascii="Arial" w:hAnsi="Arial" w:cs="Arial"/>
          <w:sz w:val="24"/>
          <w:szCs w:val="24"/>
          <w:vertAlign w:val="superscript"/>
        </w:rPr>
        <w:t>th</w:t>
      </w:r>
      <w:r w:rsidR="00491C9B">
        <w:rPr>
          <w:rFonts w:ascii="Arial" w:hAnsi="Arial" w:cs="Arial"/>
          <w:sz w:val="24"/>
          <w:szCs w:val="24"/>
        </w:rPr>
        <w:t xml:space="preserve"> century hist</w:t>
      </w:r>
      <w:r w:rsidR="008E3089">
        <w:rPr>
          <w:rFonts w:ascii="Arial" w:hAnsi="Arial" w:cs="Arial"/>
          <w:sz w:val="24"/>
          <w:szCs w:val="24"/>
        </w:rPr>
        <w:t>orian.</w:t>
      </w:r>
      <w:r w:rsidR="008D0AAB">
        <w:rPr>
          <w:rFonts w:ascii="Arial" w:hAnsi="Arial" w:cs="Arial"/>
          <w:sz w:val="24"/>
          <w:szCs w:val="24"/>
        </w:rPr>
        <w:t xml:space="preserve">  The army comprised of semi-nomadic and settled tribes of South Arabia, the Hijaz and Syria</w:t>
      </w:r>
      <w:sdt>
        <w:sdtPr>
          <w:rPr>
            <w:rFonts w:ascii="Arial" w:hAnsi="Arial" w:cs="Arial"/>
            <w:sz w:val="24"/>
            <w:szCs w:val="24"/>
          </w:rPr>
          <w:id w:val="-161539757"/>
          <w:citation/>
        </w:sdtPr>
        <w:sdtContent>
          <w:r w:rsidR="008D0AAB">
            <w:rPr>
              <w:rFonts w:ascii="Arial" w:hAnsi="Arial" w:cs="Arial"/>
              <w:sz w:val="24"/>
              <w:szCs w:val="24"/>
            </w:rPr>
            <w:fldChar w:fldCharType="begin"/>
          </w:r>
          <w:r w:rsidR="009B599D">
            <w:rPr>
              <w:rFonts w:ascii="Arial" w:hAnsi="Arial" w:cs="Arial"/>
              <w:sz w:val="24"/>
              <w:szCs w:val="24"/>
            </w:rPr>
            <w:instrText xml:space="preserve">CITATION Ibn \l 18441 </w:instrText>
          </w:r>
          <w:r w:rsidR="008D0AAB">
            <w:rPr>
              <w:rFonts w:ascii="Arial" w:hAnsi="Arial" w:cs="Arial"/>
              <w:sz w:val="24"/>
              <w:szCs w:val="24"/>
            </w:rPr>
            <w:fldChar w:fldCharType="separate"/>
          </w:r>
          <w:r w:rsidR="009B599D">
            <w:rPr>
              <w:rFonts w:ascii="Arial" w:hAnsi="Arial" w:cs="Arial"/>
              <w:noProof/>
              <w:sz w:val="24"/>
              <w:szCs w:val="24"/>
            </w:rPr>
            <w:t xml:space="preserve"> </w:t>
          </w:r>
          <w:r w:rsidR="009B599D" w:rsidRPr="009B599D">
            <w:rPr>
              <w:rFonts w:ascii="Arial" w:hAnsi="Arial" w:cs="Arial"/>
              <w:noProof/>
              <w:sz w:val="24"/>
              <w:szCs w:val="24"/>
            </w:rPr>
            <w:t>(Ibn Asakir)</w:t>
          </w:r>
          <w:r w:rsidR="008D0AAB">
            <w:rPr>
              <w:rFonts w:ascii="Arial" w:hAnsi="Arial" w:cs="Arial"/>
              <w:sz w:val="24"/>
              <w:szCs w:val="24"/>
            </w:rPr>
            <w:fldChar w:fldCharType="end"/>
          </w:r>
        </w:sdtContent>
      </w:sdt>
      <w:r w:rsidR="009154D2">
        <w:rPr>
          <w:rFonts w:ascii="Arial" w:hAnsi="Arial" w:cs="Arial"/>
          <w:sz w:val="24"/>
          <w:szCs w:val="24"/>
        </w:rPr>
        <w:t>.  There were infantry and cavalry</w:t>
      </w:r>
      <w:r w:rsidR="00C428B7">
        <w:rPr>
          <w:rFonts w:ascii="Arial" w:hAnsi="Arial" w:cs="Arial"/>
          <w:sz w:val="24"/>
          <w:szCs w:val="24"/>
        </w:rPr>
        <w:t xml:space="preserve"> units </w:t>
      </w:r>
      <w:r w:rsidR="009154D2">
        <w:rPr>
          <w:rFonts w:ascii="Arial" w:hAnsi="Arial" w:cs="Arial"/>
          <w:sz w:val="24"/>
          <w:szCs w:val="24"/>
        </w:rPr>
        <w:t>and</w:t>
      </w:r>
      <w:r w:rsidR="00C428B7">
        <w:rPr>
          <w:rFonts w:ascii="Arial" w:hAnsi="Arial" w:cs="Arial"/>
          <w:sz w:val="24"/>
          <w:szCs w:val="24"/>
        </w:rPr>
        <w:t xml:space="preserve"> they</w:t>
      </w:r>
      <w:r w:rsidR="009154D2">
        <w:rPr>
          <w:rFonts w:ascii="Arial" w:hAnsi="Arial" w:cs="Arial"/>
          <w:sz w:val="24"/>
          <w:szCs w:val="24"/>
        </w:rPr>
        <w:t xml:space="preserve"> fought with spears, swords and bows</w:t>
      </w:r>
      <w:sdt>
        <w:sdtPr>
          <w:rPr>
            <w:rFonts w:ascii="Arial" w:hAnsi="Arial" w:cs="Arial"/>
            <w:sz w:val="24"/>
            <w:szCs w:val="24"/>
          </w:rPr>
          <w:id w:val="838891713"/>
          <w:citation/>
        </w:sdtPr>
        <w:sdtContent>
          <w:r w:rsidR="009154D2">
            <w:rPr>
              <w:rFonts w:ascii="Arial" w:hAnsi="Arial" w:cs="Arial"/>
              <w:sz w:val="24"/>
              <w:szCs w:val="24"/>
            </w:rPr>
            <w:fldChar w:fldCharType="begin"/>
          </w:r>
          <w:r w:rsidR="009B599D">
            <w:rPr>
              <w:rFonts w:ascii="Arial" w:hAnsi="Arial" w:cs="Arial"/>
              <w:sz w:val="24"/>
              <w:szCs w:val="24"/>
            </w:rPr>
            <w:instrText xml:space="preserve">CITATION Ibn \l 18441 </w:instrText>
          </w:r>
          <w:r w:rsidR="009154D2">
            <w:rPr>
              <w:rFonts w:ascii="Arial" w:hAnsi="Arial" w:cs="Arial"/>
              <w:sz w:val="24"/>
              <w:szCs w:val="24"/>
            </w:rPr>
            <w:fldChar w:fldCharType="separate"/>
          </w:r>
          <w:r w:rsidR="009B599D">
            <w:rPr>
              <w:rFonts w:ascii="Arial" w:hAnsi="Arial" w:cs="Arial"/>
              <w:noProof/>
              <w:sz w:val="24"/>
              <w:szCs w:val="24"/>
            </w:rPr>
            <w:t xml:space="preserve"> </w:t>
          </w:r>
          <w:r w:rsidR="009B599D" w:rsidRPr="009B599D">
            <w:rPr>
              <w:rFonts w:ascii="Arial" w:hAnsi="Arial" w:cs="Arial"/>
              <w:noProof/>
              <w:sz w:val="24"/>
              <w:szCs w:val="24"/>
            </w:rPr>
            <w:t>(Ibn Asakir)</w:t>
          </w:r>
          <w:r w:rsidR="009154D2">
            <w:rPr>
              <w:rFonts w:ascii="Arial" w:hAnsi="Arial" w:cs="Arial"/>
              <w:sz w:val="24"/>
              <w:szCs w:val="24"/>
            </w:rPr>
            <w:fldChar w:fldCharType="end"/>
          </w:r>
        </w:sdtContent>
      </w:sdt>
      <w:r w:rsidR="009154D2">
        <w:rPr>
          <w:rFonts w:ascii="Arial" w:hAnsi="Arial" w:cs="Arial"/>
          <w:sz w:val="24"/>
          <w:szCs w:val="24"/>
        </w:rPr>
        <w:t xml:space="preserve">. </w:t>
      </w:r>
      <w:r w:rsidR="00C428B7">
        <w:rPr>
          <w:rFonts w:ascii="Arial" w:hAnsi="Arial" w:cs="Arial"/>
          <w:sz w:val="24"/>
          <w:szCs w:val="24"/>
        </w:rPr>
        <w:t xml:space="preserve">The soldiers were deployed into sections with assigned roles to guard the flanks or to lead the attack.  </w:t>
      </w:r>
    </w:p>
    <w:p w14:paraId="7F3EBC83" w14:textId="53204618" w:rsidR="00827D77" w:rsidRDefault="007B632E" w:rsidP="003707B7">
      <w:pPr>
        <w:spacing w:line="480" w:lineRule="auto"/>
        <w:jc w:val="both"/>
        <w:rPr>
          <w:rFonts w:ascii="Arial" w:hAnsi="Arial" w:cs="Arial"/>
          <w:sz w:val="24"/>
          <w:szCs w:val="24"/>
        </w:rPr>
      </w:pPr>
      <w:r>
        <w:rPr>
          <w:rFonts w:ascii="Arial" w:hAnsi="Arial" w:cs="Arial"/>
          <w:sz w:val="24"/>
          <w:szCs w:val="24"/>
        </w:rPr>
        <w:t xml:space="preserve">The two armies finally converged on the banks of Yarmuk river.  The Byzantine army attacked aggressively and broke through to the Arab army’s encampment.  The Arab army fought back, cornered their enemy </w:t>
      </w:r>
      <w:r w:rsidR="004A0472">
        <w:rPr>
          <w:rFonts w:ascii="Arial" w:hAnsi="Arial" w:cs="Arial"/>
          <w:sz w:val="24"/>
          <w:szCs w:val="24"/>
        </w:rPr>
        <w:t xml:space="preserve">and chased the Byzantine army till the remaining troops supposedly plunged to their death over a ravine.  </w:t>
      </w:r>
    </w:p>
    <w:p w14:paraId="45881C4A" w14:textId="4EF60AFB" w:rsidR="004A0472" w:rsidRDefault="004A0472" w:rsidP="003707B7">
      <w:pPr>
        <w:spacing w:line="480" w:lineRule="auto"/>
        <w:jc w:val="both"/>
        <w:rPr>
          <w:rFonts w:ascii="Arial" w:hAnsi="Arial" w:cs="Arial"/>
          <w:sz w:val="24"/>
          <w:szCs w:val="24"/>
        </w:rPr>
      </w:pPr>
      <w:r>
        <w:rPr>
          <w:rFonts w:ascii="Arial" w:hAnsi="Arial" w:cs="Arial"/>
          <w:sz w:val="24"/>
          <w:szCs w:val="24"/>
        </w:rPr>
        <w:t>One reconstruction of the battle by C.H. Becker</w:t>
      </w:r>
      <w:sdt>
        <w:sdtPr>
          <w:rPr>
            <w:rFonts w:ascii="Arial" w:hAnsi="Arial" w:cs="Arial"/>
            <w:sz w:val="24"/>
            <w:szCs w:val="24"/>
          </w:rPr>
          <w:id w:val="1873424410"/>
          <w:citation/>
        </w:sdtPr>
        <w:sdtContent>
          <w:r w:rsidR="00650894">
            <w:rPr>
              <w:rFonts w:ascii="Arial" w:hAnsi="Arial" w:cs="Arial"/>
              <w:sz w:val="24"/>
              <w:szCs w:val="24"/>
            </w:rPr>
            <w:fldChar w:fldCharType="begin"/>
          </w:r>
          <w:r w:rsidR="00650894">
            <w:rPr>
              <w:rFonts w:ascii="Arial" w:hAnsi="Arial" w:cs="Arial"/>
              <w:sz w:val="24"/>
              <w:szCs w:val="24"/>
              <w:lang w:val="en-US"/>
            </w:rPr>
            <w:instrText xml:space="preserve"> CITATION Bec13 \l 1033 </w:instrText>
          </w:r>
          <w:r w:rsidR="00650894">
            <w:rPr>
              <w:rFonts w:ascii="Arial" w:hAnsi="Arial" w:cs="Arial"/>
              <w:sz w:val="24"/>
              <w:szCs w:val="24"/>
            </w:rPr>
            <w:fldChar w:fldCharType="separate"/>
          </w:r>
          <w:r w:rsidR="00650894">
            <w:rPr>
              <w:rFonts w:ascii="Arial" w:hAnsi="Arial" w:cs="Arial"/>
              <w:noProof/>
              <w:sz w:val="24"/>
              <w:szCs w:val="24"/>
              <w:lang w:val="en-US"/>
            </w:rPr>
            <w:t xml:space="preserve"> </w:t>
          </w:r>
          <w:r w:rsidR="00650894" w:rsidRPr="00650894">
            <w:rPr>
              <w:rFonts w:ascii="Arial" w:hAnsi="Arial" w:cs="Arial"/>
              <w:noProof/>
              <w:sz w:val="24"/>
              <w:szCs w:val="24"/>
              <w:lang w:val="en-US"/>
            </w:rPr>
            <w:t>(Becker, 1913)</w:t>
          </w:r>
          <w:r w:rsidR="00650894">
            <w:rPr>
              <w:rFonts w:ascii="Arial" w:hAnsi="Arial" w:cs="Arial"/>
              <w:sz w:val="24"/>
              <w:szCs w:val="24"/>
            </w:rPr>
            <w:fldChar w:fldCharType="end"/>
          </w:r>
        </w:sdtContent>
      </w:sdt>
      <w:r>
        <w:rPr>
          <w:rFonts w:ascii="Arial" w:hAnsi="Arial" w:cs="Arial"/>
          <w:sz w:val="24"/>
          <w:szCs w:val="24"/>
        </w:rPr>
        <w:t xml:space="preserve"> tries to explain how the Arab army won.  In his re-enactment, the Arab army managed to block the Byzantine army o</w:t>
      </w:r>
      <w:r w:rsidR="002323FA">
        <w:rPr>
          <w:rFonts w:ascii="Arial" w:hAnsi="Arial" w:cs="Arial"/>
          <w:sz w:val="24"/>
          <w:szCs w:val="24"/>
        </w:rPr>
        <w:t>n</w:t>
      </w:r>
      <w:r>
        <w:rPr>
          <w:rFonts w:ascii="Arial" w:hAnsi="Arial" w:cs="Arial"/>
          <w:sz w:val="24"/>
          <w:szCs w:val="24"/>
        </w:rPr>
        <w:t xml:space="preserve"> its Eastern side</w:t>
      </w:r>
      <w:r w:rsidR="002323FA">
        <w:rPr>
          <w:rFonts w:ascii="Arial" w:hAnsi="Arial" w:cs="Arial"/>
          <w:sz w:val="24"/>
          <w:szCs w:val="24"/>
        </w:rPr>
        <w:t xml:space="preserve">, cutting off access to Damascus and occupied the bridge over the Ruqqad river, blocking their westward escape route.  They were pushed into a corner bordered by the two rivers.  Heavy fighting led to many casualties on the Byzantine side.  Those who survived the fighting, died trying to escape over the deep ravines or were killed by the Arab army waiting on the other side of the bridge.  </w:t>
      </w:r>
    </w:p>
    <w:p w14:paraId="6AC78317" w14:textId="6657197A" w:rsidR="00C663FE" w:rsidRPr="00AB41ED" w:rsidRDefault="00E24505" w:rsidP="009D400C">
      <w:pPr>
        <w:spacing w:line="480" w:lineRule="auto"/>
        <w:rPr>
          <w:rFonts w:ascii="Arial" w:hAnsi="Arial" w:cs="Arial"/>
          <w:color w:val="FF0000"/>
          <w:sz w:val="24"/>
          <w:szCs w:val="24"/>
        </w:rPr>
      </w:pPr>
      <w:r>
        <w:rPr>
          <w:rFonts w:ascii="Arial" w:hAnsi="Arial" w:cs="Arial"/>
          <w:sz w:val="24"/>
          <w:szCs w:val="24"/>
        </w:rPr>
        <w:t>There is</w:t>
      </w:r>
      <w:r w:rsidR="002B02D5">
        <w:rPr>
          <w:rFonts w:ascii="Arial" w:hAnsi="Arial" w:cs="Arial"/>
          <w:sz w:val="24"/>
          <w:szCs w:val="24"/>
        </w:rPr>
        <w:t xml:space="preserve"> </w:t>
      </w:r>
      <w:r>
        <w:rPr>
          <w:rFonts w:ascii="Arial" w:hAnsi="Arial" w:cs="Arial"/>
          <w:sz w:val="24"/>
          <w:szCs w:val="24"/>
        </w:rPr>
        <w:t xml:space="preserve">limited and fragmented extant sources of information pertaining to this battle.  The Byzantium records of this battle are missing and may have been destroyed when libraries and archives were </w:t>
      </w:r>
      <w:r w:rsidRPr="001C4439">
        <w:rPr>
          <w:rFonts w:ascii="Arial" w:hAnsi="Arial" w:cs="Arial"/>
          <w:sz w:val="24"/>
          <w:szCs w:val="24"/>
        </w:rPr>
        <w:t xml:space="preserve">demolished by the </w:t>
      </w:r>
      <w:r w:rsidR="001C4439" w:rsidRPr="001C4439">
        <w:rPr>
          <w:rFonts w:ascii="Arial" w:hAnsi="Arial" w:cs="Arial"/>
          <w:sz w:val="24"/>
          <w:szCs w:val="24"/>
        </w:rPr>
        <w:t xml:space="preserve">Christian </w:t>
      </w:r>
      <w:r w:rsidRPr="001C4439">
        <w:rPr>
          <w:rFonts w:ascii="Arial" w:hAnsi="Arial" w:cs="Arial"/>
          <w:sz w:val="24"/>
          <w:szCs w:val="24"/>
        </w:rPr>
        <w:t>Orthodoxy and the Abbasids when they conquered the Byzantine</w:t>
      </w:r>
      <w:r>
        <w:rPr>
          <w:rFonts w:ascii="Arial" w:hAnsi="Arial" w:cs="Arial"/>
          <w:sz w:val="24"/>
          <w:szCs w:val="24"/>
        </w:rPr>
        <w:t xml:space="preserve"> empire.  </w:t>
      </w:r>
      <w:r w:rsidR="000F1DA8">
        <w:rPr>
          <w:rFonts w:ascii="Arial" w:hAnsi="Arial" w:cs="Arial"/>
          <w:sz w:val="24"/>
          <w:szCs w:val="24"/>
        </w:rPr>
        <w:t>The existing records are from Theophanes chronicles</w:t>
      </w:r>
      <w:sdt>
        <w:sdtPr>
          <w:rPr>
            <w:rFonts w:ascii="Arial" w:hAnsi="Arial" w:cs="Arial"/>
            <w:sz w:val="24"/>
            <w:szCs w:val="24"/>
          </w:rPr>
          <w:id w:val="-2112652105"/>
          <w:citation/>
        </w:sdtPr>
        <w:sdtContent>
          <w:r w:rsidR="00E80A29">
            <w:rPr>
              <w:rFonts w:ascii="Arial" w:hAnsi="Arial" w:cs="Arial"/>
              <w:sz w:val="24"/>
              <w:szCs w:val="24"/>
            </w:rPr>
            <w:fldChar w:fldCharType="begin"/>
          </w:r>
          <w:r w:rsidR="00E80A29">
            <w:rPr>
              <w:rFonts w:ascii="Arial" w:hAnsi="Arial" w:cs="Arial"/>
              <w:sz w:val="24"/>
              <w:szCs w:val="24"/>
              <w:lang w:val="en-US"/>
            </w:rPr>
            <w:instrText xml:space="preserve"> CITATION The82 \l 1033 </w:instrText>
          </w:r>
          <w:r w:rsidR="00E80A29">
            <w:rPr>
              <w:rFonts w:ascii="Arial" w:hAnsi="Arial" w:cs="Arial"/>
              <w:sz w:val="24"/>
              <w:szCs w:val="24"/>
            </w:rPr>
            <w:fldChar w:fldCharType="separate"/>
          </w:r>
          <w:r w:rsidR="00E80A29">
            <w:rPr>
              <w:rFonts w:ascii="Arial" w:hAnsi="Arial" w:cs="Arial"/>
              <w:noProof/>
              <w:sz w:val="24"/>
              <w:szCs w:val="24"/>
              <w:lang w:val="en-US"/>
            </w:rPr>
            <w:t xml:space="preserve"> </w:t>
          </w:r>
          <w:r w:rsidR="00E80A29" w:rsidRPr="00E80A29">
            <w:rPr>
              <w:rFonts w:ascii="Arial" w:hAnsi="Arial" w:cs="Arial"/>
              <w:noProof/>
              <w:sz w:val="24"/>
              <w:szCs w:val="24"/>
              <w:lang w:val="en-US"/>
            </w:rPr>
            <w:t>(Theophanes, 1982)</w:t>
          </w:r>
          <w:r w:rsidR="00E80A29">
            <w:rPr>
              <w:rFonts w:ascii="Arial" w:hAnsi="Arial" w:cs="Arial"/>
              <w:sz w:val="24"/>
              <w:szCs w:val="24"/>
            </w:rPr>
            <w:fldChar w:fldCharType="end"/>
          </w:r>
        </w:sdtContent>
      </w:sdt>
      <w:r w:rsidR="000F1DA8">
        <w:rPr>
          <w:rFonts w:ascii="Arial" w:hAnsi="Arial" w:cs="Arial"/>
          <w:sz w:val="24"/>
          <w:szCs w:val="24"/>
        </w:rPr>
        <w:t xml:space="preserve"> which were written in the 9</w:t>
      </w:r>
      <w:r w:rsidR="000F1DA8" w:rsidRPr="000F1DA8">
        <w:rPr>
          <w:rFonts w:ascii="Arial" w:hAnsi="Arial" w:cs="Arial"/>
          <w:sz w:val="24"/>
          <w:szCs w:val="24"/>
          <w:vertAlign w:val="superscript"/>
        </w:rPr>
        <w:t>th</w:t>
      </w:r>
      <w:r w:rsidR="000F1DA8">
        <w:rPr>
          <w:rFonts w:ascii="Arial" w:hAnsi="Arial" w:cs="Arial"/>
          <w:sz w:val="24"/>
          <w:szCs w:val="24"/>
        </w:rPr>
        <w:t xml:space="preserve"> century based on available materials.  </w:t>
      </w:r>
      <w:r>
        <w:rPr>
          <w:rFonts w:ascii="Arial" w:hAnsi="Arial" w:cs="Arial"/>
          <w:sz w:val="24"/>
          <w:szCs w:val="24"/>
        </w:rPr>
        <w:t xml:space="preserve">The Muslim sources </w:t>
      </w:r>
      <w:r w:rsidR="0063771A">
        <w:rPr>
          <w:rFonts w:ascii="Arial" w:hAnsi="Arial" w:cs="Arial"/>
          <w:sz w:val="24"/>
          <w:szCs w:val="24"/>
        </w:rPr>
        <w:t xml:space="preserve">have the accounts of al-Walid ibn Muslim and Abu Hudhayfa Ishaq ibn Bishr which appear in Ta’rikh Madinat Dimashq </w:t>
      </w:r>
      <w:r w:rsidR="00B43052">
        <w:rPr>
          <w:rFonts w:ascii="Arial" w:hAnsi="Arial" w:cs="Arial"/>
          <w:sz w:val="24"/>
          <w:szCs w:val="24"/>
        </w:rPr>
        <w:t>(History</w:t>
      </w:r>
      <w:r w:rsidR="0063771A">
        <w:rPr>
          <w:rFonts w:ascii="Arial" w:hAnsi="Arial" w:cs="Arial"/>
          <w:sz w:val="24"/>
          <w:szCs w:val="24"/>
        </w:rPr>
        <w:t xml:space="preserve"> of Damascus) by Ibn Asakir, a prominent Sunni Islamic expert in the 12</w:t>
      </w:r>
      <w:r w:rsidR="0063771A" w:rsidRPr="0063771A">
        <w:rPr>
          <w:rFonts w:ascii="Arial" w:hAnsi="Arial" w:cs="Arial"/>
          <w:sz w:val="24"/>
          <w:szCs w:val="24"/>
          <w:vertAlign w:val="superscript"/>
        </w:rPr>
        <w:t>th</w:t>
      </w:r>
      <w:r w:rsidR="0063771A">
        <w:rPr>
          <w:rFonts w:ascii="Arial" w:hAnsi="Arial" w:cs="Arial"/>
          <w:sz w:val="24"/>
          <w:szCs w:val="24"/>
        </w:rPr>
        <w:t xml:space="preserve"> Century.</w:t>
      </w:r>
      <w:r w:rsidR="000F1DA8">
        <w:rPr>
          <w:rFonts w:ascii="Arial" w:hAnsi="Arial" w:cs="Arial"/>
          <w:sz w:val="24"/>
          <w:szCs w:val="24"/>
        </w:rPr>
        <w:t xml:space="preserve">  For most parts the two opposing sources validate each other. </w:t>
      </w:r>
      <w:sdt>
        <w:sdtPr>
          <w:rPr>
            <w:rFonts w:ascii="Arial" w:hAnsi="Arial" w:cs="Arial"/>
            <w:sz w:val="24"/>
            <w:szCs w:val="24"/>
          </w:rPr>
          <w:id w:val="-1588761120"/>
          <w:citation/>
        </w:sdtPr>
        <w:sdtContent>
          <w:r w:rsidR="002B02D5">
            <w:rPr>
              <w:rFonts w:ascii="Arial" w:hAnsi="Arial" w:cs="Arial"/>
              <w:sz w:val="24"/>
              <w:szCs w:val="24"/>
            </w:rPr>
            <w:fldChar w:fldCharType="begin"/>
          </w:r>
          <w:r w:rsidR="002B02D5">
            <w:rPr>
              <w:rFonts w:ascii="Arial" w:hAnsi="Arial" w:cs="Arial"/>
              <w:sz w:val="24"/>
              <w:szCs w:val="24"/>
              <w:lang w:val="en-US"/>
            </w:rPr>
            <w:instrText xml:space="preserve"> CITATION Don81 \l 1033 </w:instrText>
          </w:r>
          <w:r w:rsidR="002B02D5">
            <w:rPr>
              <w:rFonts w:ascii="Arial" w:hAnsi="Arial" w:cs="Arial"/>
              <w:sz w:val="24"/>
              <w:szCs w:val="24"/>
            </w:rPr>
            <w:fldChar w:fldCharType="separate"/>
          </w:r>
          <w:r w:rsidR="002B02D5" w:rsidRPr="002B02D5">
            <w:rPr>
              <w:rFonts w:ascii="Arial" w:hAnsi="Arial" w:cs="Arial"/>
              <w:noProof/>
              <w:sz w:val="24"/>
              <w:szCs w:val="24"/>
              <w:lang w:val="en-US"/>
            </w:rPr>
            <w:t>(Donner, 1981)</w:t>
          </w:r>
          <w:r w:rsidR="002B02D5">
            <w:rPr>
              <w:rFonts w:ascii="Arial" w:hAnsi="Arial" w:cs="Arial"/>
              <w:sz w:val="24"/>
              <w:szCs w:val="24"/>
            </w:rPr>
            <w:fldChar w:fldCharType="end"/>
          </w:r>
        </w:sdtContent>
      </w:sdt>
      <w:r w:rsidR="005435D6">
        <w:rPr>
          <w:rFonts w:ascii="Arial" w:hAnsi="Arial" w:cs="Arial"/>
          <w:sz w:val="24"/>
          <w:szCs w:val="24"/>
        </w:rPr>
        <w:t xml:space="preserve">.  </w:t>
      </w:r>
    </w:p>
    <w:p w14:paraId="63C085DA" w14:textId="58E70B1C" w:rsidR="00776C51" w:rsidRDefault="003B49F9" w:rsidP="009D400C">
      <w:pPr>
        <w:spacing w:line="480" w:lineRule="auto"/>
        <w:rPr>
          <w:rFonts w:ascii="Arial" w:hAnsi="Arial" w:cs="Arial"/>
          <w:sz w:val="24"/>
          <w:szCs w:val="24"/>
        </w:rPr>
      </w:pPr>
      <w:r>
        <w:rPr>
          <w:rFonts w:ascii="Arial" w:hAnsi="Arial" w:cs="Arial"/>
          <w:sz w:val="24"/>
          <w:szCs w:val="24"/>
        </w:rPr>
        <w:t>There were many issues with Byzantine army that led to its downfall</w:t>
      </w:r>
      <w:r w:rsidR="0065545A">
        <w:rPr>
          <w:rFonts w:ascii="Arial" w:hAnsi="Arial" w:cs="Arial"/>
          <w:sz w:val="24"/>
          <w:szCs w:val="24"/>
        </w:rPr>
        <w:t xml:space="preserve">.  The Christian Arab contingent which was part of the cavalry </w:t>
      </w:r>
      <w:r w:rsidR="00776C51">
        <w:rPr>
          <w:rFonts w:ascii="Arial" w:hAnsi="Arial" w:cs="Arial"/>
          <w:sz w:val="24"/>
          <w:szCs w:val="24"/>
        </w:rPr>
        <w:t>appears to have abandoned the fight before the final battle</w:t>
      </w:r>
      <w:sdt>
        <w:sdtPr>
          <w:rPr>
            <w:rFonts w:ascii="Arial" w:hAnsi="Arial" w:cs="Arial"/>
            <w:sz w:val="24"/>
            <w:szCs w:val="24"/>
          </w:rPr>
          <w:id w:val="-1888788046"/>
          <w:citation/>
        </w:sdtPr>
        <w:sdtContent>
          <w:r w:rsidR="009B599D">
            <w:rPr>
              <w:rFonts w:ascii="Arial" w:hAnsi="Arial" w:cs="Arial"/>
              <w:sz w:val="24"/>
              <w:szCs w:val="24"/>
            </w:rPr>
            <w:fldChar w:fldCharType="begin"/>
          </w:r>
          <w:r w:rsidR="009B599D">
            <w:rPr>
              <w:rFonts w:ascii="Arial" w:hAnsi="Arial" w:cs="Arial"/>
              <w:sz w:val="24"/>
              <w:szCs w:val="24"/>
              <w:lang w:val="en-US"/>
            </w:rPr>
            <w:instrText xml:space="preserve"> CITATION alB66 \l 1033 </w:instrText>
          </w:r>
          <w:r w:rsidR="009B599D">
            <w:rPr>
              <w:rFonts w:ascii="Arial" w:hAnsi="Arial" w:cs="Arial"/>
              <w:sz w:val="24"/>
              <w:szCs w:val="24"/>
            </w:rPr>
            <w:fldChar w:fldCharType="separate"/>
          </w:r>
          <w:r w:rsidR="009B599D">
            <w:rPr>
              <w:rFonts w:ascii="Arial" w:hAnsi="Arial" w:cs="Arial"/>
              <w:noProof/>
              <w:sz w:val="24"/>
              <w:szCs w:val="24"/>
              <w:lang w:val="en-US"/>
            </w:rPr>
            <w:t xml:space="preserve"> </w:t>
          </w:r>
          <w:r w:rsidR="009B599D" w:rsidRPr="009B599D">
            <w:rPr>
              <w:rFonts w:ascii="Arial" w:hAnsi="Arial" w:cs="Arial"/>
              <w:noProof/>
              <w:sz w:val="24"/>
              <w:szCs w:val="24"/>
              <w:lang w:val="en-US"/>
            </w:rPr>
            <w:t>(al-Bahadhuri, 1866)</w:t>
          </w:r>
          <w:r w:rsidR="009B599D">
            <w:rPr>
              <w:rFonts w:ascii="Arial" w:hAnsi="Arial" w:cs="Arial"/>
              <w:sz w:val="24"/>
              <w:szCs w:val="24"/>
            </w:rPr>
            <w:fldChar w:fldCharType="end"/>
          </w:r>
        </w:sdtContent>
      </w:sdt>
      <w:r w:rsidR="00776C51">
        <w:rPr>
          <w:rFonts w:ascii="Arial" w:hAnsi="Arial" w:cs="Arial"/>
          <w:sz w:val="24"/>
          <w:szCs w:val="24"/>
        </w:rPr>
        <w:t>.  This left the catapracti unsupported, with insufficient reserves.  The Armenian commander Georgius converted to Islam and died fighting for the Arabs, according to Sayf Ibn Umar.  His defection could have aided the Muslim army with vital details about the strategy and condition of the enemy.</w:t>
      </w:r>
      <w:sdt>
        <w:sdtPr>
          <w:rPr>
            <w:rFonts w:ascii="Arial" w:hAnsi="Arial" w:cs="Arial"/>
            <w:sz w:val="24"/>
            <w:szCs w:val="24"/>
          </w:rPr>
          <w:id w:val="-1193303727"/>
          <w:citation/>
        </w:sdtPr>
        <w:sdtContent>
          <w:r w:rsidR="009B599D">
            <w:rPr>
              <w:rFonts w:ascii="Arial" w:hAnsi="Arial" w:cs="Arial"/>
              <w:sz w:val="24"/>
              <w:szCs w:val="24"/>
            </w:rPr>
            <w:fldChar w:fldCharType="begin"/>
          </w:r>
          <w:r w:rsidR="009B599D">
            <w:rPr>
              <w:rFonts w:ascii="Arial" w:hAnsi="Arial" w:cs="Arial"/>
              <w:sz w:val="24"/>
              <w:szCs w:val="24"/>
              <w:lang w:val="en-US"/>
            </w:rPr>
            <w:instrText xml:space="preserve">CITATION Ibn \l 1033 </w:instrText>
          </w:r>
          <w:r w:rsidR="009B599D">
            <w:rPr>
              <w:rFonts w:ascii="Arial" w:hAnsi="Arial" w:cs="Arial"/>
              <w:sz w:val="24"/>
              <w:szCs w:val="24"/>
            </w:rPr>
            <w:fldChar w:fldCharType="separate"/>
          </w:r>
          <w:r w:rsidR="009B599D">
            <w:rPr>
              <w:rFonts w:ascii="Arial" w:hAnsi="Arial" w:cs="Arial"/>
              <w:noProof/>
              <w:sz w:val="24"/>
              <w:szCs w:val="24"/>
              <w:lang w:val="en-US"/>
            </w:rPr>
            <w:t xml:space="preserve"> </w:t>
          </w:r>
          <w:r w:rsidR="009B599D" w:rsidRPr="009B599D">
            <w:rPr>
              <w:rFonts w:ascii="Arial" w:hAnsi="Arial" w:cs="Arial"/>
              <w:noProof/>
              <w:sz w:val="24"/>
              <w:szCs w:val="24"/>
              <w:lang w:val="en-US"/>
            </w:rPr>
            <w:t>(Ibn Asakir)</w:t>
          </w:r>
          <w:r w:rsidR="009B599D">
            <w:rPr>
              <w:rFonts w:ascii="Arial" w:hAnsi="Arial" w:cs="Arial"/>
              <w:sz w:val="24"/>
              <w:szCs w:val="24"/>
            </w:rPr>
            <w:fldChar w:fldCharType="end"/>
          </w:r>
        </w:sdtContent>
      </w:sdt>
      <w:sdt>
        <w:sdtPr>
          <w:rPr>
            <w:rFonts w:ascii="Arial" w:hAnsi="Arial" w:cs="Arial"/>
            <w:sz w:val="24"/>
            <w:szCs w:val="24"/>
          </w:rPr>
          <w:id w:val="451448064"/>
          <w:citation/>
        </w:sdtPr>
        <w:sdtContent>
          <w:r w:rsidR="00172F11">
            <w:rPr>
              <w:rFonts w:ascii="Arial" w:hAnsi="Arial" w:cs="Arial"/>
              <w:sz w:val="24"/>
              <w:szCs w:val="24"/>
            </w:rPr>
            <w:fldChar w:fldCharType="begin"/>
          </w:r>
          <w:r w:rsidR="00172F11">
            <w:rPr>
              <w:rFonts w:ascii="Arial" w:hAnsi="Arial" w:cs="Arial"/>
              <w:sz w:val="24"/>
              <w:szCs w:val="24"/>
            </w:rPr>
            <w:instrText xml:space="preserve"> CITATION Muh \l 18441 </w:instrText>
          </w:r>
          <w:r w:rsidR="00172F11">
            <w:rPr>
              <w:rFonts w:ascii="Arial" w:hAnsi="Arial" w:cs="Arial"/>
              <w:sz w:val="24"/>
              <w:szCs w:val="24"/>
            </w:rPr>
            <w:fldChar w:fldCharType="separate"/>
          </w:r>
          <w:r w:rsidR="00172F11">
            <w:rPr>
              <w:rFonts w:ascii="Arial" w:hAnsi="Arial" w:cs="Arial"/>
              <w:noProof/>
              <w:sz w:val="24"/>
              <w:szCs w:val="24"/>
            </w:rPr>
            <w:t xml:space="preserve"> </w:t>
          </w:r>
          <w:r w:rsidR="00172F11" w:rsidRPr="00172F11">
            <w:rPr>
              <w:rFonts w:ascii="Arial" w:hAnsi="Arial" w:cs="Arial"/>
              <w:noProof/>
              <w:sz w:val="24"/>
              <w:szCs w:val="24"/>
            </w:rPr>
            <w:t>(al-Tabari)</w:t>
          </w:r>
          <w:r w:rsidR="00172F11">
            <w:rPr>
              <w:rFonts w:ascii="Arial" w:hAnsi="Arial" w:cs="Arial"/>
              <w:sz w:val="24"/>
              <w:szCs w:val="24"/>
            </w:rPr>
            <w:fldChar w:fldCharType="end"/>
          </w:r>
        </w:sdtContent>
      </w:sdt>
    </w:p>
    <w:p w14:paraId="2476E7B7" w14:textId="77777777" w:rsidR="003F169B" w:rsidRDefault="005624A3" w:rsidP="0065545A">
      <w:pPr>
        <w:spacing w:line="480" w:lineRule="auto"/>
        <w:rPr>
          <w:rFonts w:ascii="Arial" w:hAnsi="Arial" w:cs="Arial"/>
          <w:sz w:val="24"/>
          <w:szCs w:val="24"/>
        </w:rPr>
      </w:pPr>
      <w:r>
        <w:rPr>
          <w:rFonts w:ascii="Arial" w:hAnsi="Arial" w:cs="Arial"/>
          <w:sz w:val="24"/>
          <w:szCs w:val="24"/>
        </w:rPr>
        <w:t xml:space="preserve">The Arab army seems to been united in its goal to invade, with a common religion guiding them.  The leadership of </w:t>
      </w:r>
      <w:r w:rsidR="00B34EB1">
        <w:rPr>
          <w:rFonts w:ascii="Arial" w:hAnsi="Arial" w:cs="Arial"/>
          <w:sz w:val="24"/>
          <w:szCs w:val="24"/>
        </w:rPr>
        <w:t xml:space="preserve">Khalid ibn al-Wahid on the battlefield was an important factor in the victory.  He anticipated and strategized </w:t>
      </w:r>
      <w:r w:rsidR="003053ED">
        <w:rPr>
          <w:rFonts w:ascii="Arial" w:hAnsi="Arial" w:cs="Arial"/>
          <w:sz w:val="24"/>
          <w:szCs w:val="24"/>
        </w:rPr>
        <w:t xml:space="preserve">his soldiers to handle possible attacks by the enemy, including fending off the heavy cavalry attacks.  He is also credited with the envelopment </w:t>
      </w:r>
      <w:r w:rsidR="003F169B">
        <w:rPr>
          <w:rFonts w:ascii="Arial" w:hAnsi="Arial" w:cs="Arial"/>
          <w:sz w:val="24"/>
          <w:szCs w:val="24"/>
        </w:rPr>
        <w:t>manoeuvre</w:t>
      </w:r>
      <w:r w:rsidR="003053ED">
        <w:rPr>
          <w:rFonts w:ascii="Arial" w:hAnsi="Arial" w:cs="Arial"/>
          <w:sz w:val="24"/>
          <w:szCs w:val="24"/>
        </w:rPr>
        <w:t xml:space="preserve"> that defeated the cataphracti.  </w:t>
      </w:r>
    </w:p>
    <w:p w14:paraId="310BF2E0" w14:textId="5781AA80" w:rsidR="00975536" w:rsidRDefault="00286BCC" w:rsidP="0065545A">
      <w:pPr>
        <w:spacing w:line="480" w:lineRule="auto"/>
        <w:rPr>
          <w:rFonts w:ascii="Arial" w:hAnsi="Arial" w:cs="Arial"/>
          <w:sz w:val="24"/>
          <w:szCs w:val="24"/>
        </w:rPr>
      </w:pPr>
      <w:r w:rsidRPr="0065545A">
        <w:rPr>
          <w:rFonts w:ascii="Arial" w:hAnsi="Arial" w:cs="Arial"/>
          <w:sz w:val="24"/>
          <w:szCs w:val="24"/>
        </w:rPr>
        <w:t xml:space="preserve">Success of this battle gave the Arabs confidence and assurance.  </w:t>
      </w:r>
      <w:r w:rsidR="00B82C25">
        <w:rPr>
          <w:rFonts w:ascii="Arial" w:hAnsi="Arial" w:cs="Arial"/>
          <w:sz w:val="24"/>
          <w:szCs w:val="24"/>
        </w:rPr>
        <w:t xml:space="preserve">The victory was an affirmation for the Muslim army that God was protecting them and leading them on.   </w:t>
      </w:r>
      <w:r w:rsidR="00B82C25" w:rsidRPr="0065545A">
        <w:rPr>
          <w:rFonts w:ascii="Arial" w:hAnsi="Arial" w:cs="Arial"/>
          <w:sz w:val="24"/>
          <w:szCs w:val="24"/>
        </w:rPr>
        <w:t xml:space="preserve">This led </w:t>
      </w:r>
      <w:r w:rsidR="00B82C25">
        <w:rPr>
          <w:rFonts w:ascii="Arial" w:hAnsi="Arial" w:cs="Arial"/>
          <w:sz w:val="24"/>
          <w:szCs w:val="24"/>
        </w:rPr>
        <w:t xml:space="preserve">to </w:t>
      </w:r>
      <w:r w:rsidR="00B82C25" w:rsidRPr="0065545A">
        <w:rPr>
          <w:rFonts w:ascii="Arial" w:hAnsi="Arial" w:cs="Arial"/>
          <w:sz w:val="24"/>
          <w:szCs w:val="24"/>
        </w:rPr>
        <w:t xml:space="preserve">further victories over </w:t>
      </w:r>
      <w:r w:rsidR="00B82C25" w:rsidRPr="00975536">
        <w:rPr>
          <w:rFonts w:ascii="Arial" w:hAnsi="Arial" w:cs="Arial"/>
          <w:sz w:val="24"/>
          <w:szCs w:val="24"/>
        </w:rPr>
        <w:t xml:space="preserve">the Pyrenees and Central Asia, North Africa and </w:t>
      </w:r>
      <w:r w:rsidR="00B82C25" w:rsidRPr="000A5E9B">
        <w:rPr>
          <w:rFonts w:ascii="Arial" w:hAnsi="Arial" w:cs="Arial"/>
          <w:sz w:val="24"/>
          <w:szCs w:val="24"/>
        </w:rPr>
        <w:t>Spain.</w:t>
      </w:r>
      <w:r w:rsidR="00975536" w:rsidRPr="000A5E9B">
        <w:rPr>
          <w:rFonts w:ascii="Arial" w:hAnsi="Arial" w:cs="Arial"/>
          <w:sz w:val="24"/>
          <w:szCs w:val="24"/>
        </w:rPr>
        <w:t xml:space="preserve">  It was a psychological boost to win the Byzantine army, as it was considered a superpower</w:t>
      </w:r>
      <w:r w:rsidR="00975536">
        <w:rPr>
          <w:rFonts w:ascii="Arial" w:hAnsi="Arial" w:cs="Arial"/>
          <w:sz w:val="24"/>
          <w:szCs w:val="24"/>
        </w:rPr>
        <w:t xml:space="preserve"> at that time.</w:t>
      </w:r>
      <w:r w:rsidR="008B4D6B">
        <w:rPr>
          <w:rFonts w:ascii="Arial" w:hAnsi="Arial" w:cs="Arial"/>
          <w:sz w:val="24"/>
          <w:szCs w:val="24"/>
        </w:rPr>
        <w:t xml:space="preserve">  </w:t>
      </w:r>
      <w:r w:rsidR="00975536">
        <w:rPr>
          <w:rFonts w:ascii="Arial" w:hAnsi="Arial" w:cs="Arial"/>
          <w:sz w:val="24"/>
          <w:szCs w:val="24"/>
        </w:rPr>
        <w:t xml:space="preserve">  </w:t>
      </w:r>
    </w:p>
    <w:p w14:paraId="03D5B047" w14:textId="37D85415" w:rsidR="00D53C4D" w:rsidRDefault="00B82C25" w:rsidP="0065545A">
      <w:pPr>
        <w:spacing w:line="480" w:lineRule="auto"/>
        <w:rPr>
          <w:rFonts w:ascii="Arial" w:hAnsi="Arial" w:cs="Arial"/>
          <w:sz w:val="24"/>
          <w:szCs w:val="24"/>
        </w:rPr>
      </w:pPr>
      <w:r>
        <w:rPr>
          <w:rFonts w:ascii="Arial" w:hAnsi="Arial" w:cs="Arial"/>
          <w:sz w:val="24"/>
          <w:szCs w:val="24"/>
        </w:rPr>
        <w:t xml:space="preserve">The battle of Yarmuk was an important historical event.  If the Arab army had lost the fight, the Islamic invasion would have stopped there and they probably would have retreated back to Arabia.  The Byzantine army would have chased them back to recover its lost territories.  The Islamic conquests into Africa, Europe and Asia might have been delayed, curtailed or never </w:t>
      </w:r>
      <w:r w:rsidR="00284936">
        <w:rPr>
          <w:rFonts w:ascii="Arial" w:hAnsi="Arial" w:cs="Arial"/>
          <w:sz w:val="24"/>
          <w:szCs w:val="24"/>
        </w:rPr>
        <w:t xml:space="preserve">materialised.  </w:t>
      </w:r>
      <w:r w:rsidR="005F3867">
        <w:rPr>
          <w:rFonts w:ascii="Arial" w:hAnsi="Arial" w:cs="Arial"/>
          <w:sz w:val="24"/>
          <w:szCs w:val="24"/>
        </w:rPr>
        <w:t>T</w:t>
      </w:r>
      <w:r w:rsidR="00284936">
        <w:rPr>
          <w:rFonts w:ascii="Arial" w:hAnsi="Arial" w:cs="Arial"/>
          <w:sz w:val="24"/>
          <w:szCs w:val="24"/>
        </w:rPr>
        <w:t xml:space="preserve">he victory gave them control over a large, multi-religious, multi-ethnic region.  </w:t>
      </w:r>
      <w:r w:rsidR="00002F72">
        <w:rPr>
          <w:rFonts w:ascii="Arial" w:hAnsi="Arial" w:cs="Arial"/>
          <w:sz w:val="24"/>
          <w:szCs w:val="24"/>
        </w:rPr>
        <w:t xml:space="preserve">It was start of the Arab community living in non-Arabic areas.   </w:t>
      </w:r>
    </w:p>
    <w:p w14:paraId="51CDE98A" w14:textId="062FF40C" w:rsidR="00E71DAF" w:rsidRDefault="00D53C4D" w:rsidP="0065545A">
      <w:pPr>
        <w:spacing w:line="480" w:lineRule="auto"/>
        <w:rPr>
          <w:rFonts w:ascii="Arial" w:hAnsi="Arial" w:cs="Arial"/>
          <w:sz w:val="24"/>
          <w:szCs w:val="24"/>
        </w:rPr>
      </w:pPr>
      <w:r>
        <w:rPr>
          <w:rFonts w:ascii="Arial" w:hAnsi="Arial" w:cs="Arial"/>
          <w:sz w:val="24"/>
          <w:szCs w:val="24"/>
        </w:rPr>
        <w:t xml:space="preserve">Most of the occupied areas had sizeable Christian and Jewish populations.  The initial interpretation of the Islamic invasion was to relate it to prophecies from the Old Testament, where in the Book of </w:t>
      </w:r>
      <w:proofErr w:type="gramStart"/>
      <w:r>
        <w:rPr>
          <w:rFonts w:ascii="Arial" w:hAnsi="Arial" w:cs="Arial"/>
          <w:sz w:val="24"/>
          <w:szCs w:val="24"/>
        </w:rPr>
        <w:t>Genesis(</w:t>
      </w:r>
      <w:proofErr w:type="gramEnd"/>
      <w:r>
        <w:rPr>
          <w:rFonts w:ascii="Arial" w:hAnsi="Arial" w:cs="Arial"/>
          <w:sz w:val="24"/>
          <w:szCs w:val="24"/>
        </w:rPr>
        <w:t>21:12-13, 18) God promised Abraham th</w:t>
      </w:r>
      <w:r w:rsidR="00AB41ED">
        <w:rPr>
          <w:rFonts w:ascii="Arial" w:hAnsi="Arial" w:cs="Arial"/>
          <w:sz w:val="24"/>
          <w:szCs w:val="24"/>
        </w:rPr>
        <w:t xml:space="preserve">at </w:t>
      </w:r>
      <w:r>
        <w:rPr>
          <w:rFonts w:ascii="Arial" w:hAnsi="Arial" w:cs="Arial"/>
          <w:sz w:val="24"/>
          <w:szCs w:val="24"/>
        </w:rPr>
        <w:t>Hagar’s son will also have a great nation after him.  However</w:t>
      </w:r>
      <w:r w:rsidR="004E6AAF">
        <w:rPr>
          <w:rFonts w:ascii="Arial" w:hAnsi="Arial" w:cs="Arial"/>
          <w:sz w:val="24"/>
          <w:szCs w:val="24"/>
        </w:rPr>
        <w:t xml:space="preserve">, this understanding did not last long as it became apparent that the Muslims not only felt that they were doing God’s will but also fulling a message to the Christians, bearing the final revelation from God to mankind.  This was unacceptable to the Christians.  </w:t>
      </w:r>
    </w:p>
    <w:p w14:paraId="069C7180" w14:textId="11B42BD4" w:rsidR="00981AF1" w:rsidRDefault="004E6AAF" w:rsidP="0065545A">
      <w:pPr>
        <w:spacing w:line="480" w:lineRule="auto"/>
        <w:rPr>
          <w:rFonts w:ascii="Arial" w:hAnsi="Arial" w:cs="Arial"/>
          <w:sz w:val="24"/>
          <w:szCs w:val="24"/>
        </w:rPr>
      </w:pPr>
      <w:r>
        <w:rPr>
          <w:rFonts w:ascii="Arial" w:hAnsi="Arial" w:cs="Arial"/>
          <w:sz w:val="24"/>
          <w:szCs w:val="24"/>
        </w:rPr>
        <w:t xml:space="preserve">There </w:t>
      </w:r>
      <w:r w:rsidR="007B498A">
        <w:rPr>
          <w:rFonts w:ascii="Arial" w:hAnsi="Arial" w:cs="Arial"/>
          <w:sz w:val="24"/>
          <w:szCs w:val="24"/>
        </w:rPr>
        <w:t>were</w:t>
      </w:r>
      <w:r>
        <w:rPr>
          <w:rFonts w:ascii="Arial" w:hAnsi="Arial" w:cs="Arial"/>
          <w:sz w:val="24"/>
          <w:szCs w:val="24"/>
        </w:rPr>
        <w:t xml:space="preserve"> also drifts between Christian groups</w:t>
      </w:r>
      <w:r w:rsidR="00E71DAF">
        <w:rPr>
          <w:rFonts w:ascii="Arial" w:hAnsi="Arial" w:cs="Arial"/>
          <w:sz w:val="24"/>
          <w:szCs w:val="24"/>
        </w:rPr>
        <w:t xml:space="preserve"> </w:t>
      </w:r>
      <w:r w:rsidR="00525CDE">
        <w:rPr>
          <w:rFonts w:ascii="Arial" w:hAnsi="Arial" w:cs="Arial"/>
          <w:sz w:val="24"/>
          <w:szCs w:val="24"/>
        </w:rPr>
        <w:t xml:space="preserve">who accepted </w:t>
      </w:r>
      <w:r w:rsidR="00E71DAF">
        <w:rPr>
          <w:rFonts w:ascii="Arial" w:hAnsi="Arial" w:cs="Arial"/>
          <w:sz w:val="24"/>
          <w:szCs w:val="24"/>
        </w:rPr>
        <w:t>or rejected the Council of Chalcedon. The non-Chal</w:t>
      </w:r>
      <w:r w:rsidR="00B43052">
        <w:rPr>
          <w:rFonts w:ascii="Arial" w:hAnsi="Arial" w:cs="Arial"/>
          <w:sz w:val="24"/>
          <w:szCs w:val="24"/>
        </w:rPr>
        <w:t>c</w:t>
      </w:r>
      <w:r w:rsidR="00E71DAF">
        <w:rPr>
          <w:rFonts w:ascii="Arial" w:hAnsi="Arial" w:cs="Arial"/>
          <w:sz w:val="24"/>
          <w:szCs w:val="24"/>
        </w:rPr>
        <w:t>edonians (</w:t>
      </w:r>
      <w:r w:rsidR="00B43052">
        <w:rPr>
          <w:rFonts w:ascii="Arial" w:hAnsi="Arial" w:cs="Arial"/>
          <w:sz w:val="24"/>
          <w:szCs w:val="24"/>
        </w:rPr>
        <w:t>e.g.,</w:t>
      </w:r>
      <w:r w:rsidR="00E71DAF">
        <w:rPr>
          <w:rFonts w:ascii="Arial" w:hAnsi="Arial" w:cs="Arial"/>
          <w:sz w:val="24"/>
          <w:szCs w:val="24"/>
        </w:rPr>
        <w:t xml:space="preserve"> Nestorians and Monophysites) were treated badly by the Byzantine rulers who followed the Chaledonian rules.  It is said that the Egyptian Copts(non-Chal</w:t>
      </w:r>
      <w:r w:rsidR="00B43052">
        <w:rPr>
          <w:rFonts w:ascii="Arial" w:hAnsi="Arial" w:cs="Arial"/>
          <w:sz w:val="24"/>
          <w:szCs w:val="24"/>
        </w:rPr>
        <w:t>c</w:t>
      </w:r>
      <w:r w:rsidR="00E71DAF">
        <w:rPr>
          <w:rFonts w:ascii="Arial" w:hAnsi="Arial" w:cs="Arial"/>
          <w:sz w:val="24"/>
          <w:szCs w:val="24"/>
        </w:rPr>
        <w:t>edon) were extremely illtreated by the Cyrus, the Byzantine governor of Egypt</w:t>
      </w:r>
      <w:r w:rsidR="00D7300F">
        <w:rPr>
          <w:rFonts w:ascii="Arial" w:hAnsi="Arial" w:cs="Arial"/>
          <w:sz w:val="24"/>
          <w:szCs w:val="24"/>
        </w:rPr>
        <w:t xml:space="preserve"> (631).  Alienated Egyptians felt no allegiance to the Romans when the Arabs invaded</w:t>
      </w:r>
      <w:sdt>
        <w:sdtPr>
          <w:rPr>
            <w:rFonts w:ascii="Arial" w:hAnsi="Arial" w:cs="Arial"/>
            <w:sz w:val="24"/>
            <w:szCs w:val="24"/>
          </w:rPr>
          <w:id w:val="-1421862342"/>
          <w:citation/>
        </w:sdtPr>
        <w:sdtContent>
          <w:r w:rsidR="00702B87">
            <w:rPr>
              <w:rFonts w:ascii="Arial" w:hAnsi="Arial" w:cs="Arial"/>
              <w:sz w:val="24"/>
              <w:szCs w:val="24"/>
            </w:rPr>
            <w:fldChar w:fldCharType="begin"/>
          </w:r>
          <w:r w:rsidR="00702B87">
            <w:rPr>
              <w:rFonts w:ascii="Arial" w:hAnsi="Arial" w:cs="Arial"/>
              <w:sz w:val="24"/>
              <w:szCs w:val="24"/>
              <w:lang w:val="en-US"/>
            </w:rPr>
            <w:instrText xml:space="preserve"> CITATION God20 \l 1033 </w:instrText>
          </w:r>
          <w:r w:rsidR="00702B87">
            <w:rPr>
              <w:rFonts w:ascii="Arial" w:hAnsi="Arial" w:cs="Arial"/>
              <w:sz w:val="24"/>
              <w:szCs w:val="24"/>
            </w:rPr>
            <w:fldChar w:fldCharType="separate"/>
          </w:r>
          <w:r w:rsidR="00702B87">
            <w:rPr>
              <w:rFonts w:ascii="Arial" w:hAnsi="Arial" w:cs="Arial"/>
              <w:noProof/>
              <w:sz w:val="24"/>
              <w:szCs w:val="24"/>
              <w:lang w:val="en-US"/>
            </w:rPr>
            <w:t xml:space="preserve"> </w:t>
          </w:r>
          <w:r w:rsidR="00702B87" w:rsidRPr="00702B87">
            <w:rPr>
              <w:rFonts w:ascii="Arial" w:hAnsi="Arial" w:cs="Arial"/>
              <w:noProof/>
              <w:sz w:val="24"/>
              <w:szCs w:val="24"/>
              <w:lang w:val="en-US"/>
            </w:rPr>
            <w:t>(Goddard, 2020)</w:t>
          </w:r>
          <w:r w:rsidR="00702B87">
            <w:rPr>
              <w:rFonts w:ascii="Arial" w:hAnsi="Arial" w:cs="Arial"/>
              <w:sz w:val="24"/>
              <w:szCs w:val="24"/>
            </w:rPr>
            <w:fldChar w:fldCharType="end"/>
          </w:r>
        </w:sdtContent>
      </w:sdt>
      <w:r w:rsidR="00D7300F">
        <w:rPr>
          <w:rFonts w:ascii="Arial" w:hAnsi="Arial" w:cs="Arial"/>
          <w:sz w:val="24"/>
          <w:szCs w:val="24"/>
        </w:rPr>
        <w:t>.</w:t>
      </w:r>
      <w:r w:rsidR="007B498A">
        <w:rPr>
          <w:rFonts w:ascii="Arial" w:hAnsi="Arial" w:cs="Arial"/>
          <w:sz w:val="24"/>
          <w:szCs w:val="24"/>
        </w:rPr>
        <w:t xml:space="preserve">  </w:t>
      </w:r>
      <w:r w:rsidR="00B43052" w:rsidRPr="00FD2EC7">
        <w:rPr>
          <w:rFonts w:ascii="Arial" w:hAnsi="Arial" w:cs="Arial"/>
          <w:sz w:val="24"/>
          <w:szCs w:val="24"/>
        </w:rPr>
        <w:t>However,</w:t>
      </w:r>
      <w:r w:rsidR="007B498A" w:rsidRPr="00FD2EC7">
        <w:rPr>
          <w:rFonts w:ascii="Arial" w:hAnsi="Arial" w:cs="Arial"/>
          <w:sz w:val="24"/>
          <w:szCs w:val="24"/>
        </w:rPr>
        <w:t xml:space="preserve"> a</w:t>
      </w:r>
      <w:r w:rsidR="007B498A" w:rsidRPr="00FD2EC7">
        <w:rPr>
          <w:rFonts w:ascii="Arial" w:hAnsi="Arial" w:cs="Arial"/>
          <w:sz w:val="24"/>
          <w:szCs w:val="24"/>
        </w:rPr>
        <w:t>ccounts from different invaded cities depict varying treatment by the Arabs in terms of persecution or tolerance of different religions.</w:t>
      </w:r>
      <w:r w:rsidR="007B498A">
        <w:rPr>
          <w:rFonts w:ascii="Arial" w:hAnsi="Arial" w:cs="Arial"/>
          <w:sz w:val="24"/>
          <w:szCs w:val="24"/>
        </w:rPr>
        <w:t xml:space="preserve">  The letter from a Christian to the second Caliph Umar ibn al-Khattab, found in the work of Ibn Asakir shows the strict rules and curtailment to worship imposed on invaded non-</w:t>
      </w:r>
      <w:r w:rsidR="00B43052">
        <w:rPr>
          <w:rFonts w:ascii="Arial" w:hAnsi="Arial" w:cs="Arial"/>
          <w:sz w:val="24"/>
          <w:szCs w:val="24"/>
        </w:rPr>
        <w:t>Muslim</w:t>
      </w:r>
      <w:r w:rsidR="007B498A">
        <w:rPr>
          <w:rFonts w:ascii="Arial" w:hAnsi="Arial" w:cs="Arial"/>
          <w:sz w:val="24"/>
          <w:szCs w:val="24"/>
        </w:rPr>
        <w:t xml:space="preserve"> population. </w:t>
      </w:r>
      <w:sdt>
        <w:sdtPr>
          <w:rPr>
            <w:rFonts w:ascii="Arial" w:hAnsi="Arial" w:cs="Arial"/>
            <w:sz w:val="24"/>
            <w:szCs w:val="24"/>
          </w:rPr>
          <w:id w:val="-963266608"/>
          <w:citation/>
        </w:sdtPr>
        <w:sdtContent>
          <w:r w:rsidR="00702B87">
            <w:rPr>
              <w:rFonts w:ascii="Arial" w:hAnsi="Arial" w:cs="Arial"/>
              <w:sz w:val="24"/>
              <w:szCs w:val="24"/>
            </w:rPr>
            <w:fldChar w:fldCharType="begin"/>
          </w:r>
          <w:r w:rsidR="00702B87">
            <w:rPr>
              <w:rFonts w:ascii="Arial" w:hAnsi="Arial" w:cs="Arial"/>
              <w:sz w:val="24"/>
              <w:szCs w:val="24"/>
              <w:lang w:val="en-US"/>
            </w:rPr>
            <w:instrText xml:space="preserve"> CITATION AST30 \l 1033 </w:instrText>
          </w:r>
          <w:r w:rsidR="00702B87">
            <w:rPr>
              <w:rFonts w:ascii="Arial" w:hAnsi="Arial" w:cs="Arial"/>
              <w:sz w:val="24"/>
              <w:szCs w:val="24"/>
            </w:rPr>
            <w:fldChar w:fldCharType="separate"/>
          </w:r>
          <w:r w:rsidR="00702B87" w:rsidRPr="00702B87">
            <w:rPr>
              <w:rFonts w:ascii="Arial" w:hAnsi="Arial" w:cs="Arial"/>
              <w:noProof/>
              <w:sz w:val="24"/>
              <w:szCs w:val="24"/>
              <w:lang w:val="en-US"/>
            </w:rPr>
            <w:t>(A. S. Tritton, 1930)</w:t>
          </w:r>
          <w:r w:rsidR="00702B87">
            <w:rPr>
              <w:rFonts w:ascii="Arial" w:hAnsi="Arial" w:cs="Arial"/>
              <w:sz w:val="24"/>
              <w:szCs w:val="24"/>
            </w:rPr>
            <w:fldChar w:fldCharType="end"/>
          </w:r>
        </w:sdtContent>
      </w:sdt>
      <w:r w:rsidR="007B498A">
        <w:rPr>
          <w:rFonts w:ascii="Arial" w:hAnsi="Arial" w:cs="Arial"/>
          <w:sz w:val="24"/>
          <w:szCs w:val="24"/>
        </w:rPr>
        <w:t xml:space="preserve"> </w:t>
      </w:r>
    </w:p>
    <w:p w14:paraId="51205663" w14:textId="6E2123C0" w:rsidR="00702B87" w:rsidRDefault="00981AF1" w:rsidP="0065545A">
      <w:pPr>
        <w:spacing w:line="480" w:lineRule="auto"/>
        <w:rPr>
          <w:rFonts w:ascii="Arial" w:hAnsi="Arial" w:cs="Arial"/>
          <w:sz w:val="24"/>
          <w:szCs w:val="24"/>
        </w:rPr>
      </w:pPr>
      <w:r>
        <w:rPr>
          <w:rFonts w:ascii="Arial" w:hAnsi="Arial" w:cs="Arial"/>
          <w:sz w:val="24"/>
          <w:szCs w:val="24"/>
        </w:rPr>
        <w:t xml:space="preserve">The Rashidun Caliphate had to adapt to managing religious and ethnic </w:t>
      </w:r>
      <w:r w:rsidR="00B43052">
        <w:rPr>
          <w:rFonts w:ascii="Arial" w:hAnsi="Arial" w:cs="Arial"/>
          <w:sz w:val="24"/>
          <w:szCs w:val="24"/>
        </w:rPr>
        <w:t xml:space="preserve">conflicts, </w:t>
      </w:r>
      <w:r>
        <w:rPr>
          <w:rFonts w:ascii="Arial" w:hAnsi="Arial" w:cs="Arial"/>
          <w:sz w:val="24"/>
          <w:szCs w:val="24"/>
        </w:rPr>
        <w:t xml:space="preserve">invest in building an infrastructure to support the growing Muslim population and most importantly a defence force to protect itself from invaders and dissidents in the occupied area.  </w:t>
      </w:r>
      <w:r w:rsidR="00002F72">
        <w:rPr>
          <w:rFonts w:ascii="Arial" w:hAnsi="Arial" w:cs="Arial"/>
          <w:sz w:val="24"/>
          <w:szCs w:val="24"/>
        </w:rPr>
        <w:t xml:space="preserve">The Caliphate would have </w:t>
      </w:r>
      <w:r w:rsidR="0034224E">
        <w:rPr>
          <w:rFonts w:ascii="Arial" w:hAnsi="Arial" w:cs="Arial"/>
          <w:sz w:val="24"/>
          <w:szCs w:val="24"/>
        </w:rPr>
        <w:t xml:space="preserve">had to </w:t>
      </w:r>
      <w:r w:rsidR="00002F72">
        <w:rPr>
          <w:rFonts w:ascii="Arial" w:hAnsi="Arial" w:cs="Arial"/>
          <w:sz w:val="24"/>
          <w:szCs w:val="24"/>
        </w:rPr>
        <w:t xml:space="preserve">finance itself from </w:t>
      </w:r>
      <w:r w:rsidR="0034224E">
        <w:rPr>
          <w:rFonts w:ascii="Arial" w:hAnsi="Arial" w:cs="Arial"/>
          <w:sz w:val="24"/>
          <w:szCs w:val="24"/>
        </w:rPr>
        <w:t xml:space="preserve">imposing </w:t>
      </w:r>
      <w:r w:rsidR="00002F72">
        <w:rPr>
          <w:rFonts w:ascii="Arial" w:hAnsi="Arial" w:cs="Arial"/>
          <w:sz w:val="24"/>
          <w:szCs w:val="24"/>
        </w:rPr>
        <w:t>taxes from the local population</w:t>
      </w:r>
      <w:r w:rsidR="005025B0">
        <w:rPr>
          <w:rFonts w:ascii="Arial" w:hAnsi="Arial" w:cs="Arial"/>
          <w:sz w:val="24"/>
          <w:szCs w:val="24"/>
        </w:rPr>
        <w:t xml:space="preserve"> and tariffs on imports and exports due to control over trade routes </w:t>
      </w:r>
      <w:r w:rsidR="00002F72">
        <w:rPr>
          <w:rFonts w:ascii="Arial" w:hAnsi="Arial" w:cs="Arial"/>
          <w:sz w:val="24"/>
          <w:szCs w:val="24"/>
        </w:rPr>
        <w:t>to support itself</w:t>
      </w:r>
      <w:r w:rsidR="0034224E">
        <w:rPr>
          <w:rFonts w:ascii="Arial" w:hAnsi="Arial" w:cs="Arial"/>
          <w:sz w:val="24"/>
          <w:szCs w:val="24"/>
        </w:rPr>
        <w:t>, all unfavourable to the resident population.</w:t>
      </w:r>
      <w:r w:rsidR="005025B0">
        <w:rPr>
          <w:rFonts w:ascii="Arial" w:hAnsi="Arial" w:cs="Arial"/>
          <w:sz w:val="24"/>
          <w:szCs w:val="24"/>
        </w:rPr>
        <w:t xml:space="preserve"> </w:t>
      </w:r>
      <w:r w:rsidR="0034224E">
        <w:rPr>
          <w:rFonts w:ascii="Arial" w:hAnsi="Arial" w:cs="Arial"/>
          <w:sz w:val="24"/>
          <w:szCs w:val="24"/>
        </w:rPr>
        <w:t xml:space="preserve"> </w:t>
      </w:r>
      <w:r w:rsidR="005025B0">
        <w:rPr>
          <w:rFonts w:ascii="Arial" w:hAnsi="Arial" w:cs="Arial"/>
          <w:sz w:val="24"/>
          <w:szCs w:val="24"/>
        </w:rPr>
        <w:t xml:space="preserve">It would have been a steep learning curve but a successful one as the </w:t>
      </w:r>
      <w:r w:rsidR="005F3867">
        <w:rPr>
          <w:rFonts w:ascii="Arial" w:hAnsi="Arial" w:cs="Arial"/>
          <w:sz w:val="24"/>
          <w:szCs w:val="24"/>
        </w:rPr>
        <w:t>Rashidun (632-661), followed by the Umayyad Caliphate (661-750) managed to conquer from Spain to central Asia.</w:t>
      </w:r>
    </w:p>
    <w:p w14:paraId="69081A6B" w14:textId="66162BCF" w:rsidR="00286BCC" w:rsidRDefault="00C93461" w:rsidP="0065545A">
      <w:pPr>
        <w:spacing w:line="480" w:lineRule="auto"/>
        <w:rPr>
          <w:rFonts w:ascii="Arial" w:hAnsi="Arial" w:cs="Arial"/>
          <w:sz w:val="24"/>
          <w:szCs w:val="24"/>
        </w:rPr>
      </w:pPr>
      <w:r>
        <w:rPr>
          <w:rFonts w:ascii="Arial" w:hAnsi="Arial" w:cs="Arial"/>
          <w:sz w:val="24"/>
          <w:szCs w:val="24"/>
        </w:rPr>
        <w:t xml:space="preserve">Significance of this battle showed the tenacity of the Arab army,  its excellent leadership and strong belief in its religion which united it.  </w:t>
      </w:r>
      <w:r w:rsidR="00B43052">
        <w:rPr>
          <w:rFonts w:ascii="Arial" w:hAnsi="Arial" w:cs="Arial"/>
          <w:sz w:val="24"/>
          <w:szCs w:val="24"/>
        </w:rPr>
        <w:t>Even though</w:t>
      </w:r>
      <w:r>
        <w:rPr>
          <w:rFonts w:ascii="Arial" w:hAnsi="Arial" w:cs="Arial"/>
          <w:sz w:val="24"/>
          <w:szCs w:val="24"/>
        </w:rPr>
        <w:t xml:space="preserve"> the Byzantine empire was still a formidable opponent, there was signs of its fragmentation.  Soon the Sasanid empire would fall in 637 at the Battle of al-Qadissiyah.  The Islamic conquests expanded its land, increased its </w:t>
      </w:r>
      <w:r w:rsidR="00131243">
        <w:rPr>
          <w:rFonts w:ascii="Arial" w:hAnsi="Arial" w:cs="Arial"/>
          <w:sz w:val="24"/>
          <w:szCs w:val="24"/>
        </w:rPr>
        <w:t>Muslim</w:t>
      </w:r>
      <w:r>
        <w:rPr>
          <w:rFonts w:ascii="Arial" w:hAnsi="Arial" w:cs="Arial"/>
          <w:sz w:val="24"/>
          <w:szCs w:val="24"/>
        </w:rPr>
        <w:t xml:space="preserve"> population, increased its trade</w:t>
      </w:r>
      <w:r w:rsidR="00EA36EC">
        <w:rPr>
          <w:rFonts w:ascii="Arial" w:hAnsi="Arial" w:cs="Arial"/>
          <w:sz w:val="24"/>
          <w:szCs w:val="24"/>
        </w:rPr>
        <w:t xml:space="preserve"> and established itself as the new superpower.</w:t>
      </w:r>
    </w:p>
    <w:p w14:paraId="6E2803DA" w14:textId="446EDD2F" w:rsidR="00131243" w:rsidRDefault="00131243" w:rsidP="0065545A">
      <w:pPr>
        <w:spacing w:line="480" w:lineRule="auto"/>
        <w:rPr>
          <w:rFonts w:ascii="Arial" w:hAnsi="Arial" w:cs="Arial"/>
          <w:sz w:val="24"/>
          <w:szCs w:val="24"/>
        </w:rPr>
      </w:pPr>
    </w:p>
    <w:p w14:paraId="6C284045" w14:textId="5F367BFE" w:rsidR="008B5006" w:rsidRDefault="008B5006" w:rsidP="0065545A">
      <w:pPr>
        <w:spacing w:line="480" w:lineRule="auto"/>
        <w:rPr>
          <w:rFonts w:ascii="Arial" w:hAnsi="Arial" w:cs="Arial"/>
          <w:sz w:val="24"/>
          <w:szCs w:val="24"/>
        </w:rPr>
      </w:pPr>
    </w:p>
    <w:p w14:paraId="483FB2E3" w14:textId="4EBE92B8" w:rsidR="008B5006" w:rsidRDefault="008B5006" w:rsidP="0065545A">
      <w:pPr>
        <w:spacing w:line="480" w:lineRule="auto"/>
        <w:rPr>
          <w:rFonts w:ascii="Arial" w:hAnsi="Arial" w:cs="Arial"/>
          <w:sz w:val="24"/>
          <w:szCs w:val="24"/>
        </w:rPr>
      </w:pPr>
    </w:p>
    <w:p w14:paraId="000F7809" w14:textId="6C7CA6EA" w:rsidR="008B5006" w:rsidRDefault="008B5006" w:rsidP="0065545A">
      <w:pPr>
        <w:spacing w:line="480" w:lineRule="auto"/>
        <w:rPr>
          <w:rFonts w:ascii="Arial" w:hAnsi="Arial" w:cs="Arial"/>
          <w:sz w:val="24"/>
          <w:szCs w:val="24"/>
        </w:rPr>
      </w:pPr>
    </w:p>
    <w:p w14:paraId="051C6150" w14:textId="2CCDF662" w:rsidR="008B5006" w:rsidRDefault="008B5006" w:rsidP="0065545A">
      <w:pPr>
        <w:spacing w:line="480" w:lineRule="auto"/>
        <w:rPr>
          <w:rFonts w:ascii="Arial" w:hAnsi="Arial" w:cs="Arial"/>
          <w:sz w:val="24"/>
          <w:szCs w:val="24"/>
        </w:rPr>
      </w:pPr>
    </w:p>
    <w:p w14:paraId="7471C98B" w14:textId="4C4DBF53" w:rsidR="008B5006" w:rsidRDefault="008B5006" w:rsidP="0065545A">
      <w:pPr>
        <w:spacing w:line="480" w:lineRule="auto"/>
        <w:rPr>
          <w:rFonts w:ascii="Arial" w:hAnsi="Arial" w:cs="Arial"/>
          <w:sz w:val="24"/>
          <w:szCs w:val="24"/>
        </w:rPr>
      </w:pPr>
    </w:p>
    <w:p w14:paraId="5DB1A74C" w14:textId="036BE7C7" w:rsidR="008B5006" w:rsidRDefault="008B5006" w:rsidP="0065545A">
      <w:pPr>
        <w:spacing w:line="480" w:lineRule="auto"/>
        <w:rPr>
          <w:rFonts w:ascii="Arial" w:hAnsi="Arial" w:cs="Arial"/>
          <w:sz w:val="24"/>
          <w:szCs w:val="24"/>
        </w:rPr>
      </w:pPr>
    </w:p>
    <w:p w14:paraId="5DA7769D" w14:textId="7C7E3D26" w:rsidR="008B5006" w:rsidRDefault="008B5006" w:rsidP="0065545A">
      <w:pPr>
        <w:spacing w:line="480" w:lineRule="auto"/>
        <w:rPr>
          <w:rFonts w:ascii="Arial" w:hAnsi="Arial" w:cs="Arial"/>
          <w:sz w:val="24"/>
          <w:szCs w:val="24"/>
        </w:rPr>
      </w:pPr>
    </w:p>
    <w:p w14:paraId="11FCCC06" w14:textId="2A2BC757" w:rsidR="008B5006" w:rsidRDefault="008B5006" w:rsidP="0065545A">
      <w:pPr>
        <w:spacing w:line="480" w:lineRule="auto"/>
        <w:rPr>
          <w:rFonts w:ascii="Arial" w:hAnsi="Arial" w:cs="Arial"/>
          <w:sz w:val="24"/>
          <w:szCs w:val="24"/>
        </w:rPr>
      </w:pPr>
    </w:p>
    <w:p w14:paraId="6C8B212E" w14:textId="77777777" w:rsidR="008B5006" w:rsidRDefault="008B5006" w:rsidP="0065545A">
      <w:pPr>
        <w:spacing w:line="480" w:lineRule="auto"/>
        <w:rPr>
          <w:rFonts w:ascii="Arial" w:hAnsi="Arial" w:cs="Arial"/>
          <w:sz w:val="24"/>
          <w:szCs w:val="24"/>
        </w:rPr>
      </w:pPr>
    </w:p>
    <w:p w14:paraId="2A5FD5B5" w14:textId="2213D6E6" w:rsidR="0065545A" w:rsidRDefault="00131243" w:rsidP="0065545A">
      <w:pPr>
        <w:spacing w:line="480" w:lineRule="auto"/>
        <w:rPr>
          <w:rFonts w:ascii="Arial" w:hAnsi="Arial" w:cs="Arial"/>
          <w:sz w:val="24"/>
          <w:szCs w:val="24"/>
        </w:rPr>
      </w:pPr>
      <w:r>
        <w:rPr>
          <w:rFonts w:ascii="Arial" w:hAnsi="Arial" w:cs="Arial"/>
          <w:sz w:val="24"/>
          <w:szCs w:val="24"/>
        </w:rPr>
        <w:t>Bibliography</w:t>
      </w:r>
    </w:p>
    <w:p w14:paraId="23A40032" w14:textId="77777777" w:rsidR="00B45281" w:rsidRDefault="00131243" w:rsidP="00B45281">
      <w:pPr>
        <w:pStyle w:val="Bibliography"/>
        <w:ind w:left="720" w:hanging="720"/>
        <w:rPr>
          <w:noProof/>
          <w:sz w:val="24"/>
          <w:szCs w:val="24"/>
        </w:rPr>
      </w:pPr>
      <w:r>
        <w:rPr>
          <w:rFonts w:ascii="Arial" w:hAnsi="Arial" w:cs="Arial"/>
          <w:sz w:val="24"/>
          <w:szCs w:val="24"/>
        </w:rPr>
        <w:fldChar w:fldCharType="begin"/>
      </w:r>
      <w:r>
        <w:rPr>
          <w:rFonts w:ascii="Arial" w:hAnsi="Arial" w:cs="Arial"/>
          <w:sz w:val="24"/>
          <w:szCs w:val="24"/>
        </w:rPr>
        <w:instrText xml:space="preserve"> BIBLIOGRAPHY  \l 18441 </w:instrText>
      </w:r>
      <w:r>
        <w:rPr>
          <w:rFonts w:ascii="Arial" w:hAnsi="Arial" w:cs="Arial"/>
          <w:sz w:val="24"/>
          <w:szCs w:val="24"/>
        </w:rPr>
        <w:fldChar w:fldCharType="separate"/>
      </w:r>
      <w:r w:rsidR="00B45281">
        <w:rPr>
          <w:noProof/>
        </w:rPr>
        <w:t>A. S. Tritton. ( 1930). The Caliphs and their non-Muslim Subjects: a Critical Study of the Covenant of ‘Umar. London: Cass.</w:t>
      </w:r>
    </w:p>
    <w:p w14:paraId="65A849EA" w14:textId="77777777" w:rsidR="00B45281" w:rsidRDefault="00B45281" w:rsidP="00B45281">
      <w:pPr>
        <w:pStyle w:val="Bibliography"/>
        <w:ind w:left="720" w:hanging="720"/>
        <w:rPr>
          <w:noProof/>
        </w:rPr>
      </w:pPr>
      <w:r>
        <w:rPr>
          <w:noProof/>
        </w:rPr>
        <w:t>al-Bahadhuri. (1866). Futuh al-Buldan. In M. Goeje. Leiden.</w:t>
      </w:r>
    </w:p>
    <w:p w14:paraId="0428885A" w14:textId="77777777" w:rsidR="00B45281" w:rsidRDefault="00B45281" w:rsidP="00B45281">
      <w:pPr>
        <w:pStyle w:val="Bibliography"/>
        <w:ind w:left="720" w:hanging="720"/>
        <w:rPr>
          <w:noProof/>
        </w:rPr>
      </w:pPr>
      <w:r>
        <w:rPr>
          <w:noProof/>
        </w:rPr>
        <w:t xml:space="preserve">al-Tabari, M. i. (n.d.). </w:t>
      </w:r>
      <w:r>
        <w:rPr>
          <w:i/>
          <w:iCs/>
          <w:noProof/>
        </w:rPr>
        <w:t>Tarikh al-Tabari, History of the Prophets and Kings.</w:t>
      </w:r>
      <w:r>
        <w:rPr>
          <w:noProof/>
        </w:rPr>
        <w:t xml:space="preserve"> </w:t>
      </w:r>
    </w:p>
    <w:p w14:paraId="22039F37" w14:textId="77777777" w:rsidR="00B45281" w:rsidRDefault="00B45281" w:rsidP="00B45281">
      <w:pPr>
        <w:pStyle w:val="Bibliography"/>
        <w:ind w:left="720" w:hanging="720"/>
        <w:rPr>
          <w:noProof/>
        </w:rPr>
      </w:pPr>
      <w:r>
        <w:rPr>
          <w:noProof/>
        </w:rPr>
        <w:t xml:space="preserve">al-Tamimi, S. i.-U. (n.d.). </w:t>
      </w:r>
      <w:r>
        <w:rPr>
          <w:i/>
          <w:iCs/>
          <w:noProof/>
        </w:rPr>
        <w:t>Kitāb al-futūḥ al-kabīr wa-l-ridda.</w:t>
      </w:r>
      <w:r>
        <w:rPr>
          <w:noProof/>
        </w:rPr>
        <w:t xml:space="preserve"> </w:t>
      </w:r>
    </w:p>
    <w:p w14:paraId="7FFFD57F" w14:textId="77777777" w:rsidR="00B45281" w:rsidRDefault="00B45281" w:rsidP="00B45281">
      <w:pPr>
        <w:pStyle w:val="Bibliography"/>
        <w:ind w:left="720" w:hanging="720"/>
        <w:rPr>
          <w:noProof/>
        </w:rPr>
      </w:pPr>
      <w:r>
        <w:rPr>
          <w:noProof/>
        </w:rPr>
        <w:t>Becker, C. (1913). The Expansion of the Saracens. Cambridge Medievial History, Vol 2.</w:t>
      </w:r>
    </w:p>
    <w:p w14:paraId="14AE6525" w14:textId="77777777" w:rsidR="00B45281" w:rsidRDefault="00B45281" w:rsidP="00B45281">
      <w:pPr>
        <w:pStyle w:val="Bibliography"/>
        <w:ind w:left="720" w:hanging="720"/>
        <w:rPr>
          <w:noProof/>
        </w:rPr>
      </w:pPr>
      <w:r>
        <w:rPr>
          <w:noProof/>
        </w:rPr>
        <w:t>Donner, F. M. (1981). The Early Islamic Conquests. Princeton Unversity Press.</w:t>
      </w:r>
    </w:p>
    <w:p w14:paraId="016B0799" w14:textId="77777777" w:rsidR="00B45281" w:rsidRDefault="00B45281" w:rsidP="00B45281">
      <w:pPr>
        <w:pStyle w:val="Bibliography"/>
        <w:ind w:left="720" w:hanging="720"/>
        <w:rPr>
          <w:noProof/>
        </w:rPr>
      </w:pPr>
      <w:r>
        <w:rPr>
          <w:noProof/>
        </w:rPr>
        <w:t>Goddard, H. ( 2020). A History of Christian-Muslim Relations. Edinburgh University Press.</w:t>
      </w:r>
    </w:p>
    <w:p w14:paraId="020F332E" w14:textId="77777777" w:rsidR="00B45281" w:rsidRDefault="00B45281" w:rsidP="00B45281">
      <w:pPr>
        <w:pStyle w:val="Bibliography"/>
        <w:ind w:left="720" w:hanging="720"/>
        <w:rPr>
          <w:noProof/>
        </w:rPr>
      </w:pPr>
      <w:r>
        <w:rPr>
          <w:noProof/>
        </w:rPr>
        <w:t>Ibn Asakir, I. (n.d.). Ta’rikh Madinat Dimashq.</w:t>
      </w:r>
    </w:p>
    <w:p w14:paraId="1C2B20D7" w14:textId="77777777" w:rsidR="00B45281" w:rsidRDefault="00B45281" w:rsidP="00B45281">
      <w:pPr>
        <w:pStyle w:val="Bibliography"/>
        <w:ind w:left="720" w:hanging="720"/>
        <w:rPr>
          <w:noProof/>
        </w:rPr>
      </w:pPr>
      <w:r>
        <w:rPr>
          <w:noProof/>
        </w:rPr>
        <w:t xml:space="preserve">Jandora, J. W. (1985). The Battle of Yarmuk : A Reconstruction. </w:t>
      </w:r>
      <w:r>
        <w:rPr>
          <w:i/>
          <w:iCs/>
          <w:noProof/>
        </w:rPr>
        <w:t>Journal of Asian History , Vol. 19, No. 1</w:t>
      </w:r>
      <w:r>
        <w:rPr>
          <w:noProof/>
        </w:rPr>
        <w:t>, 8-21.</w:t>
      </w:r>
    </w:p>
    <w:p w14:paraId="3D978EC4" w14:textId="77777777" w:rsidR="00B45281" w:rsidRDefault="00B45281" w:rsidP="00B45281">
      <w:pPr>
        <w:pStyle w:val="Bibliography"/>
        <w:ind w:left="720" w:hanging="720"/>
        <w:rPr>
          <w:noProof/>
        </w:rPr>
      </w:pPr>
      <w:r>
        <w:rPr>
          <w:noProof/>
        </w:rPr>
        <w:t>Nicolle, D. (1994). Yarmuk 636 A.D.: The Muslim Conquest of Syria. In D. Nicolle. Osprey Publishing.</w:t>
      </w:r>
    </w:p>
    <w:p w14:paraId="7A4CB84C" w14:textId="77777777" w:rsidR="00B45281" w:rsidRDefault="00B45281" w:rsidP="00B45281">
      <w:pPr>
        <w:pStyle w:val="Bibliography"/>
        <w:ind w:left="720" w:hanging="720"/>
        <w:rPr>
          <w:noProof/>
        </w:rPr>
      </w:pPr>
      <w:r>
        <w:rPr>
          <w:noProof/>
        </w:rPr>
        <w:t>Oman, C. (1924). The Art of War in the Middle Ages. Boston and New York, Houghton: Mifflin COmpany.</w:t>
      </w:r>
    </w:p>
    <w:p w14:paraId="6C4741E1" w14:textId="77777777" w:rsidR="00B45281" w:rsidRDefault="00B45281" w:rsidP="00B45281">
      <w:pPr>
        <w:pStyle w:val="Bibliography"/>
        <w:ind w:left="720" w:hanging="720"/>
        <w:rPr>
          <w:noProof/>
        </w:rPr>
      </w:pPr>
      <w:r>
        <w:rPr>
          <w:noProof/>
        </w:rPr>
        <w:t xml:space="preserve">Theophanes. (1982). </w:t>
      </w:r>
      <w:r>
        <w:rPr>
          <w:i/>
          <w:iCs/>
          <w:noProof/>
        </w:rPr>
        <w:t>The Chronicle Of Theophanes, Trans. By Harry Turtledove .</w:t>
      </w:r>
      <w:r>
        <w:rPr>
          <w:noProof/>
        </w:rPr>
        <w:t xml:space="preserve"> Pennysylvania: University of Pennysylvania Press.</w:t>
      </w:r>
    </w:p>
    <w:p w14:paraId="52FF85DD" w14:textId="7B7E7D56" w:rsidR="0065545A" w:rsidRDefault="00131243" w:rsidP="00B45281">
      <w:pPr>
        <w:spacing w:line="480" w:lineRule="auto"/>
        <w:rPr>
          <w:rFonts w:ascii="Arial" w:hAnsi="Arial" w:cs="Arial"/>
          <w:sz w:val="24"/>
          <w:szCs w:val="24"/>
        </w:rPr>
      </w:pPr>
      <w:r>
        <w:rPr>
          <w:rFonts w:ascii="Arial" w:hAnsi="Arial" w:cs="Arial"/>
          <w:sz w:val="24"/>
          <w:szCs w:val="24"/>
        </w:rPr>
        <w:fldChar w:fldCharType="end"/>
      </w:r>
    </w:p>
    <w:p w14:paraId="583CE41B" w14:textId="3307CC88" w:rsidR="0065545A" w:rsidRDefault="0065545A" w:rsidP="0065545A">
      <w:pPr>
        <w:spacing w:line="480" w:lineRule="auto"/>
        <w:rPr>
          <w:rFonts w:ascii="Arial" w:hAnsi="Arial" w:cs="Arial"/>
          <w:sz w:val="24"/>
          <w:szCs w:val="24"/>
        </w:rPr>
      </w:pPr>
    </w:p>
    <w:p w14:paraId="4D3E4663" w14:textId="691F1AA8" w:rsidR="0065545A" w:rsidRDefault="0065545A" w:rsidP="0065545A">
      <w:pPr>
        <w:spacing w:line="480" w:lineRule="auto"/>
        <w:rPr>
          <w:rFonts w:ascii="Arial" w:hAnsi="Arial" w:cs="Arial"/>
          <w:sz w:val="24"/>
          <w:szCs w:val="24"/>
        </w:rPr>
      </w:pPr>
    </w:p>
    <w:p w14:paraId="694E7EF0" w14:textId="0368AA36" w:rsidR="0065545A" w:rsidRDefault="0065545A" w:rsidP="0065545A">
      <w:pPr>
        <w:spacing w:line="480" w:lineRule="auto"/>
        <w:rPr>
          <w:rFonts w:ascii="Arial" w:hAnsi="Arial" w:cs="Arial"/>
          <w:sz w:val="24"/>
          <w:szCs w:val="24"/>
        </w:rPr>
      </w:pPr>
    </w:p>
    <w:p w14:paraId="6156981B" w14:textId="52163061" w:rsidR="0065545A" w:rsidRDefault="0065545A" w:rsidP="0065545A">
      <w:pPr>
        <w:spacing w:line="480" w:lineRule="auto"/>
        <w:rPr>
          <w:rFonts w:ascii="Arial" w:hAnsi="Arial" w:cs="Arial"/>
          <w:sz w:val="24"/>
          <w:szCs w:val="24"/>
        </w:rPr>
      </w:pPr>
    </w:p>
    <w:p w14:paraId="384ADAA5" w14:textId="2AB2CAE1" w:rsidR="0065545A" w:rsidRDefault="0065545A" w:rsidP="0065545A">
      <w:pPr>
        <w:spacing w:line="480" w:lineRule="auto"/>
        <w:rPr>
          <w:rFonts w:ascii="Arial" w:hAnsi="Arial" w:cs="Arial"/>
          <w:sz w:val="24"/>
          <w:szCs w:val="24"/>
        </w:rPr>
      </w:pPr>
    </w:p>
    <w:p w14:paraId="281DD289" w14:textId="6363F67B" w:rsidR="0065545A" w:rsidRDefault="0065545A" w:rsidP="00950742">
      <w:pPr>
        <w:spacing w:line="480" w:lineRule="auto"/>
        <w:rPr>
          <w:rFonts w:ascii="Arial" w:hAnsi="Arial" w:cs="Arial"/>
          <w:sz w:val="24"/>
          <w:szCs w:val="24"/>
        </w:rPr>
      </w:pPr>
    </w:p>
    <w:sectPr w:rsidR="006554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4102F7"/>
    <w:multiLevelType w:val="hybridMultilevel"/>
    <w:tmpl w:val="FE965A28"/>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 w15:restartNumberingAfterBreak="0">
    <w:nsid w:val="2D525C45"/>
    <w:multiLevelType w:val="hybridMultilevel"/>
    <w:tmpl w:val="09C64792"/>
    <w:lvl w:ilvl="0" w:tplc="4809000F">
      <w:start w:val="1"/>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 w15:restartNumberingAfterBreak="0">
    <w:nsid w:val="792C7096"/>
    <w:multiLevelType w:val="hybridMultilevel"/>
    <w:tmpl w:val="2EDAD18A"/>
    <w:lvl w:ilvl="0" w:tplc="4809000F">
      <w:start w:val="1"/>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num w:numId="1" w16cid:durableId="450713285">
    <w:abstractNumId w:val="1"/>
  </w:num>
  <w:num w:numId="2" w16cid:durableId="569659360">
    <w:abstractNumId w:val="2"/>
  </w:num>
  <w:num w:numId="3" w16cid:durableId="18930821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00C"/>
    <w:rsid w:val="00002F72"/>
    <w:rsid w:val="000A5E9B"/>
    <w:rsid w:val="000D50D8"/>
    <w:rsid w:val="000F1DA8"/>
    <w:rsid w:val="000F442B"/>
    <w:rsid w:val="00111344"/>
    <w:rsid w:val="00131243"/>
    <w:rsid w:val="00172F11"/>
    <w:rsid w:val="00195E18"/>
    <w:rsid w:val="001C4439"/>
    <w:rsid w:val="002323FA"/>
    <w:rsid w:val="00270B11"/>
    <w:rsid w:val="00280093"/>
    <w:rsid w:val="00284936"/>
    <w:rsid w:val="00286BCC"/>
    <w:rsid w:val="002B02D5"/>
    <w:rsid w:val="002F06AC"/>
    <w:rsid w:val="003053ED"/>
    <w:rsid w:val="0034224E"/>
    <w:rsid w:val="003707B7"/>
    <w:rsid w:val="00397F56"/>
    <w:rsid w:val="003B49F9"/>
    <w:rsid w:val="003D22E8"/>
    <w:rsid w:val="003F169B"/>
    <w:rsid w:val="00461567"/>
    <w:rsid w:val="0046256A"/>
    <w:rsid w:val="00491C9B"/>
    <w:rsid w:val="004A0472"/>
    <w:rsid w:val="004C58E6"/>
    <w:rsid w:val="004E6AAF"/>
    <w:rsid w:val="005025B0"/>
    <w:rsid w:val="00525CDE"/>
    <w:rsid w:val="005435D6"/>
    <w:rsid w:val="00556826"/>
    <w:rsid w:val="005624A3"/>
    <w:rsid w:val="00566B74"/>
    <w:rsid w:val="005D5A2A"/>
    <w:rsid w:val="005F3867"/>
    <w:rsid w:val="0063771A"/>
    <w:rsid w:val="00650894"/>
    <w:rsid w:val="0065545A"/>
    <w:rsid w:val="00702B87"/>
    <w:rsid w:val="00727B67"/>
    <w:rsid w:val="0073045B"/>
    <w:rsid w:val="00731E60"/>
    <w:rsid w:val="00776C51"/>
    <w:rsid w:val="007B498A"/>
    <w:rsid w:val="007B632E"/>
    <w:rsid w:val="00821EB7"/>
    <w:rsid w:val="00827D77"/>
    <w:rsid w:val="00845A85"/>
    <w:rsid w:val="008B4D6B"/>
    <w:rsid w:val="008B5006"/>
    <w:rsid w:val="008D0AAB"/>
    <w:rsid w:val="008E3089"/>
    <w:rsid w:val="009154D2"/>
    <w:rsid w:val="009356EC"/>
    <w:rsid w:val="00950742"/>
    <w:rsid w:val="00975536"/>
    <w:rsid w:val="00981AF1"/>
    <w:rsid w:val="009B599D"/>
    <w:rsid w:val="009D400C"/>
    <w:rsid w:val="00AB41ED"/>
    <w:rsid w:val="00AD0C3D"/>
    <w:rsid w:val="00AE390E"/>
    <w:rsid w:val="00B34EB1"/>
    <w:rsid w:val="00B43052"/>
    <w:rsid w:val="00B45281"/>
    <w:rsid w:val="00B82C25"/>
    <w:rsid w:val="00B868DC"/>
    <w:rsid w:val="00C11A8B"/>
    <w:rsid w:val="00C428B7"/>
    <w:rsid w:val="00C663FE"/>
    <w:rsid w:val="00C93461"/>
    <w:rsid w:val="00CB14F4"/>
    <w:rsid w:val="00CE4551"/>
    <w:rsid w:val="00D53C4D"/>
    <w:rsid w:val="00D7300F"/>
    <w:rsid w:val="00E24505"/>
    <w:rsid w:val="00E71DAF"/>
    <w:rsid w:val="00E80A29"/>
    <w:rsid w:val="00EA36EC"/>
    <w:rsid w:val="00F91E73"/>
    <w:rsid w:val="00FD2EC7"/>
    <w:rsid w:val="00FF43D5"/>
  </w:rsids>
  <m:mathPr>
    <m:mathFont m:val="Cambria Math"/>
    <m:brkBin m:val="before"/>
    <m:brkBinSub m:val="--"/>
    <m:smallFrac m:val="0"/>
    <m:dispDef/>
    <m:lMargin m:val="0"/>
    <m:rMargin m:val="0"/>
    <m:defJc m:val="centerGroup"/>
    <m:wrapIndent m:val="1440"/>
    <m:intLim m:val="subSup"/>
    <m:naryLim m:val="undOvr"/>
  </m:mathPr>
  <w:themeFontLang w:val="en-SG"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13B14"/>
  <w15:chartTrackingRefBased/>
  <w15:docId w15:val="{F3C8702A-7D4E-456F-B522-1FE5A5A664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SG"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54D2"/>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6BCC"/>
    <w:pPr>
      <w:ind w:left="720"/>
      <w:contextualSpacing/>
    </w:pPr>
  </w:style>
  <w:style w:type="paragraph" w:styleId="Bibliography">
    <w:name w:val="Bibliography"/>
    <w:basedOn w:val="Normal"/>
    <w:next w:val="Normal"/>
    <w:uiPriority w:val="37"/>
    <w:unhideWhenUsed/>
    <w:rsid w:val="009154D2"/>
  </w:style>
  <w:style w:type="character" w:customStyle="1" w:styleId="Heading1Char">
    <w:name w:val="Heading 1 Char"/>
    <w:basedOn w:val="DefaultParagraphFont"/>
    <w:link w:val="Heading1"/>
    <w:uiPriority w:val="9"/>
    <w:rsid w:val="009154D2"/>
    <w:rPr>
      <w:rFonts w:asciiTheme="majorHAnsi" w:eastAsiaTheme="majorEastAsia" w:hAnsiTheme="majorHAnsi" w:cstheme="majorBidi"/>
      <w:color w:val="2F5496"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782896">
      <w:bodyDiv w:val="1"/>
      <w:marLeft w:val="0"/>
      <w:marRight w:val="0"/>
      <w:marTop w:val="0"/>
      <w:marBottom w:val="0"/>
      <w:divBdr>
        <w:top w:val="none" w:sz="0" w:space="0" w:color="auto"/>
        <w:left w:val="none" w:sz="0" w:space="0" w:color="auto"/>
        <w:bottom w:val="none" w:sz="0" w:space="0" w:color="auto"/>
        <w:right w:val="none" w:sz="0" w:space="0" w:color="auto"/>
      </w:divBdr>
    </w:div>
    <w:div w:id="292634121">
      <w:bodyDiv w:val="1"/>
      <w:marLeft w:val="0"/>
      <w:marRight w:val="0"/>
      <w:marTop w:val="0"/>
      <w:marBottom w:val="0"/>
      <w:divBdr>
        <w:top w:val="none" w:sz="0" w:space="0" w:color="auto"/>
        <w:left w:val="none" w:sz="0" w:space="0" w:color="auto"/>
        <w:bottom w:val="none" w:sz="0" w:space="0" w:color="auto"/>
        <w:right w:val="none" w:sz="0" w:space="0" w:color="auto"/>
      </w:divBdr>
    </w:div>
    <w:div w:id="328993755">
      <w:bodyDiv w:val="1"/>
      <w:marLeft w:val="0"/>
      <w:marRight w:val="0"/>
      <w:marTop w:val="0"/>
      <w:marBottom w:val="0"/>
      <w:divBdr>
        <w:top w:val="none" w:sz="0" w:space="0" w:color="auto"/>
        <w:left w:val="none" w:sz="0" w:space="0" w:color="auto"/>
        <w:bottom w:val="none" w:sz="0" w:space="0" w:color="auto"/>
        <w:right w:val="none" w:sz="0" w:space="0" w:color="auto"/>
      </w:divBdr>
    </w:div>
    <w:div w:id="351105400">
      <w:bodyDiv w:val="1"/>
      <w:marLeft w:val="0"/>
      <w:marRight w:val="0"/>
      <w:marTop w:val="0"/>
      <w:marBottom w:val="0"/>
      <w:divBdr>
        <w:top w:val="none" w:sz="0" w:space="0" w:color="auto"/>
        <w:left w:val="none" w:sz="0" w:space="0" w:color="auto"/>
        <w:bottom w:val="none" w:sz="0" w:space="0" w:color="auto"/>
        <w:right w:val="none" w:sz="0" w:space="0" w:color="auto"/>
      </w:divBdr>
    </w:div>
    <w:div w:id="367686954">
      <w:bodyDiv w:val="1"/>
      <w:marLeft w:val="0"/>
      <w:marRight w:val="0"/>
      <w:marTop w:val="0"/>
      <w:marBottom w:val="0"/>
      <w:divBdr>
        <w:top w:val="none" w:sz="0" w:space="0" w:color="auto"/>
        <w:left w:val="none" w:sz="0" w:space="0" w:color="auto"/>
        <w:bottom w:val="none" w:sz="0" w:space="0" w:color="auto"/>
        <w:right w:val="none" w:sz="0" w:space="0" w:color="auto"/>
      </w:divBdr>
    </w:div>
    <w:div w:id="387850400">
      <w:bodyDiv w:val="1"/>
      <w:marLeft w:val="0"/>
      <w:marRight w:val="0"/>
      <w:marTop w:val="0"/>
      <w:marBottom w:val="0"/>
      <w:divBdr>
        <w:top w:val="none" w:sz="0" w:space="0" w:color="auto"/>
        <w:left w:val="none" w:sz="0" w:space="0" w:color="auto"/>
        <w:bottom w:val="none" w:sz="0" w:space="0" w:color="auto"/>
        <w:right w:val="none" w:sz="0" w:space="0" w:color="auto"/>
      </w:divBdr>
    </w:div>
    <w:div w:id="435058224">
      <w:bodyDiv w:val="1"/>
      <w:marLeft w:val="0"/>
      <w:marRight w:val="0"/>
      <w:marTop w:val="0"/>
      <w:marBottom w:val="0"/>
      <w:divBdr>
        <w:top w:val="none" w:sz="0" w:space="0" w:color="auto"/>
        <w:left w:val="none" w:sz="0" w:space="0" w:color="auto"/>
        <w:bottom w:val="none" w:sz="0" w:space="0" w:color="auto"/>
        <w:right w:val="none" w:sz="0" w:space="0" w:color="auto"/>
      </w:divBdr>
    </w:div>
    <w:div w:id="438794718">
      <w:bodyDiv w:val="1"/>
      <w:marLeft w:val="0"/>
      <w:marRight w:val="0"/>
      <w:marTop w:val="0"/>
      <w:marBottom w:val="0"/>
      <w:divBdr>
        <w:top w:val="none" w:sz="0" w:space="0" w:color="auto"/>
        <w:left w:val="none" w:sz="0" w:space="0" w:color="auto"/>
        <w:bottom w:val="none" w:sz="0" w:space="0" w:color="auto"/>
        <w:right w:val="none" w:sz="0" w:space="0" w:color="auto"/>
      </w:divBdr>
    </w:div>
    <w:div w:id="440300006">
      <w:bodyDiv w:val="1"/>
      <w:marLeft w:val="0"/>
      <w:marRight w:val="0"/>
      <w:marTop w:val="0"/>
      <w:marBottom w:val="0"/>
      <w:divBdr>
        <w:top w:val="none" w:sz="0" w:space="0" w:color="auto"/>
        <w:left w:val="none" w:sz="0" w:space="0" w:color="auto"/>
        <w:bottom w:val="none" w:sz="0" w:space="0" w:color="auto"/>
        <w:right w:val="none" w:sz="0" w:space="0" w:color="auto"/>
      </w:divBdr>
    </w:div>
    <w:div w:id="503208671">
      <w:bodyDiv w:val="1"/>
      <w:marLeft w:val="0"/>
      <w:marRight w:val="0"/>
      <w:marTop w:val="0"/>
      <w:marBottom w:val="0"/>
      <w:divBdr>
        <w:top w:val="none" w:sz="0" w:space="0" w:color="auto"/>
        <w:left w:val="none" w:sz="0" w:space="0" w:color="auto"/>
        <w:bottom w:val="none" w:sz="0" w:space="0" w:color="auto"/>
        <w:right w:val="none" w:sz="0" w:space="0" w:color="auto"/>
      </w:divBdr>
    </w:div>
    <w:div w:id="581065882">
      <w:bodyDiv w:val="1"/>
      <w:marLeft w:val="0"/>
      <w:marRight w:val="0"/>
      <w:marTop w:val="0"/>
      <w:marBottom w:val="0"/>
      <w:divBdr>
        <w:top w:val="none" w:sz="0" w:space="0" w:color="auto"/>
        <w:left w:val="none" w:sz="0" w:space="0" w:color="auto"/>
        <w:bottom w:val="none" w:sz="0" w:space="0" w:color="auto"/>
        <w:right w:val="none" w:sz="0" w:space="0" w:color="auto"/>
      </w:divBdr>
    </w:div>
    <w:div w:id="601957080">
      <w:bodyDiv w:val="1"/>
      <w:marLeft w:val="0"/>
      <w:marRight w:val="0"/>
      <w:marTop w:val="0"/>
      <w:marBottom w:val="0"/>
      <w:divBdr>
        <w:top w:val="none" w:sz="0" w:space="0" w:color="auto"/>
        <w:left w:val="none" w:sz="0" w:space="0" w:color="auto"/>
        <w:bottom w:val="none" w:sz="0" w:space="0" w:color="auto"/>
        <w:right w:val="none" w:sz="0" w:space="0" w:color="auto"/>
      </w:divBdr>
    </w:div>
    <w:div w:id="612327480">
      <w:bodyDiv w:val="1"/>
      <w:marLeft w:val="0"/>
      <w:marRight w:val="0"/>
      <w:marTop w:val="0"/>
      <w:marBottom w:val="0"/>
      <w:divBdr>
        <w:top w:val="none" w:sz="0" w:space="0" w:color="auto"/>
        <w:left w:val="none" w:sz="0" w:space="0" w:color="auto"/>
        <w:bottom w:val="none" w:sz="0" w:space="0" w:color="auto"/>
        <w:right w:val="none" w:sz="0" w:space="0" w:color="auto"/>
      </w:divBdr>
    </w:div>
    <w:div w:id="642658614">
      <w:bodyDiv w:val="1"/>
      <w:marLeft w:val="0"/>
      <w:marRight w:val="0"/>
      <w:marTop w:val="0"/>
      <w:marBottom w:val="0"/>
      <w:divBdr>
        <w:top w:val="none" w:sz="0" w:space="0" w:color="auto"/>
        <w:left w:val="none" w:sz="0" w:space="0" w:color="auto"/>
        <w:bottom w:val="none" w:sz="0" w:space="0" w:color="auto"/>
        <w:right w:val="none" w:sz="0" w:space="0" w:color="auto"/>
      </w:divBdr>
    </w:div>
    <w:div w:id="671570458">
      <w:bodyDiv w:val="1"/>
      <w:marLeft w:val="0"/>
      <w:marRight w:val="0"/>
      <w:marTop w:val="0"/>
      <w:marBottom w:val="0"/>
      <w:divBdr>
        <w:top w:val="none" w:sz="0" w:space="0" w:color="auto"/>
        <w:left w:val="none" w:sz="0" w:space="0" w:color="auto"/>
        <w:bottom w:val="none" w:sz="0" w:space="0" w:color="auto"/>
        <w:right w:val="none" w:sz="0" w:space="0" w:color="auto"/>
      </w:divBdr>
    </w:div>
    <w:div w:id="677659296">
      <w:bodyDiv w:val="1"/>
      <w:marLeft w:val="0"/>
      <w:marRight w:val="0"/>
      <w:marTop w:val="0"/>
      <w:marBottom w:val="0"/>
      <w:divBdr>
        <w:top w:val="none" w:sz="0" w:space="0" w:color="auto"/>
        <w:left w:val="none" w:sz="0" w:space="0" w:color="auto"/>
        <w:bottom w:val="none" w:sz="0" w:space="0" w:color="auto"/>
        <w:right w:val="none" w:sz="0" w:space="0" w:color="auto"/>
      </w:divBdr>
    </w:div>
    <w:div w:id="780151664">
      <w:bodyDiv w:val="1"/>
      <w:marLeft w:val="0"/>
      <w:marRight w:val="0"/>
      <w:marTop w:val="0"/>
      <w:marBottom w:val="0"/>
      <w:divBdr>
        <w:top w:val="none" w:sz="0" w:space="0" w:color="auto"/>
        <w:left w:val="none" w:sz="0" w:space="0" w:color="auto"/>
        <w:bottom w:val="none" w:sz="0" w:space="0" w:color="auto"/>
        <w:right w:val="none" w:sz="0" w:space="0" w:color="auto"/>
      </w:divBdr>
    </w:div>
    <w:div w:id="786897680">
      <w:bodyDiv w:val="1"/>
      <w:marLeft w:val="0"/>
      <w:marRight w:val="0"/>
      <w:marTop w:val="0"/>
      <w:marBottom w:val="0"/>
      <w:divBdr>
        <w:top w:val="none" w:sz="0" w:space="0" w:color="auto"/>
        <w:left w:val="none" w:sz="0" w:space="0" w:color="auto"/>
        <w:bottom w:val="none" w:sz="0" w:space="0" w:color="auto"/>
        <w:right w:val="none" w:sz="0" w:space="0" w:color="auto"/>
      </w:divBdr>
    </w:div>
    <w:div w:id="836653816">
      <w:bodyDiv w:val="1"/>
      <w:marLeft w:val="0"/>
      <w:marRight w:val="0"/>
      <w:marTop w:val="0"/>
      <w:marBottom w:val="0"/>
      <w:divBdr>
        <w:top w:val="none" w:sz="0" w:space="0" w:color="auto"/>
        <w:left w:val="none" w:sz="0" w:space="0" w:color="auto"/>
        <w:bottom w:val="none" w:sz="0" w:space="0" w:color="auto"/>
        <w:right w:val="none" w:sz="0" w:space="0" w:color="auto"/>
      </w:divBdr>
    </w:div>
    <w:div w:id="881479705">
      <w:bodyDiv w:val="1"/>
      <w:marLeft w:val="0"/>
      <w:marRight w:val="0"/>
      <w:marTop w:val="0"/>
      <w:marBottom w:val="0"/>
      <w:divBdr>
        <w:top w:val="none" w:sz="0" w:space="0" w:color="auto"/>
        <w:left w:val="none" w:sz="0" w:space="0" w:color="auto"/>
        <w:bottom w:val="none" w:sz="0" w:space="0" w:color="auto"/>
        <w:right w:val="none" w:sz="0" w:space="0" w:color="auto"/>
      </w:divBdr>
    </w:div>
    <w:div w:id="1016540750">
      <w:bodyDiv w:val="1"/>
      <w:marLeft w:val="0"/>
      <w:marRight w:val="0"/>
      <w:marTop w:val="0"/>
      <w:marBottom w:val="0"/>
      <w:divBdr>
        <w:top w:val="none" w:sz="0" w:space="0" w:color="auto"/>
        <w:left w:val="none" w:sz="0" w:space="0" w:color="auto"/>
        <w:bottom w:val="none" w:sz="0" w:space="0" w:color="auto"/>
        <w:right w:val="none" w:sz="0" w:space="0" w:color="auto"/>
      </w:divBdr>
    </w:div>
    <w:div w:id="1025792742">
      <w:bodyDiv w:val="1"/>
      <w:marLeft w:val="0"/>
      <w:marRight w:val="0"/>
      <w:marTop w:val="0"/>
      <w:marBottom w:val="0"/>
      <w:divBdr>
        <w:top w:val="none" w:sz="0" w:space="0" w:color="auto"/>
        <w:left w:val="none" w:sz="0" w:space="0" w:color="auto"/>
        <w:bottom w:val="none" w:sz="0" w:space="0" w:color="auto"/>
        <w:right w:val="none" w:sz="0" w:space="0" w:color="auto"/>
      </w:divBdr>
    </w:div>
    <w:div w:id="1107194359">
      <w:bodyDiv w:val="1"/>
      <w:marLeft w:val="0"/>
      <w:marRight w:val="0"/>
      <w:marTop w:val="0"/>
      <w:marBottom w:val="0"/>
      <w:divBdr>
        <w:top w:val="none" w:sz="0" w:space="0" w:color="auto"/>
        <w:left w:val="none" w:sz="0" w:space="0" w:color="auto"/>
        <w:bottom w:val="none" w:sz="0" w:space="0" w:color="auto"/>
        <w:right w:val="none" w:sz="0" w:space="0" w:color="auto"/>
      </w:divBdr>
    </w:div>
    <w:div w:id="1158960518">
      <w:bodyDiv w:val="1"/>
      <w:marLeft w:val="0"/>
      <w:marRight w:val="0"/>
      <w:marTop w:val="0"/>
      <w:marBottom w:val="0"/>
      <w:divBdr>
        <w:top w:val="none" w:sz="0" w:space="0" w:color="auto"/>
        <w:left w:val="none" w:sz="0" w:space="0" w:color="auto"/>
        <w:bottom w:val="none" w:sz="0" w:space="0" w:color="auto"/>
        <w:right w:val="none" w:sz="0" w:space="0" w:color="auto"/>
      </w:divBdr>
    </w:div>
    <w:div w:id="1169638894">
      <w:bodyDiv w:val="1"/>
      <w:marLeft w:val="0"/>
      <w:marRight w:val="0"/>
      <w:marTop w:val="0"/>
      <w:marBottom w:val="0"/>
      <w:divBdr>
        <w:top w:val="none" w:sz="0" w:space="0" w:color="auto"/>
        <w:left w:val="none" w:sz="0" w:space="0" w:color="auto"/>
        <w:bottom w:val="none" w:sz="0" w:space="0" w:color="auto"/>
        <w:right w:val="none" w:sz="0" w:space="0" w:color="auto"/>
      </w:divBdr>
    </w:div>
    <w:div w:id="1259174917">
      <w:bodyDiv w:val="1"/>
      <w:marLeft w:val="0"/>
      <w:marRight w:val="0"/>
      <w:marTop w:val="0"/>
      <w:marBottom w:val="0"/>
      <w:divBdr>
        <w:top w:val="none" w:sz="0" w:space="0" w:color="auto"/>
        <w:left w:val="none" w:sz="0" w:space="0" w:color="auto"/>
        <w:bottom w:val="none" w:sz="0" w:space="0" w:color="auto"/>
        <w:right w:val="none" w:sz="0" w:space="0" w:color="auto"/>
      </w:divBdr>
    </w:div>
    <w:div w:id="1306399646">
      <w:bodyDiv w:val="1"/>
      <w:marLeft w:val="0"/>
      <w:marRight w:val="0"/>
      <w:marTop w:val="0"/>
      <w:marBottom w:val="0"/>
      <w:divBdr>
        <w:top w:val="none" w:sz="0" w:space="0" w:color="auto"/>
        <w:left w:val="none" w:sz="0" w:space="0" w:color="auto"/>
        <w:bottom w:val="none" w:sz="0" w:space="0" w:color="auto"/>
        <w:right w:val="none" w:sz="0" w:space="0" w:color="auto"/>
      </w:divBdr>
    </w:div>
    <w:div w:id="1409226552">
      <w:bodyDiv w:val="1"/>
      <w:marLeft w:val="0"/>
      <w:marRight w:val="0"/>
      <w:marTop w:val="0"/>
      <w:marBottom w:val="0"/>
      <w:divBdr>
        <w:top w:val="none" w:sz="0" w:space="0" w:color="auto"/>
        <w:left w:val="none" w:sz="0" w:space="0" w:color="auto"/>
        <w:bottom w:val="none" w:sz="0" w:space="0" w:color="auto"/>
        <w:right w:val="none" w:sz="0" w:space="0" w:color="auto"/>
      </w:divBdr>
    </w:div>
    <w:div w:id="1455295229">
      <w:bodyDiv w:val="1"/>
      <w:marLeft w:val="0"/>
      <w:marRight w:val="0"/>
      <w:marTop w:val="0"/>
      <w:marBottom w:val="0"/>
      <w:divBdr>
        <w:top w:val="none" w:sz="0" w:space="0" w:color="auto"/>
        <w:left w:val="none" w:sz="0" w:space="0" w:color="auto"/>
        <w:bottom w:val="none" w:sz="0" w:space="0" w:color="auto"/>
        <w:right w:val="none" w:sz="0" w:space="0" w:color="auto"/>
      </w:divBdr>
    </w:div>
    <w:div w:id="1558541758">
      <w:bodyDiv w:val="1"/>
      <w:marLeft w:val="0"/>
      <w:marRight w:val="0"/>
      <w:marTop w:val="0"/>
      <w:marBottom w:val="0"/>
      <w:divBdr>
        <w:top w:val="none" w:sz="0" w:space="0" w:color="auto"/>
        <w:left w:val="none" w:sz="0" w:space="0" w:color="auto"/>
        <w:bottom w:val="none" w:sz="0" w:space="0" w:color="auto"/>
        <w:right w:val="none" w:sz="0" w:space="0" w:color="auto"/>
      </w:divBdr>
    </w:div>
    <w:div w:id="1640576194">
      <w:bodyDiv w:val="1"/>
      <w:marLeft w:val="0"/>
      <w:marRight w:val="0"/>
      <w:marTop w:val="0"/>
      <w:marBottom w:val="0"/>
      <w:divBdr>
        <w:top w:val="none" w:sz="0" w:space="0" w:color="auto"/>
        <w:left w:val="none" w:sz="0" w:space="0" w:color="auto"/>
        <w:bottom w:val="none" w:sz="0" w:space="0" w:color="auto"/>
        <w:right w:val="none" w:sz="0" w:space="0" w:color="auto"/>
      </w:divBdr>
    </w:div>
    <w:div w:id="1715960253">
      <w:bodyDiv w:val="1"/>
      <w:marLeft w:val="0"/>
      <w:marRight w:val="0"/>
      <w:marTop w:val="0"/>
      <w:marBottom w:val="0"/>
      <w:divBdr>
        <w:top w:val="none" w:sz="0" w:space="0" w:color="auto"/>
        <w:left w:val="none" w:sz="0" w:space="0" w:color="auto"/>
        <w:bottom w:val="none" w:sz="0" w:space="0" w:color="auto"/>
        <w:right w:val="none" w:sz="0" w:space="0" w:color="auto"/>
      </w:divBdr>
    </w:div>
    <w:div w:id="1757631950">
      <w:bodyDiv w:val="1"/>
      <w:marLeft w:val="0"/>
      <w:marRight w:val="0"/>
      <w:marTop w:val="0"/>
      <w:marBottom w:val="0"/>
      <w:divBdr>
        <w:top w:val="none" w:sz="0" w:space="0" w:color="auto"/>
        <w:left w:val="none" w:sz="0" w:space="0" w:color="auto"/>
        <w:bottom w:val="none" w:sz="0" w:space="0" w:color="auto"/>
        <w:right w:val="none" w:sz="0" w:space="0" w:color="auto"/>
      </w:divBdr>
    </w:div>
    <w:div w:id="1803036796">
      <w:bodyDiv w:val="1"/>
      <w:marLeft w:val="0"/>
      <w:marRight w:val="0"/>
      <w:marTop w:val="0"/>
      <w:marBottom w:val="0"/>
      <w:divBdr>
        <w:top w:val="none" w:sz="0" w:space="0" w:color="auto"/>
        <w:left w:val="none" w:sz="0" w:space="0" w:color="auto"/>
        <w:bottom w:val="none" w:sz="0" w:space="0" w:color="auto"/>
        <w:right w:val="none" w:sz="0" w:space="0" w:color="auto"/>
      </w:divBdr>
    </w:div>
    <w:div w:id="1813448932">
      <w:bodyDiv w:val="1"/>
      <w:marLeft w:val="0"/>
      <w:marRight w:val="0"/>
      <w:marTop w:val="0"/>
      <w:marBottom w:val="0"/>
      <w:divBdr>
        <w:top w:val="none" w:sz="0" w:space="0" w:color="auto"/>
        <w:left w:val="none" w:sz="0" w:space="0" w:color="auto"/>
        <w:bottom w:val="none" w:sz="0" w:space="0" w:color="auto"/>
        <w:right w:val="none" w:sz="0" w:space="0" w:color="auto"/>
      </w:divBdr>
    </w:div>
    <w:div w:id="1814172708">
      <w:bodyDiv w:val="1"/>
      <w:marLeft w:val="0"/>
      <w:marRight w:val="0"/>
      <w:marTop w:val="0"/>
      <w:marBottom w:val="0"/>
      <w:divBdr>
        <w:top w:val="none" w:sz="0" w:space="0" w:color="auto"/>
        <w:left w:val="none" w:sz="0" w:space="0" w:color="auto"/>
        <w:bottom w:val="none" w:sz="0" w:space="0" w:color="auto"/>
        <w:right w:val="none" w:sz="0" w:space="0" w:color="auto"/>
      </w:divBdr>
    </w:div>
    <w:div w:id="1838957323">
      <w:bodyDiv w:val="1"/>
      <w:marLeft w:val="0"/>
      <w:marRight w:val="0"/>
      <w:marTop w:val="0"/>
      <w:marBottom w:val="0"/>
      <w:divBdr>
        <w:top w:val="none" w:sz="0" w:space="0" w:color="auto"/>
        <w:left w:val="none" w:sz="0" w:space="0" w:color="auto"/>
        <w:bottom w:val="none" w:sz="0" w:space="0" w:color="auto"/>
        <w:right w:val="none" w:sz="0" w:space="0" w:color="auto"/>
      </w:divBdr>
    </w:div>
    <w:div w:id="1851993707">
      <w:bodyDiv w:val="1"/>
      <w:marLeft w:val="0"/>
      <w:marRight w:val="0"/>
      <w:marTop w:val="0"/>
      <w:marBottom w:val="0"/>
      <w:divBdr>
        <w:top w:val="none" w:sz="0" w:space="0" w:color="auto"/>
        <w:left w:val="none" w:sz="0" w:space="0" w:color="auto"/>
        <w:bottom w:val="none" w:sz="0" w:space="0" w:color="auto"/>
        <w:right w:val="none" w:sz="0" w:space="0" w:color="auto"/>
      </w:divBdr>
    </w:div>
    <w:div w:id="1875846440">
      <w:bodyDiv w:val="1"/>
      <w:marLeft w:val="0"/>
      <w:marRight w:val="0"/>
      <w:marTop w:val="0"/>
      <w:marBottom w:val="0"/>
      <w:divBdr>
        <w:top w:val="none" w:sz="0" w:space="0" w:color="auto"/>
        <w:left w:val="none" w:sz="0" w:space="0" w:color="auto"/>
        <w:bottom w:val="none" w:sz="0" w:space="0" w:color="auto"/>
        <w:right w:val="none" w:sz="0" w:space="0" w:color="auto"/>
      </w:divBdr>
    </w:div>
    <w:div w:id="1879199982">
      <w:bodyDiv w:val="1"/>
      <w:marLeft w:val="0"/>
      <w:marRight w:val="0"/>
      <w:marTop w:val="0"/>
      <w:marBottom w:val="0"/>
      <w:divBdr>
        <w:top w:val="none" w:sz="0" w:space="0" w:color="auto"/>
        <w:left w:val="none" w:sz="0" w:space="0" w:color="auto"/>
        <w:bottom w:val="none" w:sz="0" w:space="0" w:color="auto"/>
        <w:right w:val="none" w:sz="0" w:space="0" w:color="auto"/>
      </w:divBdr>
    </w:div>
    <w:div w:id="1948927597">
      <w:bodyDiv w:val="1"/>
      <w:marLeft w:val="0"/>
      <w:marRight w:val="0"/>
      <w:marTop w:val="0"/>
      <w:marBottom w:val="0"/>
      <w:divBdr>
        <w:top w:val="none" w:sz="0" w:space="0" w:color="auto"/>
        <w:left w:val="none" w:sz="0" w:space="0" w:color="auto"/>
        <w:bottom w:val="none" w:sz="0" w:space="0" w:color="auto"/>
        <w:right w:val="none" w:sz="0" w:space="0" w:color="auto"/>
      </w:divBdr>
    </w:div>
    <w:div w:id="1949585206">
      <w:bodyDiv w:val="1"/>
      <w:marLeft w:val="0"/>
      <w:marRight w:val="0"/>
      <w:marTop w:val="0"/>
      <w:marBottom w:val="0"/>
      <w:divBdr>
        <w:top w:val="none" w:sz="0" w:space="0" w:color="auto"/>
        <w:left w:val="none" w:sz="0" w:space="0" w:color="auto"/>
        <w:bottom w:val="none" w:sz="0" w:space="0" w:color="auto"/>
        <w:right w:val="none" w:sz="0" w:space="0" w:color="auto"/>
      </w:divBdr>
    </w:div>
    <w:div w:id="1966698232">
      <w:bodyDiv w:val="1"/>
      <w:marLeft w:val="0"/>
      <w:marRight w:val="0"/>
      <w:marTop w:val="0"/>
      <w:marBottom w:val="0"/>
      <w:divBdr>
        <w:top w:val="none" w:sz="0" w:space="0" w:color="auto"/>
        <w:left w:val="none" w:sz="0" w:space="0" w:color="auto"/>
        <w:bottom w:val="none" w:sz="0" w:space="0" w:color="auto"/>
        <w:right w:val="none" w:sz="0" w:space="0" w:color="auto"/>
      </w:divBdr>
    </w:div>
    <w:div w:id="1982033572">
      <w:bodyDiv w:val="1"/>
      <w:marLeft w:val="0"/>
      <w:marRight w:val="0"/>
      <w:marTop w:val="0"/>
      <w:marBottom w:val="0"/>
      <w:divBdr>
        <w:top w:val="none" w:sz="0" w:space="0" w:color="auto"/>
        <w:left w:val="none" w:sz="0" w:space="0" w:color="auto"/>
        <w:bottom w:val="none" w:sz="0" w:space="0" w:color="auto"/>
        <w:right w:val="none" w:sz="0" w:space="0" w:color="auto"/>
      </w:divBdr>
    </w:div>
    <w:div w:id="2022001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Jan85</b:Tag>
    <b:SourceType>JournalArticle</b:SourceType>
    <b:Guid>{1CFC04D5-5822-4D15-8B21-809625E30670}</b:Guid>
    <b:Title>The Battle of Yarmuk : A Reconstruction</b:Title>
    <b:Year>1985</b:Year>
    <b:Author>
      <b:Author>
        <b:NameList>
          <b:Person>
            <b:Last>Jandora</b:Last>
            <b:First>John</b:First>
            <b:Middle>W.</b:Middle>
          </b:Person>
        </b:NameList>
      </b:Author>
    </b:Author>
    <b:JournalName>Journal of Asian History , Vol. 19, No. 1</b:JournalName>
    <b:Pages>8-21</b:Pages>
    <b:RefOrder>1</b:RefOrder>
  </b:Source>
  <b:Source>
    <b:Tag>Nic94</b:Tag>
    <b:SourceType>BookSection</b:SourceType>
    <b:Guid>{D8BE86D5-21E3-4C6B-A490-AC313B1BAAD9}</b:Guid>
    <b:Title>Yarmuk 636 A.D.: The Muslim Conquest of Syria</b:Title>
    <b:Year>1994</b:Year>
    <b:Pages>6</b:Pages>
    <b:Author>
      <b:Author>
        <b:NameList>
          <b:Person>
            <b:Last>Nicolle</b:Last>
            <b:First>David</b:First>
          </b:Person>
        </b:NameList>
      </b:Author>
      <b:BookAuthor>
        <b:NameList>
          <b:Person>
            <b:Last>Nicolle</b:Last>
            <b:First>David</b:First>
          </b:Person>
        </b:NameList>
      </b:BookAuthor>
    </b:Author>
    <b:Publisher>Osprey Publishing</b:Publisher>
    <b:RefOrder>2</b:RefOrder>
  </b:Source>
  <b:Source>
    <b:Tag>The82</b:Tag>
    <b:SourceType>Book</b:SourceType>
    <b:Guid>{ABF8DC90-3929-4E30-B077-12FBC1ED47EB}</b:Guid>
    <b:Title>The Chronicle Of Theophanes, Trans. By Harry Turtledove </b:Title>
    <b:Year>1982</b:Year>
    <b:City>Pennysylvania</b:City>
    <b:Publisher>University of Pennysylvania Press</b:Publisher>
    <b:Author>
      <b:Author>
        <b:NameList>
          <b:Person>
            <b:Last>Theophanes</b:Last>
          </b:Person>
        </b:NameList>
      </b:Author>
    </b:Author>
    <b:RefOrder>4</b:RefOrder>
  </b:Source>
  <b:Source>
    <b:Tag>Oma24</b:Tag>
    <b:SourceType>BookSection</b:SourceType>
    <b:Guid>{D30ADD9A-A577-43BB-8113-047158384F46}</b:Guid>
    <b:Author>
      <b:Author>
        <b:NameList>
          <b:Person>
            <b:Last>Oman</b:Last>
            <b:First>Charles</b:First>
          </b:Person>
        </b:NameList>
      </b:Author>
    </b:Author>
    <b:Title>The Art of War in the Middle Ages</b:Title>
    <b:Year>1924</b:Year>
    <b:City>Boston and New York, Houghton</b:City>
    <b:Publisher>Mifflin COmpany</b:Publisher>
    <b:Pages>Bk iv, chap. ii</b:Pages>
    <b:RefOrder>3</b:RefOrder>
  </b:Source>
  <b:Source>
    <b:Tag>Bec13</b:Tag>
    <b:SourceType>BookSection</b:SourceType>
    <b:Guid>{92E44D69-B157-4DB6-864A-817BFBE70D51}</b:Guid>
    <b:Author>
      <b:Author>
        <b:NameList>
          <b:Person>
            <b:Last>Becker</b:Last>
            <b:First>C.H</b:First>
          </b:Person>
        </b:NameList>
      </b:Author>
    </b:Author>
    <b:Title>The Expansion of the Saracens</b:Title>
    <b:Year>1913</b:Year>
    <b:Pages>344-</b:Pages>
    <b:Publisher>Cambridge Medievial History, Vol 2</b:Publisher>
    <b:RefOrder>7</b:RefOrder>
  </b:Source>
  <b:Source>
    <b:Tag>Don81</b:Tag>
    <b:SourceType>BookSection</b:SourceType>
    <b:Guid>{03DAD1E8-435B-4498-90DC-299FB9107257}</b:Guid>
    <b:Author>
      <b:Author>
        <b:NameList>
          <b:Person>
            <b:Last>Donner</b:Last>
            <b:First>Fred.</b:First>
            <b:Middle>M</b:Middle>
          </b:Person>
        </b:NameList>
      </b:Author>
    </b:Author>
    <b:Title>The Early Islamic Conquests</b:Title>
    <b:Year>1981</b:Year>
    <b:Pages>128-142</b:Pages>
    <b:Publisher>Princeton Unversity Press</b:Publisher>
    <b:RefOrder>8</b:RefOrder>
  </b:Source>
  <b:Source>
    <b:Tag>alB66</b:Tag>
    <b:SourceType>BookSection</b:SourceType>
    <b:Guid>{BB1EA01B-007C-4D0E-9793-05A3BB0C0980}</b:Guid>
    <b:Author>
      <b:Author>
        <b:NameList>
          <b:Person>
            <b:Last>al-Bahadhuri</b:Last>
          </b:Person>
        </b:NameList>
      </b:Author>
      <b:BookAuthor>
        <b:NameList>
          <b:Person>
            <b:Last>Goeje</b:Last>
            <b:First>M.J</b:First>
          </b:Person>
        </b:NameList>
      </b:BookAuthor>
    </b:Author>
    <b:Title>Futuh al-Buldan</b:Title>
    <b:Year>1866</b:Year>
    <b:Pages>136</b:Pages>
    <b:Publisher>Leiden</b:Publisher>
    <b:RefOrder>9</b:RefOrder>
  </b:Source>
  <b:Source>
    <b:Tag>Ibn</b:Tag>
    <b:SourceType>BookSection</b:SourceType>
    <b:Guid>{FACD00C4-3069-4E58-8526-7D782049922B}</b:Guid>
    <b:Author>
      <b:Author>
        <b:NameList>
          <b:Person>
            <b:Last>Ibn Asakir</b:Last>
            <b:First>I,</b:First>
          </b:Person>
        </b:NameList>
      </b:Author>
    </b:Author>
    <b:Title>Ta’rikh Madinat Dimashq</b:Title>
    <b:Pages>532-533,535-543, 546,547</b:Pages>
    <b:RefOrder>6</b:RefOrder>
  </b:Source>
  <b:Source>
    <b:Tag>God20</b:Tag>
    <b:SourceType>BookSection</b:SourceType>
    <b:Guid>{A5EDDE8E-5656-4CC2-9A35-CEADE2CFB0A0}</b:Guid>
    <b:Author>
      <b:Author>
        <b:NameList>
          <b:Person>
            <b:Last>Goddard</b:Last>
            <b:First>Hugh</b:First>
          </b:Person>
        </b:NameList>
      </b:Author>
    </b:Author>
    <b:Title>A History of Christian-Muslim Relations</b:Title>
    <b:Year> 2020</b:Year>
    <b:Pages>30-43</b:Pages>
    <b:Publisher>Edinburgh University Press.</b:Publisher>
    <b:RefOrder>11</b:RefOrder>
  </b:Source>
  <b:Source>
    <b:Tag>AST30</b:Tag>
    <b:SourceType>BookSection</b:SourceType>
    <b:Guid>{D7C555D8-BD48-44F5-B120-5A6DD52061E2}</b:Guid>
    <b:Author>
      <b:Author>
        <b:NameList>
          <b:Person>
            <b:Last>A. S. Tritton</b:Last>
          </b:Person>
        </b:NameList>
      </b:Author>
    </b:Author>
    <b:Title>The Caliphs and their non-Muslim Subjects: a Critical Study of the Covenant of ‘Umar</b:Title>
    <b:Year> 1930</b:Year>
    <b:Pages> 5–6</b:Pages>
    <b:Publisher>London: Cass</b:Publisher>
    <b:RefOrder>12</b:RefOrder>
  </b:Source>
  <b:Source>
    <b:Tag>Tho</b:Tag>
    <b:SourceType>Book</b:SourceType>
    <b:Guid>{0E3FEBFB-0CCC-42C6-8547-72E67DFFDB6C}</b:Guid>
    <b:Title>Kitāb al-futūḥ al-kabīr wa-l-ridda</b:Title>
    <b:Author>
      <b:Author>
        <b:NameList>
          <b:Person>
            <b:Last>al-Tamimi</b:Last>
            <b:First>Sayf</b:First>
            <b:Middle>ibn Umar al-Usayyidi</b:Middle>
          </b:Person>
        </b:NameList>
      </b:Author>
    </b:Author>
    <b:BookTitle>Christian-Muslim Relations 600 - 1500. Brill.</b:BookTitle>
    <b:RefOrder>5</b:RefOrder>
  </b:Source>
  <b:Source>
    <b:Tag>Muh</b:Tag>
    <b:SourceType>Book</b:SourceType>
    <b:Guid>{B23F1351-D039-4D37-B0CD-F2970A7839FF}</b:Guid>
    <b:Author>
      <b:Author>
        <b:NameList>
          <b:Person>
            <b:Last>al-Tabari</b:Last>
            <b:First>Muhammad</b:First>
            <b:Middle>ibn Jarir</b:Middle>
          </b:Person>
        </b:NameList>
      </b:Author>
    </b:Author>
    <b:Title>Tarikh al-Tabari, History of the Prophets and Kings</b:Title>
    <b:RefOrder>10</b:RefOrder>
  </b:Source>
</b:Sources>
</file>

<file path=customXml/itemProps1.xml><?xml version="1.0" encoding="utf-8"?>
<ds:datastoreItem xmlns:ds="http://schemas.openxmlformats.org/officeDocument/2006/customXml" ds:itemID="{FAEC36F9-D0AA-48BE-860F-8124CB154A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1123</TotalTime>
  <Pages>6</Pages>
  <Words>1486</Words>
  <Characters>8473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Prasanthee Rajendram</dc:creator>
  <cp:keywords/>
  <dc:description/>
  <cp:lastModifiedBy>Prasanthee Rajendram</cp:lastModifiedBy>
  <cp:revision>49</cp:revision>
  <dcterms:created xsi:type="dcterms:W3CDTF">2023-03-09T04:47:00Z</dcterms:created>
  <dcterms:modified xsi:type="dcterms:W3CDTF">2023-03-10T07:36:00Z</dcterms:modified>
</cp:coreProperties>
</file>