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William Edwards 2004219</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b w:val="1"/>
          <w:rtl w:val="0"/>
        </w:rPr>
        <w:t xml:space="preserve">To what extent did the Seleucid monarchs find themselves needing to uphold treaties with Rome that were made by their predecessors </w:t>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This essay is to focus upon the time frame between the ending years of the reign of Antiochus III (188-187 BCE) and the fall of the Seleucid Empire (63 BCE); its goals are to catalogue and understand the relationship between the two powers after the impact and importance of the treaty of Apamea. I will first focus upon the situation in which the treaty was signed, the relevant context being applied and the threats implied by the land divisions of the deal, as well as the monetary and military implications of the deal. Following on from that I will analyse the way in which Seleucid monarchs acted, how Rome, if necessary, reacted, and how long the treaty remained in importance for the relationship between the two powers. Of importance is the succession crises that the Seleucid dynasty found itself undergoing post-Seleucus IV Philopater, the breeches of the treaty by separate monarchs and how the Romans retaliated to such actions; however, this will not be the sole or primary focus of this work. This work is primarily focused upon the Treaty of Apamea’s stipulations and its consequent effect upon the military activities of the Seleucids, predominantly its interaction with external forces such as foreign states but focus will also be drawn onto its dealings with revolts and secessionist groups; furthermore I shall delve into the ways in which the treaty was breached, the consequences for such, and how technicalities regarding the defining of separate political entities can mess with how a state conducts itself in respect to treaties. </w:t>
      </w:r>
    </w:p>
    <w:p w:rsidR="00000000" w:rsidDel="00000000" w:rsidP="00000000" w:rsidRDefault="00000000" w:rsidRPr="00000000" w14:paraId="00000006">
      <w:pPr>
        <w:rPr>
          <w:b w:val="1"/>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First, I shall set the background to the Roman-Seleucid War, as to understand the context in which Rome is acting can help us understand the harsh penalties imposed upon the Seleucids after Magnesia. The situation that Rome found itself in post-Second Punic War is one of expansionism; Rome, with its now veteran army, for lack of a better term, bulldozes its way through its other geopolitical rivals in the Mediterranean, Carthage is reduced almost to the status of a client republic and the Western Mediterranean is at the mercy of Rome’s wrath, with Macedonia being first on the list after siding with Carthage during the Second Punic War. Both Badian and Stark refer to the arrangement prior to the Roman-Seleucid war as a ‘cold war’, while the merits of applying more modern terminology can be debated, especially those that have been used to describe a specific time period in the 20th Century, I understand the use of it, and perhaps it is quite apt.</w:t>
      </w:r>
      <w:r w:rsidDel="00000000" w:rsidR="00000000" w:rsidRPr="00000000">
        <w:rPr>
          <w:vertAlign w:val="superscript"/>
        </w:rPr>
        <w:footnoteReference w:customMarkFollows="0" w:id="0"/>
      </w:r>
      <w:r w:rsidDel="00000000" w:rsidR="00000000" w:rsidRPr="00000000">
        <w:rPr>
          <w:rtl w:val="0"/>
        </w:rPr>
        <w:t xml:space="preserve"> The geopolitical circumstances surrounding the Eastern Mediterranean kingdoms is of importance to note, with its situation being heavily influenced by foreign entanglements by Rome and the Seleucids alike. Prior to the breakout of war, there is a significant number of proxy conflicts, with both Rome and the Seleucids creating their own ‘blocs’ if to stick with the theme; Stark goes on to show how words like “freedom” are used to try and own the moral high ground from the opponent, paralleling it with the more modern phraseology of “self-determination”, and the inerrant fallacy that that phrase has been applied with.</w:t>
      </w:r>
      <w:r w:rsidDel="00000000" w:rsidR="00000000" w:rsidRPr="00000000">
        <w:rPr>
          <w:vertAlign w:val="superscript"/>
        </w:rPr>
        <w:footnoteReference w:customMarkFollows="0" w:id="1"/>
      </w:r>
      <w:r w:rsidDel="00000000" w:rsidR="00000000" w:rsidRPr="00000000">
        <w:rPr>
          <w:rtl w:val="0"/>
        </w:rPr>
        <w:t xml:space="preserve"> The Greek states were caught between two major powers, Rome was taking an interest in the region, especially due to Macedon’s siding with the Cartheginians during the Second Punic war, and Antiochus had been on the warpath for several decades, dealing with the Bactrians and Parthians before turning his attention back West. It is also important to note, that Antiochus III had enlisted into his army the infamous Carthaginian General Hannibal; interestingly employing him as a naval commander, rather than a ground force commander, which had been Hannibal’s strong suit during the Second Punic War; Rome had a seething hatred for this single man, as he had tormented them for almost two decades, and had practically embarrassed Rome by battering their armies about Italy.</w:t>
      </w:r>
      <w:r w:rsidDel="00000000" w:rsidR="00000000" w:rsidRPr="00000000">
        <w:rPr>
          <w:vertAlign w:val="superscript"/>
        </w:rPr>
        <w:footnoteReference w:customMarkFollows="0" w:id="2"/>
      </w:r>
      <w:r w:rsidDel="00000000" w:rsidR="00000000" w:rsidRPr="00000000">
        <w:rPr>
          <w:rtl w:val="0"/>
        </w:rPr>
        <w:t xml:space="preserve"> The Roman hatred for Hannibal is evident in their writings, and Isaac’s highlights this hatred, with the Romans viewing hi as irreligious, cruel and degrading him into a monstrous figure, this hatred would most likely have been a major factor in Roman anger towards Antiochus, and why the Treaty of Apamea was so severe.</w:t>
      </w:r>
      <w:r w:rsidDel="00000000" w:rsidR="00000000" w:rsidRPr="00000000">
        <w:rPr>
          <w:vertAlign w:val="superscript"/>
        </w:rPr>
        <w:footnoteReference w:customMarkFollows="0" w:id="3"/>
      </w:r>
      <w:r w:rsidDel="00000000" w:rsidR="00000000" w:rsidRPr="00000000">
        <w:rPr>
          <w:rtl w:val="0"/>
        </w:rPr>
        <w:t xml:space="preserve"> Livy notes that Consul Quinctius viewed Antiochus’ army as a menagerie of different groups, and that “...far better fitted to be slaves…than a race of warriors.”</w:t>
      </w:r>
      <w:r w:rsidDel="00000000" w:rsidR="00000000" w:rsidRPr="00000000">
        <w:rPr>
          <w:vertAlign w:val="superscript"/>
        </w:rPr>
        <w:footnoteReference w:customMarkFollows="0" w:id="4"/>
      </w:r>
      <w:r w:rsidDel="00000000" w:rsidR="00000000" w:rsidRPr="00000000">
        <w:rPr>
          <w:rtl w:val="0"/>
        </w:rPr>
        <w:t xml:space="preserve"> The Roman disdain for other cultures and peoples is evident here, leaning into a more physiological aspect of racism to characterise their opponents. The aura of the belief of Roman superiority is very evident within this quote, the words are dehumanising and belittling to their opponents, in a way to gain the cultural high ground upon their enemies. The pretext to the Roman-Seleucid war included a meeting between a representative of Antiochus and the Roman leadership, and its foreshadowing about the rules that Rome forces others to abide by while it governs itself by completely different standards, the ambassador said “...you employ the pretext of liberating Greek states, but… lay down one rule for Antiochus and yourselves follow another…” and Stark identifies that this is similar to and analogous to goings on in the cold war of the 20th Century, chiefly the positioning of nuclear warheads close to either power (Turkey had American nuclear missiles, and in response the USSR stationed nuclear missiles in Cuba).</w:t>
      </w:r>
      <w:r w:rsidDel="00000000" w:rsidR="00000000" w:rsidRPr="00000000">
        <w:rPr>
          <w:vertAlign w:val="superscript"/>
        </w:rPr>
        <w:footnoteReference w:customMarkFollows="0" w:id="5"/>
      </w:r>
      <w:r w:rsidDel="00000000" w:rsidR="00000000" w:rsidRPr="00000000">
        <w:rPr>
          <w:rtl w:val="0"/>
        </w:rPr>
        <w:t xml:space="preserve"> To summarise the Roman-Seleucid war, as to overdevelop the battles and troop movements would draw away from the main point of this essay, Rome kicks the Seleucids out of Greece and Europe, the Roman-allied Rhodes batters the Seleucid fleet under Hannibal around a few times and this culminated in the battle of Magnesia, Appian claims that Antiochus lost 50,000 men and Rome only 300, but this is highly disputed, either way, it was a crushing victory for the Romans who forced Antiochus into a peace deal.</w:t>
      </w:r>
      <w:r w:rsidDel="00000000" w:rsidR="00000000" w:rsidRPr="00000000">
        <w:rPr>
          <w:vertAlign w:val="superscript"/>
        </w:rPr>
        <w:footnoteReference w:customMarkFollows="0" w:id="6"/>
      </w: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In regards to the terms of the treaty, its fairly reasonable in a lot of its conditions, a general retreat from the occupied areas in Anatolia and return of loot and captives, its stipulation regarding the Taurus mountains is a bit misty, it does not make clear if villages or mountain passes within the mountain range can be retained by the Seleucids. However, Burton notes that this would area would be divided between Pergamon and Rhodes, so management of that frontier would not be up to the Roman Republic, Burton says this land division is Rome maintaining a “...balance of power…” in the region by making Pergamon and Rhodes stronger.</w:t>
      </w:r>
      <w:r w:rsidDel="00000000" w:rsidR="00000000" w:rsidRPr="00000000">
        <w:rPr>
          <w:vertAlign w:val="superscript"/>
        </w:rPr>
        <w:footnoteReference w:customMarkFollows="0" w:id="7"/>
      </w:r>
      <w:r w:rsidDel="00000000" w:rsidR="00000000" w:rsidRPr="00000000">
        <w:rPr>
          <w:rtl w:val="0"/>
        </w:rPr>
        <w:t xml:space="preserve"> The main stipulation however is the disarmament of the Seleucids: the surrendering of his elephant formations, the reduction to a total of 10 Triremes in the Mediterranean Sea during times of peace, and the removal of all troops with only their weapons from occupied territories as well as a tremendous volume of wealth to be sent every year, totalling to an amount of 15,000 talents.</w:t>
      </w:r>
      <w:r w:rsidDel="00000000" w:rsidR="00000000" w:rsidRPr="00000000">
        <w:rPr>
          <w:vertAlign w:val="superscript"/>
        </w:rPr>
        <w:footnoteReference w:customMarkFollows="0" w:id="8"/>
      </w:r>
      <w:r w:rsidDel="00000000" w:rsidR="00000000" w:rsidRPr="00000000">
        <w:rPr>
          <w:rtl w:val="0"/>
        </w:rPr>
        <w:t xml:space="preserve"> regarding the number of ships, Polybius states 10 in his text whereas Appian cites 12, I am inclined to believe Polybius due to his closeness to the event and most likely access to contemporary primary sources such as the actual signatories of the deal or a copy of the manuscript of the treaty.</w:t>
      </w:r>
      <w:r w:rsidDel="00000000" w:rsidR="00000000" w:rsidRPr="00000000">
        <w:rPr>
          <w:vertAlign w:val="superscript"/>
        </w:rPr>
        <w:footnoteReference w:customMarkFollows="0" w:id="9"/>
      </w:r>
      <w:r w:rsidDel="00000000" w:rsidR="00000000" w:rsidRPr="00000000">
        <w:rPr>
          <w:rtl w:val="0"/>
        </w:rPr>
        <w:t xml:space="preserve"> The agreement also stipulates that “Antiochus shall give up, if it be in his power, Hannibal son of Hamilcar, the Carthaginian, Mnasilochus the Acarnanian, Thoas the Aetolian, Eubulidas and Philo the Chalcidians, and all Aetolians who have held public office.” this is an interesting choice of wording here, Appian does not mention this part and Diodorus uses the words “...he must deliver up…” when in reference to Hannibal and Thoas; it would seem that Hannibal was still considered a primary enemy of Rome even without an army.</w:t>
      </w:r>
      <w:r w:rsidDel="00000000" w:rsidR="00000000" w:rsidRPr="00000000">
        <w:rPr>
          <w:vertAlign w:val="superscript"/>
        </w:rPr>
        <w:footnoteReference w:customMarkFollows="0" w:id="10"/>
      </w:r>
      <w:r w:rsidDel="00000000" w:rsidR="00000000" w:rsidRPr="00000000">
        <w:rPr>
          <w:rtl w:val="0"/>
        </w:rPr>
        <w:t xml:space="preserve"> One big part of the treaty is the amount of money the Seleucids would have to pay, Taylor posits that Antiochus III resorts to pillaging the temple of Ba’al in Elam just to assist in paying the initial instalments, the fact that Antiochus has to immediately resort to pillaging his own peoples temples just to help pay the war indemnity.</w:t>
      </w:r>
      <w:r w:rsidDel="00000000" w:rsidR="00000000" w:rsidRPr="00000000">
        <w:rPr>
          <w:vertAlign w:val="superscript"/>
        </w:rPr>
        <w:footnoteReference w:customMarkFollows="0" w:id="11"/>
      </w:r>
      <w:r w:rsidDel="00000000" w:rsidR="00000000" w:rsidRPr="00000000">
        <w:rPr>
          <w:rtl w:val="0"/>
        </w:rPr>
        <w:t xml:space="preserve"> Pirngruber states, in his book on the economy of Seleucid Babylonia, that the mass removal of silver from the economy caused a drop in the circulation of silver as currency within Babylonia, but that this recovered shortly after.</w:t>
      </w:r>
      <w:r w:rsidDel="00000000" w:rsidR="00000000" w:rsidRPr="00000000">
        <w:rPr>
          <w:vertAlign w:val="superscript"/>
        </w:rPr>
        <w:footnoteReference w:customMarkFollows="0" w:id="12"/>
      </w:r>
      <w:r w:rsidDel="00000000" w:rsidR="00000000" w:rsidRPr="00000000">
        <w:rPr>
          <w:rtl w:val="0"/>
        </w:rPr>
        <w:t xml:space="preserve"> The reason for the maintenance of a small fleet of Triremes is most likely to engage in counter-piracy operations, and to maintain safe trade and have a small quick reaction force to anyway breakaway provinces on the coast, as well as maintain a professional naval force for when war does break out they actually have sailors and admirals who know how to fight.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Before I delve into the incidents in which Rome and the Seleucids found themselves engaging in, I must clarify an important cultural aspect of the Roman people. The Romans had a cultural rule regarding warfare, it was best for it to be conducted in defence, so the gods would be on their side, as waging unjust wars would cause the gods dismay, so this led to interesting situations in which the Romans would force their enemies to go to war, but always cause them to be the aggressor, almost never the Romans. A mindset such as this as well as the Roman belief of cultural superiority led to some of their diplomats not acting very diplomatically, and would sometimes be antagonistic towards the embassies they interacted with, as a way of goading their enemies into attacking first, allowing their retaliatory actions to be ‘justifiable’ by their gods standards. Much can be said about Roman ideas of cultural differences, but one thing that would never do was to be the passive in their dealings with other nations, Rome had to show its strength and Virtus at all times, even when Brennus had sacked Rome, a Patrician still tried to call out the injustice that was being done to them, and the Romans tended to be magnanimous in their doling out of their law on other nations. Treaties themselves can be interesting documents, and Rome had learnt from its mistakes with the First Punic War, that allowed Carthage to become strong again and rampage over the Italian peninsula; but after the Second Punic War, Carthages ability to wage war was neutered, being passive and unable to fight against the Numidians, weak, just how the Romans liked it. The treatment of the Seleucids was not any different, upon learning the lesson of keeping their enemies weak, they removed their ability to challenge Rome at sea, removed their ability to cross into Anatolia and wage war against any of Rome’s allies or have a land border near its sphere of influence, forced them to pay huge sums for a decade, causing the monetary support of an army to be strained and the raising of new troops to be significantly harder, and they were meant to be confined to only act in defensive wars, no expansion for them, only Rome would be allowed to do so. The carving up of Macedon is an example of Rome beginning to display greater concepts of international relations, they remove a rival, create several new states, all who are loyal to Rome, all of whose next door neighbours would be their oh-so-recent countrymen, and none of them could muster a force to oppose Rome like Macedon had, ensuring their loyalty lest Rome need come teach them a lesson.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Treaty of Apamea essentially put a stop to any Seleucid expansion into the Mediterranean, they were forced out of Anatolia and had their fleets reduced to a pathetic size; Rome was essentially top dog in the Mediterranean by the middle of the second century BCE, it had brought Carthage low, shattered Macedon and arguably humiliated the Seleucid King, they had become the exceedingly corrupt geopolitical police. Understanding how much a treaty restricted a nation is never a precise task, but we can give a well educated guess that the initial stipend caused panic amongst court, as they resorted to looting temples to fulfil the cost of the indemnity and the border of the Taurus mountains pretty much restricts them from any Westward expansion. One interesting stipulation that Griffith notes is the inability for the Seleucids to be allowed to recruit mercenaries from the “...Roman sphere of influence…” or be allowed to “...even receive them if they came to them of their own accord.” this itself cuts off, as Griffith goes on to explain, the Seleucid access to many different mercenary sources of Europe, chiefly: Gauls, Thracians, Cretans, Greeks and those from Anatolia, who actually made up a substantial part of the Seleucid army.</w:t>
      </w:r>
      <w:r w:rsidDel="00000000" w:rsidR="00000000" w:rsidRPr="00000000">
        <w:rPr>
          <w:vertAlign w:val="superscript"/>
        </w:rPr>
        <w:footnoteReference w:customMarkFollows="0" w:id="13"/>
      </w:r>
      <w:r w:rsidDel="00000000" w:rsidR="00000000" w:rsidRPr="00000000">
        <w:rPr>
          <w:rtl w:val="0"/>
        </w:rPr>
        <w:t xml:space="preserve"> This in turn forced the Seleucids to turn to other forms of recruitment for their armies, as citizen armies play havoc with domestic product production, both external and internal sectors of the economy will suffer if a large section of men are stuck training in garrison forts or off campaigning in far off lands. The solution that the Seleucids find tends to be cavalry to replace the Thracians and Gauls is sourced from Asia as well as an expansion of the phalanx to almost double its size, but another problem is is that peace makes for poor soldiers, both monetarily and militarily, Griffith compares military idleness to that of Ptolemaic Egyptian cleruchs, whom “...a period of 20 years’ peace was sufficient to make a…nearly useless practical military weapon.”</w:t>
      </w:r>
      <w:r w:rsidDel="00000000" w:rsidR="00000000" w:rsidRPr="00000000">
        <w:rPr>
          <w:vertAlign w:val="superscript"/>
        </w:rPr>
        <w:footnoteReference w:customMarkFollows="0" w:id="14"/>
      </w:r>
      <w:r w:rsidDel="00000000" w:rsidR="00000000" w:rsidRPr="00000000">
        <w:rPr>
          <w:rtl w:val="0"/>
        </w:rPr>
        <w:t xml:space="preserve"> A cleruch comes from settled soldier colonies, whose professions tend to pass down the generations so that the army maintains some form of soldiery who could go to war if called up although they were practically demobilised, like a reserve force. Griffith posits that the military colonies had certain obligations they had to fulfil, ideally an ability to supply and deploy a certain requirement of troops when war came, with Seleucus inheriting a force from Antigonus that possibly numbered in the tens of thousands, it makes sense for him to demobilise a vast majority of them if they were not immediately required, much like Augustus does to the unsustainable number of legions at his disposal after the defeat of Marc Antony and the beginning of the Principate.</w:t>
      </w:r>
      <w:r w:rsidDel="00000000" w:rsidR="00000000" w:rsidRPr="00000000">
        <w:rPr>
          <w:vertAlign w:val="superscript"/>
        </w:rPr>
        <w:footnoteReference w:customMarkFollows="0" w:id="15"/>
      </w:r>
      <w:r w:rsidDel="00000000" w:rsidR="00000000" w:rsidRPr="00000000">
        <w:rPr>
          <w:rtl w:val="0"/>
        </w:rPr>
        <w:t xml:space="preserve"> As Griffith states, it's likely that when sources say “</w:t>
      </w:r>
      <w:r w:rsidDel="00000000" w:rsidR="00000000" w:rsidRPr="00000000">
        <w:rPr>
          <w:rtl w:val="0"/>
        </w:rPr>
        <w:t xml:space="preserve">Macedonian</w:t>
      </w:r>
      <w:r w:rsidDel="00000000" w:rsidR="00000000" w:rsidRPr="00000000">
        <w:rPr>
          <w:rtl w:val="0"/>
        </w:rPr>
        <w:t xml:space="preserve">” in reference to Seleucid troops, they are most likely referring to these cleruchs, especially post-Apamea, when the supply of actual Macedonians and other Greeks trained in a similar phalanx style was essentially cut off.</w:t>
      </w:r>
      <w:r w:rsidDel="00000000" w:rsidR="00000000" w:rsidRPr="00000000">
        <w:rPr>
          <w:vertAlign w:val="superscript"/>
        </w:rPr>
        <w:footnoteReference w:customMarkFollows="0" w:id="16"/>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Seleucus IV, Antiochus III’s successor, was tightly bound by Apamea, he never went to war during his reign and as Habicht says “...came close only once.” but was stopped by his remembering of the treaty, although his army had already moved into position.</w:t>
      </w:r>
      <w:r w:rsidDel="00000000" w:rsidR="00000000" w:rsidRPr="00000000">
        <w:rPr>
          <w:vertAlign w:val="superscript"/>
        </w:rPr>
        <w:footnoteReference w:customMarkFollows="0" w:id="17"/>
      </w:r>
      <w:r w:rsidDel="00000000" w:rsidR="00000000" w:rsidRPr="00000000">
        <w:rPr>
          <w:rtl w:val="0"/>
        </w:rPr>
        <w:t xml:space="preserve"> Habicht also notes that Apamea also constricted naval operations, as Seleucus had to ask for the Rhodian fleet to escort his daughter, Laodice, to Perseus, the Macedonian King; the mere fact that the king of an empire could not even have his own troops escort his own daughter in a diplomatic gesture shows how demeaning and imposing Apamea was on the operations of the Seleucid court.</w:t>
      </w:r>
      <w:r w:rsidDel="00000000" w:rsidR="00000000" w:rsidRPr="00000000">
        <w:rPr>
          <w:vertAlign w:val="superscript"/>
        </w:rPr>
        <w:footnoteReference w:customMarkFollows="0" w:id="18"/>
      </w:r>
      <w:r w:rsidDel="00000000" w:rsidR="00000000" w:rsidRPr="00000000">
        <w:rPr>
          <w:rtl w:val="0"/>
        </w:rPr>
        <w:t xml:space="preserve"> Seleucus also built up relations with the Achaean league as well as the Athenians, a more peaceful foreign policy emerged under his leadership, one that still allowed the Seleucid empire to benefit from trade and friendships while still shackled by the treaty with the Romans; Habicht even states that Seleucus attempted to gift the Achaean League ten warships but they “...politely declined…” The offer, the number is important because that would be the entirety of the Seleucid Navy in the Mediterranean, the reasoning behind this gift is not stated but most likely it is a gesture of peace with no reality of being accepted, but showing that Seleucus is willing to disarm himself to create friendships.</w:t>
      </w:r>
      <w:r w:rsidDel="00000000" w:rsidR="00000000" w:rsidRPr="00000000">
        <w:rPr>
          <w:vertAlign w:val="superscript"/>
        </w:rPr>
        <w:footnoteReference w:customMarkFollows="0" w:id="19"/>
      </w:r>
      <w:r w:rsidDel="00000000" w:rsidR="00000000" w:rsidRPr="00000000">
        <w:rPr>
          <w:rtl w:val="0"/>
        </w:rPr>
        <w:t xml:space="preserve"> The treaty of Apamea was doing its job, it was preventing the Seleucids from joining in on wars between allies of Rome, and the Seleucids initial abiding of the terms shows how the threat of Rome in a passive manner was effective. On the other hand, Seleucus should not have had to wage war, there were no current threats to his rule, Antiochus III had wounded the Parthians, forcing their army back and besting them in war, leaving them a non-credible threat for the meantime, and Seleucus could afford to make friends of courts around the Near East and Mediterranean, the only act of military action that could be up for contention to this idea is the movement of his army to the North in preparation for an act of intervention into the war between Pontus and Pergamum.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When it comes to how the Romans enforced the treaty, we have examples of Roman interventionism; Dillon and Garland note that the war between Ptolemaic Egypt and the Seleucids (the Sixth Syrian War) was not in contravention to the treaty of Apamea, but the diplomatic intervention was in fact urged to occur by a Egyptian ambassador, even though Egypt was the aggressor in the war.</w:t>
      </w:r>
      <w:r w:rsidDel="00000000" w:rsidR="00000000" w:rsidRPr="00000000">
        <w:rPr>
          <w:vertAlign w:val="superscript"/>
        </w:rPr>
        <w:footnoteReference w:customMarkFollows="0" w:id="20"/>
      </w:r>
      <w:r w:rsidDel="00000000" w:rsidR="00000000" w:rsidRPr="00000000">
        <w:rPr>
          <w:rtl w:val="0"/>
        </w:rPr>
        <w:t xml:space="preserve"> In this case, we see a case of brash and stubborn Roman ‘diplomacy’, Gaius Popillius Laenus is supposed to have handed a tablet displaying a decree from the senate to Antiochus IV and drew a circle around Antiochus, saying that he must reach a decision before he could leave the circle; the circle was acting as a metaphorical line in the sand as well as a real one; Antiochus could not leave to consult with his generals and court, and Rome either created peace or caused Antiochus to be the aggressor, either way, Rome would get what it wants.</w:t>
      </w:r>
      <w:r w:rsidDel="00000000" w:rsidR="00000000" w:rsidRPr="00000000">
        <w:rPr>
          <w:vertAlign w:val="superscript"/>
        </w:rPr>
        <w:footnoteReference w:customMarkFollows="0" w:id="21"/>
      </w:r>
      <w:r w:rsidDel="00000000" w:rsidR="00000000" w:rsidRPr="00000000">
        <w:rPr>
          <w:rtl w:val="0"/>
        </w:rPr>
        <w:t xml:space="preserve"> This is an exceedingly arrogant instance of diplomacy by the Romans and was most likely spawned from several different sources: first; The Romans were invited by Ptolomy to force peace negotiations, showing that forces outside of Rome saw them as a credible enough force to halt an invasion and restore peace, second; Laenus was acting as representative of the Senate in this capacity, and it could possibly be viewed as un-Roman to act overly lax or submissive towards Antiochus, thirdly; Macedon had just been partitioned after a war with the Romans, and its possible Roman delegations had a chip on their shoulder when engaging in international relations due to this recent victory and the newly freed up forces with which they could present a viable and dangerous threat to the Seleucid Kingdom, causing war with Rome would most likely instigate a two front war in which Antiochus would have had little hope of winning.</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Kosmin interprets this event differently, he summises that the encircling of Antiochus is meant to be representative of Antiochus standing upon Seleucid land, he was free to move about within this area, but he could not leave, to consult with his court or to wage war; further on he emphasises that it is a Roman Legate who is determining Seleucid territory, not the Seleucid king, and that this event has a far deeper philosophical meaning, with the removal of Antiochus’ personal autonomy the besieger becoming the besieged, the king was being placed below the station of a Legate, and the Seleucid Empire beneath that of the Roman Republic.</w:t>
      </w:r>
      <w:r w:rsidDel="00000000" w:rsidR="00000000" w:rsidRPr="00000000">
        <w:rPr>
          <w:vertAlign w:val="superscript"/>
        </w:rPr>
        <w:footnoteReference w:customMarkFollows="0" w:id="22"/>
      </w:r>
      <w:r w:rsidDel="00000000" w:rsidR="00000000" w:rsidRPr="00000000">
        <w:rPr>
          <w:rtl w:val="0"/>
        </w:rPr>
        <w:t xml:space="preserve"> I think Kosmin’s idea has some merit, physical metaphors in terms of boundaries were present even at the dawn of Rome, when Remus crossed Romulus’ brick high pomerium, he was breaching Rome’s laws both physical and cultural and thus brought his death upon himself, within Kosmin’s interpretation we can once again see the nature of the Romans forcing their enemies hands into being the aggressor, in effect stepping outside the circle would be like Remus crossing the pomerium, and this posturing forces Antiochus to back down from his invasion, and so what would be predominantly viewed as a forcing of the hand, can actually be viewed as a more savvy and politically adept move that is steeped in Roman tradition.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In regards to the contravening of the treaty of Apamea in terms of arms build up, one major event occurs during 162 BCE, after the death of the usurper King Antiochus IV, and while Demetrius is still being held captive in Rome, a Roman delegation, led by the Legates Gnaeus Octavius, Spurius Lucretius and Lucius Aurelius visits Syria.</w:t>
      </w:r>
      <w:r w:rsidDel="00000000" w:rsidR="00000000" w:rsidRPr="00000000">
        <w:rPr>
          <w:vertAlign w:val="superscript"/>
        </w:rPr>
        <w:footnoteReference w:customMarkFollows="0" w:id="23"/>
      </w:r>
      <w:r w:rsidDel="00000000" w:rsidR="00000000" w:rsidRPr="00000000">
        <w:rPr>
          <w:rtl w:val="0"/>
        </w:rPr>
        <w:t xml:space="preserve"> They are supposed to have been sent to ensure compliance with the treaty and have found the Seleucids to be in contravention, Polybius also says that they are also to monitor the political situations in Cappadocia, Galatia and Macedonia as well as end disputes between the two Ptolemaic kings. Appian and Polybius say that they set about burning the fleet of the Seleucids but disagree on what happened to the elephants, Polybius claims they were hamstrung and Appian claims they were outright killed. It could be that both accounts are true, but upon finding the crippled elephants, they were put down by the Seleucid officers, or simply died during the severing of their hamstrings as the animals would have been extremely panicked. But both agree that the fleet was burned; this is quite an illogical but symbolic move on the Romans part, they could have confiscated the fleet and bolstered their own navy, but its destruction has a not so subtle implication that that is what would occur to any further breaking of the treaty. Appian claims that the killing of the elephants and the destruction of the fleet was so upsetting, that a man by the name of Leptines from Laodicea stabbed Octavius “...while [Octavius] was anointing himself in the gymnasium..”, who subsequently succumbed to his wounds.</w:t>
      </w:r>
      <w:r w:rsidDel="00000000" w:rsidR="00000000" w:rsidRPr="00000000">
        <w:rPr>
          <w:vertAlign w:val="superscript"/>
        </w:rPr>
        <w:footnoteReference w:customMarkFollows="0" w:id="24"/>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Neither source cites numbers of warships before or after the incident, which is interesting, as the fleet could have only numbered 11 and be in contravention of the treaty, its fairly unlikely the Romans would have sent such a large delegation in that case, but it's completely possible for the Romans to act as petty and as ruthlessly as they can, especially as they are insistent on keeping the Seleucids weak and ineffective at meddling in Roman conquests around the Eastern Mediterranean. Antiochus IV is said to have invaded Cyprus during the Sixth Syrian War, therefore it is likely that the fleet was far larger than 11 ships, and most likely numbered in the several dozens, but a majority of the fleet would most likely have been transports, it is not made clear in the sources if a distinction was made between these ships and the simple act of fleet burning could well have enveloped these troop transports in the conflagration. This is most likely a breach of the treaty, as either way, the fleet numbered more than the allotted size for times of peace.</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At first thought, it would seem as though the fleet was newly built, either during the latter part of the reign of Antiochus IV or during the early part of Antiochus Vs reign, which, given his age, would most likely have been ordered by the royal court rather than him personally. This event occurs only 5 years after the Laenus intervention, so if it had been constructed for the war with Ptolemaic Egypt, then it would not have been breaking the treaty of Apamea at the time of the intervention of Laenus, however, if it had been, then it should have been demobilised and deconstructed, but they had obviously failed in doing so; if it had in fact been built during the reign of the child Antiochus V, then it was most likely violation of the treaty, as they were not currently at war with anyone, but instead dealing with the Maccabean revolt. Given the military circumstances, it is likely that Rome was burning the fleets and killing the elephants in an attempt to hamper Seleucid efforts at subduing the rebellion, specifically the killing of the elephants; the burning of the fleet seems to be an act dealing with the contravention of the treaty, and the existence of the elephants within the army seem, as Polybius would suggest, as a way for the Romans to “...by every means cripple the royal power.” Appian claims that one of the treaty conditions, so the Romans could justify their actions by citing this, but it's killing of the Elephants at that specific time very much seems like the Romans are trying to cripple the Seleucid policing efforts in the region.During this time, the Seleucids should have been focusing upon fortifying their frontier with the Parthian kingdom, who represented a threat to them, not maintaining a fleet in a way that was in contravention with a power they did not want to get involved with.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In terms of breaking the articles of the treaty, we know that they were in violation of the naval aspect, as its destruction clearly indicates they were in breach of that specific contention. In terms of not waging war, that is a contentious topic, can rebellious regions be considered an autonomous and distinct political entity? If no, then the rebellion of the Maccabees is a minor territorial upset that a state is allowed to combat to preserve its internal integrity and restore lands to Seleucid ownership; if yes, then the fight against the guerilla force of the Maccabees is in fact in violation of the agreement. I personally feel that the states that were around at the time were heavily in favour of the prior, as long as it benefited them; there seems to be no implication that the Romans took offence to the initial rebellion, but Rajek notes that the later invasion of the Hasmonean kingdom by Antiochus VII may have indeed been halted by the Romans.</w:t>
      </w:r>
      <w:r w:rsidDel="00000000" w:rsidR="00000000" w:rsidRPr="00000000">
        <w:rPr>
          <w:vertAlign w:val="superscript"/>
        </w:rPr>
        <w:footnoteReference w:customMarkFollows="0" w:id="25"/>
      </w:r>
      <w:r w:rsidDel="00000000" w:rsidR="00000000" w:rsidRPr="00000000">
        <w:rPr>
          <w:rtl w:val="0"/>
        </w:rPr>
        <w:t xml:space="preserve"> Rajek also notes that while the Senate does not make a decision immediately, deciding to defer discussion to a later date, they do send the Jewish envoys home with a renewal of the friendship between Rome and the Jewish people, while Josephus claims that Hyrcanus took 3000 talents from tomb of King David and used that sum to bribe Antiochus into sparing the city.</w:t>
      </w:r>
      <w:r w:rsidDel="00000000" w:rsidR="00000000" w:rsidRPr="00000000">
        <w:rPr>
          <w:vertAlign w:val="superscript"/>
        </w:rPr>
        <w:footnoteReference w:customMarkFollows="0" w:id="26"/>
      </w:r>
      <w:r w:rsidDel="00000000" w:rsidR="00000000" w:rsidRPr="00000000">
        <w:rPr>
          <w:rtl w:val="0"/>
        </w:rPr>
        <w:t xml:space="preserve"> Rajek also notes that Antiochus was acting overly friendly to the Romans when Scipio Aemilianus’ embassy came to the Near East, possibly seeing them as “...his best chance of rebuilding his kingdom was under Roman patronage.”</w:t>
      </w:r>
      <w:r w:rsidDel="00000000" w:rsidR="00000000" w:rsidRPr="00000000">
        <w:rPr>
          <w:vertAlign w:val="superscript"/>
        </w:rPr>
        <w:footnoteReference w:customMarkFollows="0" w:id="27"/>
      </w:r>
      <w:r w:rsidDel="00000000" w:rsidR="00000000" w:rsidRPr="00000000">
        <w:rPr>
          <w:rtl w:val="0"/>
        </w:rPr>
        <w:t xml:space="preserve">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rtl w:val="0"/>
        </w:rPr>
        <w:t xml:space="preserve">The tightrope balancing act that Antiochus must walk to ensure the survival and expansion of his kingdom put him in a tight situation, under the Roman rules he could not wage war, but he could not expand and gain power if he did not do so. It seems that the Romans didn’t exactly enforce this part of the treaty like they had done the naval aspects, this is possibly in part due to the fact that the Seleucid fleet could interfere in Roman military activities within the Mediterranean, whereas the Jewish states survival was of no consequence to the Romans, the last war had been lost by the Seleucids after a gruelling hit and run campaign, and if this was to occur again, then it weakens the Seleucids whether they win or lose. Antiochus VII abandoned the treaty restrictions when he marched on the burgeoning Parthian Empire, in an attempt to curb its growth and regain lost territory, he marched into their territory with an army, there doesn't seem to be any Roman retaliation to this, perhaps the Romans viewed it as an illegitimate state and Antiochus was merely dealing with rebellions, or as it did not concern the Roman sphere of influence, they simply didn't care. </w:t>
      </w: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Almost all the engagements that the Seleucids would find themselves throughout the remainder of the three quarters of a century revolved around the Parthians ever expanding territory, and despite some valiant resistance, they were slowly being pushed back further and further to just their Mediterranean-adjacent possessions. We can ascertain that the Seleucids were weak due to the fact that Armenia, once a client kingdom of the Seleucids, managed to take all of Seleucid territory before getting into a war with Rome which they inevitably lost. Appian summarises the weakened state of the Seleucids by the mid 1st Century BCE aptly; after Pompey deals with Mithridates, he removes Antiochus XIII from power because “...it was easy…” which is a very bleak statement to read from a source, that a king was removed an an empire absorbed by Rome just because a marauding and galavanting Roman general observed it, saw it weak, and just took it, with no declaration of war or justification beside that it didn't seem proper to let a monarch who let his kingdom be defeated to be left in command of his own kingdom.</w:t>
      </w:r>
      <w:r w:rsidDel="00000000" w:rsidR="00000000" w:rsidRPr="00000000">
        <w:rPr>
          <w:vertAlign w:val="superscript"/>
        </w:rPr>
        <w:footnoteReference w:customMarkFollows="0" w:id="28"/>
      </w:r>
      <w:r w:rsidDel="00000000" w:rsidR="00000000" w:rsidRPr="00000000">
        <w:rPr>
          <w:rtl w:val="0"/>
        </w:rPr>
        <w:t xml:space="preserve"> Appian further goes on to say that the Seleucid kingdom was “...unarmed…” and unable to put up a fight whatsoever, it was said prior that Lucius Licinius Lucullus had had no problem prior to Antiochus claiming the throne, and that it was Antiochus’ “...ancestral right.”, this change in behaviour of the Romans is most likely due to Pompey’s mindset at the time.</w:t>
      </w:r>
      <w:r w:rsidDel="00000000" w:rsidR="00000000" w:rsidRPr="00000000">
        <w:rPr>
          <w:vertAlign w:val="superscript"/>
        </w:rPr>
        <w:footnoteReference w:customMarkFollows="0" w:id="29"/>
      </w:r>
      <w:r w:rsidDel="00000000" w:rsidR="00000000" w:rsidRPr="00000000">
        <w:rPr>
          <w:rtl w:val="0"/>
        </w:rPr>
        <w:t xml:space="preserve"> While Lucullus at the point of Antiochus’ claiming of the Seleucid kingdom, Lucullus was dealing with Mithridates; afterwards, when Mithridates had been subdued, the Romans were still arguably on a war footing, and having set their sights on conquest, Pompey would have had no trouble in rallying the army to go capture an ancestral enemy of Rome that could not put up any resistance, it is probable that Lucullus would have been in the same mindset had he been in Pompey’s position, although Pompey by this time had well established himself as quite a bloodthirsty young commander, being colloquially known as the ‘Teenage Butcher’ back in Rome, so perhaps Lucullus may have been more content with the situation than Pompey was.</w:t>
      </w:r>
      <w:r w:rsidDel="00000000" w:rsidR="00000000" w:rsidRPr="00000000">
        <w:rPr>
          <w:vertAlign w:val="superscript"/>
        </w:rPr>
        <w:footnoteReference w:customMarkFollows="0" w:id="30"/>
      </w:r>
      <w:r w:rsidDel="00000000" w:rsidR="00000000" w:rsidRPr="00000000">
        <w:rPr>
          <w:rtl w:val="0"/>
        </w:rPr>
        <w:t xml:space="preserve"> </w:t>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In conclusion, the treaty, although being violated several times, did seem to hold up over the century after its adoption: the naval and elephant stipulations were obviously flagrantly violated but rectified by Roman officials in a brutal manner; the restriction on the instigation of warfare is dubious in its violations, it is an incredibly restrictive part of the treaty but as previously discussed, the way in which breakaway parts of the empire seceded and their subsequent foreign recognition is an important part in the discussion surrounding whether it counts as waging war. The restrictions coincided with a slow decline in the Seleucid Empire, whether this merely correlates or actually caused this collapse is a very complex issue, and arguments can be made for either answer, personally, I think it is one of the more prominent factors that caused its decline; the removal of the Seleucid ability to capture land to their West and in Rome’s sphere of influence left them no way to gain wealth from conquering European sources and forced them into the straining wars with Parthia and the Bactrians. The treaty may not have been maintained if Rome was a second-rate power, but its rapid dominance and surge in influence de facto forced the Seleucid monarchs to uphold the treaty, lest they have to deal with the Roman war machine. Wars with Rome were a stressfully and population exhausting event, as Phyrrus and Hannibal learned, no matter the numbers you inflicted, the Romans would always have more; the Seleucid Empire could not have sustained more Magnesia’s or had their territory raided, the fact that Antiochus III had to raid temples merely to pay off the debts showed the Seleucid treasury was not in the best shape. </w:t>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Ancient Sources</w:t>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Appian </w:t>
      </w:r>
      <w:r w:rsidDel="00000000" w:rsidR="00000000" w:rsidRPr="00000000">
        <w:rPr>
          <w:i w:val="1"/>
          <w:rtl w:val="0"/>
        </w:rPr>
        <w:t xml:space="preserve">Roman History </w:t>
      </w:r>
      <w:r w:rsidDel="00000000" w:rsidR="00000000" w:rsidRPr="00000000">
        <w:rPr>
          <w:rtl w:val="0"/>
        </w:rPr>
        <w:t xml:space="preserve">trans. Horace White (1913) Loeb Classical Library &lt;</w:t>
      </w:r>
      <w:hyperlink r:id="rId7">
        <w:r w:rsidDel="00000000" w:rsidR="00000000" w:rsidRPr="00000000">
          <w:rPr>
            <w:color w:val="1155cc"/>
            <w:u w:val="single"/>
            <w:rtl w:val="0"/>
          </w:rPr>
          <w:t xml:space="preserve">https://penelope.uchicago.edu/Thayer/E/Roman/Texts/Appian/home.html</w:t>
        </w:r>
      </w:hyperlink>
      <w:r w:rsidDel="00000000" w:rsidR="00000000" w:rsidRPr="00000000">
        <w:rPr>
          <w:rtl w:val="0"/>
        </w:rPr>
        <w:t xml:space="preserve">&gt; [Accessed 18th December 2023]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Diodorus Siculus </w:t>
      </w:r>
      <w:r w:rsidDel="00000000" w:rsidR="00000000" w:rsidRPr="00000000">
        <w:rPr>
          <w:i w:val="1"/>
          <w:rtl w:val="0"/>
        </w:rPr>
        <w:t xml:space="preserve">The Library of History </w:t>
      </w:r>
      <w:r w:rsidDel="00000000" w:rsidR="00000000" w:rsidRPr="00000000">
        <w:rPr>
          <w:rtl w:val="0"/>
        </w:rPr>
        <w:t xml:space="preserve">trans. F. R. Walton (1982) Loeb Classical Library vol. XI &lt;</w:t>
      </w:r>
      <w:hyperlink r:id="rId8">
        <w:r w:rsidDel="00000000" w:rsidR="00000000" w:rsidRPr="00000000">
          <w:rPr>
            <w:color w:val="1155cc"/>
            <w:u w:val="single"/>
            <w:rtl w:val="0"/>
          </w:rPr>
          <w:t xml:space="preserve">https://penelope.uchicago.edu/Thayer/E/Roman/Texts/Diodorus_Siculus/home.html</w:t>
        </w:r>
      </w:hyperlink>
      <w:r w:rsidDel="00000000" w:rsidR="00000000" w:rsidRPr="00000000">
        <w:rPr>
          <w:rtl w:val="0"/>
        </w:rPr>
        <w:t xml:space="preserve">&gt; [Accessed 20th December 2023]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Josephus </w:t>
      </w:r>
      <w:r w:rsidDel="00000000" w:rsidR="00000000" w:rsidRPr="00000000">
        <w:rPr>
          <w:i w:val="1"/>
          <w:rtl w:val="0"/>
        </w:rPr>
        <w:t xml:space="preserve">The Antiquities of the Jews </w:t>
      </w:r>
      <w:r w:rsidDel="00000000" w:rsidR="00000000" w:rsidRPr="00000000">
        <w:rPr>
          <w:rtl w:val="0"/>
        </w:rPr>
        <w:t xml:space="preserve">trans. William Whiston (1737) University of Cambridge &lt;</w:t>
      </w:r>
      <w:hyperlink r:id="rId9">
        <w:r w:rsidDel="00000000" w:rsidR="00000000" w:rsidRPr="00000000">
          <w:rPr>
            <w:color w:val="1155cc"/>
            <w:u w:val="single"/>
            <w:rtl w:val="0"/>
          </w:rPr>
          <w:t xml:space="preserve">http://penelope.uchicago.edu/josephus/</w:t>
        </w:r>
      </w:hyperlink>
      <w:r w:rsidDel="00000000" w:rsidR="00000000" w:rsidRPr="00000000">
        <w:rPr>
          <w:rtl w:val="0"/>
        </w:rPr>
        <w:t xml:space="preserve">&gt; [Accessed 20th December 2023]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Livy (9 BCE) </w:t>
      </w:r>
      <w:r w:rsidDel="00000000" w:rsidR="00000000" w:rsidRPr="00000000">
        <w:rPr>
          <w:i w:val="1"/>
          <w:rtl w:val="0"/>
        </w:rPr>
        <w:t xml:space="preserve">From the Founding of the City </w:t>
      </w:r>
      <w:r w:rsidDel="00000000" w:rsidR="00000000" w:rsidRPr="00000000">
        <w:rPr>
          <w:rtl w:val="0"/>
        </w:rPr>
        <w:t xml:space="preserve">trans. Rev. Canon Roberts (1912) E. P. Dutton &amp; Co.  &lt;</w:t>
      </w:r>
      <w:hyperlink r:id="rId10">
        <w:r w:rsidDel="00000000" w:rsidR="00000000" w:rsidRPr="00000000">
          <w:rPr>
            <w:color w:val="1155cc"/>
            <w:u w:val="single"/>
            <w:rtl w:val="0"/>
          </w:rPr>
          <w:t xml:space="preserve">http://www.perseus.tufts.edu/hopper/text?doc=Perseus%3Atext%3A1999.02.0144%3Abook%3D35%3Achapter%3D16</w:t>
        </w:r>
      </w:hyperlink>
      <w:r w:rsidDel="00000000" w:rsidR="00000000" w:rsidRPr="00000000">
        <w:rPr>
          <w:rtl w:val="0"/>
        </w:rPr>
        <w:t xml:space="preserve">&gt; [Accessed 1st January 2024]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Polybius </w:t>
      </w:r>
      <w:r w:rsidDel="00000000" w:rsidR="00000000" w:rsidRPr="00000000">
        <w:rPr>
          <w:i w:val="1"/>
          <w:rtl w:val="0"/>
        </w:rPr>
        <w:t xml:space="preserve">The Histories </w:t>
      </w:r>
      <w:r w:rsidDel="00000000" w:rsidR="00000000" w:rsidRPr="00000000">
        <w:rPr>
          <w:rtl w:val="0"/>
        </w:rPr>
        <w:t xml:space="preserve">trans. W. R. Paton (1922) Loeb Classical Library &lt;</w:t>
      </w:r>
      <w:hyperlink r:id="rId11">
        <w:r w:rsidDel="00000000" w:rsidR="00000000" w:rsidRPr="00000000">
          <w:rPr>
            <w:color w:val="1155cc"/>
            <w:u w:val="single"/>
            <w:rtl w:val="0"/>
          </w:rPr>
          <w:t xml:space="preserve">https://penelope.uchicago.edu/Thayer/E/Roman/Texts/Polybius/home.html</w:t>
        </w:r>
      </w:hyperlink>
      <w:r w:rsidDel="00000000" w:rsidR="00000000" w:rsidRPr="00000000">
        <w:rPr>
          <w:rtl w:val="0"/>
        </w:rPr>
        <w:t xml:space="preserve">&gt; [Accessed 19th December 2023]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Valerius Maximus (30 CE) </w:t>
      </w:r>
      <w:r w:rsidDel="00000000" w:rsidR="00000000" w:rsidRPr="00000000">
        <w:rPr>
          <w:i w:val="1"/>
          <w:rtl w:val="0"/>
        </w:rPr>
        <w:t xml:space="preserve">Memorable Deeds and Sayings </w:t>
      </w:r>
      <w:r w:rsidDel="00000000" w:rsidR="00000000" w:rsidRPr="00000000">
        <w:rPr>
          <w:rtl w:val="0"/>
        </w:rPr>
        <w:t xml:space="preserve">trans. S. Speed (1678) &lt;</w:t>
      </w:r>
      <w:hyperlink r:id="rId12">
        <w:r w:rsidDel="00000000" w:rsidR="00000000" w:rsidRPr="00000000">
          <w:rPr>
            <w:color w:val="1155cc"/>
            <w:u w:val="single"/>
            <w:rtl w:val="0"/>
          </w:rPr>
          <w:t xml:space="preserve">https://www.attalus.org/info/valerius.html</w:t>
        </w:r>
      </w:hyperlink>
      <w:r w:rsidDel="00000000" w:rsidR="00000000" w:rsidRPr="00000000">
        <w:rPr>
          <w:rtl w:val="0"/>
        </w:rPr>
        <w:t xml:space="preserve">&gt; [Accessed 9th January 2024]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b w:val="1"/>
        </w:rPr>
      </w:pPr>
      <w:r w:rsidDel="00000000" w:rsidR="00000000" w:rsidRPr="00000000">
        <w:rPr>
          <w:rtl w:val="0"/>
        </w:rPr>
      </w:r>
    </w:p>
    <w:p w:rsidR="00000000" w:rsidDel="00000000" w:rsidP="00000000" w:rsidRDefault="00000000" w:rsidRPr="00000000" w14:paraId="00000036">
      <w:pPr>
        <w:rPr>
          <w:b w:val="1"/>
        </w:rPr>
      </w:pPr>
      <w:r w:rsidDel="00000000" w:rsidR="00000000" w:rsidRPr="00000000">
        <w:rPr>
          <w:b w:val="1"/>
          <w:rtl w:val="0"/>
        </w:rPr>
        <w:t xml:space="preserve">Modern scholarship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Atkinson, Kenneth, ‘Historical and Chronological Observations on Josephus’s Account of Seleucid History in Antiquities 13.365-371: Its Importance for Understanding the Historical Development of the Hasmonean State’, </w:t>
      </w:r>
      <w:r w:rsidDel="00000000" w:rsidR="00000000" w:rsidRPr="00000000">
        <w:rPr>
          <w:i w:val="1"/>
          <w:rtl w:val="0"/>
        </w:rPr>
        <w:t xml:space="preserve">Scripta Judaica Cracoviensia</w:t>
      </w:r>
      <w:r w:rsidDel="00000000" w:rsidR="00000000" w:rsidRPr="00000000">
        <w:rPr>
          <w:rtl w:val="0"/>
        </w:rPr>
        <w:t xml:space="preserve">, 14.14 (2016), pp.7–21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Badian, E., ‘Rome and Antiochus the Great: A Study in Cold War’, Classical Philology, 54.2 (1959), pp.81–99</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Broughton, T. R. S. (1952) </w:t>
      </w:r>
      <w:r w:rsidDel="00000000" w:rsidR="00000000" w:rsidRPr="00000000">
        <w:rPr>
          <w:i w:val="1"/>
          <w:rtl w:val="0"/>
        </w:rPr>
        <w:t xml:space="preserve">Magistrates of the Roman Republic Vol. 1 </w:t>
      </w:r>
      <w:r w:rsidDel="00000000" w:rsidR="00000000" w:rsidRPr="00000000">
        <w:rPr>
          <w:rtl w:val="0"/>
        </w:rPr>
        <w:t xml:space="preserve">American Philological Association Number XV Vol.1 &lt;</w:t>
      </w:r>
      <w:hyperlink r:id="rId13">
        <w:r w:rsidDel="00000000" w:rsidR="00000000" w:rsidRPr="00000000">
          <w:rPr>
            <w:color w:val="1155cc"/>
            <w:u w:val="single"/>
            <w:rtl w:val="0"/>
          </w:rPr>
          <w:t xml:space="preserve">https://archive.org/details/broughton-magistrates-roman-republic/mode/2up</w:t>
        </w:r>
      </w:hyperlink>
      <w:r w:rsidDel="00000000" w:rsidR="00000000" w:rsidRPr="00000000">
        <w:rPr>
          <w:rtl w:val="0"/>
        </w:rPr>
        <w:t xml:space="preserve">&gt; [Accessed 28th December 2023]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Burton, P. J. (2011) </w:t>
      </w:r>
      <w:r w:rsidDel="00000000" w:rsidR="00000000" w:rsidRPr="00000000">
        <w:rPr>
          <w:i w:val="1"/>
          <w:rtl w:val="0"/>
        </w:rPr>
        <w:t xml:space="preserve">Friendship and Empire: Roman Diplomacy and Imperialism in the Middle Republic (353-146 BC) </w:t>
      </w:r>
      <w:r w:rsidDel="00000000" w:rsidR="00000000" w:rsidRPr="00000000">
        <w:rPr>
          <w:rtl w:val="0"/>
        </w:rPr>
        <w:t xml:space="preserve">Cambridge University Press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Dillon, M., Garland, L. (2005) </w:t>
      </w:r>
      <w:r w:rsidDel="00000000" w:rsidR="00000000" w:rsidRPr="00000000">
        <w:rPr>
          <w:i w:val="1"/>
          <w:rtl w:val="0"/>
        </w:rPr>
        <w:t xml:space="preserve">Ancient Rome: From the Early Republic to the Assassination of Julius Caesar</w:t>
      </w:r>
      <w:r w:rsidDel="00000000" w:rsidR="00000000" w:rsidRPr="00000000">
        <w:rPr>
          <w:rtl w:val="0"/>
        </w:rPr>
        <w:t xml:space="preserve"> Routledge</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Griffith, G. T. (1935) </w:t>
      </w:r>
      <w:r w:rsidDel="00000000" w:rsidR="00000000" w:rsidRPr="00000000">
        <w:rPr>
          <w:i w:val="1"/>
          <w:rtl w:val="0"/>
        </w:rPr>
        <w:t xml:space="preserve">Mercenaries of the Hellenistic World </w:t>
      </w:r>
      <w:r w:rsidDel="00000000" w:rsidR="00000000" w:rsidRPr="00000000">
        <w:rPr>
          <w:rtl w:val="0"/>
        </w:rPr>
        <w:t xml:space="preserve">Ares Publishing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Habicht, C. ‘The Seleucids and their rivals’ </w:t>
      </w:r>
      <w:r w:rsidDel="00000000" w:rsidR="00000000" w:rsidRPr="00000000">
        <w:rPr>
          <w:i w:val="1"/>
          <w:rtl w:val="0"/>
        </w:rPr>
        <w:t xml:space="preserve">The Cambridge ancient history. Vol.8, Rome and the Mediterranean to 133 B.C</w:t>
      </w:r>
      <w:r w:rsidDel="00000000" w:rsidR="00000000" w:rsidRPr="00000000">
        <w:rPr>
          <w:rtl w:val="0"/>
        </w:rPr>
        <w:t xml:space="preserve">. ; edited by A.E. Astin [et al.]. 2nd ed. 1989 Cambridge: Cambridge University Press. pp.324-382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Isaac, Benjamin (2004) </w:t>
      </w:r>
      <w:r w:rsidDel="00000000" w:rsidR="00000000" w:rsidRPr="00000000">
        <w:rPr>
          <w:i w:val="1"/>
          <w:rtl w:val="0"/>
        </w:rPr>
        <w:t xml:space="preserve">The Invention of Racism in Classical Antiquity</w:t>
      </w:r>
      <w:r w:rsidDel="00000000" w:rsidR="00000000" w:rsidRPr="00000000">
        <w:rPr>
          <w:rtl w:val="0"/>
        </w:rPr>
        <w:t xml:space="preserve"> Princeton University Press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color w:val="3a3a3a"/>
          <w:sz w:val="23"/>
          <w:szCs w:val="23"/>
          <w:highlight w:val="white"/>
          <w:rtl w:val="0"/>
        </w:rPr>
        <w:t xml:space="preserve">Kosmin, P.J. (2014) </w:t>
      </w:r>
      <w:r w:rsidDel="00000000" w:rsidR="00000000" w:rsidRPr="00000000">
        <w:rPr>
          <w:i w:val="1"/>
          <w:color w:val="3a3a3a"/>
          <w:sz w:val="23"/>
          <w:szCs w:val="23"/>
          <w:highlight w:val="white"/>
          <w:rtl w:val="0"/>
        </w:rPr>
        <w:t xml:space="preserve">The land of the elephant kings : space, territory, and ideology in the Seleucid Empire</w:t>
      </w:r>
      <w:r w:rsidDel="00000000" w:rsidR="00000000" w:rsidRPr="00000000">
        <w:rPr>
          <w:color w:val="3a3a3a"/>
          <w:sz w:val="23"/>
          <w:szCs w:val="23"/>
          <w:highlight w:val="white"/>
          <w:rtl w:val="0"/>
        </w:rPr>
        <w:t xml:space="preserve">. Cambridge, Massachusetts: Harvard University Press.</w:t>
      </w: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Pirngruber, R. (2017) </w:t>
      </w:r>
      <w:r w:rsidDel="00000000" w:rsidR="00000000" w:rsidRPr="00000000">
        <w:rPr>
          <w:i w:val="1"/>
          <w:rtl w:val="0"/>
        </w:rPr>
        <w:t xml:space="preserve">The economy of Late Achaemenid and Seleucid Babylonia</w:t>
      </w:r>
      <w:r w:rsidDel="00000000" w:rsidR="00000000" w:rsidRPr="00000000">
        <w:rPr>
          <w:rtl w:val="0"/>
        </w:rPr>
        <w:t xml:space="preserve">. Cambridge: Cambridge University Press.</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Rajak, Tessa. "Roman Intervention in a Seleucid Siege of Jerusalem?" </w:t>
      </w:r>
      <w:r w:rsidDel="00000000" w:rsidR="00000000" w:rsidRPr="00000000">
        <w:rPr>
          <w:i w:val="1"/>
          <w:rtl w:val="0"/>
        </w:rPr>
        <w:t xml:space="preserve">Greek, Roman and Byzantine Studies</w:t>
      </w:r>
      <w:r w:rsidDel="00000000" w:rsidR="00000000" w:rsidRPr="00000000">
        <w:rPr>
          <w:rtl w:val="0"/>
        </w:rPr>
        <w:t xml:space="preserve">, vol. 22, no. 1, 1981, pp. 65. ProQuest, &lt;</w:t>
      </w:r>
      <w:hyperlink r:id="rId14">
        <w:r w:rsidDel="00000000" w:rsidR="00000000" w:rsidRPr="00000000">
          <w:rPr>
            <w:color w:val="1155cc"/>
            <w:u w:val="single"/>
            <w:rtl w:val="0"/>
          </w:rPr>
          <w:t xml:space="preserve">https://www.proquest.com/scholarly-journals/roman-intervention-seleucid-siege-jerusalem/docview/1301491001/se-2</w:t>
        </w:r>
      </w:hyperlink>
      <w:r w:rsidDel="00000000" w:rsidR="00000000" w:rsidRPr="00000000">
        <w:rPr>
          <w:rtl w:val="0"/>
        </w:rPr>
        <w:t xml:space="preserve">.&gt; [Accessed 27th December 2023]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Stark, Freya (1966) </w:t>
      </w:r>
      <w:r w:rsidDel="00000000" w:rsidR="00000000" w:rsidRPr="00000000">
        <w:rPr>
          <w:i w:val="1"/>
          <w:rtl w:val="0"/>
        </w:rPr>
        <w:t xml:space="preserve">Rome on the Euphrates </w:t>
      </w:r>
      <w:r w:rsidDel="00000000" w:rsidR="00000000" w:rsidRPr="00000000">
        <w:rPr>
          <w:rtl w:val="0"/>
        </w:rPr>
        <w:t xml:space="preserve">John Murray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spacing w:line="240" w:lineRule="auto"/>
        <w:rPr/>
      </w:pPr>
      <w:r w:rsidDel="00000000" w:rsidR="00000000" w:rsidRPr="00000000">
        <w:rPr>
          <w:rtl w:val="0"/>
        </w:rPr>
        <w:t xml:space="preserve">Taylor, M. J. . “Sacred Plunder and the Seleucid Near East.” </w:t>
      </w:r>
      <w:r w:rsidDel="00000000" w:rsidR="00000000" w:rsidRPr="00000000">
        <w:rPr>
          <w:i w:val="1"/>
          <w:rtl w:val="0"/>
        </w:rPr>
        <w:t xml:space="preserve">Greece &amp; Rome</w:t>
      </w:r>
      <w:r w:rsidDel="00000000" w:rsidR="00000000" w:rsidRPr="00000000">
        <w:rPr>
          <w:rtl w:val="0"/>
        </w:rPr>
        <w:t xml:space="preserve">, vol. 61, no. 2, 2014, pp. 222–41. JSTOR [Accessed 8th January 2024] </w:t>
      </w: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Van Der Spek, R. J. ‘The Seleucid state and the economy’ </w:t>
      </w:r>
      <w:r w:rsidDel="00000000" w:rsidR="00000000" w:rsidRPr="00000000">
        <w:rPr>
          <w:i w:val="1"/>
          <w:rtl w:val="0"/>
        </w:rPr>
        <w:t xml:space="preserve">Production and Public Powers in Classical Antiquity</w:t>
      </w:r>
      <w:r w:rsidDel="00000000" w:rsidR="00000000" w:rsidRPr="00000000">
        <w:rPr>
          <w:rtl w:val="0"/>
        </w:rPr>
        <w:t xml:space="preserve">, edited by E. LO CASCIO and D. W. RATHBONE, vol. 26, Cambridge Philological Society, 2000, pp. 27–36. </w:t>
      </w:r>
      <w:r w:rsidDel="00000000" w:rsidR="00000000" w:rsidRPr="00000000">
        <w:rPr>
          <w:i w:val="1"/>
          <w:rtl w:val="0"/>
        </w:rPr>
        <w:t xml:space="preserve">JSTOR</w:t>
      </w:r>
      <w:r w:rsidDel="00000000" w:rsidR="00000000" w:rsidRPr="00000000">
        <w:rPr>
          <w:rtl w:val="0"/>
        </w:rPr>
        <w:t xml:space="preserve">, &lt;</w:t>
      </w:r>
      <w:hyperlink r:id="rId15">
        <w:r w:rsidDel="00000000" w:rsidR="00000000" w:rsidRPr="00000000">
          <w:rPr>
            <w:color w:val="1155cc"/>
            <w:u w:val="single"/>
            <w:rtl w:val="0"/>
          </w:rPr>
          <w:t xml:space="preserve">https://doi.org/10.2307/j.ctv27h1q4f.8</w:t>
        </w:r>
      </w:hyperlink>
      <w:r w:rsidDel="00000000" w:rsidR="00000000" w:rsidRPr="00000000">
        <w:rPr>
          <w:rtl w:val="0"/>
        </w:rPr>
        <w:t xml:space="preserve">.&gt; [Accessed 29 Dec. 2023]</w:t>
      </w:r>
    </w:p>
    <w:p w:rsidR="00000000" w:rsidDel="00000000" w:rsidP="00000000" w:rsidRDefault="00000000" w:rsidRPr="00000000" w14:paraId="00000053">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4">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Isaac p.328</w:t>
      </w:r>
    </w:p>
  </w:footnote>
  <w:footnote w:id="0">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Stark, Freya (1966) Rome on the Euphrates John Murray p.18, Badian, E., ‘Rome and Antiochus the Great: A Study in Cold War’, Classical Philology, 54.2 (1959), pp.81–99 p.81-99</w:t>
      </w:r>
    </w:p>
  </w:footnote>
  <w:footnote w:id="1">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Stark p.18</w:t>
      </w:r>
    </w:p>
  </w:footnote>
  <w:footnote w:id="10">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Diodorus Siculus </w:t>
      </w:r>
      <w:r w:rsidDel="00000000" w:rsidR="00000000" w:rsidRPr="00000000">
        <w:rPr>
          <w:i w:val="1"/>
          <w:sz w:val="20"/>
          <w:szCs w:val="20"/>
          <w:rtl w:val="0"/>
        </w:rPr>
        <w:t xml:space="preserve">The Library of History</w:t>
      </w:r>
      <w:r w:rsidDel="00000000" w:rsidR="00000000" w:rsidRPr="00000000">
        <w:rPr>
          <w:sz w:val="20"/>
          <w:szCs w:val="20"/>
          <w:rtl w:val="0"/>
        </w:rPr>
        <w:t xml:space="preserve"> trans. F. R. Walton (1982) Loeb Classical Library vol. XI 29.10.1</w:t>
      </w:r>
    </w:p>
  </w:footnote>
  <w:footnote w:id="11">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Taylor, M. J. . “Sacred Plunder and the Seleucid Near East.” </w:t>
      </w:r>
      <w:r w:rsidDel="00000000" w:rsidR="00000000" w:rsidRPr="00000000">
        <w:rPr>
          <w:i w:val="1"/>
          <w:sz w:val="20"/>
          <w:szCs w:val="20"/>
          <w:rtl w:val="0"/>
        </w:rPr>
        <w:t xml:space="preserve">Greece &amp; Rome</w:t>
      </w:r>
      <w:r w:rsidDel="00000000" w:rsidR="00000000" w:rsidRPr="00000000">
        <w:rPr>
          <w:sz w:val="20"/>
          <w:szCs w:val="20"/>
          <w:rtl w:val="0"/>
        </w:rPr>
        <w:t xml:space="preserve">, vol. 61, no. 2, 2014, pp. 222–41. JSTOR p.230</w:t>
      </w:r>
    </w:p>
  </w:footnote>
  <w:footnote w:id="8">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Polybius </w:t>
      </w:r>
      <w:r w:rsidDel="00000000" w:rsidR="00000000" w:rsidRPr="00000000">
        <w:rPr>
          <w:i w:val="1"/>
          <w:sz w:val="20"/>
          <w:szCs w:val="20"/>
          <w:rtl w:val="0"/>
        </w:rPr>
        <w:t xml:space="preserve">The Histories</w:t>
      </w:r>
      <w:r w:rsidDel="00000000" w:rsidR="00000000" w:rsidRPr="00000000">
        <w:rPr>
          <w:sz w:val="20"/>
          <w:szCs w:val="20"/>
          <w:rtl w:val="0"/>
        </w:rPr>
        <w:t xml:space="preserve"> trans. W. R. Paton (1922) Loeb Classical Library </w:t>
      </w:r>
      <w:r w:rsidDel="00000000" w:rsidR="00000000" w:rsidRPr="00000000">
        <w:rPr>
          <w:i w:val="1"/>
          <w:sz w:val="20"/>
          <w:szCs w:val="20"/>
          <w:rtl w:val="0"/>
        </w:rPr>
        <w:t xml:space="preserve"> </w:t>
      </w:r>
      <w:r w:rsidDel="00000000" w:rsidR="00000000" w:rsidRPr="00000000">
        <w:rPr>
          <w:sz w:val="20"/>
          <w:szCs w:val="20"/>
          <w:rtl w:val="0"/>
        </w:rPr>
        <w:t xml:space="preserve">21.42.1-27, App. </w:t>
      </w:r>
      <w:r w:rsidDel="00000000" w:rsidR="00000000" w:rsidRPr="00000000">
        <w:rPr>
          <w:i w:val="1"/>
          <w:sz w:val="20"/>
          <w:szCs w:val="20"/>
          <w:rtl w:val="0"/>
        </w:rPr>
        <w:t xml:space="preserve">Syr. </w:t>
      </w:r>
      <w:r w:rsidDel="00000000" w:rsidR="00000000" w:rsidRPr="00000000">
        <w:rPr>
          <w:sz w:val="20"/>
          <w:szCs w:val="20"/>
          <w:rtl w:val="0"/>
        </w:rPr>
        <w:t xml:space="preserve">39</w:t>
      </w:r>
    </w:p>
  </w:footnote>
  <w:footnote w:id="20">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Dillon, M., Garland, L. (2005) Ancient Rome: From the Early Republic to the Assassination of Julius Caesar Routledge p.262</w:t>
      </w:r>
    </w:p>
  </w:footnote>
  <w:footnote w:id="21">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Dillon, Garland p.262-263</w:t>
      </w:r>
    </w:p>
  </w:footnote>
  <w:footnote w:id="22">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Kosmin, P.J. (2014) The land of the elephant kings : space, territory, and ideology in the Seleucid Empire. Cambridge, Massachusetts: Harvard University Press. P.129-141 </w:t>
      </w:r>
    </w:p>
  </w:footnote>
  <w:footnote w:id="12">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Pirngruber, R. (2017) </w:t>
      </w:r>
      <w:r w:rsidDel="00000000" w:rsidR="00000000" w:rsidRPr="00000000">
        <w:rPr>
          <w:i w:val="1"/>
          <w:sz w:val="20"/>
          <w:szCs w:val="20"/>
          <w:rtl w:val="0"/>
        </w:rPr>
        <w:t xml:space="preserve">The economy of Late Achaemenid and Seleucid Babylonia</w:t>
      </w:r>
      <w:r w:rsidDel="00000000" w:rsidR="00000000" w:rsidRPr="00000000">
        <w:rPr>
          <w:sz w:val="20"/>
          <w:szCs w:val="20"/>
          <w:rtl w:val="0"/>
        </w:rPr>
        <w:t xml:space="preserve">. Cambridge: Cambridge University Press. p.147</w:t>
      </w:r>
    </w:p>
    <w:p w:rsidR="00000000" w:rsidDel="00000000" w:rsidP="00000000" w:rsidRDefault="00000000" w:rsidRPr="00000000" w14:paraId="0000005E">
      <w:pPr>
        <w:spacing w:line="240" w:lineRule="auto"/>
        <w:rPr>
          <w:sz w:val="20"/>
          <w:szCs w:val="20"/>
        </w:rPr>
      </w:pPr>
      <w:r w:rsidDel="00000000" w:rsidR="00000000" w:rsidRPr="00000000">
        <w:rPr>
          <w:rtl w:val="0"/>
        </w:rPr>
      </w:r>
    </w:p>
  </w:footnote>
  <w:footnote w:id="17">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Habicht, C. ‘The Seleucids and their rivals’ </w:t>
      </w:r>
      <w:r w:rsidDel="00000000" w:rsidR="00000000" w:rsidRPr="00000000">
        <w:rPr>
          <w:i w:val="1"/>
          <w:sz w:val="20"/>
          <w:szCs w:val="20"/>
          <w:rtl w:val="0"/>
        </w:rPr>
        <w:t xml:space="preserve">The Cambridge ancient history. Vol.8, Rome and the Mediterranean to 133 B.C. </w:t>
      </w:r>
      <w:r w:rsidDel="00000000" w:rsidR="00000000" w:rsidRPr="00000000">
        <w:rPr>
          <w:sz w:val="20"/>
          <w:szCs w:val="20"/>
          <w:rtl w:val="0"/>
        </w:rPr>
        <w:t xml:space="preserve">; edited by A.E. Astin [et al.]. 2nd ed. 1989 Cambridge: Cambridge University Press. pp.324-382 p.339</w:t>
      </w:r>
    </w:p>
  </w:footnote>
  <w:footnote w:id="18">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Habicht p.339</w:t>
      </w:r>
    </w:p>
  </w:footnote>
  <w:footnote w:id="14">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Griffith p.148</w:t>
      </w:r>
    </w:p>
  </w:footnote>
  <w:footnote w:id="19">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Habicht p.339 </w:t>
      </w:r>
    </w:p>
  </w:footnote>
  <w:footnote w:id="15">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Griffith p.148-149</w:t>
      </w:r>
    </w:p>
  </w:footnote>
  <w:footnote w:id="16">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Griffith p.147-164</w:t>
      </w:r>
    </w:p>
  </w:footnote>
  <w:footnote w:id="13">
    <w:p w:rsidR="00000000" w:rsidDel="00000000" w:rsidP="00000000" w:rsidRDefault="00000000" w:rsidRPr="00000000" w14:paraId="0000006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Griffith, G. T. (1935) Mercenaries of the Hellenistic World Ares Publishing p.146</w:t>
      </w:r>
    </w:p>
  </w:footnote>
  <w:footnote w:id="27">
    <w:p w:rsidR="00000000" w:rsidDel="00000000" w:rsidP="00000000" w:rsidRDefault="00000000" w:rsidRPr="00000000" w14:paraId="0000006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Rajek p.76-77</w:t>
      </w:r>
    </w:p>
  </w:footnote>
  <w:footnote w:id="24">
    <w:p w:rsidR="00000000" w:rsidDel="00000000" w:rsidP="00000000" w:rsidRDefault="00000000" w:rsidRPr="00000000" w14:paraId="0000006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App, </w:t>
      </w:r>
      <w:r w:rsidDel="00000000" w:rsidR="00000000" w:rsidRPr="00000000">
        <w:rPr>
          <w:i w:val="1"/>
          <w:sz w:val="20"/>
          <w:szCs w:val="20"/>
          <w:rtl w:val="0"/>
        </w:rPr>
        <w:t xml:space="preserve">Syr. </w:t>
      </w:r>
      <w:r w:rsidDel="00000000" w:rsidR="00000000" w:rsidRPr="00000000">
        <w:rPr>
          <w:sz w:val="20"/>
          <w:szCs w:val="20"/>
          <w:rtl w:val="0"/>
        </w:rPr>
        <w:t xml:space="preserve">8.46</w:t>
      </w:r>
    </w:p>
  </w:footnote>
  <w:footnote w:id="23">
    <w:p w:rsidR="00000000" w:rsidDel="00000000" w:rsidP="00000000" w:rsidRDefault="00000000" w:rsidRPr="00000000" w14:paraId="0000006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Broughton, T. R. S. (1952) Magistrates of the Roman Republic Vol. 1 American Philological Association Number XV Vol.1 p.474</w:t>
      </w:r>
    </w:p>
  </w:footnote>
  <w:footnote w:id="28">
    <w:p w:rsidR="00000000" w:rsidDel="00000000" w:rsidP="00000000" w:rsidRDefault="00000000" w:rsidRPr="00000000" w14:paraId="0000006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App. </w:t>
      </w:r>
      <w:r w:rsidDel="00000000" w:rsidR="00000000" w:rsidRPr="00000000">
        <w:rPr>
          <w:i w:val="1"/>
          <w:sz w:val="20"/>
          <w:szCs w:val="20"/>
          <w:rtl w:val="0"/>
        </w:rPr>
        <w:t xml:space="preserve">Syr. </w:t>
      </w:r>
      <w:r w:rsidDel="00000000" w:rsidR="00000000" w:rsidRPr="00000000">
        <w:rPr>
          <w:sz w:val="20"/>
          <w:szCs w:val="20"/>
          <w:rtl w:val="0"/>
        </w:rPr>
        <w:t xml:space="preserve">8.49</w:t>
      </w:r>
    </w:p>
  </w:footnote>
  <w:footnote w:id="29">
    <w:p w:rsidR="00000000" w:rsidDel="00000000" w:rsidP="00000000" w:rsidRDefault="00000000" w:rsidRPr="00000000" w14:paraId="0000006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App. </w:t>
      </w:r>
      <w:r w:rsidDel="00000000" w:rsidR="00000000" w:rsidRPr="00000000">
        <w:rPr>
          <w:i w:val="1"/>
          <w:sz w:val="20"/>
          <w:szCs w:val="20"/>
          <w:rtl w:val="0"/>
        </w:rPr>
        <w:t xml:space="preserve">Syr. </w:t>
      </w:r>
      <w:r w:rsidDel="00000000" w:rsidR="00000000" w:rsidRPr="00000000">
        <w:rPr>
          <w:sz w:val="20"/>
          <w:szCs w:val="20"/>
          <w:rtl w:val="0"/>
        </w:rPr>
        <w:t xml:space="preserve">8.49</w:t>
      </w:r>
    </w:p>
  </w:footnote>
  <w:footnote w:id="26">
    <w:p w:rsidR="00000000" w:rsidDel="00000000" w:rsidP="00000000" w:rsidRDefault="00000000" w:rsidRPr="00000000" w14:paraId="0000006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Rajek p.73, </w:t>
      </w:r>
      <w:r w:rsidDel="00000000" w:rsidR="00000000" w:rsidRPr="00000000">
        <w:rPr>
          <w:rtl w:val="0"/>
        </w:rPr>
        <w:t xml:space="preserve">Josephus </w:t>
      </w:r>
      <w:r w:rsidDel="00000000" w:rsidR="00000000" w:rsidRPr="00000000">
        <w:rPr>
          <w:i w:val="1"/>
          <w:rtl w:val="0"/>
        </w:rPr>
        <w:t xml:space="preserve">The Antiquities of the Jews </w:t>
      </w:r>
      <w:r w:rsidDel="00000000" w:rsidR="00000000" w:rsidRPr="00000000">
        <w:rPr>
          <w:rtl w:val="0"/>
        </w:rPr>
        <w:t xml:space="preserve">trans. William Whiston (1737) University of Cambridge 13.8.3</w:t>
      </w:r>
      <w:r w:rsidDel="00000000" w:rsidR="00000000" w:rsidRPr="00000000">
        <w:rPr>
          <w:rtl w:val="0"/>
        </w:rPr>
      </w:r>
    </w:p>
  </w:footnote>
  <w:footnote w:id="25">
    <w:p w:rsidR="00000000" w:rsidDel="00000000" w:rsidP="00000000" w:rsidRDefault="00000000" w:rsidRPr="00000000" w14:paraId="0000006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Rajak, Tessa. "Roman Intervention in a Seleucid Siege of Jerusalem?</w:t>
      </w:r>
      <w:r w:rsidDel="00000000" w:rsidR="00000000" w:rsidRPr="00000000">
        <w:rPr>
          <w:i w:val="1"/>
          <w:sz w:val="20"/>
          <w:szCs w:val="20"/>
          <w:rtl w:val="0"/>
        </w:rPr>
        <w:t xml:space="preserve">" Greek, Roman and Byzantine Studies,</w:t>
      </w:r>
      <w:r w:rsidDel="00000000" w:rsidR="00000000" w:rsidRPr="00000000">
        <w:rPr>
          <w:sz w:val="20"/>
          <w:szCs w:val="20"/>
          <w:rtl w:val="0"/>
        </w:rPr>
        <w:t xml:space="preserve"> vol. 22, no. 1, 1981, pp. 65-81 ProQuest p.65-81</w:t>
      </w:r>
    </w:p>
  </w:footnote>
  <w:footnote w:id="5">
    <w:p w:rsidR="00000000" w:rsidDel="00000000" w:rsidP="00000000" w:rsidRDefault="00000000" w:rsidRPr="00000000" w14:paraId="0000006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Livy </w:t>
      </w:r>
      <w:r w:rsidDel="00000000" w:rsidR="00000000" w:rsidRPr="00000000">
        <w:rPr>
          <w:i w:val="1"/>
          <w:sz w:val="20"/>
          <w:szCs w:val="20"/>
          <w:rtl w:val="0"/>
        </w:rPr>
        <w:t xml:space="preserve">AUC </w:t>
      </w:r>
      <w:r w:rsidDel="00000000" w:rsidR="00000000" w:rsidRPr="00000000">
        <w:rPr>
          <w:sz w:val="20"/>
          <w:szCs w:val="20"/>
          <w:rtl w:val="0"/>
        </w:rPr>
        <w:t xml:space="preserve">35.166.1-6, Stark p.18 </w:t>
      </w:r>
    </w:p>
  </w:footnote>
  <w:footnote w:id="6">
    <w:p w:rsidR="00000000" w:rsidDel="00000000" w:rsidP="00000000" w:rsidRDefault="00000000" w:rsidRPr="00000000" w14:paraId="0000006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Appian </w:t>
      </w:r>
      <w:r w:rsidDel="00000000" w:rsidR="00000000" w:rsidRPr="00000000">
        <w:rPr>
          <w:i w:val="1"/>
          <w:rtl w:val="0"/>
        </w:rPr>
        <w:t xml:space="preserve">Roman History </w:t>
      </w:r>
      <w:r w:rsidDel="00000000" w:rsidR="00000000" w:rsidRPr="00000000">
        <w:rPr>
          <w:rtl w:val="0"/>
        </w:rPr>
        <w:t xml:space="preserve">trans. Horace White (1913) Loeb Classical Library </w:t>
      </w:r>
      <w:r w:rsidDel="00000000" w:rsidR="00000000" w:rsidRPr="00000000">
        <w:rPr>
          <w:i w:val="1"/>
          <w:rtl w:val="0"/>
        </w:rPr>
        <w:t xml:space="preserve">Syriaca.</w:t>
      </w:r>
      <w:r w:rsidDel="00000000" w:rsidR="00000000" w:rsidRPr="00000000">
        <w:rPr>
          <w:sz w:val="20"/>
          <w:szCs w:val="20"/>
          <w:rtl w:val="0"/>
        </w:rPr>
        <w:t xml:space="preserve">8.36 </w:t>
      </w:r>
    </w:p>
  </w:footnote>
  <w:footnote w:id="9">
    <w:p w:rsidR="00000000" w:rsidDel="00000000" w:rsidP="00000000" w:rsidRDefault="00000000" w:rsidRPr="00000000" w14:paraId="0000006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Poly. </w:t>
      </w:r>
      <w:r w:rsidDel="00000000" w:rsidR="00000000" w:rsidRPr="00000000">
        <w:rPr>
          <w:i w:val="1"/>
          <w:sz w:val="20"/>
          <w:szCs w:val="20"/>
          <w:rtl w:val="0"/>
        </w:rPr>
        <w:t xml:space="preserve">His. </w:t>
      </w:r>
      <w:r w:rsidDel="00000000" w:rsidR="00000000" w:rsidRPr="00000000">
        <w:rPr>
          <w:sz w:val="20"/>
          <w:szCs w:val="20"/>
          <w:rtl w:val="0"/>
        </w:rPr>
        <w:t xml:space="preserve">21.42.13, App </w:t>
      </w:r>
      <w:r w:rsidDel="00000000" w:rsidR="00000000" w:rsidRPr="00000000">
        <w:rPr>
          <w:i w:val="1"/>
          <w:sz w:val="20"/>
          <w:szCs w:val="20"/>
          <w:rtl w:val="0"/>
        </w:rPr>
        <w:t xml:space="preserve">Syr. </w:t>
      </w:r>
      <w:r w:rsidDel="00000000" w:rsidR="00000000" w:rsidRPr="00000000">
        <w:rPr>
          <w:sz w:val="20"/>
          <w:szCs w:val="20"/>
          <w:rtl w:val="0"/>
        </w:rPr>
        <w:t xml:space="preserve">39</w:t>
      </w:r>
    </w:p>
  </w:footnote>
  <w:footnote w:id="30">
    <w:p w:rsidR="00000000" w:rsidDel="00000000" w:rsidP="00000000" w:rsidRDefault="00000000" w:rsidRPr="00000000" w14:paraId="0000007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Valerius Maximus (30 CE) </w:t>
      </w:r>
      <w:r w:rsidDel="00000000" w:rsidR="00000000" w:rsidRPr="00000000">
        <w:rPr>
          <w:i w:val="1"/>
          <w:sz w:val="20"/>
          <w:szCs w:val="20"/>
          <w:rtl w:val="0"/>
        </w:rPr>
        <w:t xml:space="preserve">Memorable Deeds and Sayings</w:t>
      </w:r>
      <w:r w:rsidDel="00000000" w:rsidR="00000000" w:rsidRPr="00000000">
        <w:rPr>
          <w:sz w:val="20"/>
          <w:szCs w:val="20"/>
          <w:rtl w:val="0"/>
        </w:rPr>
        <w:t xml:space="preserve"> trans. S. Speed (1678) 6.2.8 </w:t>
      </w:r>
    </w:p>
  </w:footnote>
  <w:footnote w:id="2">
    <w:p w:rsidR="00000000" w:rsidDel="00000000" w:rsidP="00000000" w:rsidRDefault="00000000" w:rsidRPr="00000000" w14:paraId="0000007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Isaac, Benjamin (2004) The Invention of Racism in Classical Antiquity Princeton University Press p.328 </w:t>
      </w:r>
    </w:p>
  </w:footnote>
  <w:footnote w:id="3">
    <w:p w:rsidR="00000000" w:rsidDel="00000000" w:rsidP="00000000" w:rsidRDefault="00000000" w:rsidRPr="00000000" w14:paraId="0000007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Isaac p.328</w:t>
      </w:r>
    </w:p>
  </w:footnote>
  <w:footnote w:id="7">
    <w:p w:rsidR="00000000" w:rsidDel="00000000" w:rsidP="00000000" w:rsidRDefault="00000000" w:rsidRPr="00000000" w14:paraId="0000007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Burton, P. J. (2011) </w:t>
      </w:r>
      <w:r w:rsidDel="00000000" w:rsidR="00000000" w:rsidRPr="00000000">
        <w:rPr>
          <w:i w:val="1"/>
          <w:sz w:val="20"/>
          <w:szCs w:val="20"/>
          <w:rtl w:val="0"/>
        </w:rPr>
        <w:t xml:space="preserve">Friendship and Empire: Roman Diplomacy and Imperialism in the Middle Republic (353-146 BC)</w:t>
      </w:r>
      <w:r w:rsidDel="00000000" w:rsidR="00000000" w:rsidRPr="00000000">
        <w:rPr>
          <w:sz w:val="20"/>
          <w:szCs w:val="20"/>
          <w:rtl w:val="0"/>
        </w:rPr>
        <w:t xml:space="preserve"> Cambridge University Press p.7</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penelope.uchicago.edu/Thayer/E/Roman/Texts/Polybius/home.html" TargetMode="External"/><Relationship Id="rId10" Type="http://schemas.openxmlformats.org/officeDocument/2006/relationships/hyperlink" Target="http://www.perseus.tufts.edu/hopper/text?doc=Perseus%3Atext%3A1999.02.0144%3Abook%3D35%3Achapter%3D16" TargetMode="External"/><Relationship Id="rId13" Type="http://schemas.openxmlformats.org/officeDocument/2006/relationships/hyperlink" Target="https://archive.org/details/broughton-magistrates-roman-republic/mode/2up" TargetMode="External"/><Relationship Id="rId12" Type="http://schemas.openxmlformats.org/officeDocument/2006/relationships/hyperlink" Target="https://www.attalus.org/info/valerius.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penelope.uchicago.edu/josephus/" TargetMode="External"/><Relationship Id="rId15" Type="http://schemas.openxmlformats.org/officeDocument/2006/relationships/hyperlink" Target="https://doi.org/10.2307/j.ctv27h1q4f.8" TargetMode="External"/><Relationship Id="rId14" Type="http://schemas.openxmlformats.org/officeDocument/2006/relationships/hyperlink" Target="https://www.proquest.com/scholarly-journals/roman-intervention-seleucid-siege-jerusalem/docview/1301491001/se-2"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penelope.uchicago.edu/Thayer/E/Roman/Texts/Appian/home.html" TargetMode="External"/><Relationship Id="rId8" Type="http://schemas.openxmlformats.org/officeDocument/2006/relationships/hyperlink" Target="https://penelope.uchicago.edu/Thayer/E/Roman/Texts/Diodorus_Siculus/ho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