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EBEA18" w14:textId="77777777" w:rsidR="0090095A" w:rsidRPr="00593A5B" w:rsidRDefault="0090095A" w:rsidP="0014054D">
      <w:pPr>
        <w:rPr>
          <w:rFonts w:cs="Times New Roman"/>
          <w:noProof/>
          <w:sz w:val="32"/>
          <w:szCs w:val="32"/>
        </w:rPr>
      </w:pPr>
      <w:bookmarkStart w:id="0" w:name="_Hlk189252302"/>
    </w:p>
    <w:p w14:paraId="37805371" w14:textId="77777777" w:rsidR="0090095A" w:rsidRPr="00593A5B" w:rsidRDefault="0090095A" w:rsidP="0014054D">
      <w:pPr>
        <w:jc w:val="center"/>
        <w:rPr>
          <w:rFonts w:cs="Times New Roman"/>
          <w:noProof/>
          <w:sz w:val="32"/>
          <w:szCs w:val="32"/>
        </w:rPr>
      </w:pPr>
      <w:r w:rsidRPr="00593A5B">
        <w:rPr>
          <w:rFonts w:cs="Times New Roman"/>
          <w:b/>
          <w:noProof/>
        </w:rPr>
        <w:drawing>
          <wp:inline distT="0" distB="0" distL="0" distR="0" wp14:anchorId="3BE8D2EF" wp14:editId="6DF0EDEB">
            <wp:extent cx="2876550" cy="952500"/>
            <wp:effectExtent l="0" t="0" r="0" b="0"/>
            <wp:docPr id="1956548913"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6550" cy="952500"/>
                    </a:xfrm>
                    <a:prstGeom prst="rect">
                      <a:avLst/>
                    </a:prstGeom>
                    <a:noFill/>
                    <a:ln>
                      <a:noFill/>
                    </a:ln>
                  </pic:spPr>
                </pic:pic>
              </a:graphicData>
            </a:graphic>
          </wp:inline>
        </w:drawing>
      </w:r>
    </w:p>
    <w:p w14:paraId="510DDCC8" w14:textId="77777777" w:rsidR="0090095A" w:rsidRPr="00593A5B" w:rsidRDefault="0090095A" w:rsidP="0014054D">
      <w:pPr>
        <w:jc w:val="center"/>
        <w:rPr>
          <w:rFonts w:cs="Times New Roman"/>
          <w:noProof/>
          <w:sz w:val="32"/>
          <w:szCs w:val="32"/>
        </w:rPr>
      </w:pPr>
    </w:p>
    <w:p w14:paraId="19237C18" w14:textId="77777777" w:rsidR="002D6FA6" w:rsidRPr="00593A5B" w:rsidRDefault="002D6FA6" w:rsidP="0014054D">
      <w:pPr>
        <w:jc w:val="center"/>
        <w:rPr>
          <w:rFonts w:cs="Times New Roman"/>
          <w:noProof/>
          <w:sz w:val="32"/>
          <w:szCs w:val="32"/>
        </w:rPr>
      </w:pPr>
    </w:p>
    <w:p w14:paraId="1BDBD07B" w14:textId="0D15D1EF" w:rsidR="0090095A" w:rsidRPr="00593A5B" w:rsidRDefault="0090095A" w:rsidP="0014054D">
      <w:pPr>
        <w:jc w:val="center"/>
        <w:rPr>
          <w:rFonts w:cs="Times New Roman"/>
          <w:noProof/>
          <w:sz w:val="32"/>
          <w:szCs w:val="32"/>
        </w:rPr>
      </w:pPr>
      <w:r w:rsidRPr="00593A5B">
        <w:rPr>
          <w:rFonts w:cs="Times New Roman"/>
          <w:noProof/>
          <w:sz w:val="32"/>
          <w:szCs w:val="32"/>
        </w:rPr>
        <w:t>Assignment Title: Assignment 2: “Inclusive Event Planning Masterclass: Designing and Executing Accessible Events”</w:t>
      </w:r>
    </w:p>
    <w:p w14:paraId="5AD9C0C5" w14:textId="77777777" w:rsidR="0090095A" w:rsidRPr="00593A5B" w:rsidRDefault="0090095A" w:rsidP="0014054D">
      <w:pPr>
        <w:jc w:val="center"/>
        <w:rPr>
          <w:rFonts w:cs="Times New Roman"/>
          <w:noProof/>
          <w:sz w:val="32"/>
          <w:szCs w:val="32"/>
        </w:rPr>
      </w:pPr>
    </w:p>
    <w:p w14:paraId="6EC52758" w14:textId="015C5607" w:rsidR="0090095A" w:rsidRPr="00593A5B" w:rsidRDefault="0090095A" w:rsidP="0014054D">
      <w:pPr>
        <w:jc w:val="center"/>
        <w:rPr>
          <w:rFonts w:cs="Times New Roman"/>
          <w:noProof/>
          <w:sz w:val="32"/>
          <w:szCs w:val="32"/>
        </w:rPr>
      </w:pPr>
      <w:r w:rsidRPr="00593A5B">
        <w:rPr>
          <w:rFonts w:cs="Times New Roman"/>
          <w:noProof/>
          <w:sz w:val="32"/>
          <w:szCs w:val="32"/>
        </w:rPr>
        <w:t>Module: International Meetings Management for the Hotel Industry</w:t>
      </w:r>
    </w:p>
    <w:p w14:paraId="2B72FA29" w14:textId="77777777" w:rsidR="002D6FA6" w:rsidRPr="00593A5B" w:rsidRDefault="002D6FA6" w:rsidP="0014054D">
      <w:pPr>
        <w:jc w:val="center"/>
        <w:rPr>
          <w:rFonts w:cs="Times New Roman"/>
          <w:noProof/>
          <w:sz w:val="32"/>
          <w:szCs w:val="32"/>
        </w:rPr>
      </w:pPr>
    </w:p>
    <w:p w14:paraId="1C835CBF" w14:textId="5DC6B74D" w:rsidR="0090095A" w:rsidRPr="00593A5B" w:rsidRDefault="0090095A" w:rsidP="0014054D">
      <w:pPr>
        <w:jc w:val="center"/>
        <w:rPr>
          <w:rFonts w:cs="Times New Roman"/>
          <w:noProof/>
          <w:sz w:val="32"/>
          <w:szCs w:val="32"/>
        </w:rPr>
      </w:pPr>
      <w:r w:rsidRPr="00593A5B">
        <w:rPr>
          <w:rFonts w:cs="Times New Roman"/>
          <w:noProof/>
          <w:sz w:val="32"/>
          <w:szCs w:val="32"/>
        </w:rPr>
        <w:t>Module code: BMIH6007</w:t>
      </w:r>
    </w:p>
    <w:p w14:paraId="7689D5F0" w14:textId="77777777" w:rsidR="0090095A" w:rsidRPr="00593A5B" w:rsidRDefault="0090095A" w:rsidP="0014054D">
      <w:pPr>
        <w:jc w:val="center"/>
        <w:rPr>
          <w:rFonts w:cs="Times New Roman"/>
          <w:noProof/>
          <w:sz w:val="32"/>
          <w:szCs w:val="32"/>
        </w:rPr>
      </w:pPr>
    </w:p>
    <w:p w14:paraId="20E14E20" w14:textId="0E5F414F" w:rsidR="0090095A" w:rsidRPr="00593A5B" w:rsidRDefault="0090095A" w:rsidP="0014054D">
      <w:pPr>
        <w:jc w:val="center"/>
        <w:rPr>
          <w:rFonts w:cs="Times New Roman"/>
          <w:noProof/>
          <w:sz w:val="32"/>
          <w:szCs w:val="32"/>
        </w:rPr>
      </w:pPr>
      <w:r w:rsidRPr="00593A5B">
        <w:rPr>
          <w:rFonts w:cs="Times New Roman"/>
          <w:noProof/>
          <w:sz w:val="32"/>
          <w:szCs w:val="32"/>
        </w:rPr>
        <w:t>Lecturer:</w:t>
      </w:r>
      <w:r w:rsidR="004F00B8">
        <w:rPr>
          <w:rFonts w:cs="Times New Roman"/>
          <w:noProof/>
          <w:sz w:val="32"/>
          <w:szCs w:val="32"/>
        </w:rPr>
        <w:t xml:space="preserve"> Chris wilkin</w:t>
      </w:r>
    </w:p>
    <w:p w14:paraId="7E7EF7DD" w14:textId="77777777" w:rsidR="0090095A" w:rsidRPr="00593A5B" w:rsidRDefault="0090095A" w:rsidP="0014054D">
      <w:pPr>
        <w:jc w:val="center"/>
        <w:rPr>
          <w:rFonts w:cs="Times New Roman"/>
          <w:noProof/>
          <w:sz w:val="32"/>
          <w:szCs w:val="32"/>
        </w:rPr>
      </w:pPr>
    </w:p>
    <w:p w14:paraId="67F7DC1C" w14:textId="77777777" w:rsidR="0090095A" w:rsidRPr="00593A5B" w:rsidRDefault="0090095A" w:rsidP="0014054D">
      <w:pPr>
        <w:jc w:val="center"/>
        <w:rPr>
          <w:rFonts w:cs="Times New Roman"/>
          <w:bCs/>
          <w:noProof/>
          <w:sz w:val="32"/>
          <w:szCs w:val="32"/>
        </w:rPr>
      </w:pPr>
      <w:r w:rsidRPr="00593A5B">
        <w:rPr>
          <w:rFonts w:cs="Times New Roman"/>
          <w:noProof/>
          <w:sz w:val="32"/>
          <w:szCs w:val="32"/>
        </w:rPr>
        <w:t xml:space="preserve">Prepared by: </w:t>
      </w:r>
      <w:r w:rsidRPr="00593A5B">
        <w:rPr>
          <w:rFonts w:cs="Times New Roman"/>
          <w:bCs/>
          <w:noProof/>
          <w:sz w:val="32"/>
          <w:szCs w:val="32"/>
        </w:rPr>
        <w:t>Md Shiplu Uddin</w:t>
      </w:r>
    </w:p>
    <w:p w14:paraId="2AC3FDB5" w14:textId="77777777" w:rsidR="0090095A" w:rsidRPr="00593A5B" w:rsidRDefault="0090095A" w:rsidP="0014054D">
      <w:pPr>
        <w:jc w:val="center"/>
        <w:rPr>
          <w:rFonts w:cs="Times New Roman"/>
          <w:bCs/>
          <w:noProof/>
          <w:sz w:val="32"/>
          <w:szCs w:val="32"/>
        </w:rPr>
      </w:pPr>
      <w:r w:rsidRPr="00593A5B">
        <w:rPr>
          <w:rFonts w:cs="Times New Roman"/>
          <w:noProof/>
          <w:sz w:val="32"/>
          <w:szCs w:val="32"/>
        </w:rPr>
        <w:t xml:space="preserve">Student ID: </w:t>
      </w:r>
      <w:r w:rsidRPr="00593A5B">
        <w:rPr>
          <w:rFonts w:cs="Times New Roman"/>
          <w:bCs/>
          <w:noProof/>
          <w:sz w:val="32"/>
          <w:szCs w:val="32"/>
        </w:rPr>
        <w:t>2209548</w:t>
      </w:r>
    </w:p>
    <w:p w14:paraId="5A894271" w14:textId="5C13D46A" w:rsidR="0090095A" w:rsidRPr="00593A5B" w:rsidRDefault="0090095A" w:rsidP="0014054D">
      <w:pPr>
        <w:jc w:val="center"/>
        <w:rPr>
          <w:rFonts w:cs="Times New Roman"/>
          <w:noProof/>
          <w:sz w:val="32"/>
          <w:szCs w:val="32"/>
        </w:rPr>
      </w:pPr>
      <w:r w:rsidRPr="00593A5B">
        <w:rPr>
          <w:rFonts w:cs="Times New Roman"/>
          <w:bCs/>
          <w:noProof/>
          <w:sz w:val="32"/>
          <w:szCs w:val="32"/>
        </w:rPr>
        <w:t>Word Count:</w:t>
      </w:r>
      <w:r w:rsidR="00C21BEE" w:rsidRPr="00593A5B">
        <w:rPr>
          <w:rFonts w:cs="Times New Roman"/>
          <w:bCs/>
          <w:noProof/>
          <w:sz w:val="32"/>
          <w:szCs w:val="32"/>
        </w:rPr>
        <w:t xml:space="preserve"> 2545</w:t>
      </w:r>
    </w:p>
    <w:p w14:paraId="12A3F80B" w14:textId="77777777" w:rsidR="00194B67" w:rsidRPr="00593A5B" w:rsidRDefault="00194B67" w:rsidP="0014054D">
      <w:pPr>
        <w:rPr>
          <w:rFonts w:eastAsia="Times New Roman" w:cs="Times New Roman"/>
          <w:noProof/>
          <w:lang w:eastAsia="en-GB"/>
        </w:rPr>
      </w:pPr>
    </w:p>
    <w:p w14:paraId="1B7FB210" w14:textId="77777777" w:rsidR="00194B67" w:rsidRPr="00593A5B" w:rsidRDefault="00194B67" w:rsidP="0014054D">
      <w:pPr>
        <w:rPr>
          <w:rFonts w:eastAsia="Times New Roman" w:cs="Times New Roman"/>
          <w:noProof/>
          <w:lang w:eastAsia="en-GB"/>
        </w:rPr>
      </w:pPr>
    </w:p>
    <w:p w14:paraId="4D72D12E" w14:textId="7F417441" w:rsidR="00A10276" w:rsidRPr="00593A5B" w:rsidRDefault="00A10276" w:rsidP="0014054D">
      <w:pPr>
        <w:rPr>
          <w:rFonts w:eastAsia="Times New Roman" w:cs="Times New Roman"/>
          <w:noProof/>
          <w:lang w:eastAsia="en-GB"/>
        </w:rPr>
      </w:pPr>
    </w:p>
    <w:sdt>
      <w:sdtPr>
        <w:rPr>
          <w:rFonts w:ascii="Times New Roman" w:eastAsiaTheme="minorHAnsi" w:hAnsi="Times New Roman" w:cs="Times New Roman"/>
          <w:noProof/>
          <w:color w:val="auto"/>
          <w:sz w:val="24"/>
          <w:szCs w:val="24"/>
          <w:lang w:eastAsia="en-US"/>
        </w:rPr>
        <w:id w:val="397102024"/>
        <w:docPartObj>
          <w:docPartGallery w:val="Table of Contents"/>
          <w:docPartUnique/>
        </w:docPartObj>
      </w:sdtPr>
      <w:sdtEndPr>
        <w:rPr>
          <w:b/>
          <w:bCs/>
        </w:rPr>
      </w:sdtEndPr>
      <w:sdtContent>
        <w:p w14:paraId="3425C307" w14:textId="46321ED6" w:rsidR="00194B67" w:rsidRPr="00593A5B" w:rsidRDefault="00194B67" w:rsidP="0014054D">
          <w:pPr>
            <w:pStyle w:val="TOCHeading"/>
            <w:spacing w:line="360" w:lineRule="auto"/>
            <w:rPr>
              <w:rFonts w:ascii="Times New Roman" w:hAnsi="Times New Roman" w:cs="Times New Roman"/>
              <w:noProof/>
            </w:rPr>
          </w:pPr>
          <w:r w:rsidRPr="00593A5B">
            <w:rPr>
              <w:rFonts w:ascii="Times New Roman" w:hAnsi="Times New Roman" w:cs="Times New Roman"/>
              <w:noProof/>
            </w:rPr>
            <w:t>Table of Contents</w:t>
          </w:r>
        </w:p>
        <w:p w14:paraId="3957C212" w14:textId="19CC3D95" w:rsidR="00303D5E" w:rsidRDefault="00194B67">
          <w:pPr>
            <w:pStyle w:val="TOC1"/>
            <w:tabs>
              <w:tab w:val="right" w:leader="dot" w:pos="9016"/>
            </w:tabs>
            <w:rPr>
              <w:rFonts w:asciiTheme="minorHAnsi" w:eastAsiaTheme="minorEastAsia" w:hAnsiTheme="minorHAnsi"/>
              <w:noProof/>
              <w:kern w:val="2"/>
              <w:lang w:eastAsia="en-GB"/>
              <w14:ligatures w14:val="standardContextual"/>
            </w:rPr>
          </w:pPr>
          <w:r w:rsidRPr="00593A5B">
            <w:rPr>
              <w:rFonts w:cs="Times New Roman"/>
              <w:noProof/>
            </w:rPr>
            <w:fldChar w:fldCharType="begin"/>
          </w:r>
          <w:r w:rsidRPr="00593A5B">
            <w:rPr>
              <w:rFonts w:cs="Times New Roman"/>
              <w:noProof/>
            </w:rPr>
            <w:instrText xml:space="preserve"> TOC \o "1-3" \h \z \u </w:instrText>
          </w:r>
          <w:r w:rsidRPr="00593A5B">
            <w:rPr>
              <w:rFonts w:cs="Times New Roman"/>
              <w:noProof/>
            </w:rPr>
            <w:fldChar w:fldCharType="separate"/>
          </w:r>
          <w:hyperlink w:anchor="_Toc190198982" w:history="1">
            <w:r w:rsidR="00303D5E" w:rsidRPr="001D4A65">
              <w:rPr>
                <w:rStyle w:val="Hyperlink"/>
                <w:rFonts w:cs="Times New Roman"/>
                <w:noProof/>
              </w:rPr>
              <w:t>1. Introduction</w:t>
            </w:r>
            <w:r w:rsidR="00303D5E">
              <w:rPr>
                <w:noProof/>
                <w:webHidden/>
              </w:rPr>
              <w:tab/>
            </w:r>
            <w:r w:rsidR="00303D5E">
              <w:rPr>
                <w:noProof/>
                <w:webHidden/>
              </w:rPr>
              <w:fldChar w:fldCharType="begin"/>
            </w:r>
            <w:r w:rsidR="00303D5E">
              <w:rPr>
                <w:noProof/>
                <w:webHidden/>
              </w:rPr>
              <w:instrText xml:space="preserve"> PAGEREF _Toc190198982 \h </w:instrText>
            </w:r>
            <w:r w:rsidR="00303D5E">
              <w:rPr>
                <w:noProof/>
                <w:webHidden/>
              </w:rPr>
            </w:r>
            <w:r w:rsidR="00303D5E">
              <w:rPr>
                <w:noProof/>
                <w:webHidden/>
              </w:rPr>
              <w:fldChar w:fldCharType="separate"/>
            </w:r>
            <w:r w:rsidR="00303D5E">
              <w:rPr>
                <w:noProof/>
                <w:webHidden/>
              </w:rPr>
              <w:t>3</w:t>
            </w:r>
            <w:r w:rsidR="00303D5E">
              <w:rPr>
                <w:noProof/>
                <w:webHidden/>
              </w:rPr>
              <w:fldChar w:fldCharType="end"/>
            </w:r>
          </w:hyperlink>
        </w:p>
        <w:p w14:paraId="76BD0BF4" w14:textId="46A21FAA" w:rsidR="00303D5E" w:rsidRDefault="00303D5E">
          <w:pPr>
            <w:pStyle w:val="TOC1"/>
            <w:tabs>
              <w:tab w:val="right" w:leader="dot" w:pos="9016"/>
            </w:tabs>
            <w:rPr>
              <w:rFonts w:asciiTheme="minorHAnsi" w:eastAsiaTheme="minorEastAsia" w:hAnsiTheme="minorHAnsi"/>
              <w:noProof/>
              <w:kern w:val="2"/>
              <w:lang w:eastAsia="en-GB"/>
              <w14:ligatures w14:val="standardContextual"/>
            </w:rPr>
          </w:pPr>
          <w:hyperlink w:anchor="_Toc190198983" w:history="1">
            <w:r w:rsidRPr="001D4A65">
              <w:rPr>
                <w:rStyle w:val="Hyperlink"/>
                <w:rFonts w:cs="Times New Roman"/>
                <w:noProof/>
              </w:rPr>
              <w:t>2. The Event Cycle</w:t>
            </w:r>
            <w:r>
              <w:rPr>
                <w:noProof/>
                <w:webHidden/>
              </w:rPr>
              <w:tab/>
            </w:r>
            <w:r>
              <w:rPr>
                <w:noProof/>
                <w:webHidden/>
              </w:rPr>
              <w:fldChar w:fldCharType="begin"/>
            </w:r>
            <w:r>
              <w:rPr>
                <w:noProof/>
                <w:webHidden/>
              </w:rPr>
              <w:instrText xml:space="preserve"> PAGEREF _Toc190198983 \h </w:instrText>
            </w:r>
            <w:r>
              <w:rPr>
                <w:noProof/>
                <w:webHidden/>
              </w:rPr>
            </w:r>
            <w:r>
              <w:rPr>
                <w:noProof/>
                <w:webHidden/>
              </w:rPr>
              <w:fldChar w:fldCharType="separate"/>
            </w:r>
            <w:r>
              <w:rPr>
                <w:noProof/>
                <w:webHidden/>
              </w:rPr>
              <w:t>3</w:t>
            </w:r>
            <w:r>
              <w:rPr>
                <w:noProof/>
                <w:webHidden/>
              </w:rPr>
              <w:fldChar w:fldCharType="end"/>
            </w:r>
          </w:hyperlink>
        </w:p>
        <w:p w14:paraId="4D80814E" w14:textId="1E092D5B" w:rsidR="00303D5E" w:rsidRDefault="00303D5E">
          <w:pPr>
            <w:pStyle w:val="TOC2"/>
            <w:tabs>
              <w:tab w:val="right" w:leader="dot" w:pos="9016"/>
            </w:tabs>
            <w:rPr>
              <w:rFonts w:asciiTheme="minorHAnsi" w:eastAsiaTheme="minorEastAsia" w:hAnsiTheme="minorHAnsi"/>
              <w:noProof/>
              <w:kern w:val="2"/>
              <w:lang w:eastAsia="en-GB"/>
              <w14:ligatures w14:val="standardContextual"/>
            </w:rPr>
          </w:pPr>
          <w:hyperlink w:anchor="_Toc190198984" w:history="1">
            <w:r w:rsidRPr="001D4A65">
              <w:rPr>
                <w:rStyle w:val="Hyperlink"/>
                <w:rFonts w:cs="Times New Roman"/>
                <w:noProof/>
              </w:rPr>
              <w:t>2.1 Application to the Event</w:t>
            </w:r>
            <w:r>
              <w:rPr>
                <w:noProof/>
                <w:webHidden/>
              </w:rPr>
              <w:tab/>
            </w:r>
            <w:r>
              <w:rPr>
                <w:noProof/>
                <w:webHidden/>
              </w:rPr>
              <w:fldChar w:fldCharType="begin"/>
            </w:r>
            <w:r>
              <w:rPr>
                <w:noProof/>
                <w:webHidden/>
              </w:rPr>
              <w:instrText xml:space="preserve"> PAGEREF _Toc190198984 \h </w:instrText>
            </w:r>
            <w:r>
              <w:rPr>
                <w:noProof/>
                <w:webHidden/>
              </w:rPr>
            </w:r>
            <w:r>
              <w:rPr>
                <w:noProof/>
                <w:webHidden/>
              </w:rPr>
              <w:fldChar w:fldCharType="separate"/>
            </w:r>
            <w:r>
              <w:rPr>
                <w:noProof/>
                <w:webHidden/>
              </w:rPr>
              <w:t>3</w:t>
            </w:r>
            <w:r>
              <w:rPr>
                <w:noProof/>
                <w:webHidden/>
              </w:rPr>
              <w:fldChar w:fldCharType="end"/>
            </w:r>
          </w:hyperlink>
        </w:p>
        <w:p w14:paraId="55ED7C4E" w14:textId="5E0C2C00" w:rsidR="00303D5E" w:rsidRDefault="00303D5E">
          <w:pPr>
            <w:pStyle w:val="TOC2"/>
            <w:tabs>
              <w:tab w:val="right" w:leader="dot" w:pos="9016"/>
            </w:tabs>
            <w:rPr>
              <w:rFonts w:asciiTheme="minorHAnsi" w:eastAsiaTheme="minorEastAsia" w:hAnsiTheme="minorHAnsi"/>
              <w:noProof/>
              <w:kern w:val="2"/>
              <w:lang w:eastAsia="en-GB"/>
              <w14:ligatures w14:val="standardContextual"/>
            </w:rPr>
          </w:pPr>
          <w:hyperlink w:anchor="_Toc190198985" w:history="1">
            <w:r w:rsidRPr="001D4A65">
              <w:rPr>
                <w:rStyle w:val="Hyperlink"/>
                <w:rFonts w:cs="Times New Roman"/>
                <w:noProof/>
              </w:rPr>
              <w:t>2.2 Strategic Timeline</w:t>
            </w:r>
            <w:r>
              <w:rPr>
                <w:noProof/>
                <w:webHidden/>
              </w:rPr>
              <w:tab/>
            </w:r>
            <w:r>
              <w:rPr>
                <w:noProof/>
                <w:webHidden/>
              </w:rPr>
              <w:fldChar w:fldCharType="begin"/>
            </w:r>
            <w:r>
              <w:rPr>
                <w:noProof/>
                <w:webHidden/>
              </w:rPr>
              <w:instrText xml:space="preserve"> PAGEREF _Toc190198985 \h </w:instrText>
            </w:r>
            <w:r>
              <w:rPr>
                <w:noProof/>
                <w:webHidden/>
              </w:rPr>
            </w:r>
            <w:r>
              <w:rPr>
                <w:noProof/>
                <w:webHidden/>
              </w:rPr>
              <w:fldChar w:fldCharType="separate"/>
            </w:r>
            <w:r>
              <w:rPr>
                <w:noProof/>
                <w:webHidden/>
              </w:rPr>
              <w:t>4</w:t>
            </w:r>
            <w:r>
              <w:rPr>
                <w:noProof/>
                <w:webHidden/>
              </w:rPr>
              <w:fldChar w:fldCharType="end"/>
            </w:r>
          </w:hyperlink>
        </w:p>
        <w:p w14:paraId="12C6968D" w14:textId="4C771E76" w:rsidR="00303D5E" w:rsidRDefault="00303D5E">
          <w:pPr>
            <w:pStyle w:val="TOC1"/>
            <w:tabs>
              <w:tab w:val="right" w:leader="dot" w:pos="9016"/>
            </w:tabs>
            <w:rPr>
              <w:rFonts w:asciiTheme="minorHAnsi" w:eastAsiaTheme="minorEastAsia" w:hAnsiTheme="minorHAnsi"/>
              <w:noProof/>
              <w:kern w:val="2"/>
              <w:lang w:eastAsia="en-GB"/>
              <w14:ligatures w14:val="standardContextual"/>
            </w:rPr>
          </w:pPr>
          <w:hyperlink w:anchor="_Toc190198986" w:history="1">
            <w:r w:rsidRPr="001D4A65">
              <w:rPr>
                <w:rStyle w:val="Hyperlink"/>
                <w:rFonts w:cs="Times New Roman"/>
                <w:noProof/>
              </w:rPr>
              <w:t xml:space="preserve">3. </w:t>
            </w:r>
            <w:r w:rsidRPr="001D4A65">
              <w:rPr>
                <w:rStyle w:val="Hyperlink"/>
                <w:rFonts w:eastAsia="Times New Roman" w:cs="Times New Roman"/>
                <w:noProof/>
                <w:lang w:eastAsia="en-GB"/>
              </w:rPr>
              <w:t>Event Concept</w:t>
            </w:r>
            <w:r>
              <w:rPr>
                <w:noProof/>
                <w:webHidden/>
              </w:rPr>
              <w:tab/>
            </w:r>
            <w:r>
              <w:rPr>
                <w:noProof/>
                <w:webHidden/>
              </w:rPr>
              <w:fldChar w:fldCharType="begin"/>
            </w:r>
            <w:r>
              <w:rPr>
                <w:noProof/>
                <w:webHidden/>
              </w:rPr>
              <w:instrText xml:space="preserve"> PAGEREF _Toc190198986 \h </w:instrText>
            </w:r>
            <w:r>
              <w:rPr>
                <w:noProof/>
                <w:webHidden/>
              </w:rPr>
            </w:r>
            <w:r>
              <w:rPr>
                <w:noProof/>
                <w:webHidden/>
              </w:rPr>
              <w:fldChar w:fldCharType="separate"/>
            </w:r>
            <w:r>
              <w:rPr>
                <w:noProof/>
                <w:webHidden/>
              </w:rPr>
              <w:t>4</w:t>
            </w:r>
            <w:r>
              <w:rPr>
                <w:noProof/>
                <w:webHidden/>
              </w:rPr>
              <w:fldChar w:fldCharType="end"/>
            </w:r>
          </w:hyperlink>
        </w:p>
        <w:p w14:paraId="678A6D5F" w14:textId="1058D113" w:rsidR="00303D5E" w:rsidRDefault="00303D5E">
          <w:pPr>
            <w:pStyle w:val="TOC2"/>
            <w:tabs>
              <w:tab w:val="right" w:leader="dot" w:pos="9016"/>
            </w:tabs>
            <w:rPr>
              <w:rFonts w:asciiTheme="minorHAnsi" w:eastAsiaTheme="minorEastAsia" w:hAnsiTheme="minorHAnsi"/>
              <w:noProof/>
              <w:kern w:val="2"/>
              <w:lang w:eastAsia="en-GB"/>
              <w14:ligatures w14:val="standardContextual"/>
            </w:rPr>
          </w:pPr>
          <w:hyperlink w:anchor="_Toc190198987" w:history="1">
            <w:r w:rsidRPr="001D4A65">
              <w:rPr>
                <w:rStyle w:val="Hyperlink"/>
                <w:rFonts w:eastAsia="Times New Roman" w:cs="Times New Roman"/>
                <w:noProof/>
                <w:lang w:eastAsia="en-GB"/>
              </w:rPr>
              <w:t>3.1 Delegate/Guest Experience</w:t>
            </w:r>
            <w:r>
              <w:rPr>
                <w:noProof/>
                <w:webHidden/>
              </w:rPr>
              <w:tab/>
            </w:r>
            <w:r>
              <w:rPr>
                <w:noProof/>
                <w:webHidden/>
              </w:rPr>
              <w:fldChar w:fldCharType="begin"/>
            </w:r>
            <w:r>
              <w:rPr>
                <w:noProof/>
                <w:webHidden/>
              </w:rPr>
              <w:instrText xml:space="preserve"> PAGEREF _Toc190198987 \h </w:instrText>
            </w:r>
            <w:r>
              <w:rPr>
                <w:noProof/>
                <w:webHidden/>
              </w:rPr>
            </w:r>
            <w:r>
              <w:rPr>
                <w:noProof/>
                <w:webHidden/>
              </w:rPr>
              <w:fldChar w:fldCharType="separate"/>
            </w:r>
            <w:r>
              <w:rPr>
                <w:noProof/>
                <w:webHidden/>
              </w:rPr>
              <w:t>4</w:t>
            </w:r>
            <w:r>
              <w:rPr>
                <w:noProof/>
                <w:webHidden/>
              </w:rPr>
              <w:fldChar w:fldCharType="end"/>
            </w:r>
          </w:hyperlink>
        </w:p>
        <w:p w14:paraId="4492C0A9" w14:textId="6B6E58B3" w:rsidR="00303D5E" w:rsidRDefault="00303D5E">
          <w:pPr>
            <w:pStyle w:val="TOC2"/>
            <w:tabs>
              <w:tab w:val="right" w:leader="dot" w:pos="9016"/>
            </w:tabs>
            <w:rPr>
              <w:rFonts w:asciiTheme="minorHAnsi" w:eastAsiaTheme="minorEastAsia" w:hAnsiTheme="minorHAnsi"/>
              <w:noProof/>
              <w:kern w:val="2"/>
              <w:lang w:eastAsia="en-GB"/>
              <w14:ligatures w14:val="standardContextual"/>
            </w:rPr>
          </w:pPr>
          <w:hyperlink w:anchor="_Toc190198988" w:history="1">
            <w:r w:rsidRPr="001D4A65">
              <w:rPr>
                <w:rStyle w:val="Hyperlink"/>
                <w:rFonts w:eastAsia="Times New Roman" w:cs="Times New Roman"/>
                <w:noProof/>
                <w:lang w:eastAsia="en-GB"/>
              </w:rPr>
              <w:t>3.2 Full Itinerary</w:t>
            </w:r>
            <w:r>
              <w:rPr>
                <w:noProof/>
                <w:webHidden/>
              </w:rPr>
              <w:tab/>
            </w:r>
            <w:r>
              <w:rPr>
                <w:noProof/>
                <w:webHidden/>
              </w:rPr>
              <w:fldChar w:fldCharType="begin"/>
            </w:r>
            <w:r>
              <w:rPr>
                <w:noProof/>
                <w:webHidden/>
              </w:rPr>
              <w:instrText xml:space="preserve"> PAGEREF _Toc190198988 \h </w:instrText>
            </w:r>
            <w:r>
              <w:rPr>
                <w:noProof/>
                <w:webHidden/>
              </w:rPr>
            </w:r>
            <w:r>
              <w:rPr>
                <w:noProof/>
                <w:webHidden/>
              </w:rPr>
              <w:fldChar w:fldCharType="separate"/>
            </w:r>
            <w:r>
              <w:rPr>
                <w:noProof/>
                <w:webHidden/>
              </w:rPr>
              <w:t>5</w:t>
            </w:r>
            <w:r>
              <w:rPr>
                <w:noProof/>
                <w:webHidden/>
              </w:rPr>
              <w:fldChar w:fldCharType="end"/>
            </w:r>
          </w:hyperlink>
        </w:p>
        <w:p w14:paraId="4CF5E37E" w14:textId="05B6602D" w:rsidR="00303D5E" w:rsidRDefault="00303D5E">
          <w:pPr>
            <w:pStyle w:val="TOC2"/>
            <w:tabs>
              <w:tab w:val="right" w:leader="dot" w:pos="9016"/>
            </w:tabs>
            <w:rPr>
              <w:rFonts w:asciiTheme="minorHAnsi" w:eastAsiaTheme="minorEastAsia" w:hAnsiTheme="minorHAnsi"/>
              <w:noProof/>
              <w:kern w:val="2"/>
              <w:lang w:eastAsia="en-GB"/>
              <w14:ligatures w14:val="standardContextual"/>
            </w:rPr>
          </w:pPr>
          <w:hyperlink w:anchor="_Toc190198989" w:history="1">
            <w:r w:rsidRPr="001D4A65">
              <w:rPr>
                <w:rStyle w:val="Hyperlink"/>
                <w:rFonts w:eastAsia="Times New Roman" w:cs="Times New Roman"/>
                <w:noProof/>
                <w:lang w:eastAsia="en-GB"/>
              </w:rPr>
              <w:t>3.3 Value Proposition</w:t>
            </w:r>
            <w:r>
              <w:rPr>
                <w:noProof/>
                <w:webHidden/>
              </w:rPr>
              <w:tab/>
            </w:r>
            <w:r>
              <w:rPr>
                <w:noProof/>
                <w:webHidden/>
              </w:rPr>
              <w:fldChar w:fldCharType="begin"/>
            </w:r>
            <w:r>
              <w:rPr>
                <w:noProof/>
                <w:webHidden/>
              </w:rPr>
              <w:instrText xml:space="preserve"> PAGEREF _Toc190198989 \h </w:instrText>
            </w:r>
            <w:r>
              <w:rPr>
                <w:noProof/>
                <w:webHidden/>
              </w:rPr>
            </w:r>
            <w:r>
              <w:rPr>
                <w:noProof/>
                <w:webHidden/>
              </w:rPr>
              <w:fldChar w:fldCharType="separate"/>
            </w:r>
            <w:r>
              <w:rPr>
                <w:noProof/>
                <w:webHidden/>
              </w:rPr>
              <w:t>5</w:t>
            </w:r>
            <w:r>
              <w:rPr>
                <w:noProof/>
                <w:webHidden/>
              </w:rPr>
              <w:fldChar w:fldCharType="end"/>
            </w:r>
          </w:hyperlink>
        </w:p>
        <w:p w14:paraId="10253949" w14:textId="3E177A1E" w:rsidR="00303D5E" w:rsidRDefault="00303D5E">
          <w:pPr>
            <w:pStyle w:val="TOC1"/>
            <w:tabs>
              <w:tab w:val="right" w:leader="dot" w:pos="9016"/>
            </w:tabs>
            <w:rPr>
              <w:rFonts w:asciiTheme="minorHAnsi" w:eastAsiaTheme="minorEastAsia" w:hAnsiTheme="minorHAnsi"/>
              <w:noProof/>
              <w:kern w:val="2"/>
              <w:lang w:eastAsia="en-GB"/>
              <w14:ligatures w14:val="standardContextual"/>
            </w:rPr>
          </w:pPr>
          <w:hyperlink w:anchor="_Toc190198990" w:history="1">
            <w:r w:rsidRPr="001D4A65">
              <w:rPr>
                <w:rStyle w:val="Hyperlink"/>
                <w:rFonts w:cs="Times New Roman"/>
                <w:noProof/>
                <w:lang w:eastAsia="en-GB"/>
              </w:rPr>
              <w:t>4. Aim and Objectives</w:t>
            </w:r>
            <w:r>
              <w:rPr>
                <w:noProof/>
                <w:webHidden/>
              </w:rPr>
              <w:tab/>
            </w:r>
            <w:r>
              <w:rPr>
                <w:noProof/>
                <w:webHidden/>
              </w:rPr>
              <w:fldChar w:fldCharType="begin"/>
            </w:r>
            <w:r>
              <w:rPr>
                <w:noProof/>
                <w:webHidden/>
              </w:rPr>
              <w:instrText xml:space="preserve"> PAGEREF _Toc190198990 \h </w:instrText>
            </w:r>
            <w:r>
              <w:rPr>
                <w:noProof/>
                <w:webHidden/>
              </w:rPr>
            </w:r>
            <w:r>
              <w:rPr>
                <w:noProof/>
                <w:webHidden/>
              </w:rPr>
              <w:fldChar w:fldCharType="separate"/>
            </w:r>
            <w:r>
              <w:rPr>
                <w:noProof/>
                <w:webHidden/>
              </w:rPr>
              <w:t>6</w:t>
            </w:r>
            <w:r>
              <w:rPr>
                <w:noProof/>
                <w:webHidden/>
              </w:rPr>
              <w:fldChar w:fldCharType="end"/>
            </w:r>
          </w:hyperlink>
        </w:p>
        <w:p w14:paraId="7F135732" w14:textId="56CD551D" w:rsidR="00303D5E" w:rsidRDefault="00303D5E">
          <w:pPr>
            <w:pStyle w:val="TOC2"/>
            <w:tabs>
              <w:tab w:val="right" w:leader="dot" w:pos="9016"/>
            </w:tabs>
            <w:rPr>
              <w:rFonts w:asciiTheme="minorHAnsi" w:eastAsiaTheme="minorEastAsia" w:hAnsiTheme="minorHAnsi"/>
              <w:noProof/>
              <w:kern w:val="2"/>
              <w:lang w:eastAsia="en-GB"/>
              <w14:ligatures w14:val="standardContextual"/>
            </w:rPr>
          </w:pPr>
          <w:hyperlink w:anchor="_Toc190198991" w:history="1">
            <w:r w:rsidRPr="001D4A65">
              <w:rPr>
                <w:rStyle w:val="Hyperlink"/>
                <w:rFonts w:cs="Times New Roman"/>
                <w:noProof/>
                <w:lang w:eastAsia="en-GB"/>
              </w:rPr>
              <w:t>4.1 SMART Objectives</w:t>
            </w:r>
            <w:r>
              <w:rPr>
                <w:noProof/>
                <w:webHidden/>
              </w:rPr>
              <w:tab/>
            </w:r>
            <w:r>
              <w:rPr>
                <w:noProof/>
                <w:webHidden/>
              </w:rPr>
              <w:fldChar w:fldCharType="begin"/>
            </w:r>
            <w:r>
              <w:rPr>
                <w:noProof/>
                <w:webHidden/>
              </w:rPr>
              <w:instrText xml:space="preserve"> PAGEREF _Toc190198991 \h </w:instrText>
            </w:r>
            <w:r>
              <w:rPr>
                <w:noProof/>
                <w:webHidden/>
              </w:rPr>
            </w:r>
            <w:r>
              <w:rPr>
                <w:noProof/>
                <w:webHidden/>
              </w:rPr>
              <w:fldChar w:fldCharType="separate"/>
            </w:r>
            <w:r>
              <w:rPr>
                <w:noProof/>
                <w:webHidden/>
              </w:rPr>
              <w:t>6</w:t>
            </w:r>
            <w:r>
              <w:rPr>
                <w:noProof/>
                <w:webHidden/>
              </w:rPr>
              <w:fldChar w:fldCharType="end"/>
            </w:r>
          </w:hyperlink>
        </w:p>
        <w:p w14:paraId="2405036A" w14:textId="55357A6F" w:rsidR="00303D5E" w:rsidRDefault="00303D5E">
          <w:pPr>
            <w:pStyle w:val="TOC1"/>
            <w:tabs>
              <w:tab w:val="right" w:leader="dot" w:pos="9016"/>
            </w:tabs>
            <w:rPr>
              <w:rFonts w:asciiTheme="minorHAnsi" w:eastAsiaTheme="minorEastAsia" w:hAnsiTheme="minorHAnsi"/>
              <w:noProof/>
              <w:kern w:val="2"/>
              <w:lang w:eastAsia="en-GB"/>
              <w14:ligatures w14:val="standardContextual"/>
            </w:rPr>
          </w:pPr>
          <w:hyperlink w:anchor="_Toc190198992" w:history="1">
            <w:r w:rsidRPr="001D4A65">
              <w:rPr>
                <w:rStyle w:val="Hyperlink"/>
                <w:rFonts w:cs="Times New Roman"/>
                <w:noProof/>
                <w:lang w:eastAsia="en-GB"/>
              </w:rPr>
              <w:t>5. Event Management</w:t>
            </w:r>
            <w:r>
              <w:rPr>
                <w:noProof/>
                <w:webHidden/>
              </w:rPr>
              <w:tab/>
            </w:r>
            <w:r>
              <w:rPr>
                <w:noProof/>
                <w:webHidden/>
              </w:rPr>
              <w:fldChar w:fldCharType="begin"/>
            </w:r>
            <w:r>
              <w:rPr>
                <w:noProof/>
                <w:webHidden/>
              </w:rPr>
              <w:instrText xml:space="preserve"> PAGEREF _Toc190198992 \h </w:instrText>
            </w:r>
            <w:r>
              <w:rPr>
                <w:noProof/>
                <w:webHidden/>
              </w:rPr>
            </w:r>
            <w:r>
              <w:rPr>
                <w:noProof/>
                <w:webHidden/>
              </w:rPr>
              <w:fldChar w:fldCharType="separate"/>
            </w:r>
            <w:r>
              <w:rPr>
                <w:noProof/>
                <w:webHidden/>
              </w:rPr>
              <w:t>6</w:t>
            </w:r>
            <w:r>
              <w:rPr>
                <w:noProof/>
                <w:webHidden/>
              </w:rPr>
              <w:fldChar w:fldCharType="end"/>
            </w:r>
          </w:hyperlink>
        </w:p>
        <w:p w14:paraId="6F60C2DC" w14:textId="08722CD2" w:rsidR="00303D5E" w:rsidRDefault="00303D5E">
          <w:pPr>
            <w:pStyle w:val="TOC1"/>
            <w:tabs>
              <w:tab w:val="right" w:leader="dot" w:pos="9016"/>
            </w:tabs>
            <w:rPr>
              <w:rFonts w:asciiTheme="minorHAnsi" w:eastAsiaTheme="minorEastAsia" w:hAnsiTheme="minorHAnsi"/>
              <w:noProof/>
              <w:kern w:val="2"/>
              <w:lang w:eastAsia="en-GB"/>
              <w14:ligatures w14:val="standardContextual"/>
            </w:rPr>
          </w:pPr>
          <w:hyperlink w:anchor="_Toc190198993" w:history="1">
            <w:r w:rsidRPr="001D4A65">
              <w:rPr>
                <w:rStyle w:val="Hyperlink"/>
                <w:rFonts w:cs="Times New Roman"/>
                <w:noProof/>
                <w:lang w:eastAsia="en-GB"/>
              </w:rPr>
              <w:t>6. Event Budget</w:t>
            </w:r>
            <w:r>
              <w:rPr>
                <w:noProof/>
                <w:webHidden/>
              </w:rPr>
              <w:tab/>
            </w:r>
            <w:r>
              <w:rPr>
                <w:noProof/>
                <w:webHidden/>
              </w:rPr>
              <w:fldChar w:fldCharType="begin"/>
            </w:r>
            <w:r>
              <w:rPr>
                <w:noProof/>
                <w:webHidden/>
              </w:rPr>
              <w:instrText xml:space="preserve"> PAGEREF _Toc190198993 \h </w:instrText>
            </w:r>
            <w:r>
              <w:rPr>
                <w:noProof/>
                <w:webHidden/>
              </w:rPr>
            </w:r>
            <w:r>
              <w:rPr>
                <w:noProof/>
                <w:webHidden/>
              </w:rPr>
              <w:fldChar w:fldCharType="separate"/>
            </w:r>
            <w:r>
              <w:rPr>
                <w:noProof/>
                <w:webHidden/>
              </w:rPr>
              <w:t>8</w:t>
            </w:r>
            <w:r>
              <w:rPr>
                <w:noProof/>
                <w:webHidden/>
              </w:rPr>
              <w:fldChar w:fldCharType="end"/>
            </w:r>
          </w:hyperlink>
        </w:p>
        <w:p w14:paraId="6E206B74" w14:textId="1CE23E70" w:rsidR="00303D5E" w:rsidRDefault="00303D5E">
          <w:pPr>
            <w:pStyle w:val="TOC1"/>
            <w:tabs>
              <w:tab w:val="right" w:leader="dot" w:pos="9016"/>
            </w:tabs>
            <w:rPr>
              <w:rFonts w:asciiTheme="minorHAnsi" w:eastAsiaTheme="minorEastAsia" w:hAnsiTheme="minorHAnsi"/>
              <w:noProof/>
              <w:kern w:val="2"/>
              <w:lang w:eastAsia="en-GB"/>
              <w14:ligatures w14:val="standardContextual"/>
            </w:rPr>
          </w:pPr>
          <w:hyperlink w:anchor="_Toc190198994" w:history="1">
            <w:r w:rsidRPr="001D4A65">
              <w:rPr>
                <w:rStyle w:val="Hyperlink"/>
                <w:rFonts w:cs="Times New Roman"/>
                <w:noProof/>
                <w:lang w:eastAsia="en-GB"/>
              </w:rPr>
              <w:t>7. Industry Trends, Issues and Impacts</w:t>
            </w:r>
            <w:r>
              <w:rPr>
                <w:noProof/>
                <w:webHidden/>
              </w:rPr>
              <w:tab/>
            </w:r>
            <w:r>
              <w:rPr>
                <w:noProof/>
                <w:webHidden/>
              </w:rPr>
              <w:fldChar w:fldCharType="begin"/>
            </w:r>
            <w:r>
              <w:rPr>
                <w:noProof/>
                <w:webHidden/>
              </w:rPr>
              <w:instrText xml:space="preserve"> PAGEREF _Toc190198994 \h </w:instrText>
            </w:r>
            <w:r>
              <w:rPr>
                <w:noProof/>
                <w:webHidden/>
              </w:rPr>
            </w:r>
            <w:r>
              <w:rPr>
                <w:noProof/>
                <w:webHidden/>
              </w:rPr>
              <w:fldChar w:fldCharType="separate"/>
            </w:r>
            <w:r>
              <w:rPr>
                <w:noProof/>
                <w:webHidden/>
              </w:rPr>
              <w:t>9</w:t>
            </w:r>
            <w:r>
              <w:rPr>
                <w:noProof/>
                <w:webHidden/>
              </w:rPr>
              <w:fldChar w:fldCharType="end"/>
            </w:r>
          </w:hyperlink>
        </w:p>
        <w:p w14:paraId="6CC732F4" w14:textId="2B24C42B" w:rsidR="00303D5E" w:rsidRDefault="00303D5E">
          <w:pPr>
            <w:pStyle w:val="TOC2"/>
            <w:tabs>
              <w:tab w:val="right" w:leader="dot" w:pos="9016"/>
            </w:tabs>
            <w:rPr>
              <w:rFonts w:asciiTheme="minorHAnsi" w:eastAsiaTheme="minorEastAsia" w:hAnsiTheme="minorHAnsi"/>
              <w:noProof/>
              <w:kern w:val="2"/>
              <w:lang w:eastAsia="en-GB"/>
              <w14:ligatures w14:val="standardContextual"/>
            </w:rPr>
          </w:pPr>
          <w:hyperlink w:anchor="_Toc190198995" w:history="1">
            <w:r w:rsidRPr="001D4A65">
              <w:rPr>
                <w:rStyle w:val="Hyperlink"/>
                <w:rFonts w:cs="Times New Roman"/>
                <w:noProof/>
                <w:lang w:eastAsia="en-GB"/>
              </w:rPr>
              <w:t>7.1 Emerging Trends in the MICE Industry</w:t>
            </w:r>
            <w:r>
              <w:rPr>
                <w:noProof/>
                <w:webHidden/>
              </w:rPr>
              <w:tab/>
            </w:r>
            <w:r>
              <w:rPr>
                <w:noProof/>
                <w:webHidden/>
              </w:rPr>
              <w:fldChar w:fldCharType="begin"/>
            </w:r>
            <w:r>
              <w:rPr>
                <w:noProof/>
                <w:webHidden/>
              </w:rPr>
              <w:instrText xml:space="preserve"> PAGEREF _Toc190198995 \h </w:instrText>
            </w:r>
            <w:r>
              <w:rPr>
                <w:noProof/>
                <w:webHidden/>
              </w:rPr>
            </w:r>
            <w:r>
              <w:rPr>
                <w:noProof/>
                <w:webHidden/>
              </w:rPr>
              <w:fldChar w:fldCharType="separate"/>
            </w:r>
            <w:r>
              <w:rPr>
                <w:noProof/>
                <w:webHidden/>
              </w:rPr>
              <w:t>9</w:t>
            </w:r>
            <w:r>
              <w:rPr>
                <w:noProof/>
                <w:webHidden/>
              </w:rPr>
              <w:fldChar w:fldCharType="end"/>
            </w:r>
          </w:hyperlink>
        </w:p>
        <w:p w14:paraId="30FAB78C" w14:textId="3CA06506" w:rsidR="00303D5E" w:rsidRDefault="00303D5E">
          <w:pPr>
            <w:pStyle w:val="TOC2"/>
            <w:tabs>
              <w:tab w:val="right" w:leader="dot" w:pos="9016"/>
            </w:tabs>
            <w:rPr>
              <w:rFonts w:asciiTheme="minorHAnsi" w:eastAsiaTheme="minorEastAsia" w:hAnsiTheme="minorHAnsi"/>
              <w:noProof/>
              <w:kern w:val="2"/>
              <w:lang w:eastAsia="en-GB"/>
              <w14:ligatures w14:val="standardContextual"/>
            </w:rPr>
          </w:pPr>
          <w:hyperlink w:anchor="_Toc190198996" w:history="1">
            <w:r w:rsidRPr="001D4A65">
              <w:rPr>
                <w:rStyle w:val="Hyperlink"/>
                <w:rFonts w:cs="Times New Roman"/>
                <w:noProof/>
                <w:lang w:eastAsia="en-GB"/>
              </w:rPr>
              <w:t>7.2 Challenges in Inclusive Event Planning</w:t>
            </w:r>
            <w:r>
              <w:rPr>
                <w:noProof/>
                <w:webHidden/>
              </w:rPr>
              <w:tab/>
            </w:r>
            <w:r>
              <w:rPr>
                <w:noProof/>
                <w:webHidden/>
              </w:rPr>
              <w:fldChar w:fldCharType="begin"/>
            </w:r>
            <w:r>
              <w:rPr>
                <w:noProof/>
                <w:webHidden/>
              </w:rPr>
              <w:instrText xml:space="preserve"> PAGEREF _Toc190198996 \h </w:instrText>
            </w:r>
            <w:r>
              <w:rPr>
                <w:noProof/>
                <w:webHidden/>
              </w:rPr>
            </w:r>
            <w:r>
              <w:rPr>
                <w:noProof/>
                <w:webHidden/>
              </w:rPr>
              <w:fldChar w:fldCharType="separate"/>
            </w:r>
            <w:r>
              <w:rPr>
                <w:noProof/>
                <w:webHidden/>
              </w:rPr>
              <w:t>10</w:t>
            </w:r>
            <w:r>
              <w:rPr>
                <w:noProof/>
                <w:webHidden/>
              </w:rPr>
              <w:fldChar w:fldCharType="end"/>
            </w:r>
          </w:hyperlink>
        </w:p>
        <w:p w14:paraId="1D6047E9" w14:textId="291A3E54" w:rsidR="00303D5E" w:rsidRDefault="00303D5E">
          <w:pPr>
            <w:pStyle w:val="TOC2"/>
            <w:tabs>
              <w:tab w:val="right" w:leader="dot" w:pos="9016"/>
            </w:tabs>
            <w:rPr>
              <w:rFonts w:asciiTheme="minorHAnsi" w:eastAsiaTheme="minorEastAsia" w:hAnsiTheme="minorHAnsi"/>
              <w:noProof/>
              <w:kern w:val="2"/>
              <w:lang w:eastAsia="en-GB"/>
              <w14:ligatures w14:val="standardContextual"/>
            </w:rPr>
          </w:pPr>
          <w:hyperlink w:anchor="_Toc190198997" w:history="1">
            <w:r w:rsidRPr="001D4A65">
              <w:rPr>
                <w:rStyle w:val="Hyperlink"/>
                <w:rFonts w:cs="Times New Roman"/>
                <w:noProof/>
                <w:lang w:eastAsia="en-GB"/>
              </w:rPr>
              <w:t>7.3 Impact on Future Events</w:t>
            </w:r>
            <w:r>
              <w:rPr>
                <w:noProof/>
                <w:webHidden/>
              </w:rPr>
              <w:tab/>
            </w:r>
            <w:r>
              <w:rPr>
                <w:noProof/>
                <w:webHidden/>
              </w:rPr>
              <w:fldChar w:fldCharType="begin"/>
            </w:r>
            <w:r>
              <w:rPr>
                <w:noProof/>
                <w:webHidden/>
              </w:rPr>
              <w:instrText xml:space="preserve"> PAGEREF _Toc190198997 \h </w:instrText>
            </w:r>
            <w:r>
              <w:rPr>
                <w:noProof/>
                <w:webHidden/>
              </w:rPr>
            </w:r>
            <w:r>
              <w:rPr>
                <w:noProof/>
                <w:webHidden/>
              </w:rPr>
              <w:fldChar w:fldCharType="separate"/>
            </w:r>
            <w:r>
              <w:rPr>
                <w:noProof/>
                <w:webHidden/>
              </w:rPr>
              <w:t>10</w:t>
            </w:r>
            <w:r>
              <w:rPr>
                <w:noProof/>
                <w:webHidden/>
              </w:rPr>
              <w:fldChar w:fldCharType="end"/>
            </w:r>
          </w:hyperlink>
        </w:p>
        <w:p w14:paraId="11B36527" w14:textId="588125FE" w:rsidR="00303D5E" w:rsidRDefault="00303D5E">
          <w:pPr>
            <w:pStyle w:val="TOC1"/>
            <w:tabs>
              <w:tab w:val="right" w:leader="dot" w:pos="9016"/>
            </w:tabs>
            <w:rPr>
              <w:rFonts w:asciiTheme="minorHAnsi" w:eastAsiaTheme="minorEastAsia" w:hAnsiTheme="minorHAnsi"/>
              <w:noProof/>
              <w:kern w:val="2"/>
              <w:lang w:eastAsia="en-GB"/>
              <w14:ligatures w14:val="standardContextual"/>
            </w:rPr>
          </w:pPr>
          <w:hyperlink w:anchor="_Toc190198998" w:history="1">
            <w:r w:rsidRPr="001D4A65">
              <w:rPr>
                <w:rStyle w:val="Hyperlink"/>
                <w:rFonts w:cs="Times New Roman"/>
                <w:noProof/>
                <w:lang w:eastAsia="en-GB"/>
              </w:rPr>
              <w:t>8. Situational and Cultural Considerations</w:t>
            </w:r>
            <w:r>
              <w:rPr>
                <w:noProof/>
                <w:webHidden/>
              </w:rPr>
              <w:tab/>
            </w:r>
            <w:r>
              <w:rPr>
                <w:noProof/>
                <w:webHidden/>
              </w:rPr>
              <w:fldChar w:fldCharType="begin"/>
            </w:r>
            <w:r>
              <w:rPr>
                <w:noProof/>
                <w:webHidden/>
              </w:rPr>
              <w:instrText xml:space="preserve"> PAGEREF _Toc190198998 \h </w:instrText>
            </w:r>
            <w:r>
              <w:rPr>
                <w:noProof/>
                <w:webHidden/>
              </w:rPr>
            </w:r>
            <w:r>
              <w:rPr>
                <w:noProof/>
                <w:webHidden/>
              </w:rPr>
              <w:fldChar w:fldCharType="separate"/>
            </w:r>
            <w:r>
              <w:rPr>
                <w:noProof/>
                <w:webHidden/>
              </w:rPr>
              <w:t>11</w:t>
            </w:r>
            <w:r>
              <w:rPr>
                <w:noProof/>
                <w:webHidden/>
              </w:rPr>
              <w:fldChar w:fldCharType="end"/>
            </w:r>
          </w:hyperlink>
        </w:p>
        <w:p w14:paraId="2A3C42CA" w14:textId="557FE98E" w:rsidR="00303D5E" w:rsidRDefault="00303D5E">
          <w:pPr>
            <w:pStyle w:val="TOC2"/>
            <w:tabs>
              <w:tab w:val="right" w:leader="dot" w:pos="9016"/>
            </w:tabs>
            <w:rPr>
              <w:rFonts w:asciiTheme="minorHAnsi" w:eastAsiaTheme="minorEastAsia" w:hAnsiTheme="minorHAnsi"/>
              <w:noProof/>
              <w:kern w:val="2"/>
              <w:lang w:eastAsia="en-GB"/>
              <w14:ligatures w14:val="standardContextual"/>
            </w:rPr>
          </w:pPr>
          <w:hyperlink w:anchor="_Toc190198999" w:history="1">
            <w:r w:rsidRPr="001D4A65">
              <w:rPr>
                <w:rStyle w:val="Hyperlink"/>
                <w:rFonts w:cs="Times New Roman"/>
                <w:noProof/>
                <w:lang w:eastAsia="en-GB"/>
              </w:rPr>
              <w:t>8.1 SWOT Analysis: Internal Factors</w:t>
            </w:r>
            <w:r>
              <w:rPr>
                <w:noProof/>
                <w:webHidden/>
              </w:rPr>
              <w:tab/>
            </w:r>
            <w:r>
              <w:rPr>
                <w:noProof/>
                <w:webHidden/>
              </w:rPr>
              <w:fldChar w:fldCharType="begin"/>
            </w:r>
            <w:r>
              <w:rPr>
                <w:noProof/>
                <w:webHidden/>
              </w:rPr>
              <w:instrText xml:space="preserve"> PAGEREF _Toc190198999 \h </w:instrText>
            </w:r>
            <w:r>
              <w:rPr>
                <w:noProof/>
                <w:webHidden/>
              </w:rPr>
            </w:r>
            <w:r>
              <w:rPr>
                <w:noProof/>
                <w:webHidden/>
              </w:rPr>
              <w:fldChar w:fldCharType="separate"/>
            </w:r>
            <w:r>
              <w:rPr>
                <w:noProof/>
                <w:webHidden/>
              </w:rPr>
              <w:t>11</w:t>
            </w:r>
            <w:r>
              <w:rPr>
                <w:noProof/>
                <w:webHidden/>
              </w:rPr>
              <w:fldChar w:fldCharType="end"/>
            </w:r>
          </w:hyperlink>
        </w:p>
        <w:p w14:paraId="64DB0D02" w14:textId="29A91745" w:rsidR="00303D5E" w:rsidRDefault="00303D5E">
          <w:pPr>
            <w:pStyle w:val="TOC2"/>
            <w:tabs>
              <w:tab w:val="right" w:leader="dot" w:pos="9016"/>
            </w:tabs>
            <w:rPr>
              <w:rFonts w:asciiTheme="minorHAnsi" w:eastAsiaTheme="minorEastAsia" w:hAnsiTheme="minorHAnsi"/>
              <w:noProof/>
              <w:kern w:val="2"/>
              <w:lang w:eastAsia="en-GB"/>
              <w14:ligatures w14:val="standardContextual"/>
            </w:rPr>
          </w:pPr>
          <w:hyperlink w:anchor="_Toc190199000" w:history="1">
            <w:r w:rsidRPr="001D4A65">
              <w:rPr>
                <w:rStyle w:val="Hyperlink"/>
                <w:rFonts w:cs="Times New Roman"/>
                <w:noProof/>
                <w:lang w:eastAsia="en-GB"/>
              </w:rPr>
              <w:t>8.2 PESTLE Analysis: External Factors</w:t>
            </w:r>
            <w:r>
              <w:rPr>
                <w:noProof/>
                <w:webHidden/>
              </w:rPr>
              <w:tab/>
            </w:r>
            <w:r>
              <w:rPr>
                <w:noProof/>
                <w:webHidden/>
              </w:rPr>
              <w:fldChar w:fldCharType="begin"/>
            </w:r>
            <w:r>
              <w:rPr>
                <w:noProof/>
                <w:webHidden/>
              </w:rPr>
              <w:instrText xml:space="preserve"> PAGEREF _Toc190199000 \h </w:instrText>
            </w:r>
            <w:r>
              <w:rPr>
                <w:noProof/>
                <w:webHidden/>
              </w:rPr>
            </w:r>
            <w:r>
              <w:rPr>
                <w:noProof/>
                <w:webHidden/>
              </w:rPr>
              <w:fldChar w:fldCharType="separate"/>
            </w:r>
            <w:r>
              <w:rPr>
                <w:noProof/>
                <w:webHidden/>
              </w:rPr>
              <w:t>12</w:t>
            </w:r>
            <w:r>
              <w:rPr>
                <w:noProof/>
                <w:webHidden/>
              </w:rPr>
              <w:fldChar w:fldCharType="end"/>
            </w:r>
          </w:hyperlink>
        </w:p>
        <w:p w14:paraId="428EE676" w14:textId="5BA857EF" w:rsidR="00303D5E" w:rsidRDefault="00303D5E">
          <w:pPr>
            <w:pStyle w:val="TOC1"/>
            <w:tabs>
              <w:tab w:val="right" w:leader="dot" w:pos="9016"/>
            </w:tabs>
            <w:rPr>
              <w:rFonts w:asciiTheme="minorHAnsi" w:eastAsiaTheme="minorEastAsia" w:hAnsiTheme="minorHAnsi"/>
              <w:noProof/>
              <w:kern w:val="2"/>
              <w:lang w:eastAsia="en-GB"/>
              <w14:ligatures w14:val="standardContextual"/>
            </w:rPr>
          </w:pPr>
          <w:hyperlink w:anchor="_Toc190199001" w:history="1">
            <w:r w:rsidRPr="001D4A65">
              <w:rPr>
                <w:rStyle w:val="Hyperlink"/>
                <w:rFonts w:cs="Times New Roman"/>
                <w:noProof/>
                <w:lang w:eastAsia="en-GB"/>
              </w:rPr>
              <w:t>9. Conclusion</w:t>
            </w:r>
            <w:r>
              <w:rPr>
                <w:noProof/>
                <w:webHidden/>
              </w:rPr>
              <w:tab/>
            </w:r>
            <w:r>
              <w:rPr>
                <w:noProof/>
                <w:webHidden/>
              </w:rPr>
              <w:fldChar w:fldCharType="begin"/>
            </w:r>
            <w:r>
              <w:rPr>
                <w:noProof/>
                <w:webHidden/>
              </w:rPr>
              <w:instrText xml:space="preserve"> PAGEREF _Toc190199001 \h </w:instrText>
            </w:r>
            <w:r>
              <w:rPr>
                <w:noProof/>
                <w:webHidden/>
              </w:rPr>
            </w:r>
            <w:r>
              <w:rPr>
                <w:noProof/>
                <w:webHidden/>
              </w:rPr>
              <w:fldChar w:fldCharType="separate"/>
            </w:r>
            <w:r>
              <w:rPr>
                <w:noProof/>
                <w:webHidden/>
              </w:rPr>
              <w:t>14</w:t>
            </w:r>
            <w:r>
              <w:rPr>
                <w:noProof/>
                <w:webHidden/>
              </w:rPr>
              <w:fldChar w:fldCharType="end"/>
            </w:r>
          </w:hyperlink>
        </w:p>
        <w:p w14:paraId="7F2C0372" w14:textId="410FBDD7" w:rsidR="00303D5E" w:rsidRDefault="00303D5E">
          <w:pPr>
            <w:pStyle w:val="TOC1"/>
            <w:tabs>
              <w:tab w:val="right" w:leader="dot" w:pos="9016"/>
            </w:tabs>
            <w:rPr>
              <w:rFonts w:asciiTheme="minorHAnsi" w:eastAsiaTheme="minorEastAsia" w:hAnsiTheme="minorHAnsi"/>
              <w:noProof/>
              <w:kern w:val="2"/>
              <w:lang w:eastAsia="en-GB"/>
              <w14:ligatures w14:val="standardContextual"/>
            </w:rPr>
          </w:pPr>
          <w:hyperlink w:anchor="_Toc190199002" w:history="1">
            <w:r w:rsidRPr="001D4A65">
              <w:rPr>
                <w:rStyle w:val="Hyperlink"/>
                <w:rFonts w:cs="Times New Roman"/>
                <w:noProof/>
                <w:lang w:eastAsia="en-GB"/>
              </w:rPr>
              <w:t>Reference List</w:t>
            </w:r>
            <w:r>
              <w:rPr>
                <w:noProof/>
                <w:webHidden/>
              </w:rPr>
              <w:tab/>
            </w:r>
            <w:r>
              <w:rPr>
                <w:noProof/>
                <w:webHidden/>
              </w:rPr>
              <w:fldChar w:fldCharType="begin"/>
            </w:r>
            <w:r>
              <w:rPr>
                <w:noProof/>
                <w:webHidden/>
              </w:rPr>
              <w:instrText xml:space="preserve"> PAGEREF _Toc190199002 \h </w:instrText>
            </w:r>
            <w:r>
              <w:rPr>
                <w:noProof/>
                <w:webHidden/>
              </w:rPr>
            </w:r>
            <w:r>
              <w:rPr>
                <w:noProof/>
                <w:webHidden/>
              </w:rPr>
              <w:fldChar w:fldCharType="separate"/>
            </w:r>
            <w:r>
              <w:rPr>
                <w:noProof/>
                <w:webHidden/>
              </w:rPr>
              <w:t>15</w:t>
            </w:r>
            <w:r>
              <w:rPr>
                <w:noProof/>
                <w:webHidden/>
              </w:rPr>
              <w:fldChar w:fldCharType="end"/>
            </w:r>
          </w:hyperlink>
        </w:p>
        <w:p w14:paraId="27B7B4FE" w14:textId="568D30A9" w:rsidR="00194B67" w:rsidRPr="00593A5B" w:rsidRDefault="00194B67" w:rsidP="0014054D">
          <w:pPr>
            <w:rPr>
              <w:rFonts w:cs="Times New Roman"/>
              <w:noProof/>
            </w:rPr>
          </w:pPr>
          <w:r w:rsidRPr="00593A5B">
            <w:rPr>
              <w:rFonts w:cs="Times New Roman"/>
              <w:b/>
              <w:bCs/>
              <w:noProof/>
            </w:rPr>
            <w:fldChar w:fldCharType="end"/>
          </w:r>
        </w:p>
      </w:sdtContent>
    </w:sdt>
    <w:p w14:paraId="790306DF" w14:textId="042B947F" w:rsidR="00A10276" w:rsidRPr="00593A5B" w:rsidRDefault="00A10276" w:rsidP="0014054D">
      <w:pPr>
        <w:jc w:val="left"/>
        <w:rPr>
          <w:rFonts w:cs="Times New Roman"/>
          <w:noProof/>
        </w:rPr>
      </w:pPr>
      <w:r w:rsidRPr="00593A5B">
        <w:rPr>
          <w:rFonts w:cs="Times New Roman"/>
          <w:noProof/>
        </w:rPr>
        <w:br w:type="page"/>
      </w:r>
    </w:p>
    <w:p w14:paraId="16EC8CCD" w14:textId="260DF9D7" w:rsidR="000E2DB2" w:rsidRPr="00593A5B" w:rsidRDefault="00A10276" w:rsidP="0014054D">
      <w:pPr>
        <w:pStyle w:val="Heading1"/>
        <w:rPr>
          <w:rFonts w:cs="Times New Roman"/>
          <w:noProof/>
        </w:rPr>
      </w:pPr>
      <w:bookmarkStart w:id="1" w:name="_Toc190198982"/>
      <w:r w:rsidRPr="00593A5B">
        <w:rPr>
          <w:rFonts w:cs="Times New Roman"/>
          <w:noProof/>
        </w:rPr>
        <w:t>1. Introduction</w:t>
      </w:r>
      <w:bookmarkEnd w:id="1"/>
    </w:p>
    <w:p w14:paraId="6224CB57" w14:textId="5EAE0F1D" w:rsidR="00194B67" w:rsidRPr="00593A5B" w:rsidRDefault="00194B67" w:rsidP="0014054D">
      <w:pPr>
        <w:rPr>
          <w:rFonts w:cs="Times New Roman"/>
          <w:noProof/>
        </w:rPr>
      </w:pPr>
      <w:r w:rsidRPr="00593A5B">
        <w:rPr>
          <w:rFonts w:cs="Times New Roman"/>
          <w:noProof/>
        </w:rPr>
        <w:t xml:space="preserve">The Inclusive Event Planning Masterclass gives students, hotel workers, and event planners the tools they need to design events that are both inclusive and easily available. In the MICE sector, inclusion has become increasingly important since it is necessary to satisfy a wide spectrum of participants including people with disabilities, </w:t>
      </w:r>
      <w:r w:rsidR="00D67FD6" w:rsidRPr="00593A5B">
        <w:rPr>
          <w:rFonts w:cs="Times New Roman"/>
          <w:noProof/>
        </w:rPr>
        <w:t>diverse cultural</w:t>
      </w:r>
      <w:r w:rsidRPr="00593A5B">
        <w:rPr>
          <w:rFonts w:cs="Times New Roman"/>
          <w:noProof/>
        </w:rPr>
        <w:t xml:space="preserve"> origins, and special needs (Bow Din et al., 2023). </w:t>
      </w:r>
      <w:r w:rsidR="00903B6B" w:rsidRPr="00593A5B">
        <w:rPr>
          <w:rFonts w:cs="Times New Roman"/>
          <w:noProof/>
        </w:rPr>
        <w:t>This</w:t>
      </w:r>
      <w:r w:rsidRPr="00593A5B">
        <w:rPr>
          <w:rFonts w:cs="Times New Roman"/>
          <w:noProof/>
        </w:rPr>
        <w:t xml:space="preserve"> masterclass offers practical workshops, expert panel discussions, and networking chances that support the use of universal design in event planning so addressing these issues.</w:t>
      </w:r>
    </w:p>
    <w:p w14:paraId="3899BBD9" w14:textId="149FC922" w:rsidR="00194B67" w:rsidRPr="00593A5B" w:rsidRDefault="00194B67" w:rsidP="0014054D">
      <w:pPr>
        <w:rPr>
          <w:rFonts w:cs="Times New Roman"/>
          <w:noProof/>
        </w:rPr>
      </w:pPr>
      <w:r w:rsidRPr="00593A5B">
        <w:rPr>
          <w:rFonts w:cs="Times New Roman"/>
          <w:noProof/>
        </w:rPr>
        <w:t xml:space="preserve">This event is the result of growing demand for legal, ethical, and commercial inclusion. Following industry norms and accessibility rules is now </w:t>
      </w:r>
      <w:r w:rsidR="007C476C" w:rsidRPr="00593A5B">
        <w:rPr>
          <w:rFonts w:cs="Times New Roman"/>
          <w:noProof/>
        </w:rPr>
        <w:t>necessary</w:t>
      </w:r>
      <w:r w:rsidR="00DE3758" w:rsidRPr="00593A5B">
        <w:rPr>
          <w:rFonts w:cs="Times New Roman"/>
          <w:noProof/>
        </w:rPr>
        <w:t xml:space="preserve"> (Litvinova-Kulikova, Aliyeva, and David, 2023)</w:t>
      </w:r>
      <w:r w:rsidRPr="00593A5B">
        <w:rPr>
          <w:rFonts w:cs="Times New Roman"/>
          <w:noProof/>
        </w:rPr>
        <w:t>. Inclusive event plans improve audience involvement, brand reputation, and competitiveness beyond mere compliance</w:t>
      </w:r>
      <w:r w:rsidR="00DE3758" w:rsidRPr="00593A5B">
        <w:rPr>
          <w:rFonts w:cs="Times New Roman"/>
          <w:noProof/>
        </w:rPr>
        <w:t xml:space="preserve"> (Park et al., 2022)</w:t>
      </w:r>
      <w:r w:rsidRPr="00593A5B">
        <w:rPr>
          <w:rFonts w:cs="Times New Roman"/>
          <w:noProof/>
        </w:rPr>
        <w:t>.</w:t>
      </w:r>
    </w:p>
    <w:p w14:paraId="7926C131" w14:textId="257BE624" w:rsidR="00A10276" w:rsidRPr="00593A5B" w:rsidRDefault="00194B67" w:rsidP="0014054D">
      <w:pPr>
        <w:rPr>
          <w:rFonts w:cs="Times New Roman"/>
          <w:noProof/>
        </w:rPr>
      </w:pPr>
      <w:r w:rsidRPr="00593A5B">
        <w:rPr>
          <w:rFonts w:cs="Times New Roman"/>
          <w:noProof/>
        </w:rPr>
        <w:t xml:space="preserve">The Vision venue in London is one that meets operational efficiency and accessibility criteria and is </w:t>
      </w:r>
      <w:r w:rsidR="007C476C" w:rsidRPr="00593A5B">
        <w:rPr>
          <w:rFonts w:cs="Times New Roman"/>
          <w:noProof/>
        </w:rPr>
        <w:t>accessible</w:t>
      </w:r>
      <w:r w:rsidRPr="00593A5B">
        <w:rPr>
          <w:rFonts w:cs="Times New Roman"/>
          <w:noProof/>
        </w:rPr>
        <w:t xml:space="preserve">. Its </w:t>
      </w:r>
      <w:r w:rsidR="00C43B29" w:rsidRPr="00593A5B">
        <w:rPr>
          <w:rFonts w:cs="Times New Roman"/>
          <w:noProof/>
        </w:rPr>
        <w:t>proximity</w:t>
      </w:r>
      <w:r w:rsidRPr="00593A5B">
        <w:rPr>
          <w:rFonts w:cs="Times New Roman"/>
          <w:noProof/>
        </w:rPr>
        <w:t xml:space="preserve"> to public transportation, assistive technologies, and flexible seating—which Vision Hall, 2025 describes as barrier-free</w:t>
      </w:r>
      <w:r w:rsidR="00C43B29" w:rsidRPr="00593A5B">
        <w:rPr>
          <w:rFonts w:cs="Times New Roman"/>
          <w:noProof/>
        </w:rPr>
        <w:t>.</w:t>
      </w:r>
      <w:r w:rsidRPr="00593A5B">
        <w:rPr>
          <w:rFonts w:cs="Times New Roman"/>
          <w:noProof/>
        </w:rPr>
        <w:t xml:space="preserve"> The site is </w:t>
      </w:r>
      <w:r w:rsidR="00D67FD6" w:rsidRPr="00593A5B">
        <w:rPr>
          <w:rFonts w:cs="Times New Roman"/>
          <w:noProof/>
        </w:rPr>
        <w:t>an excellent choice</w:t>
      </w:r>
      <w:r w:rsidRPr="00593A5B">
        <w:rPr>
          <w:rFonts w:cs="Times New Roman"/>
          <w:noProof/>
        </w:rPr>
        <w:t xml:space="preserve"> since its infrastructure supports the variety of the event and the aims for professional learning.</w:t>
      </w:r>
    </w:p>
    <w:p w14:paraId="1D05F539" w14:textId="77777777" w:rsidR="00A10276" w:rsidRPr="00593A5B" w:rsidRDefault="00A10276" w:rsidP="0014054D">
      <w:pPr>
        <w:pStyle w:val="Heading1"/>
        <w:rPr>
          <w:rFonts w:cs="Times New Roman"/>
          <w:noProof/>
        </w:rPr>
      </w:pPr>
      <w:bookmarkStart w:id="2" w:name="_Toc190198983"/>
      <w:r w:rsidRPr="00593A5B">
        <w:rPr>
          <w:rFonts w:cs="Times New Roman"/>
          <w:noProof/>
        </w:rPr>
        <w:t>2. The Event Cycle</w:t>
      </w:r>
      <w:bookmarkEnd w:id="2"/>
    </w:p>
    <w:p w14:paraId="1AE2878B" w14:textId="148DB560" w:rsidR="00194B67" w:rsidRPr="00593A5B" w:rsidRDefault="00194B67" w:rsidP="0014054D">
      <w:pPr>
        <w:rPr>
          <w:rFonts w:cs="Times New Roman"/>
          <w:noProof/>
        </w:rPr>
      </w:pPr>
      <w:r w:rsidRPr="00593A5B">
        <w:rPr>
          <w:rFonts w:cs="Times New Roman"/>
          <w:noProof/>
        </w:rPr>
        <w:t>The event cycle is the process of "imagining, planning, executing, and evaluating an event," as defined by Getz and Page (2019). Brown et al. (2015) provide a rigorous approach to event management meant to improve participant experiences, use resources wisely, and create strategic alignment with event objectives. The Event Management Body of Knowledge (EMBOK) Model (Silvers et al., 2005) consists in initiation, planning, execution, evaluation, and knowledge. These ideas applied in the Inclusive Event Planning Masterclass promotes involvement, risk management, and structure.</w:t>
      </w:r>
    </w:p>
    <w:p w14:paraId="0C9CE069" w14:textId="066A7866" w:rsidR="00A10276" w:rsidRPr="00593A5B" w:rsidRDefault="000935C6" w:rsidP="0014054D">
      <w:pPr>
        <w:pStyle w:val="Heading2"/>
        <w:rPr>
          <w:rFonts w:cs="Times New Roman"/>
          <w:noProof/>
        </w:rPr>
      </w:pPr>
      <w:bookmarkStart w:id="3" w:name="_Toc190198984"/>
      <w:r w:rsidRPr="00593A5B">
        <w:rPr>
          <w:rFonts w:cs="Times New Roman"/>
          <w:noProof/>
        </w:rPr>
        <w:t xml:space="preserve">2.1 </w:t>
      </w:r>
      <w:r w:rsidR="00A10276" w:rsidRPr="00593A5B">
        <w:rPr>
          <w:rFonts w:cs="Times New Roman"/>
          <w:noProof/>
        </w:rPr>
        <w:t>Application to the Event</w:t>
      </w:r>
      <w:bookmarkEnd w:id="3"/>
    </w:p>
    <w:p w14:paraId="7959C49A" w14:textId="34927309" w:rsidR="00A10276" w:rsidRPr="00593A5B" w:rsidRDefault="00A10276" w:rsidP="0014054D">
      <w:pPr>
        <w:pStyle w:val="ListParagraph"/>
        <w:numPr>
          <w:ilvl w:val="0"/>
          <w:numId w:val="2"/>
        </w:numPr>
        <w:rPr>
          <w:rFonts w:cs="Times New Roman"/>
          <w:noProof/>
        </w:rPr>
      </w:pPr>
      <w:r w:rsidRPr="00593A5B">
        <w:rPr>
          <w:rFonts w:cs="Times New Roman"/>
          <w:noProof/>
        </w:rPr>
        <w:t>Concept Development: The initial phase involved market research, defining event objectives, and identifying industry demand for inclusivity training (Bowdin et al., 202</w:t>
      </w:r>
      <w:r w:rsidR="00F73A1C" w:rsidRPr="00593A5B">
        <w:rPr>
          <w:rFonts w:cs="Times New Roman"/>
          <w:noProof/>
        </w:rPr>
        <w:t>3</w:t>
      </w:r>
      <w:r w:rsidRPr="00593A5B">
        <w:rPr>
          <w:rFonts w:cs="Times New Roman"/>
          <w:noProof/>
        </w:rPr>
        <w:t>).</w:t>
      </w:r>
    </w:p>
    <w:p w14:paraId="03D84B73" w14:textId="704118AE" w:rsidR="00A10276" w:rsidRPr="00593A5B" w:rsidRDefault="00A10276" w:rsidP="0014054D">
      <w:pPr>
        <w:pStyle w:val="ListParagraph"/>
        <w:numPr>
          <w:ilvl w:val="0"/>
          <w:numId w:val="2"/>
        </w:numPr>
        <w:rPr>
          <w:rFonts w:cs="Times New Roman"/>
          <w:noProof/>
        </w:rPr>
      </w:pPr>
      <w:r w:rsidRPr="00593A5B">
        <w:rPr>
          <w:rFonts w:cs="Times New Roman"/>
          <w:noProof/>
        </w:rPr>
        <w:t xml:space="preserve">Planning: This stage included venue selection, budgeting, securing sponsorships, and logistical arrangements, ensuring accessibility and operational feasibility </w:t>
      </w:r>
      <w:r w:rsidR="00F73A1C" w:rsidRPr="00593A5B">
        <w:rPr>
          <w:rFonts w:cs="Times New Roman"/>
          <w:noProof/>
        </w:rPr>
        <w:t>(</w:t>
      </w:r>
      <w:r w:rsidR="00F73A1C" w:rsidRPr="00593A5B">
        <w:rPr>
          <w:rFonts w:eastAsia="Times New Roman" w:cs="Times New Roman"/>
          <w:noProof/>
          <w:lang w:eastAsia="en-GB"/>
        </w:rPr>
        <w:t>Jones, 2017</w:t>
      </w:r>
      <w:r w:rsidR="00F73A1C" w:rsidRPr="00593A5B">
        <w:rPr>
          <w:rFonts w:cs="Times New Roman"/>
          <w:noProof/>
        </w:rPr>
        <w:t>)</w:t>
      </w:r>
      <w:r w:rsidRPr="00593A5B">
        <w:rPr>
          <w:rFonts w:cs="Times New Roman"/>
          <w:noProof/>
        </w:rPr>
        <w:t>.</w:t>
      </w:r>
    </w:p>
    <w:p w14:paraId="1BD325DD" w14:textId="4EBDE060" w:rsidR="00A10276" w:rsidRPr="00593A5B" w:rsidRDefault="00A10276" w:rsidP="0014054D">
      <w:pPr>
        <w:pStyle w:val="ListParagraph"/>
        <w:numPr>
          <w:ilvl w:val="0"/>
          <w:numId w:val="2"/>
        </w:numPr>
        <w:rPr>
          <w:rFonts w:cs="Times New Roman"/>
          <w:noProof/>
        </w:rPr>
      </w:pPr>
      <w:r w:rsidRPr="00593A5B">
        <w:rPr>
          <w:rFonts w:cs="Times New Roman"/>
          <w:noProof/>
        </w:rPr>
        <w:t>Implementation: Focused on executing marketing campaigns, onboarding speakers, and finalizing resource allocations (</w:t>
      </w:r>
      <w:r w:rsidR="00F73A1C" w:rsidRPr="00593A5B">
        <w:rPr>
          <w:rFonts w:eastAsia="Times New Roman" w:cs="Times New Roman"/>
          <w:noProof/>
          <w:lang w:eastAsia="en-GB"/>
        </w:rPr>
        <w:t>Rogers and Wynn-Moylan, 2022</w:t>
      </w:r>
      <w:r w:rsidRPr="00593A5B">
        <w:rPr>
          <w:rFonts w:cs="Times New Roman"/>
          <w:noProof/>
        </w:rPr>
        <w:t>).</w:t>
      </w:r>
    </w:p>
    <w:p w14:paraId="0E6053C6" w14:textId="0DF805AB" w:rsidR="00A10276" w:rsidRPr="00593A5B" w:rsidRDefault="00A10276" w:rsidP="0014054D">
      <w:pPr>
        <w:pStyle w:val="ListParagraph"/>
        <w:numPr>
          <w:ilvl w:val="0"/>
          <w:numId w:val="2"/>
        </w:numPr>
        <w:rPr>
          <w:rFonts w:cs="Times New Roman"/>
          <w:noProof/>
        </w:rPr>
      </w:pPr>
      <w:r w:rsidRPr="00593A5B">
        <w:rPr>
          <w:rFonts w:cs="Times New Roman"/>
          <w:noProof/>
        </w:rPr>
        <w:t>Event Execution: On the event day, coordination between staff, speakers, and technology teams ensures seamless delivery.</w:t>
      </w:r>
    </w:p>
    <w:p w14:paraId="207A8728" w14:textId="21E2DFE4" w:rsidR="00A10276" w:rsidRPr="00593A5B" w:rsidRDefault="00A10276" w:rsidP="0014054D">
      <w:pPr>
        <w:pStyle w:val="ListParagraph"/>
        <w:numPr>
          <w:ilvl w:val="0"/>
          <w:numId w:val="2"/>
        </w:numPr>
        <w:rPr>
          <w:rFonts w:cs="Times New Roman"/>
          <w:noProof/>
        </w:rPr>
      </w:pPr>
      <w:r w:rsidRPr="00593A5B">
        <w:rPr>
          <w:rFonts w:cs="Times New Roman"/>
          <w:noProof/>
        </w:rPr>
        <w:t xml:space="preserve">Evaluation: Post-event feedback collection through surveys, social media insights, and stakeholder meetings assesses the event’s success and areas for improvement </w:t>
      </w:r>
      <w:r w:rsidR="00F73A1C" w:rsidRPr="00593A5B">
        <w:rPr>
          <w:rFonts w:cs="Times New Roman"/>
          <w:noProof/>
        </w:rPr>
        <w:t>(</w:t>
      </w:r>
      <w:r w:rsidR="00F73A1C" w:rsidRPr="00593A5B">
        <w:rPr>
          <w:rFonts w:eastAsia="Times New Roman" w:cs="Times New Roman"/>
          <w:noProof/>
          <w:lang w:eastAsia="en-GB"/>
        </w:rPr>
        <w:t>Jones, 2017</w:t>
      </w:r>
      <w:r w:rsidR="00F73A1C" w:rsidRPr="00593A5B">
        <w:rPr>
          <w:rFonts w:cs="Times New Roman"/>
          <w:noProof/>
        </w:rPr>
        <w:t>)</w:t>
      </w:r>
      <w:r w:rsidRPr="00593A5B">
        <w:rPr>
          <w:rFonts w:cs="Times New Roman"/>
          <w:noProof/>
        </w:rPr>
        <w:t>.</w:t>
      </w:r>
    </w:p>
    <w:p w14:paraId="179FD42A" w14:textId="370FA9B0" w:rsidR="00A10276" w:rsidRPr="00593A5B" w:rsidRDefault="000935C6" w:rsidP="0014054D">
      <w:pPr>
        <w:pStyle w:val="Heading2"/>
        <w:rPr>
          <w:rFonts w:cs="Times New Roman"/>
          <w:noProof/>
        </w:rPr>
      </w:pPr>
      <w:bookmarkStart w:id="4" w:name="_Toc190198985"/>
      <w:r w:rsidRPr="00593A5B">
        <w:rPr>
          <w:rFonts w:cs="Times New Roman"/>
          <w:noProof/>
        </w:rPr>
        <w:t xml:space="preserve">2.2 </w:t>
      </w:r>
      <w:r w:rsidR="00A10276" w:rsidRPr="00593A5B">
        <w:rPr>
          <w:rFonts w:cs="Times New Roman"/>
          <w:noProof/>
        </w:rPr>
        <w:t>Strategic Timeline</w:t>
      </w:r>
      <w:bookmarkEnd w:id="4"/>
    </w:p>
    <w:p w14:paraId="699AFF6F" w14:textId="773AF292" w:rsidR="00A10276" w:rsidRPr="00593A5B" w:rsidRDefault="00A10276" w:rsidP="0014054D">
      <w:pPr>
        <w:pStyle w:val="ListParagraph"/>
        <w:numPr>
          <w:ilvl w:val="0"/>
          <w:numId w:val="1"/>
        </w:numPr>
        <w:rPr>
          <w:rFonts w:cs="Times New Roman"/>
          <w:noProof/>
        </w:rPr>
      </w:pPr>
      <w:r w:rsidRPr="00593A5B">
        <w:rPr>
          <w:rFonts w:cs="Times New Roman"/>
          <w:noProof/>
        </w:rPr>
        <w:t>Pre-Event (6 Months Prior): Venue booking, sponsorship outreach, marketing strategy development.</w:t>
      </w:r>
    </w:p>
    <w:p w14:paraId="7A463DA8" w14:textId="2B78B178" w:rsidR="00A10276" w:rsidRPr="00593A5B" w:rsidRDefault="00A10276" w:rsidP="0014054D">
      <w:pPr>
        <w:pStyle w:val="ListParagraph"/>
        <w:numPr>
          <w:ilvl w:val="0"/>
          <w:numId w:val="1"/>
        </w:numPr>
        <w:rPr>
          <w:rFonts w:cs="Times New Roman"/>
          <w:noProof/>
        </w:rPr>
      </w:pPr>
      <w:r w:rsidRPr="00593A5B">
        <w:rPr>
          <w:rFonts w:cs="Times New Roman"/>
          <w:noProof/>
        </w:rPr>
        <w:t>Pre-Event (3 Months Prior): Speaker confirmations, accessibility planning, ticket sales launch.</w:t>
      </w:r>
    </w:p>
    <w:p w14:paraId="73B84B4B" w14:textId="33A264BD" w:rsidR="00A10276" w:rsidRPr="00593A5B" w:rsidRDefault="00A10276" w:rsidP="0014054D">
      <w:pPr>
        <w:pStyle w:val="ListParagraph"/>
        <w:numPr>
          <w:ilvl w:val="0"/>
          <w:numId w:val="1"/>
        </w:numPr>
        <w:rPr>
          <w:rFonts w:cs="Times New Roman"/>
          <w:noProof/>
        </w:rPr>
      </w:pPr>
      <w:r w:rsidRPr="00593A5B">
        <w:rPr>
          <w:rFonts w:cs="Times New Roman"/>
          <w:noProof/>
        </w:rPr>
        <w:t>Event Week: On-site setup, final technical checks, coordination meetings.</w:t>
      </w:r>
    </w:p>
    <w:p w14:paraId="002D606E" w14:textId="503D07C2" w:rsidR="00A10276" w:rsidRPr="00593A5B" w:rsidRDefault="00A10276" w:rsidP="0014054D">
      <w:pPr>
        <w:pStyle w:val="ListParagraph"/>
        <w:numPr>
          <w:ilvl w:val="0"/>
          <w:numId w:val="1"/>
        </w:numPr>
        <w:rPr>
          <w:rFonts w:cs="Times New Roman"/>
          <w:noProof/>
        </w:rPr>
      </w:pPr>
      <w:r w:rsidRPr="00593A5B">
        <w:rPr>
          <w:rFonts w:cs="Times New Roman"/>
          <w:noProof/>
        </w:rPr>
        <w:t>Event Day: Execution of sessions, real-time monitoring, and audience engagement strategies.</w:t>
      </w:r>
    </w:p>
    <w:p w14:paraId="67D909E4" w14:textId="505F7C09" w:rsidR="00A10276" w:rsidRPr="00593A5B" w:rsidRDefault="00A10276" w:rsidP="0014054D">
      <w:pPr>
        <w:pStyle w:val="ListParagraph"/>
        <w:numPr>
          <w:ilvl w:val="0"/>
          <w:numId w:val="1"/>
        </w:numPr>
        <w:rPr>
          <w:rFonts w:cs="Times New Roman"/>
          <w:noProof/>
        </w:rPr>
      </w:pPr>
      <w:r w:rsidRPr="00593A5B">
        <w:rPr>
          <w:rFonts w:cs="Times New Roman"/>
          <w:noProof/>
        </w:rPr>
        <w:t>Post-Event (1 Month After): Feedback analysis, financial reconciliation, and reporting for future improvements.</w:t>
      </w:r>
    </w:p>
    <w:p w14:paraId="68629DB3" w14:textId="77777777" w:rsidR="00194B67" w:rsidRPr="00593A5B" w:rsidRDefault="00194B67" w:rsidP="0014054D">
      <w:pPr>
        <w:rPr>
          <w:rFonts w:cs="Times New Roman"/>
          <w:noProof/>
        </w:rPr>
      </w:pPr>
      <w:r w:rsidRPr="00593A5B">
        <w:rPr>
          <w:rFonts w:cs="Times New Roman"/>
          <w:noProof/>
        </w:rPr>
        <w:t xml:space="preserve">Following this event cycle helps the Inclusive Event Planning Masterclass improve operational effectiveness, guest satisfaction, and industry influence. </w:t>
      </w:r>
    </w:p>
    <w:p w14:paraId="7B50AC9F" w14:textId="58791D84" w:rsidR="00A10276" w:rsidRPr="00593A5B" w:rsidRDefault="00A10276" w:rsidP="0014054D">
      <w:pPr>
        <w:pStyle w:val="Heading1"/>
        <w:rPr>
          <w:rFonts w:eastAsia="Times New Roman" w:cs="Times New Roman"/>
          <w:noProof/>
          <w:lang w:eastAsia="en-GB"/>
        </w:rPr>
      </w:pPr>
      <w:bookmarkStart w:id="5" w:name="_Toc190198986"/>
      <w:r w:rsidRPr="00593A5B">
        <w:rPr>
          <w:rFonts w:cs="Times New Roman"/>
          <w:noProof/>
        </w:rPr>
        <w:t xml:space="preserve">3. </w:t>
      </w:r>
      <w:r w:rsidRPr="00593A5B">
        <w:rPr>
          <w:rFonts w:eastAsia="Times New Roman" w:cs="Times New Roman"/>
          <w:noProof/>
          <w:lang w:eastAsia="en-GB"/>
        </w:rPr>
        <w:t>Event Concept</w:t>
      </w:r>
      <w:bookmarkEnd w:id="5"/>
    </w:p>
    <w:p w14:paraId="6E083CCF" w14:textId="3CA883B8" w:rsidR="0070428F" w:rsidRPr="00593A5B" w:rsidRDefault="0070428F" w:rsidP="0014054D">
      <w:pPr>
        <w:rPr>
          <w:rFonts w:cs="Times New Roman"/>
          <w:noProof/>
          <w:lang w:eastAsia="en-GB"/>
        </w:rPr>
      </w:pPr>
      <w:r w:rsidRPr="00593A5B">
        <w:rPr>
          <w:rFonts w:cs="Times New Roman"/>
          <w:noProof/>
          <w:lang w:eastAsia="en-GB"/>
        </w:rPr>
        <w:t>Designed to involve, connect, and educate attendees—including hospitality experts, students, and event planners—the inclusive event planning masterclass</w:t>
      </w:r>
      <w:r w:rsidR="003C0173" w:rsidRPr="00593A5B">
        <w:rPr>
          <w:rFonts w:cs="Times New Roman"/>
          <w:noProof/>
          <w:lang w:eastAsia="en-GB"/>
        </w:rPr>
        <w:t>.</w:t>
      </w:r>
      <w:r w:rsidRPr="00593A5B">
        <w:rPr>
          <w:rFonts w:cs="Times New Roman"/>
          <w:noProof/>
          <w:lang w:eastAsia="en-GB"/>
        </w:rPr>
        <w:t xml:space="preserve"> Participants in the event are guided on how to plan and </w:t>
      </w:r>
      <w:r w:rsidR="007C476C" w:rsidRPr="00593A5B">
        <w:rPr>
          <w:rFonts w:cs="Times New Roman"/>
          <w:noProof/>
          <w:lang w:eastAsia="en-GB"/>
        </w:rPr>
        <w:t>conduct</w:t>
      </w:r>
      <w:r w:rsidRPr="00593A5B">
        <w:rPr>
          <w:rFonts w:cs="Times New Roman"/>
          <w:noProof/>
          <w:lang w:eastAsia="en-GB"/>
        </w:rPr>
        <w:t xml:space="preserve"> inclusive events stressing universal design, diversity, and accessibility (Darcy, 2012).</w:t>
      </w:r>
    </w:p>
    <w:p w14:paraId="2437887B" w14:textId="62A2D189" w:rsidR="00A10276" w:rsidRPr="00593A5B" w:rsidRDefault="00A10276" w:rsidP="0014054D">
      <w:pPr>
        <w:pStyle w:val="Heading2"/>
        <w:rPr>
          <w:rFonts w:eastAsia="Times New Roman" w:cs="Times New Roman"/>
          <w:noProof/>
          <w:lang w:eastAsia="en-GB"/>
        </w:rPr>
      </w:pPr>
      <w:bookmarkStart w:id="6" w:name="_Toc190198987"/>
      <w:r w:rsidRPr="00593A5B">
        <w:rPr>
          <w:rFonts w:eastAsia="Times New Roman" w:cs="Times New Roman"/>
          <w:noProof/>
          <w:lang w:eastAsia="en-GB"/>
        </w:rPr>
        <w:t>3.1 Delegate/Guest Experience</w:t>
      </w:r>
      <w:bookmarkEnd w:id="6"/>
    </w:p>
    <w:p w14:paraId="111D800C" w14:textId="513BB706" w:rsidR="0070428F" w:rsidRPr="00593A5B" w:rsidRDefault="0070428F" w:rsidP="0014054D">
      <w:pPr>
        <w:rPr>
          <w:rFonts w:cs="Times New Roman"/>
          <w:noProof/>
          <w:lang w:eastAsia="en-GB"/>
        </w:rPr>
      </w:pPr>
      <w:r w:rsidRPr="00593A5B">
        <w:rPr>
          <w:rFonts w:cs="Times New Roman"/>
          <w:noProof/>
          <w:lang w:eastAsia="en-GB"/>
        </w:rPr>
        <w:t>Visitors will first come across inclusive and easily accessible surroundings. Visitors to Vision Hall, 2025 have access to digital accessibility tools, assistive listening devices, sign language interpreters, and step-free access. Digital check-in systems and QR codes help to address issues with address accessibility and registration. Keynotes, expert-led panel discussions, practical seminars, and case study presentations will round out the day. Through breakout seminars, attendees can apply ideas to actual event planning environments, therefore helping to retain knowledge and acquire skills (Huggett, 2022). A networking event will round up the program and help to promote industry inclusion and professional contacts.</w:t>
      </w:r>
    </w:p>
    <w:p w14:paraId="4C414395" w14:textId="40C8ED80" w:rsidR="00A10276" w:rsidRPr="00593A5B" w:rsidRDefault="00A10276" w:rsidP="0014054D">
      <w:pPr>
        <w:pStyle w:val="Heading2"/>
        <w:rPr>
          <w:rFonts w:eastAsia="Times New Roman" w:cs="Times New Roman"/>
          <w:noProof/>
          <w:lang w:eastAsia="en-GB"/>
        </w:rPr>
      </w:pPr>
      <w:bookmarkStart w:id="7" w:name="_Toc190198988"/>
      <w:r w:rsidRPr="00593A5B">
        <w:rPr>
          <w:rFonts w:eastAsia="Times New Roman" w:cs="Times New Roman"/>
          <w:noProof/>
          <w:lang w:eastAsia="en-GB"/>
        </w:rPr>
        <w:t>3.2 Full Itinerary</w:t>
      </w:r>
      <w:bookmarkEnd w:id="7"/>
    </w:p>
    <w:p w14:paraId="3BD2EDAB" w14:textId="5A6F080A" w:rsidR="000935C6" w:rsidRPr="00593A5B" w:rsidRDefault="00C43B29" w:rsidP="0014054D">
      <w:pPr>
        <w:jc w:val="center"/>
        <w:rPr>
          <w:rFonts w:cs="Times New Roman"/>
          <w:noProof/>
          <w:lang w:eastAsia="en-GB"/>
        </w:rPr>
      </w:pPr>
      <w:r w:rsidRPr="00593A5B">
        <w:rPr>
          <w:rFonts w:cs="Times New Roman"/>
          <w:noProof/>
          <w:lang w:eastAsia="en-GB"/>
        </w:rPr>
        <w:drawing>
          <wp:inline distT="0" distB="0" distL="0" distR="0" wp14:anchorId="709448BD" wp14:editId="21FB1827">
            <wp:extent cx="5731510" cy="4660900"/>
            <wp:effectExtent l="0" t="0" r="2540" b="6350"/>
            <wp:docPr id="1112152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152776" name=""/>
                    <pic:cNvPicPr/>
                  </pic:nvPicPr>
                  <pic:blipFill>
                    <a:blip r:embed="rId9"/>
                    <a:stretch>
                      <a:fillRect/>
                    </a:stretch>
                  </pic:blipFill>
                  <pic:spPr>
                    <a:xfrm>
                      <a:off x="0" y="0"/>
                      <a:ext cx="5731510" cy="4660900"/>
                    </a:xfrm>
                    <a:prstGeom prst="rect">
                      <a:avLst/>
                    </a:prstGeom>
                  </pic:spPr>
                </pic:pic>
              </a:graphicData>
            </a:graphic>
          </wp:inline>
        </w:drawing>
      </w:r>
    </w:p>
    <w:p w14:paraId="422783B0" w14:textId="3F75D2DE" w:rsidR="00A10276" w:rsidRPr="00593A5B" w:rsidRDefault="00A10276" w:rsidP="0014054D">
      <w:pPr>
        <w:pStyle w:val="Heading2"/>
        <w:rPr>
          <w:rFonts w:eastAsia="Times New Roman" w:cs="Times New Roman"/>
          <w:noProof/>
          <w:lang w:eastAsia="en-GB"/>
        </w:rPr>
      </w:pPr>
      <w:bookmarkStart w:id="8" w:name="_Toc190198989"/>
      <w:r w:rsidRPr="00593A5B">
        <w:rPr>
          <w:rFonts w:eastAsia="Times New Roman" w:cs="Times New Roman"/>
          <w:noProof/>
          <w:lang w:eastAsia="en-GB"/>
        </w:rPr>
        <w:t>3.3 Value Proposition</w:t>
      </w:r>
      <w:bookmarkEnd w:id="8"/>
    </w:p>
    <w:p w14:paraId="13D53278" w14:textId="51FCAB23" w:rsidR="0070428F" w:rsidRPr="00593A5B" w:rsidRDefault="0070428F" w:rsidP="0014054D">
      <w:pPr>
        <w:rPr>
          <w:rFonts w:cs="Times New Roman"/>
          <w:noProof/>
          <w:lang w:eastAsia="en-GB"/>
        </w:rPr>
      </w:pPr>
      <w:r w:rsidRPr="00593A5B">
        <w:rPr>
          <w:rFonts w:cs="Times New Roman"/>
          <w:noProof/>
          <w:lang w:eastAsia="en-GB"/>
        </w:rPr>
        <w:t xml:space="preserve">The way this event is planned structurally and inclusively distinguishes it. While many conferences debate diversity theoretically, this masterclass gives attendees the chance to create ideas that give accessibility top priority (Rogers </w:t>
      </w:r>
      <w:r w:rsidR="00903B6B" w:rsidRPr="00593A5B">
        <w:rPr>
          <w:rFonts w:cs="Times New Roman"/>
          <w:noProof/>
          <w:lang w:eastAsia="en-GB"/>
        </w:rPr>
        <w:t>and</w:t>
      </w:r>
      <w:r w:rsidRPr="00593A5B">
        <w:rPr>
          <w:rFonts w:cs="Times New Roman"/>
          <w:noProof/>
          <w:lang w:eastAsia="en-GB"/>
        </w:rPr>
        <w:t xml:space="preserve"> Wynn-Moylan, 2022). Practical insights abound from interactive lectures, case studies, and expert panels.</w:t>
      </w:r>
      <w:r w:rsidRPr="00593A5B">
        <w:rPr>
          <w:rFonts w:cs="Times New Roman"/>
          <w:b/>
          <w:noProof/>
          <w:lang w:eastAsia="en-GB"/>
        </w:rPr>
        <w:t xml:space="preserve"> </w:t>
      </w:r>
      <w:r w:rsidRPr="00593A5B">
        <w:rPr>
          <w:rFonts w:cs="Times New Roman"/>
          <w:noProof/>
          <w:lang w:eastAsia="en-GB"/>
        </w:rPr>
        <w:t>By combining event professionals and accessibility experts, the event helps the sector to undergo long-term change. This masterclass creates a more inclusive MICE business by linking knowledge and implementation (Darcy, 2012).</w:t>
      </w:r>
    </w:p>
    <w:p w14:paraId="226533D5" w14:textId="77777777" w:rsidR="00A10276" w:rsidRPr="00593A5B" w:rsidRDefault="00A10276" w:rsidP="0014054D">
      <w:pPr>
        <w:pStyle w:val="Heading1"/>
        <w:rPr>
          <w:rFonts w:cs="Times New Roman"/>
          <w:noProof/>
          <w:lang w:eastAsia="en-GB"/>
        </w:rPr>
      </w:pPr>
      <w:bookmarkStart w:id="9" w:name="_Toc190198990"/>
      <w:r w:rsidRPr="00593A5B">
        <w:rPr>
          <w:rFonts w:cs="Times New Roman"/>
          <w:noProof/>
          <w:lang w:eastAsia="en-GB"/>
        </w:rPr>
        <w:t>4. Aim and Objectives</w:t>
      </w:r>
      <w:bookmarkEnd w:id="9"/>
    </w:p>
    <w:p w14:paraId="2905EF8E" w14:textId="1B2C1A53" w:rsidR="0070428F" w:rsidRPr="00593A5B" w:rsidRDefault="0070428F" w:rsidP="0014054D">
      <w:pPr>
        <w:rPr>
          <w:rFonts w:cs="Times New Roman"/>
          <w:noProof/>
          <w:lang w:eastAsia="en-GB"/>
        </w:rPr>
      </w:pPr>
      <w:r w:rsidRPr="00593A5B">
        <w:rPr>
          <w:rFonts w:cs="Times New Roman"/>
          <w:noProof/>
          <w:lang w:eastAsia="en-GB"/>
        </w:rPr>
        <w:t>Designed specifically to meet the need in the MICE sector for inclusive event planning, the Inclusive Event Planning Masterclass The event has the following goal –</w:t>
      </w:r>
    </w:p>
    <w:p w14:paraId="665CB499" w14:textId="539B836C" w:rsidR="00A10276" w:rsidRPr="00593A5B" w:rsidRDefault="00A10276" w:rsidP="0014054D">
      <w:pPr>
        <w:ind w:left="720"/>
        <w:rPr>
          <w:rFonts w:cs="Times New Roman"/>
          <w:i/>
          <w:iCs/>
          <w:noProof/>
          <w:lang w:eastAsia="en-GB"/>
        </w:rPr>
      </w:pPr>
      <w:r w:rsidRPr="00593A5B">
        <w:rPr>
          <w:rFonts w:cs="Times New Roman"/>
          <w:i/>
          <w:iCs/>
          <w:noProof/>
          <w:lang w:eastAsia="en-GB"/>
        </w:rPr>
        <w:t>"To provide event planners and hospitality professionals with practical knowledge and skills to design and execute truly inclusive events."</w:t>
      </w:r>
    </w:p>
    <w:p w14:paraId="77D889CA" w14:textId="77777777" w:rsidR="0070428F" w:rsidRPr="00593A5B" w:rsidRDefault="0070428F" w:rsidP="0014054D">
      <w:pPr>
        <w:rPr>
          <w:rFonts w:cs="Times New Roman"/>
          <w:b/>
          <w:noProof/>
          <w:lang w:eastAsia="en-GB"/>
        </w:rPr>
      </w:pPr>
      <w:r w:rsidRPr="00593A5B">
        <w:rPr>
          <w:rFonts w:cs="Times New Roman"/>
          <w:noProof/>
          <w:lang w:eastAsia="en-GB"/>
        </w:rPr>
        <w:t>Legal and ethical responsibilities are driving the sector to gradually highlight in event management accessibility, diversity, and inclusion (Bowdin et al., 2023). By giving participants practical knowledge, the event guarantees accessibility all through the process, so encouraging methodical change in the methods of event design (Finkel and Dashper, 2020).</w:t>
      </w:r>
    </w:p>
    <w:p w14:paraId="42245E39" w14:textId="2945DA68" w:rsidR="00A10276" w:rsidRPr="00593A5B" w:rsidRDefault="00A10276" w:rsidP="0014054D">
      <w:pPr>
        <w:pStyle w:val="Heading2"/>
        <w:rPr>
          <w:rFonts w:cs="Times New Roman"/>
          <w:noProof/>
          <w:lang w:eastAsia="en-GB"/>
        </w:rPr>
      </w:pPr>
      <w:bookmarkStart w:id="10" w:name="_Toc190198991"/>
      <w:r w:rsidRPr="00593A5B">
        <w:rPr>
          <w:rFonts w:cs="Times New Roman"/>
          <w:noProof/>
          <w:lang w:eastAsia="en-GB"/>
        </w:rPr>
        <w:t>4.1 SMART Objectives</w:t>
      </w:r>
      <w:bookmarkEnd w:id="10"/>
    </w:p>
    <w:p w14:paraId="7E64E905" w14:textId="71FEF1CE" w:rsidR="0070428F" w:rsidRPr="00593A5B" w:rsidRDefault="0070428F" w:rsidP="0014054D">
      <w:pPr>
        <w:rPr>
          <w:rFonts w:cs="Times New Roman"/>
          <w:noProof/>
          <w:lang w:eastAsia="en-GB"/>
        </w:rPr>
      </w:pPr>
      <w:r w:rsidRPr="00593A5B">
        <w:rPr>
          <w:rFonts w:cs="Times New Roman"/>
          <w:noProof/>
          <w:lang w:eastAsia="en-GB"/>
        </w:rPr>
        <w:t>Following SMART goals has helped to ensure that the event produces measurable results -</w:t>
      </w:r>
    </w:p>
    <w:p w14:paraId="721FF77A" w14:textId="6616E103" w:rsidR="0070428F" w:rsidRPr="00593A5B" w:rsidRDefault="0070428F" w:rsidP="0014054D">
      <w:pPr>
        <w:pStyle w:val="ListParagraph"/>
        <w:numPr>
          <w:ilvl w:val="0"/>
          <w:numId w:val="14"/>
        </w:numPr>
        <w:rPr>
          <w:rFonts w:cs="Times New Roman"/>
          <w:noProof/>
          <w:lang w:eastAsia="en-GB"/>
        </w:rPr>
      </w:pPr>
      <w:r w:rsidRPr="00593A5B">
        <w:rPr>
          <w:rFonts w:cs="Times New Roman"/>
          <w:noProof/>
          <w:lang w:eastAsia="en-GB"/>
        </w:rPr>
        <w:t xml:space="preserve">Educate more than </w:t>
      </w:r>
      <w:r w:rsidR="007C476C" w:rsidRPr="00593A5B">
        <w:rPr>
          <w:rFonts w:cs="Times New Roman"/>
          <w:noProof/>
          <w:lang w:eastAsia="en-GB"/>
        </w:rPr>
        <w:t>eighty</w:t>
      </w:r>
      <w:r w:rsidRPr="00593A5B">
        <w:rPr>
          <w:rFonts w:cs="Times New Roman"/>
          <w:noProof/>
          <w:lang w:eastAsia="en-GB"/>
        </w:rPr>
        <w:t xml:space="preserve"> attendees on the most efficient ways to organise accessible events, allowing them to incorporate inclusivity into future events.</w:t>
      </w:r>
    </w:p>
    <w:p w14:paraId="4F65F2BD" w14:textId="329981A2" w:rsidR="0070428F" w:rsidRPr="00593A5B" w:rsidRDefault="0070428F" w:rsidP="0014054D">
      <w:pPr>
        <w:pStyle w:val="ListParagraph"/>
        <w:numPr>
          <w:ilvl w:val="0"/>
          <w:numId w:val="14"/>
        </w:numPr>
        <w:rPr>
          <w:rFonts w:cs="Times New Roman"/>
          <w:noProof/>
          <w:lang w:eastAsia="en-GB"/>
        </w:rPr>
      </w:pPr>
      <w:r w:rsidRPr="00593A5B">
        <w:rPr>
          <w:rFonts w:cs="Times New Roman"/>
          <w:noProof/>
          <w:lang w:eastAsia="en-GB"/>
        </w:rPr>
        <w:t>Encourage diversity and long-term effect by forming five or more industry partnerships with event technology providers, accessibility experts, and hospitality groups.</w:t>
      </w:r>
    </w:p>
    <w:p w14:paraId="3EE77773" w14:textId="53A387E0" w:rsidR="0070428F" w:rsidRPr="00593A5B" w:rsidRDefault="0070428F" w:rsidP="0014054D">
      <w:pPr>
        <w:pStyle w:val="ListParagraph"/>
        <w:numPr>
          <w:ilvl w:val="0"/>
          <w:numId w:val="14"/>
        </w:numPr>
        <w:rPr>
          <w:rFonts w:cs="Times New Roman"/>
          <w:noProof/>
          <w:lang w:eastAsia="en-GB"/>
        </w:rPr>
      </w:pPr>
      <w:r w:rsidRPr="00593A5B">
        <w:rPr>
          <w:rFonts w:cs="Times New Roman"/>
          <w:noProof/>
          <w:lang w:eastAsia="en-GB"/>
        </w:rPr>
        <w:t>Conduct post-event surveys to ensure that 95% of participants are satisfied with the training's quality, efficacy, and relevance.</w:t>
      </w:r>
    </w:p>
    <w:p w14:paraId="50DE39B0" w14:textId="77777777" w:rsidR="0070428F" w:rsidRPr="00593A5B" w:rsidRDefault="0070428F" w:rsidP="0014054D">
      <w:pPr>
        <w:rPr>
          <w:rFonts w:cs="Times New Roman"/>
          <w:noProof/>
          <w:lang w:eastAsia="en-GB"/>
        </w:rPr>
      </w:pPr>
      <w:r w:rsidRPr="00593A5B">
        <w:rPr>
          <w:rFonts w:cs="Times New Roman"/>
          <w:noProof/>
          <w:lang w:eastAsia="en-GB"/>
        </w:rPr>
        <w:t>The event's aims ensure practical learning, industry partnerships, and attendee happiness. Using articulated goals improves event feasibility and strategy (Darcy, 2012).</w:t>
      </w:r>
    </w:p>
    <w:p w14:paraId="6F99B253" w14:textId="77777777" w:rsidR="001203C7" w:rsidRPr="00593A5B" w:rsidRDefault="00A10276" w:rsidP="0014054D">
      <w:pPr>
        <w:pStyle w:val="Heading1"/>
        <w:rPr>
          <w:rFonts w:cs="Times New Roman"/>
          <w:noProof/>
          <w:lang w:eastAsia="en-GB"/>
        </w:rPr>
      </w:pPr>
      <w:bookmarkStart w:id="11" w:name="_Toc190198992"/>
      <w:r w:rsidRPr="00593A5B">
        <w:rPr>
          <w:rFonts w:cs="Times New Roman"/>
          <w:noProof/>
          <w:lang w:eastAsia="en-GB"/>
        </w:rPr>
        <w:t xml:space="preserve">5. </w:t>
      </w:r>
      <w:r w:rsidR="001203C7" w:rsidRPr="00593A5B">
        <w:rPr>
          <w:rFonts w:cs="Times New Roman"/>
          <w:noProof/>
          <w:lang w:eastAsia="en-GB"/>
        </w:rPr>
        <w:t>Event Management</w:t>
      </w:r>
      <w:bookmarkEnd w:id="11"/>
    </w:p>
    <w:p w14:paraId="6D4B5136" w14:textId="77777777" w:rsidR="0070428F" w:rsidRPr="00593A5B" w:rsidRDefault="0070428F" w:rsidP="0014054D">
      <w:pPr>
        <w:rPr>
          <w:rFonts w:cs="Times New Roman"/>
          <w:noProof/>
          <w:lang w:eastAsia="en-GB"/>
        </w:rPr>
      </w:pPr>
      <w:r w:rsidRPr="00593A5B">
        <w:rPr>
          <w:rFonts w:cs="Times New Roman"/>
          <w:noProof/>
          <w:lang w:eastAsia="en-GB"/>
        </w:rPr>
        <w:t>Implementing the Inclusive Event Planning Masterclass calls for an ordered event management approach combining strategic planning, resources, and crucial skills. Good event management assures that the event is financially and operationally feasible, offers a unique experience, and accomplishes its goals (Dowson, Albert, and Lomax, 2022).</w:t>
      </w:r>
    </w:p>
    <w:p w14:paraId="7D777741" w14:textId="4BD65722" w:rsidR="0070428F" w:rsidRPr="00593A5B" w:rsidRDefault="0070428F" w:rsidP="0014054D">
      <w:pPr>
        <w:rPr>
          <w:rFonts w:cs="Times New Roman"/>
          <w:noProof/>
          <w:lang w:eastAsia="en-GB"/>
        </w:rPr>
      </w:pPr>
      <w:r w:rsidRPr="00593A5B">
        <w:rPr>
          <w:rFonts w:cs="Times New Roman"/>
          <w:noProof/>
          <w:lang w:eastAsia="en-GB"/>
        </w:rPr>
        <w:t xml:space="preserve">Good event management calls for several skills. Logistics, planning, and speaker administration </w:t>
      </w:r>
      <w:r w:rsidR="007C476C" w:rsidRPr="00593A5B">
        <w:rPr>
          <w:rFonts w:cs="Times New Roman"/>
          <w:noProof/>
          <w:lang w:eastAsia="en-GB"/>
        </w:rPr>
        <w:t>must</w:t>
      </w:r>
      <w:r w:rsidRPr="00593A5B">
        <w:rPr>
          <w:rFonts w:cs="Times New Roman"/>
          <w:noProof/>
          <w:lang w:eastAsia="en-GB"/>
        </w:rPr>
        <w:t xml:space="preserve"> be taken care of if an event is to go off smoothly (Allen, Harris, and Jago, 2022). Marketing and advertising use the AIDA paradigm—attention, interest, desire, action—to raise awareness and ticket sales (Morrison, 2023). Logistics management </w:t>
      </w:r>
      <w:r w:rsidR="007C476C" w:rsidRPr="00593A5B">
        <w:rPr>
          <w:rFonts w:cs="Times New Roman"/>
          <w:noProof/>
          <w:lang w:eastAsia="en-GB"/>
        </w:rPr>
        <w:t>must</w:t>
      </w:r>
      <w:r w:rsidRPr="00593A5B">
        <w:rPr>
          <w:rFonts w:cs="Times New Roman"/>
          <w:noProof/>
          <w:lang w:eastAsia="en-GB"/>
        </w:rPr>
        <w:t xml:space="preserve"> organise transportation, accessibility services, food, vendors, and vendors </w:t>
      </w:r>
      <w:r w:rsidR="007C476C" w:rsidRPr="00593A5B">
        <w:rPr>
          <w:rFonts w:cs="Times New Roman"/>
          <w:noProof/>
          <w:lang w:eastAsia="en-GB"/>
        </w:rPr>
        <w:t>to</w:t>
      </w:r>
      <w:r w:rsidRPr="00593A5B">
        <w:rPr>
          <w:rFonts w:cs="Times New Roman"/>
          <w:noProof/>
          <w:lang w:eastAsia="en-GB"/>
        </w:rPr>
        <w:t xml:space="preserve"> ensure successful implementation (Bowdin et al., 2023). Finally, risk management calls for the creation of fallback strategies, the expectation of problems, and the observance of accessibility rules </w:t>
      </w:r>
      <w:r w:rsidR="007C476C" w:rsidRPr="00593A5B">
        <w:rPr>
          <w:rFonts w:cs="Times New Roman"/>
          <w:noProof/>
          <w:lang w:eastAsia="en-GB"/>
        </w:rPr>
        <w:t>to</w:t>
      </w:r>
      <w:r w:rsidRPr="00593A5B">
        <w:rPr>
          <w:rFonts w:cs="Times New Roman"/>
          <w:noProof/>
          <w:lang w:eastAsia="en-GB"/>
        </w:rPr>
        <w:t xml:space="preserve"> stop disturbances (Rogers and Wynn-Moylan, 2022). These skills help the event staff to present an inclusive, professional, orderly experience.</w:t>
      </w:r>
    </w:p>
    <w:p w14:paraId="6B26F584" w14:textId="72DEDC10" w:rsidR="0070428F" w:rsidRPr="00593A5B" w:rsidRDefault="0070428F" w:rsidP="0014054D">
      <w:pPr>
        <w:rPr>
          <w:rFonts w:cs="Times New Roman"/>
          <w:noProof/>
          <w:lang w:eastAsia="en-GB"/>
        </w:rPr>
      </w:pPr>
      <w:r w:rsidRPr="00593A5B">
        <w:rPr>
          <w:rFonts w:cs="Times New Roman"/>
          <w:noProof/>
          <w:lang w:eastAsia="en-GB"/>
        </w:rPr>
        <w:t xml:space="preserve">Many basic resources at the event guarantee accessibility and efficiency. All attendees of the conference centre can access barrier-free entry, accessible technologies, flexible seating, and Vision Hall, 2025. Accessibility consultants, technical support teams, and event coordinators that want to run effectively need to be sufficiently qualified (Allen, Harris, and Jago, 2022). Not less important are real-time captioning, assistive listening devices, audio-visual systems, hybrid events enabling virtual involvement (Darcy, 2012). </w:t>
      </w:r>
      <w:r w:rsidR="00C43B29" w:rsidRPr="00593A5B">
        <w:rPr>
          <w:rFonts w:cs="Times New Roman"/>
          <w:noProof/>
          <w:lang w:eastAsia="en-GB"/>
        </w:rPr>
        <w:t>Furthermore,</w:t>
      </w:r>
      <w:r w:rsidRPr="00593A5B">
        <w:rPr>
          <w:rFonts w:cs="Times New Roman"/>
          <w:noProof/>
          <w:lang w:eastAsia="en-GB"/>
        </w:rPr>
        <w:t xml:space="preserve"> improving the experience for every participant will be inclusive communication tactics, sensory-friendly settings, braille materials, and sign language interpreters (Finkel, Sharp, and Sweeney, 2019).</w:t>
      </w:r>
    </w:p>
    <w:p w14:paraId="50A5C15D" w14:textId="2EEE3F3E" w:rsidR="0070428F" w:rsidRPr="00593A5B" w:rsidRDefault="0070428F" w:rsidP="0014054D">
      <w:pPr>
        <w:rPr>
          <w:rFonts w:cs="Times New Roman"/>
          <w:noProof/>
          <w:lang w:eastAsia="en-GB"/>
        </w:rPr>
      </w:pPr>
      <w:r w:rsidRPr="00593A5B">
        <w:rPr>
          <w:rFonts w:cs="Times New Roman"/>
          <w:noProof/>
          <w:lang w:eastAsia="en-GB"/>
        </w:rPr>
        <w:t>The success of any event depends on strategic preparation (Allen, Harris, and Jago, 2022). Wheelchair-accessible seating, neurodivergent-friendly quiet areas, and clear navigation cues will all be features of the facility. Real-time subtitles, accessible digital materials, and hybrid event activities for remote attendees depend on IT help</w:t>
      </w:r>
      <w:r w:rsidR="007B63EA" w:rsidRPr="00593A5B">
        <w:rPr>
          <w:rFonts w:cs="Times New Roman"/>
          <w:noProof/>
          <w:lang w:eastAsia="en-GB"/>
        </w:rPr>
        <w:t xml:space="preserve"> (Bow Din et al., 2023)</w:t>
      </w:r>
      <w:r w:rsidRPr="00593A5B">
        <w:rPr>
          <w:rFonts w:cs="Times New Roman"/>
          <w:noProof/>
          <w:lang w:eastAsia="en-GB"/>
        </w:rPr>
        <w:t>.</w:t>
      </w:r>
    </w:p>
    <w:p w14:paraId="01F7E2BB" w14:textId="77777777" w:rsidR="0070428F" w:rsidRPr="00593A5B" w:rsidRDefault="0070428F" w:rsidP="0014054D">
      <w:pPr>
        <w:rPr>
          <w:rFonts w:cs="Times New Roman"/>
          <w:noProof/>
          <w:lang w:eastAsia="en-GB"/>
        </w:rPr>
      </w:pPr>
      <w:r w:rsidRPr="00593A5B">
        <w:rPr>
          <w:rFonts w:cs="Times New Roman"/>
          <w:noProof/>
          <w:lang w:eastAsia="en-GB"/>
        </w:rPr>
        <w:t>The AIDA approach will direct marketing and promotion towards maximising involvement and reach (Setiawan, Wibisono, and Purwanegara, 2022). Media coverage, search engine optimised website material, and interesting social media will all start the campaign. Target email marketing, speaker interviews, and teaser videos will all help to pique curiosity. Successful inclusive event case studies and guest testimonies distribution will increase curiosity. Finally, basic registration, early bird discounts, and referral rewards will inspire involvement.</w:t>
      </w:r>
    </w:p>
    <w:p w14:paraId="1DC1E086" w14:textId="194DE341" w:rsidR="0070428F" w:rsidRPr="00593A5B" w:rsidRDefault="0070428F" w:rsidP="0014054D">
      <w:pPr>
        <w:rPr>
          <w:rFonts w:cs="Times New Roman"/>
          <w:noProof/>
          <w:lang w:eastAsia="en-GB"/>
        </w:rPr>
      </w:pPr>
      <w:r w:rsidRPr="00593A5B">
        <w:rPr>
          <w:rFonts w:cs="Times New Roman"/>
          <w:noProof/>
          <w:lang w:eastAsia="en-GB"/>
        </w:rPr>
        <w:t xml:space="preserve">Ensuring that an event is inclusive and accessible calls for logistical planning (Doran et al., 2024). The security staff will have the required knowledge to </w:t>
      </w:r>
      <w:r w:rsidR="007C476C" w:rsidRPr="00593A5B">
        <w:rPr>
          <w:rFonts w:cs="Times New Roman"/>
          <w:noProof/>
          <w:lang w:eastAsia="en-GB"/>
        </w:rPr>
        <w:t>manage</w:t>
      </w:r>
      <w:r w:rsidRPr="00593A5B">
        <w:rPr>
          <w:rFonts w:cs="Times New Roman"/>
          <w:noProof/>
          <w:lang w:eastAsia="en-GB"/>
        </w:rPr>
        <w:t xml:space="preserve"> large numbers in a respectful and inclusive way. There will be catering from halal, kosher, vegan, allergy-friendly substitutes. Visitors with mobility, sensory, or cognitive needs will have access to easily available support teams.</w:t>
      </w:r>
    </w:p>
    <w:p w14:paraId="3CC8689B" w14:textId="04C29E73" w:rsidR="00A10276" w:rsidRPr="00593A5B" w:rsidRDefault="0070428F" w:rsidP="0014054D">
      <w:pPr>
        <w:rPr>
          <w:rFonts w:cs="Times New Roman"/>
          <w:noProof/>
          <w:lang w:eastAsia="en-GB"/>
        </w:rPr>
      </w:pPr>
      <w:r w:rsidRPr="00593A5B">
        <w:rPr>
          <w:rFonts w:cs="Times New Roman"/>
          <w:noProof/>
          <w:lang w:eastAsia="en-GB"/>
        </w:rPr>
        <w:t xml:space="preserve">Strategic planning, the delivery of required resources, and staff training will help to improve operational efficiency, inclusivity, and attendance satisfaction (Bladen et al., 2022). </w:t>
      </w:r>
      <w:r w:rsidR="007C476C" w:rsidRPr="00593A5B">
        <w:rPr>
          <w:rFonts w:cs="Times New Roman"/>
          <w:noProof/>
          <w:lang w:eastAsia="en-GB"/>
        </w:rPr>
        <w:t>Highlighting</w:t>
      </w:r>
      <w:r w:rsidRPr="00593A5B">
        <w:rPr>
          <w:rFonts w:cs="Times New Roman"/>
          <w:noProof/>
          <w:lang w:eastAsia="en-GB"/>
        </w:rPr>
        <w:t xml:space="preserve"> easily available and inclusive event management, the Inclusive Event Planning Masterclass is a benchmark for next event planning in the sector (Doran et al., 2024).</w:t>
      </w:r>
    </w:p>
    <w:p w14:paraId="766E367D" w14:textId="4C07B03E" w:rsidR="001203C7" w:rsidRPr="00593A5B" w:rsidRDefault="001203C7" w:rsidP="0014054D">
      <w:pPr>
        <w:pStyle w:val="Heading1"/>
        <w:rPr>
          <w:rFonts w:cs="Times New Roman"/>
          <w:noProof/>
          <w:lang w:eastAsia="en-GB"/>
        </w:rPr>
      </w:pPr>
      <w:bookmarkStart w:id="12" w:name="_Toc190198993"/>
      <w:r w:rsidRPr="00593A5B">
        <w:rPr>
          <w:rFonts w:cs="Times New Roman"/>
          <w:noProof/>
          <w:lang w:eastAsia="en-GB"/>
        </w:rPr>
        <w:t>6. Event Budget</w:t>
      </w:r>
      <w:bookmarkEnd w:id="12"/>
    </w:p>
    <w:p w14:paraId="7E3E956C" w14:textId="41F75A41" w:rsidR="0070428F" w:rsidRPr="00593A5B" w:rsidRDefault="0070428F" w:rsidP="0014054D">
      <w:pPr>
        <w:rPr>
          <w:rFonts w:cs="Times New Roman"/>
          <w:noProof/>
          <w:lang w:eastAsia="en-GB"/>
        </w:rPr>
      </w:pPr>
      <w:r w:rsidRPr="00593A5B">
        <w:rPr>
          <w:rFonts w:cs="Times New Roman"/>
          <w:noProof/>
          <w:lang w:eastAsia="en-GB"/>
        </w:rPr>
        <w:t>Financial sustainability and viability of the Inclusive Event Planning Masterclass need for a well-organised budget (Bladen et al., 2022). Using a break-even analysis, this part shows profitability, outlines income and expenses, and points up funding sources.</w:t>
      </w:r>
    </w:p>
    <w:p w14:paraId="16A49BC5" w14:textId="6664F2FC" w:rsidR="001203C7" w:rsidRPr="00593A5B" w:rsidRDefault="00C43B29" w:rsidP="0014054D">
      <w:pPr>
        <w:jc w:val="center"/>
        <w:rPr>
          <w:rFonts w:cs="Times New Roman"/>
          <w:noProof/>
          <w:lang w:eastAsia="en-GB"/>
        </w:rPr>
      </w:pPr>
      <w:r w:rsidRPr="00593A5B">
        <w:rPr>
          <w:rFonts w:cs="Times New Roman"/>
          <w:noProof/>
          <w:lang w:eastAsia="en-GB"/>
        </w:rPr>
        <w:drawing>
          <wp:inline distT="0" distB="0" distL="0" distR="0" wp14:anchorId="49CAA19C" wp14:editId="01EEB657">
            <wp:extent cx="5534797" cy="4010585"/>
            <wp:effectExtent l="0" t="0" r="0" b="9525"/>
            <wp:docPr id="1600370095" name="Picture 1" descr="A table of expen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370095" name="Picture 1" descr="A table of expenses&#10;&#10;Description automatically generated"/>
                    <pic:cNvPicPr/>
                  </pic:nvPicPr>
                  <pic:blipFill>
                    <a:blip r:embed="rId10"/>
                    <a:stretch>
                      <a:fillRect/>
                    </a:stretch>
                  </pic:blipFill>
                  <pic:spPr>
                    <a:xfrm>
                      <a:off x="0" y="0"/>
                      <a:ext cx="5534797" cy="4010585"/>
                    </a:xfrm>
                    <a:prstGeom prst="rect">
                      <a:avLst/>
                    </a:prstGeom>
                  </pic:spPr>
                </pic:pic>
              </a:graphicData>
            </a:graphic>
          </wp:inline>
        </w:drawing>
      </w:r>
    </w:p>
    <w:p w14:paraId="5AB48873" w14:textId="0BCA75C2" w:rsidR="0070428F" w:rsidRPr="00593A5B" w:rsidRDefault="0070428F" w:rsidP="0014054D">
      <w:pPr>
        <w:rPr>
          <w:rFonts w:cs="Times New Roman"/>
          <w:noProof/>
          <w:lang w:eastAsia="en-GB"/>
        </w:rPr>
      </w:pPr>
      <w:r w:rsidRPr="00593A5B">
        <w:rPr>
          <w:rFonts w:cs="Times New Roman"/>
          <w:noProof/>
          <w:lang w:eastAsia="en-GB"/>
        </w:rPr>
        <w:t>The event budget of £28,000 includes venue rental, speaker fees, catering, promotion, accessible lodgings, and personnel costs. One of the costliest charges is the £8,000 site rental, which must feature flexible seating, assistive equipment, and barrier-free access. The £5,000 lecture fees reflect industry professionals' inclusive event planning abilities. The cost of accessibility facilities, such as assistive listening devices, braille materials, and sign language interpreters, is £4,000, which meets inclusion criteria. Staffing and logistics (£3,500) will be responsible for event staff, while marketing and promotions (£2,500) will focus on digital campaigns based on the AIDA model.</w:t>
      </w:r>
    </w:p>
    <w:p w14:paraId="4B4AA6E7" w14:textId="20B223D6" w:rsidR="001203C7" w:rsidRPr="00593A5B" w:rsidRDefault="0070428F" w:rsidP="0014054D">
      <w:pPr>
        <w:rPr>
          <w:rFonts w:cs="Times New Roman"/>
          <w:noProof/>
          <w:lang w:eastAsia="en-GB"/>
        </w:rPr>
      </w:pPr>
      <w:r w:rsidRPr="00593A5B">
        <w:rPr>
          <w:rFonts w:cs="Times New Roman"/>
          <w:noProof/>
          <w:lang w:eastAsia="en-GB"/>
        </w:rPr>
        <w:t>Three key money streams are used to fund the event. The organisation of pricing levels will boost revenue by maximising attendance, with tickets priced at £13,000. The event technology, accessibility consultants, and industry groups will give £12,000 in financial and promotional support. The £6,000 contributions made by inclusive event solutions exhibitors will increase the event's value.</w:t>
      </w:r>
    </w:p>
    <w:tbl>
      <w:tblPr>
        <w:tblStyle w:val="PlainTable1"/>
        <w:tblW w:w="9100" w:type="dxa"/>
        <w:tblLook w:val="04A0" w:firstRow="1" w:lastRow="0" w:firstColumn="1" w:lastColumn="0" w:noHBand="0" w:noVBand="1"/>
      </w:tblPr>
      <w:tblGrid>
        <w:gridCol w:w="1955"/>
        <w:gridCol w:w="2155"/>
        <w:gridCol w:w="2615"/>
        <w:gridCol w:w="2375"/>
      </w:tblGrid>
      <w:tr w:rsidR="008D6108" w:rsidRPr="00593A5B" w14:paraId="46FDB225" w14:textId="77777777" w:rsidTr="008D6108">
        <w:trPr>
          <w:cnfStyle w:val="100000000000" w:firstRow="1" w:lastRow="0" w:firstColumn="0" w:lastColumn="0" w:oddVBand="0" w:evenVBand="0" w:oddHBand="0" w:evenHBand="0" w:firstRowFirstColumn="0" w:firstRowLastColumn="0" w:lastRowFirstColumn="0" w:lastRowLastColumn="0"/>
          <w:trHeight w:val="442"/>
        </w:trPr>
        <w:tc>
          <w:tcPr>
            <w:cnfStyle w:val="001000000000" w:firstRow="0" w:lastRow="0" w:firstColumn="1" w:lastColumn="0" w:oddVBand="0" w:evenVBand="0" w:oddHBand="0" w:evenHBand="0" w:firstRowFirstColumn="0" w:firstRowLastColumn="0" w:lastRowFirstColumn="0" w:lastRowLastColumn="0"/>
            <w:tcW w:w="1955" w:type="dxa"/>
            <w:hideMark/>
          </w:tcPr>
          <w:p w14:paraId="3227E26E" w14:textId="77777777" w:rsidR="008D6108" w:rsidRPr="00593A5B" w:rsidRDefault="008D6108" w:rsidP="0014054D">
            <w:pPr>
              <w:rPr>
                <w:rFonts w:cs="Times New Roman"/>
                <w:noProof/>
                <w:lang w:eastAsia="en-GB"/>
              </w:rPr>
            </w:pPr>
            <w:r w:rsidRPr="00593A5B">
              <w:rPr>
                <w:rFonts w:cs="Times New Roman"/>
                <w:noProof/>
                <w:lang w:eastAsia="en-GB"/>
              </w:rPr>
              <w:t>Total Cost (£)</w:t>
            </w:r>
          </w:p>
        </w:tc>
        <w:tc>
          <w:tcPr>
            <w:tcW w:w="2155" w:type="dxa"/>
            <w:hideMark/>
          </w:tcPr>
          <w:p w14:paraId="3F265DE4" w14:textId="77777777" w:rsidR="008D6108" w:rsidRPr="00593A5B" w:rsidRDefault="008D6108" w:rsidP="0014054D">
            <w:pPr>
              <w:cnfStyle w:val="100000000000" w:firstRow="1" w:lastRow="0" w:firstColumn="0" w:lastColumn="0" w:oddVBand="0" w:evenVBand="0" w:oddHBand="0" w:evenHBand="0" w:firstRowFirstColumn="0" w:firstRowLastColumn="0" w:lastRowFirstColumn="0" w:lastRowLastColumn="0"/>
              <w:rPr>
                <w:rFonts w:cs="Times New Roman"/>
                <w:noProof/>
                <w:lang w:eastAsia="en-GB"/>
              </w:rPr>
            </w:pPr>
            <w:r w:rsidRPr="00593A5B">
              <w:rPr>
                <w:rFonts w:cs="Times New Roman"/>
                <w:noProof/>
                <w:lang w:eastAsia="en-GB"/>
              </w:rPr>
              <w:t>Total Revenue (£)</w:t>
            </w:r>
          </w:p>
        </w:tc>
        <w:tc>
          <w:tcPr>
            <w:tcW w:w="2615" w:type="dxa"/>
            <w:hideMark/>
          </w:tcPr>
          <w:p w14:paraId="3DECDC0E" w14:textId="77777777" w:rsidR="008D6108" w:rsidRPr="00593A5B" w:rsidRDefault="008D6108" w:rsidP="0014054D">
            <w:pPr>
              <w:cnfStyle w:val="100000000000" w:firstRow="1" w:lastRow="0" w:firstColumn="0" w:lastColumn="0" w:oddVBand="0" w:evenVBand="0" w:oddHBand="0" w:evenHBand="0" w:firstRowFirstColumn="0" w:firstRowLastColumn="0" w:lastRowFirstColumn="0" w:lastRowLastColumn="0"/>
              <w:rPr>
                <w:rFonts w:cs="Times New Roman"/>
                <w:noProof/>
                <w:lang w:eastAsia="en-GB"/>
              </w:rPr>
            </w:pPr>
            <w:r w:rsidRPr="00593A5B">
              <w:rPr>
                <w:rFonts w:cs="Times New Roman"/>
                <w:noProof/>
                <w:lang w:eastAsia="en-GB"/>
              </w:rPr>
              <w:t>Net Profit/Loss (£)</w:t>
            </w:r>
          </w:p>
        </w:tc>
        <w:tc>
          <w:tcPr>
            <w:tcW w:w="2375" w:type="dxa"/>
            <w:hideMark/>
          </w:tcPr>
          <w:p w14:paraId="42C2D1F6" w14:textId="77777777" w:rsidR="008D6108" w:rsidRPr="00593A5B" w:rsidRDefault="008D6108" w:rsidP="0014054D">
            <w:pPr>
              <w:cnfStyle w:val="100000000000" w:firstRow="1" w:lastRow="0" w:firstColumn="0" w:lastColumn="0" w:oddVBand="0" w:evenVBand="0" w:oddHBand="0" w:evenHBand="0" w:firstRowFirstColumn="0" w:firstRowLastColumn="0" w:lastRowFirstColumn="0" w:lastRowLastColumn="0"/>
              <w:rPr>
                <w:rFonts w:cs="Times New Roman"/>
                <w:noProof/>
                <w:lang w:eastAsia="en-GB"/>
              </w:rPr>
            </w:pPr>
            <w:r w:rsidRPr="00593A5B">
              <w:rPr>
                <w:rFonts w:cs="Times New Roman"/>
                <w:noProof/>
                <w:lang w:eastAsia="en-GB"/>
              </w:rPr>
              <w:t>Break-even Status</w:t>
            </w:r>
          </w:p>
        </w:tc>
      </w:tr>
      <w:tr w:rsidR="008D6108" w:rsidRPr="00593A5B" w14:paraId="06168E2D" w14:textId="77777777" w:rsidTr="008D6108">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1955" w:type="dxa"/>
            <w:hideMark/>
          </w:tcPr>
          <w:p w14:paraId="0DA7FEE0" w14:textId="77777777" w:rsidR="008D6108" w:rsidRPr="00593A5B" w:rsidRDefault="008D6108" w:rsidP="0014054D">
            <w:pPr>
              <w:rPr>
                <w:rFonts w:cs="Times New Roman"/>
                <w:noProof/>
                <w:lang w:eastAsia="en-GB"/>
              </w:rPr>
            </w:pPr>
            <w:r w:rsidRPr="00593A5B">
              <w:rPr>
                <w:rFonts w:cs="Times New Roman"/>
                <w:noProof/>
                <w:lang w:eastAsia="en-GB"/>
              </w:rPr>
              <w:t>28000</w:t>
            </w:r>
          </w:p>
        </w:tc>
        <w:tc>
          <w:tcPr>
            <w:tcW w:w="2155" w:type="dxa"/>
            <w:hideMark/>
          </w:tcPr>
          <w:p w14:paraId="00E98B28" w14:textId="77777777" w:rsidR="008D6108" w:rsidRPr="00593A5B" w:rsidRDefault="008D6108" w:rsidP="0014054D">
            <w:pPr>
              <w:cnfStyle w:val="000000100000" w:firstRow="0" w:lastRow="0" w:firstColumn="0" w:lastColumn="0" w:oddVBand="0" w:evenVBand="0" w:oddHBand="1" w:evenHBand="0" w:firstRowFirstColumn="0" w:firstRowLastColumn="0" w:lastRowFirstColumn="0" w:lastRowLastColumn="0"/>
              <w:rPr>
                <w:rFonts w:cs="Times New Roman"/>
                <w:noProof/>
                <w:lang w:eastAsia="en-GB"/>
              </w:rPr>
            </w:pPr>
            <w:r w:rsidRPr="00593A5B">
              <w:rPr>
                <w:rFonts w:cs="Times New Roman"/>
                <w:noProof/>
                <w:lang w:eastAsia="en-GB"/>
              </w:rPr>
              <w:t>31000</w:t>
            </w:r>
          </w:p>
        </w:tc>
        <w:tc>
          <w:tcPr>
            <w:tcW w:w="2615" w:type="dxa"/>
            <w:hideMark/>
          </w:tcPr>
          <w:p w14:paraId="1A8C1E5A" w14:textId="77777777" w:rsidR="008D6108" w:rsidRPr="00593A5B" w:rsidRDefault="008D6108" w:rsidP="0014054D">
            <w:pPr>
              <w:cnfStyle w:val="000000100000" w:firstRow="0" w:lastRow="0" w:firstColumn="0" w:lastColumn="0" w:oddVBand="0" w:evenVBand="0" w:oddHBand="1" w:evenHBand="0" w:firstRowFirstColumn="0" w:firstRowLastColumn="0" w:lastRowFirstColumn="0" w:lastRowLastColumn="0"/>
              <w:rPr>
                <w:rFonts w:cs="Times New Roman"/>
                <w:noProof/>
                <w:lang w:eastAsia="en-GB"/>
              </w:rPr>
            </w:pPr>
            <w:r w:rsidRPr="00593A5B">
              <w:rPr>
                <w:rFonts w:cs="Times New Roman"/>
                <w:noProof/>
                <w:lang w:eastAsia="en-GB"/>
              </w:rPr>
              <w:t>3000</w:t>
            </w:r>
          </w:p>
        </w:tc>
        <w:tc>
          <w:tcPr>
            <w:tcW w:w="2375" w:type="dxa"/>
            <w:hideMark/>
          </w:tcPr>
          <w:p w14:paraId="0C752B9B" w14:textId="77777777" w:rsidR="008D6108" w:rsidRPr="00593A5B" w:rsidRDefault="008D6108" w:rsidP="0014054D">
            <w:pPr>
              <w:cnfStyle w:val="000000100000" w:firstRow="0" w:lastRow="0" w:firstColumn="0" w:lastColumn="0" w:oddVBand="0" w:evenVBand="0" w:oddHBand="1" w:evenHBand="0" w:firstRowFirstColumn="0" w:firstRowLastColumn="0" w:lastRowFirstColumn="0" w:lastRowLastColumn="0"/>
              <w:rPr>
                <w:rFonts w:cs="Times New Roman"/>
                <w:noProof/>
                <w:lang w:eastAsia="en-GB"/>
              </w:rPr>
            </w:pPr>
            <w:r w:rsidRPr="00593A5B">
              <w:rPr>
                <w:rFonts w:cs="Times New Roman"/>
                <w:noProof/>
                <w:lang w:eastAsia="en-GB"/>
              </w:rPr>
              <w:t>Profitable</w:t>
            </w:r>
          </w:p>
        </w:tc>
      </w:tr>
    </w:tbl>
    <w:p w14:paraId="7DBED690" w14:textId="06219B46" w:rsidR="008D6108" w:rsidRPr="00593A5B" w:rsidRDefault="008D6108" w:rsidP="0014054D">
      <w:pPr>
        <w:jc w:val="center"/>
        <w:rPr>
          <w:rFonts w:cs="Times New Roman"/>
          <w:noProof/>
          <w:lang w:eastAsia="en-GB"/>
        </w:rPr>
      </w:pPr>
      <w:r w:rsidRPr="00593A5B">
        <w:rPr>
          <w:rFonts w:cs="Times New Roman"/>
          <w:noProof/>
          <w:lang w:eastAsia="en-GB"/>
        </w:rPr>
        <w:drawing>
          <wp:inline distT="0" distB="0" distL="0" distR="0" wp14:anchorId="524E7198" wp14:editId="212879C9">
            <wp:extent cx="4363085" cy="2943225"/>
            <wp:effectExtent l="0" t="0" r="0" b="9525"/>
            <wp:docPr id="19" name="Picture 18" descr="A graph with a line&#10;&#10;Description automatically generated">
              <a:extLst xmlns:a="http://schemas.openxmlformats.org/drawingml/2006/main">
                <a:ext uri="{FF2B5EF4-FFF2-40B4-BE49-F238E27FC236}">
                  <a16:creationId xmlns:a16="http://schemas.microsoft.com/office/drawing/2014/main" id="{0CDA548B-C5C4-CDAE-DAB9-4D13208F02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descr="A graph with a line&#10;&#10;Description automatically generated">
                      <a:extLst>
                        <a:ext uri="{FF2B5EF4-FFF2-40B4-BE49-F238E27FC236}">
                          <a16:creationId xmlns:a16="http://schemas.microsoft.com/office/drawing/2014/main" id="{0CDA548B-C5C4-CDAE-DAB9-4D13208F0255}"/>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63085" cy="2943225"/>
                    </a:xfrm>
                    <a:prstGeom prst="rect">
                      <a:avLst/>
                    </a:prstGeom>
                  </pic:spPr>
                </pic:pic>
              </a:graphicData>
            </a:graphic>
          </wp:inline>
        </w:drawing>
      </w:r>
    </w:p>
    <w:p w14:paraId="6C2F0DE0" w14:textId="3D65DEE9" w:rsidR="0070428F" w:rsidRPr="00593A5B" w:rsidRDefault="0070428F" w:rsidP="0014054D">
      <w:pPr>
        <w:rPr>
          <w:rFonts w:cs="Times New Roman"/>
          <w:b/>
          <w:noProof/>
          <w:lang w:eastAsia="en-GB"/>
        </w:rPr>
      </w:pPr>
      <w:r w:rsidRPr="00593A5B">
        <w:rPr>
          <w:rFonts w:cs="Times New Roman"/>
          <w:noProof/>
          <w:lang w:eastAsia="en-GB"/>
        </w:rPr>
        <w:t>The event is predicted to earn £31,000 in revenue and £3,000 in net profit, according to the break-even analysis. This leads to the event being both profitable and scalable (Bowdin et al., 2022). The event's strong financial prospects make it feasible for future expansion (Getz and Page, 2019)</w:t>
      </w:r>
      <w:r w:rsidR="007C476C" w:rsidRPr="00593A5B">
        <w:rPr>
          <w:rFonts w:cs="Times New Roman"/>
          <w:noProof/>
          <w:lang w:eastAsia="en-GB"/>
        </w:rPr>
        <w:t xml:space="preserve">. </w:t>
      </w:r>
      <w:r w:rsidRPr="00593A5B">
        <w:rPr>
          <w:rFonts w:cs="Times New Roman"/>
          <w:noProof/>
          <w:lang w:eastAsia="en-GB"/>
        </w:rPr>
        <w:t>The Inclusive Event Planning Masterclass is financially sustainable and impactful in the MICE sector because it focuses on financial sustainability, cost efficiency, and diversification of revenue streams.</w:t>
      </w:r>
    </w:p>
    <w:p w14:paraId="4A386423" w14:textId="1BF0535C" w:rsidR="008D6108" w:rsidRPr="00593A5B" w:rsidRDefault="008D6108" w:rsidP="0014054D">
      <w:pPr>
        <w:pStyle w:val="Heading1"/>
        <w:rPr>
          <w:rFonts w:eastAsiaTheme="minorHAnsi" w:cs="Times New Roman"/>
          <w:b w:val="0"/>
          <w:noProof/>
          <w:sz w:val="24"/>
          <w:szCs w:val="24"/>
          <w:lang w:eastAsia="en-GB"/>
        </w:rPr>
      </w:pPr>
      <w:bookmarkStart w:id="13" w:name="_Toc190198994"/>
      <w:r w:rsidRPr="00593A5B">
        <w:rPr>
          <w:rFonts w:cs="Times New Roman"/>
          <w:noProof/>
          <w:lang w:eastAsia="en-GB"/>
        </w:rPr>
        <w:t xml:space="preserve">7. Industry Trends, Issues </w:t>
      </w:r>
      <w:r w:rsidR="00903B6B" w:rsidRPr="00593A5B">
        <w:rPr>
          <w:rFonts w:cs="Times New Roman"/>
          <w:noProof/>
          <w:lang w:eastAsia="en-GB"/>
        </w:rPr>
        <w:t>and</w:t>
      </w:r>
      <w:r w:rsidRPr="00593A5B">
        <w:rPr>
          <w:rFonts w:cs="Times New Roman"/>
          <w:noProof/>
          <w:lang w:eastAsia="en-GB"/>
        </w:rPr>
        <w:t xml:space="preserve"> Impacts</w:t>
      </w:r>
      <w:bookmarkEnd w:id="13"/>
    </w:p>
    <w:p w14:paraId="2BB5F3F5" w14:textId="27D1F9B8" w:rsidR="00C43B29" w:rsidRPr="00593A5B" w:rsidRDefault="00C43B29" w:rsidP="0014054D">
      <w:pPr>
        <w:rPr>
          <w:rFonts w:cs="Times New Roman"/>
          <w:noProof/>
          <w:lang w:eastAsia="en-GB"/>
        </w:rPr>
      </w:pPr>
      <w:r w:rsidRPr="00593A5B">
        <w:rPr>
          <w:rFonts w:cs="Times New Roman"/>
          <w:noProof/>
          <w:lang w:eastAsia="en-GB"/>
        </w:rPr>
        <w:t>The Meetings, Incentives, Conferences, and Exhibitions (MICE) sector is rapidly changing due to technological advancements, sustainability, and inclusivity (Shalihah, 2024). The Inclusive Event Planning Masterclass focuses on these developments and the underlying hurdles to delivering accessible events.</w:t>
      </w:r>
    </w:p>
    <w:p w14:paraId="79371665" w14:textId="1FA689D9" w:rsidR="008D6108" w:rsidRPr="00593A5B" w:rsidRDefault="008D6108" w:rsidP="0014054D">
      <w:pPr>
        <w:pStyle w:val="Heading2"/>
        <w:rPr>
          <w:rFonts w:cs="Times New Roman"/>
          <w:noProof/>
          <w:lang w:eastAsia="en-GB"/>
        </w:rPr>
      </w:pPr>
      <w:bookmarkStart w:id="14" w:name="_Toc190198995"/>
      <w:r w:rsidRPr="00593A5B">
        <w:rPr>
          <w:rFonts w:cs="Times New Roman"/>
          <w:noProof/>
          <w:lang w:eastAsia="en-GB"/>
        </w:rPr>
        <w:t>7.1 Emerging Trends in the MICE Industry</w:t>
      </w:r>
      <w:bookmarkEnd w:id="14"/>
    </w:p>
    <w:p w14:paraId="1FD28FD0" w14:textId="1E2D6EC2" w:rsidR="00C43B29" w:rsidRPr="00593A5B" w:rsidRDefault="00C43B29" w:rsidP="0014054D">
      <w:pPr>
        <w:rPr>
          <w:rFonts w:cs="Times New Roman"/>
          <w:noProof/>
          <w:lang w:eastAsia="en-GB"/>
        </w:rPr>
      </w:pPr>
      <w:r w:rsidRPr="00593A5B">
        <w:rPr>
          <w:rFonts w:cs="Times New Roman"/>
          <w:noProof/>
          <w:lang w:eastAsia="en-GB"/>
        </w:rPr>
        <w:t>Sustainability and eco-friendly event planning are two major MICE issues. Environmental concerns have led to a surge in demand for carbon-neutral venues, digital event materials, and trash reduction (Mair, 2022). To reduce their environmental impact, a growing number of event organisers prioritise sustainable catering, renewable energy, and carbon offset programs (Jones, 2017). The Inclusive Event Planning Masterclass features sustainable supplier partnerships, reusable supplies, and paperless registration.</w:t>
      </w:r>
      <w:r w:rsidRPr="00593A5B">
        <w:rPr>
          <w:rFonts w:cs="Times New Roman"/>
          <w:b/>
          <w:noProof/>
          <w:lang w:eastAsia="en-GB"/>
        </w:rPr>
        <w:t xml:space="preserve"> </w:t>
      </w:r>
      <w:r w:rsidRPr="00593A5B">
        <w:rPr>
          <w:rFonts w:cs="Times New Roman"/>
          <w:noProof/>
          <w:lang w:eastAsia="en-GB"/>
        </w:rPr>
        <w:t>Another tendency is the rise of hybrid and virtual events, owing to the increased need for digital solutions caused by the COVID-19 pandemic. The greater accessibility and global engagement of virtual and hybrid forms reduces travel expenses and emissions (Mohamed and Sabre, 2022). Real-time captioning, virtual networking, and live-streamed lectures ensure that this event is accessible to a wide range of attendees.</w:t>
      </w:r>
    </w:p>
    <w:p w14:paraId="072AACD1" w14:textId="6F267FA7" w:rsidR="008D6108" w:rsidRPr="00593A5B" w:rsidRDefault="008D6108" w:rsidP="0014054D">
      <w:pPr>
        <w:pStyle w:val="Heading2"/>
        <w:rPr>
          <w:rFonts w:cs="Times New Roman"/>
          <w:noProof/>
          <w:lang w:eastAsia="en-GB"/>
        </w:rPr>
      </w:pPr>
      <w:bookmarkStart w:id="15" w:name="_Toc190198996"/>
      <w:r w:rsidRPr="00593A5B">
        <w:rPr>
          <w:rFonts w:cs="Times New Roman"/>
          <w:noProof/>
          <w:lang w:eastAsia="en-GB"/>
        </w:rPr>
        <w:t>7.2 Challenges in Inclusive Event Planning</w:t>
      </w:r>
      <w:bookmarkEnd w:id="15"/>
    </w:p>
    <w:p w14:paraId="2B8671ED" w14:textId="77777777" w:rsidR="00C43B29" w:rsidRPr="00593A5B" w:rsidRDefault="00C43B29" w:rsidP="0014054D">
      <w:pPr>
        <w:rPr>
          <w:rFonts w:cs="Times New Roman"/>
          <w:noProof/>
          <w:lang w:eastAsia="en-GB"/>
        </w:rPr>
      </w:pPr>
      <w:r w:rsidRPr="00593A5B">
        <w:rPr>
          <w:rFonts w:cs="Times New Roman"/>
          <w:noProof/>
          <w:lang w:eastAsia="en-GB"/>
        </w:rPr>
        <w:t>Despite rising awareness, implementing fully inclusive events remains difficult. Event planners face challenges in standardising inclusive procedures due to regional accessibility restrictions and regulatory constraints (Darcy, 2012). Finkel and Dashper (2020) observed that sensory-friendly venues, sign language interpreters, and assistive technology can be costly. Certain virtual platforms lack accessibility features such as screen reader support and real-time subtitles (Doran et al., 2024). To overcome these concerns, industry players must invest in inclusive innovations while adhering to industry best practices.</w:t>
      </w:r>
    </w:p>
    <w:p w14:paraId="7025F530" w14:textId="3CF4A08E" w:rsidR="008D6108" w:rsidRPr="00593A5B" w:rsidRDefault="008D6108" w:rsidP="0014054D">
      <w:pPr>
        <w:pStyle w:val="Heading2"/>
        <w:rPr>
          <w:rFonts w:cs="Times New Roman"/>
          <w:noProof/>
          <w:lang w:eastAsia="en-GB"/>
        </w:rPr>
      </w:pPr>
      <w:bookmarkStart w:id="16" w:name="_Toc190198997"/>
      <w:r w:rsidRPr="00593A5B">
        <w:rPr>
          <w:rFonts w:cs="Times New Roman"/>
          <w:noProof/>
          <w:lang w:eastAsia="en-GB"/>
        </w:rPr>
        <w:t>7.3 Impact on Future Events</w:t>
      </w:r>
      <w:bookmarkEnd w:id="16"/>
    </w:p>
    <w:p w14:paraId="0116CE0C" w14:textId="2CB45E7F" w:rsidR="00C43B29" w:rsidRPr="00593A5B" w:rsidRDefault="00C43B29" w:rsidP="0014054D">
      <w:pPr>
        <w:rPr>
          <w:rFonts w:cs="Times New Roman"/>
          <w:noProof/>
          <w:lang w:eastAsia="en-GB"/>
        </w:rPr>
      </w:pPr>
      <w:r w:rsidRPr="00593A5B">
        <w:rPr>
          <w:rFonts w:cs="Times New Roman"/>
          <w:noProof/>
          <w:lang w:eastAsia="en-GB"/>
        </w:rPr>
        <w:t xml:space="preserve">The Inclusive Event Planning Masterclass </w:t>
      </w:r>
      <w:r w:rsidR="007C476C" w:rsidRPr="00593A5B">
        <w:rPr>
          <w:rFonts w:cs="Times New Roman"/>
          <w:noProof/>
          <w:lang w:eastAsia="en-GB"/>
        </w:rPr>
        <w:t>can</w:t>
      </w:r>
      <w:r w:rsidRPr="00593A5B">
        <w:rPr>
          <w:rFonts w:cs="Times New Roman"/>
          <w:noProof/>
          <w:lang w:eastAsia="en-GB"/>
        </w:rPr>
        <w:t xml:space="preserve"> change industry norms by teaching event planners how to organise accessible events. By </w:t>
      </w:r>
      <w:r w:rsidR="007C476C" w:rsidRPr="00593A5B">
        <w:rPr>
          <w:rFonts w:cs="Times New Roman"/>
          <w:noProof/>
          <w:lang w:eastAsia="en-GB"/>
        </w:rPr>
        <w:t>highlighting</w:t>
      </w:r>
      <w:r w:rsidRPr="00593A5B">
        <w:rPr>
          <w:rFonts w:cs="Times New Roman"/>
          <w:noProof/>
          <w:lang w:eastAsia="en-GB"/>
        </w:rPr>
        <w:t xml:space="preserve"> the business benefits of inclusivity, such as increased audience reach and brand reputation, this event encourages event planners to incorporate accessibility into all event management. Hybrid event models, as well as sustainability, ensure industry innovation and resilience. This workshop sets a standard for inclusive MICE event planning by connecting academic concepts to practical implementations, driving action.</w:t>
      </w:r>
    </w:p>
    <w:p w14:paraId="29262FB5" w14:textId="77777777" w:rsidR="00C43B29" w:rsidRPr="00593A5B" w:rsidRDefault="00C43B29" w:rsidP="0014054D">
      <w:pPr>
        <w:jc w:val="left"/>
        <w:rPr>
          <w:rFonts w:eastAsiaTheme="majorEastAsia" w:cs="Times New Roman"/>
          <w:b/>
          <w:noProof/>
          <w:sz w:val="32"/>
          <w:szCs w:val="32"/>
          <w:lang w:eastAsia="en-GB"/>
        </w:rPr>
      </w:pPr>
      <w:r w:rsidRPr="00593A5B">
        <w:rPr>
          <w:rFonts w:cs="Times New Roman"/>
          <w:noProof/>
          <w:lang w:eastAsia="en-GB"/>
        </w:rPr>
        <w:br w:type="page"/>
      </w:r>
    </w:p>
    <w:p w14:paraId="570B2F4D" w14:textId="2CD538BA" w:rsidR="008D6108" w:rsidRPr="00593A5B" w:rsidRDefault="008D6108" w:rsidP="0014054D">
      <w:pPr>
        <w:pStyle w:val="Heading1"/>
        <w:rPr>
          <w:rFonts w:cs="Times New Roman"/>
          <w:noProof/>
          <w:lang w:eastAsia="en-GB"/>
        </w:rPr>
      </w:pPr>
      <w:bookmarkStart w:id="17" w:name="_Toc190198998"/>
      <w:r w:rsidRPr="00593A5B">
        <w:rPr>
          <w:rFonts w:cs="Times New Roman"/>
          <w:noProof/>
          <w:lang w:eastAsia="en-GB"/>
        </w:rPr>
        <w:t xml:space="preserve">8. </w:t>
      </w:r>
      <w:r w:rsidR="002C7255" w:rsidRPr="00593A5B">
        <w:rPr>
          <w:rFonts w:cs="Times New Roman"/>
          <w:noProof/>
          <w:lang w:eastAsia="en-GB"/>
        </w:rPr>
        <w:t xml:space="preserve">Situational </w:t>
      </w:r>
      <w:r w:rsidR="00903B6B" w:rsidRPr="00593A5B">
        <w:rPr>
          <w:rFonts w:cs="Times New Roman"/>
          <w:noProof/>
          <w:lang w:eastAsia="en-GB"/>
        </w:rPr>
        <w:t>and</w:t>
      </w:r>
      <w:r w:rsidR="002C7255" w:rsidRPr="00593A5B">
        <w:rPr>
          <w:rFonts w:cs="Times New Roman"/>
          <w:noProof/>
          <w:lang w:eastAsia="en-GB"/>
        </w:rPr>
        <w:t xml:space="preserve"> Cultural Considerations</w:t>
      </w:r>
      <w:bookmarkEnd w:id="17"/>
    </w:p>
    <w:p w14:paraId="527F5EA7" w14:textId="77777777" w:rsidR="00C43B29" w:rsidRPr="00593A5B" w:rsidRDefault="00C43B29" w:rsidP="0014054D">
      <w:pPr>
        <w:rPr>
          <w:rFonts w:cs="Times New Roman"/>
          <w:noProof/>
          <w:lang w:eastAsia="en-GB"/>
        </w:rPr>
      </w:pPr>
      <w:r w:rsidRPr="00593A5B">
        <w:rPr>
          <w:rFonts w:cs="Times New Roman"/>
          <w:noProof/>
          <w:lang w:eastAsia="en-GB"/>
        </w:rPr>
        <w:t>Strategic planning and execution require an understanding of both the internal and exterior components of the Inclusive Event Planning Masterclass. This part uses SWOT and PESTLE analyses to assess the event's key situational and cultural aspects (Bowdin et al., 2023).</w:t>
      </w:r>
    </w:p>
    <w:p w14:paraId="3DCCA46E" w14:textId="5291C77C" w:rsidR="002C7255" w:rsidRPr="00593A5B" w:rsidRDefault="002C7255" w:rsidP="0014054D">
      <w:pPr>
        <w:pStyle w:val="Heading2"/>
        <w:rPr>
          <w:rFonts w:cs="Times New Roman"/>
          <w:noProof/>
          <w:lang w:eastAsia="en-GB"/>
        </w:rPr>
      </w:pPr>
      <w:bookmarkStart w:id="18" w:name="_Toc190198999"/>
      <w:r w:rsidRPr="00593A5B">
        <w:rPr>
          <w:rFonts w:cs="Times New Roman"/>
          <w:noProof/>
          <w:lang w:eastAsia="en-GB"/>
        </w:rPr>
        <w:t>8.1 SWOT Analysis: Internal Factors</w:t>
      </w:r>
      <w:bookmarkEnd w:id="18"/>
    </w:p>
    <w:p w14:paraId="32A9F9F1" w14:textId="7A4E7BFF" w:rsidR="002C7255" w:rsidRPr="00593A5B" w:rsidRDefault="00C43B29" w:rsidP="0014054D">
      <w:pPr>
        <w:rPr>
          <w:rFonts w:cs="Times New Roman"/>
          <w:noProof/>
          <w:lang w:eastAsia="en-GB"/>
        </w:rPr>
      </w:pPr>
      <w:r w:rsidRPr="00593A5B">
        <w:rPr>
          <w:rFonts w:cs="Times New Roman"/>
          <w:noProof/>
          <w:lang w:eastAsia="en-GB"/>
        </w:rPr>
        <w:drawing>
          <wp:inline distT="0" distB="0" distL="0" distR="0" wp14:anchorId="2FF7D4E8" wp14:editId="22948A0F">
            <wp:extent cx="5731510" cy="3801745"/>
            <wp:effectExtent l="0" t="0" r="2540" b="8255"/>
            <wp:docPr id="627866757" name="Picture 1" descr="A black and white char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866757" name="Picture 1" descr="A black and white chart with black text&#10;&#10;Description automatically generated"/>
                    <pic:cNvPicPr/>
                  </pic:nvPicPr>
                  <pic:blipFill>
                    <a:blip r:embed="rId12"/>
                    <a:stretch>
                      <a:fillRect/>
                    </a:stretch>
                  </pic:blipFill>
                  <pic:spPr>
                    <a:xfrm>
                      <a:off x="0" y="0"/>
                      <a:ext cx="5731510" cy="3801745"/>
                    </a:xfrm>
                    <a:prstGeom prst="rect">
                      <a:avLst/>
                    </a:prstGeom>
                  </pic:spPr>
                </pic:pic>
              </a:graphicData>
            </a:graphic>
          </wp:inline>
        </w:drawing>
      </w:r>
    </w:p>
    <w:p w14:paraId="6AA9559F" w14:textId="77777777" w:rsidR="00C43B29" w:rsidRPr="00593A5B" w:rsidRDefault="00C43B29" w:rsidP="0014054D">
      <w:pPr>
        <w:rPr>
          <w:rFonts w:cs="Times New Roman"/>
          <w:noProof/>
          <w:lang w:eastAsia="en-GB"/>
        </w:rPr>
      </w:pPr>
      <w:r w:rsidRPr="00593A5B">
        <w:rPr>
          <w:rFonts w:cs="Times New Roman"/>
          <w:noProof/>
          <w:lang w:eastAsia="en-GB"/>
        </w:rPr>
        <w:t>The event is financially sustainable because of the industry's desire for inclusive event design, a well-structured accessibility strategy, and sponsorships and partnerships. Because of these advantages, the event is a leader in MICE accessibility (Finkel, Sharp, and Sweeney, 2019). Sponsorship money and accessibility accommodations are both expensive and risky (Bladen et al., 2023). Technology challenges may have an impact on virtual event components (Mohamed and Sabre, 2022).</w:t>
      </w:r>
    </w:p>
    <w:p w14:paraId="240E1FDA" w14:textId="1664912B" w:rsidR="002C7255" w:rsidRPr="00593A5B" w:rsidRDefault="00C43B29" w:rsidP="0014054D">
      <w:pPr>
        <w:rPr>
          <w:rFonts w:cs="Times New Roman"/>
          <w:noProof/>
          <w:lang w:eastAsia="en-GB"/>
        </w:rPr>
      </w:pPr>
      <w:r w:rsidRPr="00593A5B">
        <w:rPr>
          <w:rFonts w:cs="Times New Roman"/>
          <w:noProof/>
          <w:lang w:eastAsia="en-GB"/>
        </w:rPr>
        <w:t xml:space="preserve">The growing understanding of diversity and inclusion in event planning </w:t>
      </w:r>
      <w:r w:rsidR="007C476C" w:rsidRPr="00593A5B">
        <w:rPr>
          <w:rFonts w:cs="Times New Roman"/>
          <w:noProof/>
          <w:lang w:eastAsia="en-GB"/>
        </w:rPr>
        <w:t>opens</w:t>
      </w:r>
      <w:r w:rsidRPr="00593A5B">
        <w:rPr>
          <w:rFonts w:cs="Times New Roman"/>
          <w:noProof/>
          <w:lang w:eastAsia="en-GB"/>
        </w:rPr>
        <w:t xml:space="preserve"> new opportunities. Hybrid approaches and accessible organisations could help the event expand internationally. However, the event could be hampered by technological concerns affecting assistive devices, economic downturns affecting sponsorships, and regulatory changes affecting accessibility legislation (Darcy, 2012).</w:t>
      </w:r>
    </w:p>
    <w:p w14:paraId="4CE8A6C4" w14:textId="433CEA00" w:rsidR="002C7255" w:rsidRPr="00593A5B" w:rsidRDefault="002C7255" w:rsidP="0014054D">
      <w:pPr>
        <w:pStyle w:val="Heading2"/>
        <w:rPr>
          <w:rFonts w:cs="Times New Roman"/>
          <w:noProof/>
          <w:lang w:eastAsia="en-GB"/>
        </w:rPr>
      </w:pPr>
      <w:bookmarkStart w:id="19" w:name="_Toc190199000"/>
      <w:r w:rsidRPr="00593A5B">
        <w:rPr>
          <w:rFonts w:cs="Times New Roman"/>
          <w:noProof/>
          <w:lang w:eastAsia="en-GB"/>
        </w:rPr>
        <w:t>8.2 PESTLE Analysis: External Factors</w:t>
      </w:r>
      <w:bookmarkEnd w:id="19"/>
    </w:p>
    <w:p w14:paraId="664EA64B" w14:textId="4EAE9D76" w:rsidR="002C7255" w:rsidRPr="00593A5B" w:rsidRDefault="00C43B29" w:rsidP="0014054D">
      <w:pPr>
        <w:rPr>
          <w:rFonts w:cs="Times New Roman"/>
          <w:noProof/>
          <w:lang w:eastAsia="en-GB"/>
        </w:rPr>
      </w:pPr>
      <w:r w:rsidRPr="00593A5B">
        <w:rPr>
          <w:rFonts w:cs="Times New Roman"/>
          <w:noProof/>
          <w:lang w:eastAsia="en-GB"/>
        </w:rPr>
        <w:drawing>
          <wp:inline distT="0" distB="0" distL="0" distR="0" wp14:anchorId="1BDBA0EB" wp14:editId="54DDEE6D">
            <wp:extent cx="5731510" cy="6282055"/>
            <wp:effectExtent l="0" t="0" r="2540" b="4445"/>
            <wp:docPr id="1530269161" name="Picture 1" descr="A table of inform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269161" name="Picture 1" descr="A table of information&#10;&#10;Description automatically generated"/>
                    <pic:cNvPicPr/>
                  </pic:nvPicPr>
                  <pic:blipFill>
                    <a:blip r:embed="rId13"/>
                    <a:stretch>
                      <a:fillRect/>
                    </a:stretch>
                  </pic:blipFill>
                  <pic:spPr>
                    <a:xfrm>
                      <a:off x="0" y="0"/>
                      <a:ext cx="5731510" cy="6282055"/>
                    </a:xfrm>
                    <a:prstGeom prst="rect">
                      <a:avLst/>
                    </a:prstGeom>
                  </pic:spPr>
                </pic:pic>
              </a:graphicData>
            </a:graphic>
          </wp:inline>
        </w:drawing>
      </w:r>
    </w:p>
    <w:p w14:paraId="153F2D9E" w14:textId="4E6CE783" w:rsidR="00C43B29" w:rsidRPr="00593A5B" w:rsidRDefault="00C43B29" w:rsidP="0014054D">
      <w:pPr>
        <w:rPr>
          <w:rFonts w:cs="Times New Roman"/>
          <w:noProof/>
          <w:lang w:eastAsia="en-GB"/>
        </w:rPr>
      </w:pPr>
      <w:r w:rsidRPr="00593A5B">
        <w:rPr>
          <w:rFonts w:cs="Times New Roman"/>
          <w:noProof/>
          <w:lang w:eastAsia="en-GB"/>
        </w:rPr>
        <w:t xml:space="preserve">Political considerations influence event compliance (Belden et al., 2022). Government diversity programs and accessibility rules encourage event coordinators to use barrier-free designs and assistive technologies. Failure to meet legal accessibility criteria may result in fines and reputational harm. Economic factors have a considerable influence on event funding (Allen, Harris, and Jago, 2022). Economic downturns or organisational financial constraints may have an impact on sponsorships and ticket sales, which help to fund the event. Inclusive infrastructure and assistive technology can be expensive; thus, it is critical to set a realistic budget. Social considerations include cultural representation and inclusivity. Case studies, multilingual support, and diverse speaker panels are prioritised (Rouse </w:t>
      </w:r>
      <w:r w:rsidR="00903B6B" w:rsidRPr="00593A5B">
        <w:rPr>
          <w:rFonts w:cs="Times New Roman"/>
          <w:noProof/>
          <w:lang w:eastAsia="en-GB"/>
        </w:rPr>
        <w:t>and</w:t>
      </w:r>
      <w:r w:rsidRPr="00593A5B">
        <w:rPr>
          <w:rFonts w:cs="Times New Roman"/>
          <w:noProof/>
          <w:lang w:eastAsia="en-GB"/>
        </w:rPr>
        <w:t xml:space="preserve"> McBride, 2022). Social inclusion improves credibility, industry relevance, and attendee engagement.</w:t>
      </w:r>
    </w:p>
    <w:p w14:paraId="51E5B6C9" w14:textId="2A284F35" w:rsidR="008D6108" w:rsidRPr="00593A5B" w:rsidRDefault="00C43B29" w:rsidP="0014054D">
      <w:pPr>
        <w:rPr>
          <w:rFonts w:cs="Times New Roman"/>
          <w:noProof/>
          <w:lang w:eastAsia="en-GB"/>
        </w:rPr>
      </w:pPr>
      <w:r w:rsidRPr="00593A5B">
        <w:rPr>
          <w:rFonts w:cs="Times New Roman"/>
          <w:noProof/>
          <w:lang w:eastAsia="en-GB"/>
        </w:rPr>
        <w:t>Technological developments like virtual access, assistive technology, and live captioning help to improve accessibility. Platform compatibility and internet connectivity issues are risks linked with technology use (Botelho, 2021). It is critical to follow legal requirements on disability inclusion. The management of attendance data must also comply with data protection standards. Carbon-neutral planning, digital materials, and waste minimisation all contribute to event sustainability (Cavallin Toscani, Vendraminelli, and Vinelli, 2024). By addressing these situational and cultural issues, the Inclusive Event Planning Masterclass improves the MICE industry's strategic feasibility, compliance, and impact.</w:t>
      </w:r>
    </w:p>
    <w:p w14:paraId="28F621E1" w14:textId="057E8CEF" w:rsidR="002C7255" w:rsidRPr="00593A5B" w:rsidRDefault="002C7255" w:rsidP="0014054D">
      <w:pPr>
        <w:jc w:val="left"/>
        <w:rPr>
          <w:rFonts w:cs="Times New Roman"/>
          <w:noProof/>
          <w:lang w:eastAsia="en-GB"/>
        </w:rPr>
      </w:pPr>
      <w:r w:rsidRPr="00593A5B">
        <w:rPr>
          <w:rFonts w:cs="Times New Roman"/>
          <w:noProof/>
          <w:lang w:eastAsia="en-GB"/>
        </w:rPr>
        <w:br w:type="page"/>
      </w:r>
    </w:p>
    <w:p w14:paraId="62F15848" w14:textId="365A8F9B" w:rsidR="002C7255" w:rsidRPr="00593A5B" w:rsidRDefault="002C7255" w:rsidP="0014054D">
      <w:pPr>
        <w:pStyle w:val="Heading1"/>
        <w:rPr>
          <w:rFonts w:cs="Times New Roman"/>
          <w:noProof/>
          <w:lang w:eastAsia="en-GB"/>
        </w:rPr>
      </w:pPr>
      <w:bookmarkStart w:id="20" w:name="_Toc190199001"/>
      <w:r w:rsidRPr="00593A5B">
        <w:rPr>
          <w:rFonts w:cs="Times New Roman"/>
          <w:noProof/>
          <w:lang w:eastAsia="en-GB"/>
        </w:rPr>
        <w:t>9. Conclusion</w:t>
      </w:r>
      <w:bookmarkEnd w:id="20"/>
    </w:p>
    <w:p w14:paraId="1EDD0E5B" w14:textId="437F36D5" w:rsidR="00C43B29" w:rsidRPr="00593A5B" w:rsidRDefault="00C43B29" w:rsidP="0014054D">
      <w:pPr>
        <w:rPr>
          <w:rFonts w:cs="Times New Roman"/>
          <w:noProof/>
          <w:lang w:eastAsia="en-GB"/>
        </w:rPr>
      </w:pPr>
      <w:r w:rsidRPr="00593A5B">
        <w:rPr>
          <w:rFonts w:cs="Times New Roman"/>
          <w:noProof/>
          <w:lang w:eastAsia="en-GB"/>
        </w:rPr>
        <w:t>The Inclusive Event Planning Masterclass is financially sound, practical, and industry relevant. The event encourages best practices and addresses industry inequities, and there is a strong demand for accessible and inclusive event planning. Sponsorships, ticket sales, and vendor participation help to fund a sustainable budget with an expected net profit of £6,000. The curriculum encourages information sharing and collaboration by training participants on how to plan and execute inclusive events.</w:t>
      </w:r>
    </w:p>
    <w:p w14:paraId="217C7501" w14:textId="77777777" w:rsidR="00C43B29" w:rsidRPr="00593A5B" w:rsidRDefault="00C43B29" w:rsidP="0014054D">
      <w:pPr>
        <w:rPr>
          <w:rFonts w:cs="Times New Roman"/>
          <w:noProof/>
          <w:lang w:eastAsia="en-GB"/>
        </w:rPr>
      </w:pPr>
      <w:r w:rsidRPr="00593A5B">
        <w:rPr>
          <w:rFonts w:cs="Times New Roman"/>
          <w:noProof/>
          <w:lang w:eastAsia="en-GB"/>
        </w:rPr>
        <w:t>This event is based on a strong strategic purpose. Regulations, corporate social responsibility, and industry standards are all helping to boost the appeal of inclusive event planning. The event's finance plan promotes sustainability by balancing profitability and accessibility objectives. The training also covers long-term MICE market themes, such as digital accessibility, hybrid event models, and sustainability.</w:t>
      </w:r>
    </w:p>
    <w:p w14:paraId="30779D88" w14:textId="15B7487F" w:rsidR="002C7255" w:rsidRPr="00593A5B" w:rsidRDefault="00C43B29" w:rsidP="0014054D">
      <w:pPr>
        <w:rPr>
          <w:rFonts w:cs="Times New Roman"/>
          <w:noProof/>
          <w:lang w:eastAsia="en-GB"/>
        </w:rPr>
      </w:pPr>
      <w:r w:rsidRPr="00593A5B">
        <w:rPr>
          <w:rFonts w:cs="Times New Roman"/>
          <w:noProof/>
          <w:lang w:eastAsia="en-GB"/>
        </w:rPr>
        <w:t>It looks promise to grow into hybrid forms and global accessibility programs. Future editions may include AI-driven assistive technologies, virtual reality inclusion training, and multilingual support. By widening its scope, the event has the potential to become a global benchmark for inclusive event management, increasing its long-term industry importance.</w:t>
      </w:r>
      <w:r w:rsidR="002C7255" w:rsidRPr="00593A5B">
        <w:rPr>
          <w:rFonts w:cs="Times New Roman"/>
          <w:noProof/>
          <w:lang w:eastAsia="en-GB"/>
        </w:rPr>
        <w:br w:type="page"/>
      </w:r>
    </w:p>
    <w:p w14:paraId="62FAAADC" w14:textId="4A02E1A8" w:rsidR="002C7255" w:rsidRPr="00593A5B" w:rsidRDefault="002C7255" w:rsidP="0014054D">
      <w:pPr>
        <w:pStyle w:val="Heading1"/>
        <w:rPr>
          <w:rFonts w:cs="Times New Roman"/>
          <w:noProof/>
          <w:lang w:eastAsia="en-GB"/>
        </w:rPr>
      </w:pPr>
      <w:bookmarkStart w:id="21" w:name="_Toc190199002"/>
      <w:r w:rsidRPr="00593A5B">
        <w:rPr>
          <w:rFonts w:cs="Times New Roman"/>
          <w:noProof/>
          <w:lang w:eastAsia="en-GB"/>
        </w:rPr>
        <w:t>Reference List</w:t>
      </w:r>
      <w:bookmarkEnd w:id="21"/>
    </w:p>
    <w:bookmarkEnd w:id="0"/>
    <w:p w14:paraId="46760AD3" w14:textId="77777777" w:rsidR="007940C0" w:rsidRPr="00593A5B" w:rsidRDefault="007940C0" w:rsidP="0014054D">
      <w:pPr>
        <w:rPr>
          <w:rFonts w:cs="Times New Roman"/>
          <w:noProof/>
          <w:lang w:eastAsia="en-GB"/>
        </w:rPr>
      </w:pPr>
      <w:r w:rsidRPr="00593A5B">
        <w:rPr>
          <w:rFonts w:eastAsia="Times New Roman" w:cs="Times New Roman"/>
          <w:noProof/>
          <w:lang w:eastAsia="en-GB"/>
        </w:rPr>
        <w:t xml:space="preserve">Allen, J., Harris, R. and Jago, L. (2022). </w:t>
      </w:r>
      <w:r w:rsidRPr="00593A5B">
        <w:rPr>
          <w:rFonts w:eastAsia="Times New Roman" w:cs="Times New Roman"/>
          <w:i/>
          <w:iCs/>
          <w:noProof/>
          <w:lang w:eastAsia="en-GB"/>
        </w:rPr>
        <w:t>Festival &amp; special event management</w:t>
      </w:r>
      <w:r w:rsidRPr="00593A5B">
        <w:rPr>
          <w:rFonts w:eastAsia="Times New Roman" w:cs="Times New Roman"/>
          <w:noProof/>
          <w:lang w:eastAsia="en-GB"/>
        </w:rPr>
        <w:t>. John Wiley &amp; Sons.</w:t>
      </w:r>
    </w:p>
    <w:p w14:paraId="398A25BB" w14:textId="77777777" w:rsidR="007940C0" w:rsidRPr="00593A5B" w:rsidRDefault="007940C0" w:rsidP="0014054D">
      <w:pPr>
        <w:rPr>
          <w:rFonts w:cs="Times New Roman"/>
          <w:noProof/>
          <w:lang w:eastAsia="en-GB"/>
        </w:rPr>
      </w:pPr>
      <w:r w:rsidRPr="00593A5B">
        <w:rPr>
          <w:rFonts w:eastAsia="Times New Roman" w:cs="Times New Roman"/>
          <w:noProof/>
          <w:lang w:eastAsia="en-GB"/>
        </w:rPr>
        <w:t xml:space="preserve">Bladen, C., Kennell, J., Abson, E. and Wilde, N. (2022). </w:t>
      </w:r>
      <w:r w:rsidRPr="00593A5B">
        <w:rPr>
          <w:rFonts w:eastAsia="Times New Roman" w:cs="Times New Roman"/>
          <w:i/>
          <w:iCs/>
          <w:noProof/>
          <w:lang w:eastAsia="en-GB"/>
        </w:rPr>
        <w:t>Events management: An introduction</w:t>
      </w:r>
      <w:r w:rsidRPr="00593A5B">
        <w:rPr>
          <w:rFonts w:eastAsia="Times New Roman" w:cs="Times New Roman"/>
          <w:noProof/>
          <w:lang w:eastAsia="en-GB"/>
        </w:rPr>
        <w:t>. Routledge.</w:t>
      </w:r>
    </w:p>
    <w:p w14:paraId="03D6520D" w14:textId="77777777" w:rsidR="007940C0" w:rsidRPr="00593A5B" w:rsidRDefault="007940C0" w:rsidP="0014054D">
      <w:pPr>
        <w:rPr>
          <w:rFonts w:cs="Times New Roman"/>
          <w:noProof/>
          <w:lang w:eastAsia="en-GB"/>
        </w:rPr>
      </w:pPr>
      <w:r w:rsidRPr="00593A5B">
        <w:rPr>
          <w:rFonts w:eastAsia="Times New Roman" w:cs="Times New Roman"/>
          <w:noProof/>
          <w:lang w:eastAsia="en-GB"/>
        </w:rPr>
        <w:t xml:space="preserve">Botelho, F.H. (2021). Accessibility to digital technology: Virtual barriers, real opportunities. </w:t>
      </w:r>
      <w:r w:rsidRPr="00593A5B">
        <w:rPr>
          <w:rFonts w:eastAsia="Times New Roman" w:cs="Times New Roman"/>
          <w:i/>
          <w:iCs/>
          <w:noProof/>
          <w:lang w:eastAsia="en-GB"/>
        </w:rPr>
        <w:t>Assistive Technology</w:t>
      </w:r>
      <w:r w:rsidRPr="00593A5B">
        <w:rPr>
          <w:rFonts w:eastAsia="Times New Roman" w:cs="Times New Roman"/>
          <w:noProof/>
          <w:lang w:eastAsia="en-GB"/>
        </w:rPr>
        <w:t xml:space="preserve">, </w:t>
      </w:r>
      <w:r w:rsidRPr="00593A5B">
        <w:rPr>
          <w:rFonts w:eastAsia="Times New Roman" w:cs="Times New Roman"/>
          <w:i/>
          <w:iCs/>
          <w:noProof/>
          <w:lang w:eastAsia="en-GB"/>
        </w:rPr>
        <w:t>33</w:t>
      </w:r>
      <w:r w:rsidRPr="00593A5B">
        <w:rPr>
          <w:rFonts w:eastAsia="Times New Roman" w:cs="Times New Roman"/>
          <w:noProof/>
          <w:lang w:eastAsia="en-GB"/>
        </w:rPr>
        <w:t>(sup1), pp.27-34.</w:t>
      </w:r>
    </w:p>
    <w:p w14:paraId="50166B67" w14:textId="77777777" w:rsidR="007940C0" w:rsidRPr="00593A5B" w:rsidRDefault="007940C0" w:rsidP="0014054D">
      <w:pPr>
        <w:rPr>
          <w:rFonts w:cs="Times New Roman"/>
          <w:noProof/>
        </w:rPr>
      </w:pPr>
      <w:r w:rsidRPr="00593A5B">
        <w:rPr>
          <w:rFonts w:eastAsia="Times New Roman" w:cs="Times New Roman"/>
          <w:noProof/>
          <w:lang w:eastAsia="en-GB"/>
        </w:rPr>
        <w:t xml:space="preserve">Bowdin, G.A., Allen, J., Harris, R., Jago, L., O'toole, W. and McDonnell, I. (2023). </w:t>
      </w:r>
      <w:r w:rsidRPr="00593A5B">
        <w:rPr>
          <w:rFonts w:eastAsia="Times New Roman" w:cs="Times New Roman"/>
          <w:i/>
          <w:iCs/>
          <w:noProof/>
          <w:lang w:eastAsia="en-GB"/>
        </w:rPr>
        <w:t>Events management</w:t>
      </w:r>
      <w:r w:rsidRPr="00593A5B">
        <w:rPr>
          <w:rFonts w:eastAsia="Times New Roman" w:cs="Times New Roman"/>
          <w:noProof/>
          <w:lang w:eastAsia="en-GB"/>
        </w:rPr>
        <w:t>. Routledge.</w:t>
      </w:r>
    </w:p>
    <w:p w14:paraId="07232E7B" w14:textId="77777777" w:rsidR="007940C0" w:rsidRPr="00593A5B" w:rsidRDefault="007940C0" w:rsidP="0014054D">
      <w:pPr>
        <w:rPr>
          <w:rFonts w:cs="Times New Roman"/>
          <w:noProof/>
        </w:rPr>
      </w:pPr>
      <w:r w:rsidRPr="00593A5B">
        <w:rPr>
          <w:rFonts w:eastAsia="Times New Roman" w:cs="Times New Roman"/>
          <w:noProof/>
          <w:lang w:eastAsia="en-GB"/>
        </w:rPr>
        <w:t xml:space="preserve">Brown, S., Getz, D., Pettersson, R. and Wallstam, M. (2015). Event evaluation: Definitions, concepts and a state of the art review. </w:t>
      </w:r>
      <w:r w:rsidRPr="00593A5B">
        <w:rPr>
          <w:rFonts w:eastAsia="Times New Roman" w:cs="Times New Roman"/>
          <w:i/>
          <w:iCs/>
          <w:noProof/>
          <w:lang w:eastAsia="en-GB"/>
        </w:rPr>
        <w:t>International Journal of Event and Festival Management</w:t>
      </w:r>
      <w:r w:rsidRPr="00593A5B">
        <w:rPr>
          <w:rFonts w:eastAsia="Times New Roman" w:cs="Times New Roman"/>
          <w:noProof/>
          <w:lang w:eastAsia="en-GB"/>
        </w:rPr>
        <w:t xml:space="preserve">, </w:t>
      </w:r>
      <w:r w:rsidRPr="00593A5B">
        <w:rPr>
          <w:rFonts w:eastAsia="Times New Roman" w:cs="Times New Roman"/>
          <w:i/>
          <w:iCs/>
          <w:noProof/>
          <w:lang w:eastAsia="en-GB"/>
        </w:rPr>
        <w:t>6</w:t>
      </w:r>
      <w:r w:rsidRPr="00593A5B">
        <w:rPr>
          <w:rFonts w:eastAsia="Times New Roman" w:cs="Times New Roman"/>
          <w:noProof/>
          <w:lang w:eastAsia="en-GB"/>
        </w:rPr>
        <w:t>(2), pp.135-157.</w:t>
      </w:r>
    </w:p>
    <w:p w14:paraId="6BBAD2E9" w14:textId="77777777" w:rsidR="007940C0" w:rsidRPr="00593A5B" w:rsidRDefault="007940C0" w:rsidP="0014054D">
      <w:pPr>
        <w:rPr>
          <w:rFonts w:cs="Times New Roman"/>
          <w:noProof/>
          <w:lang w:eastAsia="en-GB"/>
        </w:rPr>
      </w:pPr>
      <w:r w:rsidRPr="00593A5B">
        <w:rPr>
          <w:rFonts w:eastAsia="Times New Roman" w:cs="Times New Roman"/>
          <w:noProof/>
          <w:lang w:eastAsia="en-GB"/>
        </w:rPr>
        <w:t xml:space="preserve">Cavallin Toscani, A., Vendraminelli, L. and Vinelli, A. (2024). Environmental sustainability in the event industry: a systematic review and a research agenda. </w:t>
      </w:r>
      <w:r w:rsidRPr="00593A5B">
        <w:rPr>
          <w:rFonts w:eastAsia="Times New Roman" w:cs="Times New Roman"/>
          <w:i/>
          <w:iCs/>
          <w:noProof/>
          <w:lang w:eastAsia="en-GB"/>
        </w:rPr>
        <w:t>Journal of Sustainable Tourism</w:t>
      </w:r>
      <w:r w:rsidRPr="00593A5B">
        <w:rPr>
          <w:rFonts w:eastAsia="Times New Roman" w:cs="Times New Roman"/>
          <w:noProof/>
          <w:lang w:eastAsia="en-GB"/>
        </w:rPr>
        <w:t>, pp.1-35.</w:t>
      </w:r>
    </w:p>
    <w:p w14:paraId="793A379E" w14:textId="77777777" w:rsidR="007940C0" w:rsidRPr="00593A5B" w:rsidRDefault="007940C0" w:rsidP="0014054D">
      <w:pPr>
        <w:rPr>
          <w:rFonts w:cs="Times New Roman"/>
          <w:noProof/>
        </w:rPr>
      </w:pPr>
      <w:r w:rsidRPr="00593A5B">
        <w:rPr>
          <w:rFonts w:eastAsia="Times New Roman" w:cs="Times New Roman"/>
          <w:noProof/>
          <w:lang w:eastAsia="en-GB"/>
        </w:rPr>
        <w:t xml:space="preserve">Darcy, S. (2012). Disability, access, and inclusion in the event industry: A call for inclusive event research. </w:t>
      </w:r>
      <w:r w:rsidRPr="00593A5B">
        <w:rPr>
          <w:rFonts w:eastAsia="Times New Roman" w:cs="Times New Roman"/>
          <w:i/>
          <w:iCs/>
          <w:noProof/>
          <w:lang w:eastAsia="en-GB"/>
        </w:rPr>
        <w:t>Event Management</w:t>
      </w:r>
      <w:r w:rsidRPr="00593A5B">
        <w:rPr>
          <w:rFonts w:eastAsia="Times New Roman" w:cs="Times New Roman"/>
          <w:noProof/>
          <w:lang w:eastAsia="en-GB"/>
        </w:rPr>
        <w:t xml:space="preserve">, </w:t>
      </w:r>
      <w:r w:rsidRPr="00593A5B">
        <w:rPr>
          <w:rFonts w:eastAsia="Times New Roman" w:cs="Times New Roman"/>
          <w:i/>
          <w:iCs/>
          <w:noProof/>
          <w:lang w:eastAsia="en-GB"/>
        </w:rPr>
        <w:t>16</w:t>
      </w:r>
      <w:r w:rsidRPr="00593A5B">
        <w:rPr>
          <w:rFonts w:eastAsia="Times New Roman" w:cs="Times New Roman"/>
          <w:noProof/>
          <w:lang w:eastAsia="en-GB"/>
        </w:rPr>
        <w:t>(3), pp.259-265.</w:t>
      </w:r>
    </w:p>
    <w:p w14:paraId="497495B8" w14:textId="77777777" w:rsidR="007940C0" w:rsidRPr="00593A5B" w:rsidRDefault="007940C0" w:rsidP="0014054D">
      <w:pPr>
        <w:rPr>
          <w:rFonts w:cs="Times New Roman"/>
          <w:noProof/>
          <w:lang w:eastAsia="en-GB"/>
        </w:rPr>
      </w:pPr>
      <w:r w:rsidRPr="00593A5B">
        <w:rPr>
          <w:rFonts w:eastAsia="Times New Roman" w:cs="Times New Roman"/>
          <w:noProof/>
          <w:lang w:eastAsia="en-GB"/>
        </w:rPr>
        <w:t xml:space="preserve">Doran, A.L., Dutch, V., Warren, B., Watson, R.A., Murphy, K., Aldis, A., Cooper, I., Cockram, C., Harp, D., Desmau, M. and Keppler, L. (2024). Planning virtual and hybrid events: steps to improve inclusion and accessibility. </w:t>
      </w:r>
      <w:r w:rsidRPr="00593A5B">
        <w:rPr>
          <w:rFonts w:eastAsia="Times New Roman" w:cs="Times New Roman"/>
          <w:i/>
          <w:iCs/>
          <w:noProof/>
          <w:lang w:eastAsia="en-GB"/>
        </w:rPr>
        <w:t>Geoscience Communication</w:t>
      </w:r>
      <w:r w:rsidRPr="00593A5B">
        <w:rPr>
          <w:rFonts w:eastAsia="Times New Roman" w:cs="Times New Roman"/>
          <w:noProof/>
          <w:lang w:eastAsia="en-GB"/>
        </w:rPr>
        <w:t xml:space="preserve">, </w:t>
      </w:r>
      <w:r w:rsidRPr="00593A5B">
        <w:rPr>
          <w:rFonts w:eastAsia="Times New Roman" w:cs="Times New Roman"/>
          <w:i/>
          <w:iCs/>
          <w:noProof/>
          <w:lang w:eastAsia="en-GB"/>
        </w:rPr>
        <w:t>7</w:t>
      </w:r>
      <w:r w:rsidRPr="00593A5B">
        <w:rPr>
          <w:rFonts w:eastAsia="Times New Roman" w:cs="Times New Roman"/>
          <w:noProof/>
          <w:lang w:eastAsia="en-GB"/>
        </w:rPr>
        <w:t>(4), pp.227-244.</w:t>
      </w:r>
    </w:p>
    <w:p w14:paraId="18A08E49" w14:textId="77777777" w:rsidR="007940C0" w:rsidRPr="00593A5B" w:rsidRDefault="007940C0" w:rsidP="0014054D">
      <w:pPr>
        <w:rPr>
          <w:rFonts w:cs="Times New Roman"/>
          <w:noProof/>
          <w:lang w:eastAsia="en-GB"/>
        </w:rPr>
      </w:pPr>
      <w:r w:rsidRPr="00593A5B">
        <w:rPr>
          <w:rFonts w:eastAsia="Times New Roman" w:cs="Times New Roman"/>
          <w:noProof/>
          <w:lang w:eastAsia="en-GB"/>
        </w:rPr>
        <w:t xml:space="preserve">Dowson, R., Albert, B. and Lomax, D. (2022). </w:t>
      </w:r>
      <w:r w:rsidRPr="00593A5B">
        <w:rPr>
          <w:rFonts w:eastAsia="Times New Roman" w:cs="Times New Roman"/>
          <w:i/>
          <w:iCs/>
          <w:noProof/>
          <w:lang w:eastAsia="en-GB"/>
        </w:rPr>
        <w:t>Event planning and management: Principles, planning and practice</w:t>
      </w:r>
      <w:r w:rsidRPr="00593A5B">
        <w:rPr>
          <w:rFonts w:eastAsia="Times New Roman" w:cs="Times New Roman"/>
          <w:noProof/>
          <w:lang w:eastAsia="en-GB"/>
        </w:rPr>
        <w:t>. Kogan Page Publishers.</w:t>
      </w:r>
    </w:p>
    <w:p w14:paraId="627F4336" w14:textId="77777777" w:rsidR="007940C0" w:rsidRPr="00593A5B" w:rsidRDefault="007940C0" w:rsidP="0014054D">
      <w:pPr>
        <w:rPr>
          <w:rFonts w:cs="Times New Roman"/>
          <w:noProof/>
          <w:lang w:eastAsia="en-GB"/>
        </w:rPr>
      </w:pPr>
      <w:r w:rsidRPr="00593A5B">
        <w:rPr>
          <w:rFonts w:eastAsia="Times New Roman" w:cs="Times New Roman"/>
          <w:noProof/>
          <w:lang w:eastAsia="en-GB"/>
        </w:rPr>
        <w:t xml:space="preserve">Finkel, R. and Dashper, K. (2020). Accessibility, diversity, and inclusion in events. In </w:t>
      </w:r>
      <w:r w:rsidRPr="00593A5B">
        <w:rPr>
          <w:rFonts w:eastAsia="Times New Roman" w:cs="Times New Roman"/>
          <w:i/>
          <w:iCs/>
          <w:noProof/>
          <w:lang w:eastAsia="en-GB"/>
        </w:rPr>
        <w:t>The Routledge handbook of events</w:t>
      </w:r>
      <w:r w:rsidRPr="00593A5B">
        <w:rPr>
          <w:rFonts w:eastAsia="Times New Roman" w:cs="Times New Roman"/>
          <w:noProof/>
          <w:lang w:eastAsia="en-GB"/>
        </w:rPr>
        <w:t xml:space="preserve"> (pp. 475-490). Routledge.</w:t>
      </w:r>
    </w:p>
    <w:p w14:paraId="47424D67" w14:textId="77777777" w:rsidR="007940C0" w:rsidRPr="00593A5B" w:rsidRDefault="007940C0" w:rsidP="0014054D">
      <w:pPr>
        <w:rPr>
          <w:rFonts w:cs="Times New Roman"/>
          <w:noProof/>
          <w:lang w:eastAsia="en-GB"/>
        </w:rPr>
      </w:pPr>
      <w:r w:rsidRPr="00593A5B">
        <w:rPr>
          <w:rFonts w:eastAsia="Times New Roman" w:cs="Times New Roman"/>
          <w:noProof/>
          <w:lang w:eastAsia="en-GB"/>
        </w:rPr>
        <w:t xml:space="preserve">Finkel, R., Sharp, B. and Sweeney, M. eds. (2019). </w:t>
      </w:r>
      <w:r w:rsidRPr="00593A5B">
        <w:rPr>
          <w:rFonts w:eastAsia="Times New Roman" w:cs="Times New Roman"/>
          <w:i/>
          <w:iCs/>
          <w:noProof/>
          <w:lang w:eastAsia="en-GB"/>
        </w:rPr>
        <w:t>Accessibility, inclusion, and diversity in critical event studies</w:t>
      </w:r>
      <w:r w:rsidRPr="00593A5B">
        <w:rPr>
          <w:rFonts w:eastAsia="Times New Roman" w:cs="Times New Roman"/>
          <w:noProof/>
          <w:lang w:eastAsia="en-GB"/>
        </w:rPr>
        <w:t xml:space="preserve"> (pp. 1-16). Abingdon: Routledge.</w:t>
      </w:r>
    </w:p>
    <w:p w14:paraId="55A039A4" w14:textId="77777777" w:rsidR="007940C0" w:rsidRPr="00593A5B" w:rsidRDefault="007940C0" w:rsidP="0014054D">
      <w:pPr>
        <w:rPr>
          <w:rFonts w:cs="Times New Roman"/>
          <w:noProof/>
        </w:rPr>
      </w:pPr>
      <w:r w:rsidRPr="00593A5B">
        <w:rPr>
          <w:rFonts w:eastAsia="Times New Roman" w:cs="Times New Roman"/>
          <w:noProof/>
          <w:lang w:eastAsia="en-GB"/>
        </w:rPr>
        <w:t xml:space="preserve">Getz, D. and Page, S.J. (2019). </w:t>
      </w:r>
      <w:r w:rsidRPr="00593A5B">
        <w:rPr>
          <w:rFonts w:eastAsia="Times New Roman" w:cs="Times New Roman"/>
          <w:i/>
          <w:iCs/>
          <w:noProof/>
          <w:lang w:eastAsia="en-GB"/>
        </w:rPr>
        <w:t>Event studies: Theory, research, and policy for planned events</w:t>
      </w:r>
      <w:r w:rsidRPr="00593A5B">
        <w:rPr>
          <w:rFonts w:eastAsia="Times New Roman" w:cs="Times New Roman"/>
          <w:noProof/>
          <w:lang w:eastAsia="en-GB"/>
        </w:rPr>
        <w:t>. Routledge.</w:t>
      </w:r>
    </w:p>
    <w:p w14:paraId="7ED01E84" w14:textId="77777777" w:rsidR="007940C0" w:rsidRPr="00593A5B" w:rsidRDefault="007940C0" w:rsidP="0014054D">
      <w:pPr>
        <w:rPr>
          <w:rFonts w:cs="Times New Roman"/>
          <w:noProof/>
          <w:lang w:eastAsia="en-GB"/>
        </w:rPr>
      </w:pPr>
      <w:r w:rsidRPr="00593A5B">
        <w:rPr>
          <w:rFonts w:eastAsia="Times New Roman" w:cs="Times New Roman"/>
          <w:noProof/>
          <w:lang w:eastAsia="en-GB"/>
        </w:rPr>
        <w:t xml:space="preserve">Huggett, C. (2022). </w:t>
      </w:r>
      <w:r w:rsidRPr="00593A5B">
        <w:rPr>
          <w:rFonts w:eastAsia="Times New Roman" w:cs="Times New Roman"/>
          <w:i/>
          <w:iCs/>
          <w:noProof/>
          <w:lang w:eastAsia="en-GB"/>
        </w:rPr>
        <w:t>The Facilitator's Guide to Immersive, Blended, and Hybrid Learning</w:t>
      </w:r>
      <w:r w:rsidRPr="00593A5B">
        <w:rPr>
          <w:rFonts w:eastAsia="Times New Roman" w:cs="Times New Roman"/>
          <w:noProof/>
          <w:lang w:eastAsia="en-GB"/>
        </w:rPr>
        <w:t>. Association for Talent Development.</w:t>
      </w:r>
    </w:p>
    <w:p w14:paraId="112FBB45" w14:textId="77777777" w:rsidR="007940C0" w:rsidRPr="00593A5B" w:rsidRDefault="007940C0" w:rsidP="0014054D">
      <w:pPr>
        <w:rPr>
          <w:rFonts w:cs="Times New Roman"/>
          <w:noProof/>
        </w:rPr>
      </w:pPr>
      <w:r w:rsidRPr="00593A5B">
        <w:rPr>
          <w:rFonts w:eastAsia="Times New Roman" w:cs="Times New Roman"/>
          <w:noProof/>
          <w:lang w:eastAsia="en-GB"/>
        </w:rPr>
        <w:t xml:space="preserve">Jones, M. (2017). </w:t>
      </w:r>
      <w:r w:rsidRPr="00593A5B">
        <w:rPr>
          <w:rFonts w:eastAsia="Times New Roman" w:cs="Times New Roman"/>
          <w:i/>
          <w:iCs/>
          <w:noProof/>
          <w:lang w:eastAsia="en-GB"/>
        </w:rPr>
        <w:t>Sustainable event management: A practical guide</w:t>
      </w:r>
      <w:r w:rsidRPr="00593A5B">
        <w:rPr>
          <w:rFonts w:eastAsia="Times New Roman" w:cs="Times New Roman"/>
          <w:noProof/>
          <w:lang w:eastAsia="en-GB"/>
        </w:rPr>
        <w:t>. Routledge.</w:t>
      </w:r>
    </w:p>
    <w:p w14:paraId="6F300FB8" w14:textId="77777777" w:rsidR="007940C0" w:rsidRPr="00593A5B" w:rsidRDefault="007940C0" w:rsidP="0014054D">
      <w:pPr>
        <w:rPr>
          <w:rFonts w:cs="Times New Roman"/>
          <w:noProof/>
        </w:rPr>
      </w:pPr>
      <w:r w:rsidRPr="00593A5B">
        <w:rPr>
          <w:rFonts w:eastAsia="Times New Roman" w:cs="Times New Roman"/>
          <w:noProof/>
          <w:lang w:eastAsia="en-GB"/>
        </w:rPr>
        <w:t xml:space="preserve">Litvinova-Kulikova, L., Aliyeva, Z., and David, L.D. (2023). MICE tourism: How the pandemic has changed it. </w:t>
      </w:r>
      <w:r w:rsidRPr="00593A5B">
        <w:rPr>
          <w:rFonts w:eastAsia="Times New Roman" w:cs="Times New Roman"/>
          <w:i/>
          <w:iCs/>
          <w:noProof/>
          <w:lang w:eastAsia="en-GB"/>
        </w:rPr>
        <w:t>Journal of Tourism and Services</w:t>
      </w:r>
      <w:r w:rsidRPr="00593A5B">
        <w:rPr>
          <w:rFonts w:eastAsia="Times New Roman" w:cs="Times New Roman"/>
          <w:noProof/>
          <w:lang w:eastAsia="en-GB"/>
        </w:rPr>
        <w:t xml:space="preserve">, </w:t>
      </w:r>
      <w:r w:rsidRPr="00593A5B">
        <w:rPr>
          <w:rFonts w:eastAsia="Times New Roman" w:cs="Times New Roman"/>
          <w:i/>
          <w:iCs/>
          <w:noProof/>
          <w:lang w:eastAsia="en-GB"/>
        </w:rPr>
        <w:t>14</w:t>
      </w:r>
      <w:r w:rsidRPr="00593A5B">
        <w:rPr>
          <w:rFonts w:eastAsia="Times New Roman" w:cs="Times New Roman"/>
          <w:noProof/>
          <w:lang w:eastAsia="en-GB"/>
        </w:rPr>
        <w:t>(26), pp.197-218.</w:t>
      </w:r>
    </w:p>
    <w:p w14:paraId="21D7F4E4" w14:textId="77777777" w:rsidR="007940C0" w:rsidRPr="00593A5B" w:rsidRDefault="007940C0" w:rsidP="0014054D">
      <w:pPr>
        <w:rPr>
          <w:rFonts w:cs="Times New Roman"/>
          <w:noProof/>
          <w:lang w:eastAsia="en-GB"/>
        </w:rPr>
      </w:pPr>
      <w:r w:rsidRPr="00593A5B">
        <w:rPr>
          <w:rFonts w:eastAsia="Times New Roman" w:cs="Times New Roman"/>
          <w:noProof/>
          <w:lang w:eastAsia="en-GB"/>
        </w:rPr>
        <w:t xml:space="preserve">Mair, J. (2022). Sustainability developments at conference centers: A greener future for business events. In </w:t>
      </w:r>
      <w:r w:rsidRPr="00593A5B">
        <w:rPr>
          <w:rFonts w:eastAsia="Times New Roman" w:cs="Times New Roman"/>
          <w:i/>
          <w:iCs/>
          <w:noProof/>
          <w:lang w:eastAsia="en-GB"/>
        </w:rPr>
        <w:t>The Routledge handbook of business events</w:t>
      </w:r>
      <w:r w:rsidRPr="00593A5B">
        <w:rPr>
          <w:rFonts w:eastAsia="Times New Roman" w:cs="Times New Roman"/>
          <w:noProof/>
          <w:lang w:eastAsia="en-GB"/>
        </w:rPr>
        <w:t xml:space="preserve"> (pp. 107-116). Routledge.</w:t>
      </w:r>
    </w:p>
    <w:p w14:paraId="74DA89CB" w14:textId="77777777" w:rsidR="007940C0" w:rsidRPr="00593A5B" w:rsidRDefault="007940C0" w:rsidP="0014054D">
      <w:pPr>
        <w:rPr>
          <w:rFonts w:cs="Times New Roman"/>
          <w:noProof/>
          <w:lang w:eastAsia="en-GB"/>
        </w:rPr>
      </w:pPr>
      <w:r w:rsidRPr="00593A5B">
        <w:rPr>
          <w:rFonts w:eastAsia="Times New Roman" w:cs="Times New Roman"/>
          <w:noProof/>
          <w:lang w:eastAsia="en-GB"/>
        </w:rPr>
        <w:t xml:space="preserve">Mohamed, R. and Saber, S. (2022). Technological Innovation in Tourism and Events industry: A hybrid future of Events. </w:t>
      </w:r>
      <w:r w:rsidRPr="00593A5B">
        <w:rPr>
          <w:rFonts w:eastAsia="Times New Roman" w:cs="Times New Roman"/>
          <w:i/>
          <w:iCs/>
          <w:noProof/>
          <w:lang w:eastAsia="en-GB"/>
        </w:rPr>
        <w:t>International Journal of Tourism, Archaeology and Hospitality</w:t>
      </w:r>
      <w:r w:rsidRPr="00593A5B">
        <w:rPr>
          <w:rFonts w:eastAsia="Times New Roman" w:cs="Times New Roman"/>
          <w:noProof/>
          <w:lang w:eastAsia="en-GB"/>
        </w:rPr>
        <w:t xml:space="preserve">, </w:t>
      </w:r>
      <w:r w:rsidRPr="00593A5B">
        <w:rPr>
          <w:rFonts w:eastAsia="Times New Roman" w:cs="Times New Roman"/>
          <w:i/>
          <w:iCs/>
          <w:noProof/>
          <w:lang w:eastAsia="en-GB"/>
        </w:rPr>
        <w:t>2</w:t>
      </w:r>
      <w:r w:rsidRPr="00593A5B">
        <w:rPr>
          <w:rFonts w:eastAsia="Times New Roman" w:cs="Times New Roman"/>
          <w:noProof/>
          <w:lang w:eastAsia="en-GB"/>
        </w:rPr>
        <w:t>(3), pp.271-286.</w:t>
      </w:r>
    </w:p>
    <w:p w14:paraId="7EE52F12" w14:textId="77777777" w:rsidR="007940C0" w:rsidRPr="00593A5B" w:rsidRDefault="007940C0" w:rsidP="0014054D">
      <w:pPr>
        <w:rPr>
          <w:rFonts w:cs="Times New Roman"/>
          <w:noProof/>
          <w:lang w:eastAsia="en-GB"/>
        </w:rPr>
      </w:pPr>
      <w:r w:rsidRPr="00593A5B">
        <w:rPr>
          <w:rFonts w:eastAsia="Times New Roman" w:cs="Times New Roman"/>
          <w:noProof/>
          <w:lang w:eastAsia="en-GB"/>
        </w:rPr>
        <w:t xml:space="preserve">Morrison, A.M. (2023). </w:t>
      </w:r>
      <w:r w:rsidRPr="00593A5B">
        <w:rPr>
          <w:rFonts w:eastAsia="Times New Roman" w:cs="Times New Roman"/>
          <w:i/>
          <w:iCs/>
          <w:noProof/>
          <w:lang w:eastAsia="en-GB"/>
        </w:rPr>
        <w:t>Marketing and managing tourism destinations</w:t>
      </w:r>
      <w:r w:rsidRPr="00593A5B">
        <w:rPr>
          <w:rFonts w:eastAsia="Times New Roman" w:cs="Times New Roman"/>
          <w:noProof/>
          <w:lang w:eastAsia="en-GB"/>
        </w:rPr>
        <w:t>. Routledge.</w:t>
      </w:r>
    </w:p>
    <w:p w14:paraId="394BCF55" w14:textId="77777777" w:rsidR="007940C0" w:rsidRPr="00593A5B" w:rsidRDefault="007940C0" w:rsidP="0014054D">
      <w:pPr>
        <w:rPr>
          <w:rFonts w:cs="Times New Roman"/>
          <w:noProof/>
        </w:rPr>
      </w:pPr>
      <w:r w:rsidRPr="00593A5B">
        <w:rPr>
          <w:rFonts w:eastAsia="Times New Roman" w:cs="Times New Roman"/>
          <w:noProof/>
          <w:lang w:eastAsia="en-GB"/>
        </w:rPr>
        <w:t xml:space="preserve">Park, J.Y., Perumal, S.V., Sanyal, S., Ah Nguyen, B., Ray, S., Krishnan, R., Narasimhaiah, R. and Thangam, D. (2022). Sustainable marketing strategies as an essential tool of business. </w:t>
      </w:r>
      <w:r w:rsidRPr="00593A5B">
        <w:rPr>
          <w:rFonts w:eastAsia="Times New Roman" w:cs="Times New Roman"/>
          <w:i/>
          <w:iCs/>
          <w:noProof/>
          <w:lang w:eastAsia="en-GB"/>
        </w:rPr>
        <w:t>American Journal of Economics and Sociology</w:t>
      </w:r>
      <w:r w:rsidRPr="00593A5B">
        <w:rPr>
          <w:rFonts w:eastAsia="Times New Roman" w:cs="Times New Roman"/>
          <w:noProof/>
          <w:lang w:eastAsia="en-GB"/>
        </w:rPr>
        <w:t xml:space="preserve">, </w:t>
      </w:r>
      <w:r w:rsidRPr="00593A5B">
        <w:rPr>
          <w:rFonts w:eastAsia="Times New Roman" w:cs="Times New Roman"/>
          <w:i/>
          <w:iCs/>
          <w:noProof/>
          <w:lang w:eastAsia="en-GB"/>
        </w:rPr>
        <w:t>81</w:t>
      </w:r>
      <w:r w:rsidRPr="00593A5B">
        <w:rPr>
          <w:rFonts w:eastAsia="Times New Roman" w:cs="Times New Roman"/>
          <w:noProof/>
          <w:lang w:eastAsia="en-GB"/>
        </w:rPr>
        <w:t>(2), pp.359-379.</w:t>
      </w:r>
    </w:p>
    <w:p w14:paraId="2C5DCB38" w14:textId="77777777" w:rsidR="007940C0" w:rsidRPr="00593A5B" w:rsidRDefault="007940C0" w:rsidP="0014054D">
      <w:pPr>
        <w:rPr>
          <w:rFonts w:cs="Times New Roman"/>
          <w:noProof/>
        </w:rPr>
      </w:pPr>
      <w:r w:rsidRPr="00593A5B">
        <w:rPr>
          <w:rFonts w:eastAsia="Times New Roman" w:cs="Times New Roman"/>
          <w:noProof/>
          <w:lang w:eastAsia="en-GB"/>
        </w:rPr>
        <w:t xml:space="preserve">Rogers, T. and Wynn-Moylan, P. (2022). </w:t>
      </w:r>
      <w:r w:rsidRPr="00593A5B">
        <w:rPr>
          <w:rFonts w:eastAsia="Times New Roman" w:cs="Times New Roman"/>
          <w:i/>
          <w:iCs/>
          <w:noProof/>
          <w:lang w:eastAsia="en-GB"/>
        </w:rPr>
        <w:t>Conferences and conventions: A global industry</w:t>
      </w:r>
      <w:r w:rsidRPr="00593A5B">
        <w:rPr>
          <w:rFonts w:eastAsia="Times New Roman" w:cs="Times New Roman"/>
          <w:noProof/>
          <w:lang w:eastAsia="en-GB"/>
        </w:rPr>
        <w:t>. Routledge.</w:t>
      </w:r>
    </w:p>
    <w:p w14:paraId="2549E6EE" w14:textId="77777777" w:rsidR="007940C0" w:rsidRPr="00593A5B" w:rsidRDefault="007940C0" w:rsidP="0014054D">
      <w:pPr>
        <w:rPr>
          <w:rFonts w:cs="Times New Roman"/>
          <w:noProof/>
          <w:lang w:eastAsia="en-GB"/>
        </w:rPr>
      </w:pPr>
      <w:r w:rsidRPr="00593A5B">
        <w:rPr>
          <w:rFonts w:eastAsia="Times New Roman" w:cs="Times New Roman"/>
          <w:noProof/>
          <w:lang w:eastAsia="en-GB"/>
        </w:rPr>
        <w:t xml:space="preserve">Rouse, W.B. and McBride, D.K. (2022). Assistive Technologies for Disabled and Older Adults: Models of Use Cases, Market Economics, and Business Cases. In </w:t>
      </w:r>
      <w:r w:rsidRPr="00593A5B">
        <w:rPr>
          <w:rFonts w:eastAsia="Times New Roman" w:cs="Times New Roman"/>
          <w:i/>
          <w:iCs/>
          <w:noProof/>
          <w:lang w:eastAsia="en-GB"/>
        </w:rPr>
        <w:t>Handbook of Model-Based Systems Engineering</w:t>
      </w:r>
      <w:r w:rsidRPr="00593A5B">
        <w:rPr>
          <w:rFonts w:eastAsia="Times New Roman" w:cs="Times New Roman"/>
          <w:noProof/>
          <w:lang w:eastAsia="en-GB"/>
        </w:rPr>
        <w:t xml:space="preserve"> (pp. 1-25). Cham: Springer International Publishing.</w:t>
      </w:r>
    </w:p>
    <w:p w14:paraId="1F2D0C28" w14:textId="77777777" w:rsidR="007940C0" w:rsidRPr="00593A5B" w:rsidRDefault="007940C0" w:rsidP="0014054D">
      <w:pPr>
        <w:rPr>
          <w:rFonts w:cs="Times New Roman"/>
          <w:noProof/>
          <w:lang w:eastAsia="en-GB"/>
        </w:rPr>
      </w:pPr>
      <w:r w:rsidRPr="00593A5B">
        <w:rPr>
          <w:rFonts w:eastAsia="Times New Roman" w:cs="Times New Roman"/>
          <w:noProof/>
          <w:lang w:eastAsia="en-GB"/>
        </w:rPr>
        <w:t xml:space="preserve">Setiawan, R., Wibisono, D. and Purwanegara, M.S. (2022). Defining event marketing as engagement-driven marketing communication. </w:t>
      </w:r>
      <w:r w:rsidRPr="00593A5B">
        <w:rPr>
          <w:rFonts w:eastAsia="Times New Roman" w:cs="Times New Roman"/>
          <w:i/>
          <w:iCs/>
          <w:noProof/>
          <w:lang w:eastAsia="en-GB"/>
        </w:rPr>
        <w:t>Gadjah Mada International Journal of Business</w:t>
      </w:r>
      <w:r w:rsidRPr="00593A5B">
        <w:rPr>
          <w:rFonts w:eastAsia="Times New Roman" w:cs="Times New Roman"/>
          <w:noProof/>
          <w:lang w:eastAsia="en-GB"/>
        </w:rPr>
        <w:t xml:space="preserve">, </w:t>
      </w:r>
      <w:r w:rsidRPr="00593A5B">
        <w:rPr>
          <w:rFonts w:eastAsia="Times New Roman" w:cs="Times New Roman"/>
          <w:i/>
          <w:iCs/>
          <w:noProof/>
          <w:lang w:eastAsia="en-GB"/>
        </w:rPr>
        <w:t>24</w:t>
      </w:r>
      <w:r w:rsidRPr="00593A5B">
        <w:rPr>
          <w:rFonts w:eastAsia="Times New Roman" w:cs="Times New Roman"/>
          <w:noProof/>
          <w:lang w:eastAsia="en-GB"/>
        </w:rPr>
        <w:t>(2), pp.151-177.</w:t>
      </w:r>
    </w:p>
    <w:p w14:paraId="1E383040" w14:textId="77777777" w:rsidR="007940C0" w:rsidRPr="00593A5B" w:rsidRDefault="007940C0" w:rsidP="0014054D">
      <w:pPr>
        <w:rPr>
          <w:rFonts w:cs="Times New Roman"/>
          <w:noProof/>
          <w:lang w:eastAsia="en-GB"/>
        </w:rPr>
      </w:pPr>
      <w:r w:rsidRPr="00593A5B">
        <w:rPr>
          <w:rFonts w:eastAsia="Times New Roman" w:cs="Times New Roman"/>
          <w:noProof/>
          <w:lang w:eastAsia="en-GB"/>
        </w:rPr>
        <w:t xml:space="preserve">Shalihah, A. (2024). It Implements in Meetings, Incentives, Conferences, and Exhibitions (Mice) Industry: A Systematic Mapping Study. </w:t>
      </w:r>
      <w:r w:rsidRPr="00593A5B">
        <w:rPr>
          <w:rFonts w:eastAsia="Times New Roman" w:cs="Times New Roman"/>
          <w:i/>
          <w:iCs/>
          <w:noProof/>
          <w:lang w:eastAsia="en-GB"/>
        </w:rPr>
        <w:t>Journal of Social Research</w:t>
      </w:r>
      <w:r w:rsidRPr="00593A5B">
        <w:rPr>
          <w:rFonts w:eastAsia="Times New Roman" w:cs="Times New Roman"/>
          <w:noProof/>
          <w:lang w:eastAsia="en-GB"/>
        </w:rPr>
        <w:t xml:space="preserve">, </w:t>
      </w:r>
      <w:r w:rsidRPr="00593A5B">
        <w:rPr>
          <w:rFonts w:eastAsia="Times New Roman" w:cs="Times New Roman"/>
          <w:i/>
          <w:iCs/>
          <w:noProof/>
          <w:lang w:eastAsia="en-GB"/>
        </w:rPr>
        <w:t>3</w:t>
      </w:r>
      <w:r w:rsidRPr="00593A5B">
        <w:rPr>
          <w:rFonts w:eastAsia="Times New Roman" w:cs="Times New Roman"/>
          <w:noProof/>
          <w:lang w:eastAsia="en-GB"/>
        </w:rPr>
        <w:t>(3), pp.737-750.</w:t>
      </w:r>
    </w:p>
    <w:p w14:paraId="6C9FD94B" w14:textId="77777777" w:rsidR="007940C0" w:rsidRPr="00593A5B" w:rsidRDefault="007940C0" w:rsidP="0014054D">
      <w:pPr>
        <w:rPr>
          <w:rFonts w:cs="Times New Roman"/>
          <w:noProof/>
        </w:rPr>
      </w:pPr>
      <w:r w:rsidRPr="00593A5B">
        <w:rPr>
          <w:rFonts w:eastAsia="Times New Roman" w:cs="Times New Roman"/>
          <w:noProof/>
          <w:lang w:eastAsia="en-GB"/>
        </w:rPr>
        <w:t xml:space="preserve">Silvers, J.R., Bowdin, G.A., O'Toole, W.J. and Nelson, K.B. (2005). Towards an international event management body of knowledge (EMBOK). </w:t>
      </w:r>
      <w:r w:rsidRPr="00593A5B">
        <w:rPr>
          <w:rFonts w:eastAsia="Times New Roman" w:cs="Times New Roman"/>
          <w:i/>
          <w:iCs/>
          <w:noProof/>
          <w:lang w:eastAsia="en-GB"/>
        </w:rPr>
        <w:t>Event Management</w:t>
      </w:r>
      <w:r w:rsidRPr="00593A5B">
        <w:rPr>
          <w:rFonts w:eastAsia="Times New Roman" w:cs="Times New Roman"/>
          <w:noProof/>
          <w:lang w:eastAsia="en-GB"/>
        </w:rPr>
        <w:t xml:space="preserve">, </w:t>
      </w:r>
      <w:r w:rsidRPr="00593A5B">
        <w:rPr>
          <w:rFonts w:eastAsia="Times New Roman" w:cs="Times New Roman"/>
          <w:i/>
          <w:iCs/>
          <w:noProof/>
          <w:lang w:eastAsia="en-GB"/>
        </w:rPr>
        <w:t>9</w:t>
      </w:r>
      <w:r w:rsidRPr="00593A5B">
        <w:rPr>
          <w:rFonts w:eastAsia="Times New Roman" w:cs="Times New Roman"/>
          <w:noProof/>
          <w:lang w:eastAsia="en-GB"/>
        </w:rPr>
        <w:t>(4), pp.185-198.</w:t>
      </w:r>
    </w:p>
    <w:sectPr w:rsidR="007940C0" w:rsidRPr="00593A5B" w:rsidSect="00A10276">
      <w:footerReference w:type="default" r:id="rId14"/>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99336B" w14:textId="77777777" w:rsidR="0048505D" w:rsidRDefault="0048505D" w:rsidP="00194B67">
      <w:pPr>
        <w:spacing w:after="0" w:line="240" w:lineRule="auto"/>
      </w:pPr>
      <w:r>
        <w:separator/>
      </w:r>
    </w:p>
  </w:endnote>
  <w:endnote w:type="continuationSeparator" w:id="0">
    <w:p w14:paraId="59C697F2" w14:textId="77777777" w:rsidR="0048505D" w:rsidRDefault="0048505D" w:rsidP="00194B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73503"/>
      <w:docPartObj>
        <w:docPartGallery w:val="Page Numbers (Bottom of Page)"/>
        <w:docPartUnique/>
      </w:docPartObj>
    </w:sdtPr>
    <w:sdtContent>
      <w:p w14:paraId="1FB4F723" w14:textId="62227457" w:rsidR="00194B67" w:rsidRDefault="00194B67">
        <w:pPr>
          <w:pStyle w:val="Footer"/>
          <w:jc w:val="right"/>
        </w:pPr>
        <w:r>
          <w:fldChar w:fldCharType="begin"/>
        </w:r>
        <w:r>
          <w:instrText>PAGE   \* MERGEFORMAT</w:instrText>
        </w:r>
        <w:r>
          <w:fldChar w:fldCharType="separate"/>
        </w:r>
        <w:r>
          <w:t>2</w:t>
        </w:r>
        <w:r>
          <w:fldChar w:fldCharType="end"/>
        </w:r>
      </w:p>
    </w:sdtContent>
  </w:sdt>
  <w:p w14:paraId="4A6BB31F" w14:textId="77777777" w:rsidR="00194B67" w:rsidRDefault="00194B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A8D418" w14:textId="77777777" w:rsidR="0048505D" w:rsidRDefault="0048505D" w:rsidP="00194B67">
      <w:pPr>
        <w:spacing w:after="0" w:line="240" w:lineRule="auto"/>
      </w:pPr>
      <w:r>
        <w:separator/>
      </w:r>
    </w:p>
  </w:footnote>
  <w:footnote w:type="continuationSeparator" w:id="0">
    <w:p w14:paraId="3FD1E9D6" w14:textId="77777777" w:rsidR="0048505D" w:rsidRDefault="0048505D" w:rsidP="00194B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D439F"/>
    <w:multiLevelType w:val="multilevel"/>
    <w:tmpl w:val="BFE2C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483DA9"/>
    <w:multiLevelType w:val="hybridMultilevel"/>
    <w:tmpl w:val="787A3C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092E6F"/>
    <w:multiLevelType w:val="multilevel"/>
    <w:tmpl w:val="15CCA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2627E0"/>
    <w:multiLevelType w:val="hybridMultilevel"/>
    <w:tmpl w:val="D2220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987757"/>
    <w:multiLevelType w:val="hybridMultilevel"/>
    <w:tmpl w:val="1C347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D34D52"/>
    <w:multiLevelType w:val="multilevel"/>
    <w:tmpl w:val="007CD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9428B8"/>
    <w:multiLevelType w:val="multilevel"/>
    <w:tmpl w:val="BC0CA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F1118B"/>
    <w:multiLevelType w:val="hybridMultilevel"/>
    <w:tmpl w:val="4B8EEF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DFB763A"/>
    <w:multiLevelType w:val="hybridMultilevel"/>
    <w:tmpl w:val="A784E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A110C0"/>
    <w:multiLevelType w:val="hybridMultilevel"/>
    <w:tmpl w:val="A7BEC0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4C2CFA"/>
    <w:multiLevelType w:val="hybridMultilevel"/>
    <w:tmpl w:val="60449F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1B6350E"/>
    <w:multiLevelType w:val="multilevel"/>
    <w:tmpl w:val="3EFA8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D0E4489"/>
    <w:multiLevelType w:val="hybridMultilevel"/>
    <w:tmpl w:val="65C00D02"/>
    <w:lvl w:ilvl="0" w:tplc="08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D806765"/>
    <w:multiLevelType w:val="hybridMultilevel"/>
    <w:tmpl w:val="9B86C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2825719">
    <w:abstractNumId w:val="7"/>
  </w:num>
  <w:num w:numId="2" w16cid:durableId="74284317">
    <w:abstractNumId w:val="4"/>
  </w:num>
  <w:num w:numId="3" w16cid:durableId="1325549159">
    <w:abstractNumId w:val="5"/>
  </w:num>
  <w:num w:numId="4" w16cid:durableId="1340739634">
    <w:abstractNumId w:val="2"/>
  </w:num>
  <w:num w:numId="5" w16cid:durableId="686641673">
    <w:abstractNumId w:val="0"/>
  </w:num>
  <w:num w:numId="6" w16cid:durableId="2002659554">
    <w:abstractNumId w:val="11"/>
  </w:num>
  <w:num w:numId="7" w16cid:durableId="1731688571">
    <w:abstractNumId w:val="6"/>
  </w:num>
  <w:num w:numId="8" w16cid:durableId="572663412">
    <w:abstractNumId w:val="10"/>
  </w:num>
  <w:num w:numId="9" w16cid:durableId="2085569106">
    <w:abstractNumId w:val="3"/>
  </w:num>
  <w:num w:numId="10" w16cid:durableId="1719744214">
    <w:abstractNumId w:val="13"/>
  </w:num>
  <w:num w:numId="11" w16cid:durableId="934441455">
    <w:abstractNumId w:val="8"/>
  </w:num>
  <w:num w:numId="12" w16cid:durableId="1077360229">
    <w:abstractNumId w:val="1"/>
  </w:num>
  <w:num w:numId="13" w16cid:durableId="1924794910">
    <w:abstractNumId w:val="9"/>
  </w:num>
  <w:num w:numId="14" w16cid:durableId="186751707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8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K3MDQwNzU3MzEztjRQ0lEKTi0uzszPAykwqQUAyXDhNiwAAAA="/>
  </w:docVars>
  <w:rsids>
    <w:rsidRoot w:val="0095587B"/>
    <w:rsid w:val="000126C1"/>
    <w:rsid w:val="000345A9"/>
    <w:rsid w:val="00062ED8"/>
    <w:rsid w:val="000935C6"/>
    <w:rsid w:val="000A5EEE"/>
    <w:rsid w:val="000D64C5"/>
    <w:rsid w:val="000D6C03"/>
    <w:rsid w:val="000E2DB2"/>
    <w:rsid w:val="000E4457"/>
    <w:rsid w:val="000E5953"/>
    <w:rsid w:val="0011341F"/>
    <w:rsid w:val="001203C7"/>
    <w:rsid w:val="0014054D"/>
    <w:rsid w:val="00151172"/>
    <w:rsid w:val="00160F4B"/>
    <w:rsid w:val="00162895"/>
    <w:rsid w:val="001747A4"/>
    <w:rsid w:val="00177D24"/>
    <w:rsid w:val="00187CFD"/>
    <w:rsid w:val="0019229F"/>
    <w:rsid w:val="00194B67"/>
    <w:rsid w:val="001D6733"/>
    <w:rsid w:val="001E2935"/>
    <w:rsid w:val="001F497F"/>
    <w:rsid w:val="002075FB"/>
    <w:rsid w:val="00214C52"/>
    <w:rsid w:val="00256913"/>
    <w:rsid w:val="00275722"/>
    <w:rsid w:val="0029739B"/>
    <w:rsid w:val="002A0C92"/>
    <w:rsid w:val="002A3081"/>
    <w:rsid w:val="002C7255"/>
    <w:rsid w:val="002D2820"/>
    <w:rsid w:val="002D6FA6"/>
    <w:rsid w:val="002E73F9"/>
    <w:rsid w:val="002F3BEE"/>
    <w:rsid w:val="00302487"/>
    <w:rsid w:val="00302FC8"/>
    <w:rsid w:val="00303D5E"/>
    <w:rsid w:val="00304CB5"/>
    <w:rsid w:val="00305480"/>
    <w:rsid w:val="003C0173"/>
    <w:rsid w:val="003C4525"/>
    <w:rsid w:val="003D0399"/>
    <w:rsid w:val="003F1EF3"/>
    <w:rsid w:val="0042520F"/>
    <w:rsid w:val="00436E95"/>
    <w:rsid w:val="00454ECC"/>
    <w:rsid w:val="00456BBF"/>
    <w:rsid w:val="00457823"/>
    <w:rsid w:val="00483E85"/>
    <w:rsid w:val="0048505D"/>
    <w:rsid w:val="004A19D4"/>
    <w:rsid w:val="004C660A"/>
    <w:rsid w:val="004D3347"/>
    <w:rsid w:val="004E08D4"/>
    <w:rsid w:val="004F00B8"/>
    <w:rsid w:val="00501953"/>
    <w:rsid w:val="00506E49"/>
    <w:rsid w:val="00567470"/>
    <w:rsid w:val="0057689B"/>
    <w:rsid w:val="00580126"/>
    <w:rsid w:val="00584E87"/>
    <w:rsid w:val="00593A5B"/>
    <w:rsid w:val="005A3D2B"/>
    <w:rsid w:val="005E163D"/>
    <w:rsid w:val="005F5723"/>
    <w:rsid w:val="00600C00"/>
    <w:rsid w:val="00604851"/>
    <w:rsid w:val="00614381"/>
    <w:rsid w:val="006452E7"/>
    <w:rsid w:val="00645DA3"/>
    <w:rsid w:val="0065507C"/>
    <w:rsid w:val="006A0D28"/>
    <w:rsid w:val="006E1720"/>
    <w:rsid w:val="006E6EDB"/>
    <w:rsid w:val="006F6B1D"/>
    <w:rsid w:val="0070428F"/>
    <w:rsid w:val="00730A50"/>
    <w:rsid w:val="007429D6"/>
    <w:rsid w:val="00746776"/>
    <w:rsid w:val="00761944"/>
    <w:rsid w:val="007940C0"/>
    <w:rsid w:val="007B0062"/>
    <w:rsid w:val="007B0621"/>
    <w:rsid w:val="007B63EA"/>
    <w:rsid w:val="007C476C"/>
    <w:rsid w:val="007D10BB"/>
    <w:rsid w:val="007E62ED"/>
    <w:rsid w:val="007F763E"/>
    <w:rsid w:val="00865DD8"/>
    <w:rsid w:val="008A2730"/>
    <w:rsid w:val="008A52ED"/>
    <w:rsid w:val="008B31C4"/>
    <w:rsid w:val="008B63CE"/>
    <w:rsid w:val="008D6108"/>
    <w:rsid w:val="008E011E"/>
    <w:rsid w:val="008F57FD"/>
    <w:rsid w:val="0090095A"/>
    <w:rsid w:val="00903B6B"/>
    <w:rsid w:val="00912AA3"/>
    <w:rsid w:val="00927B5E"/>
    <w:rsid w:val="00936203"/>
    <w:rsid w:val="00951701"/>
    <w:rsid w:val="0095587B"/>
    <w:rsid w:val="00971A42"/>
    <w:rsid w:val="00974C71"/>
    <w:rsid w:val="00975509"/>
    <w:rsid w:val="00996A89"/>
    <w:rsid w:val="009A6756"/>
    <w:rsid w:val="009E0F70"/>
    <w:rsid w:val="009E4FC1"/>
    <w:rsid w:val="00A07021"/>
    <w:rsid w:val="00A10276"/>
    <w:rsid w:val="00A26AA9"/>
    <w:rsid w:val="00A341A3"/>
    <w:rsid w:val="00A3518A"/>
    <w:rsid w:val="00A41D77"/>
    <w:rsid w:val="00A47FC8"/>
    <w:rsid w:val="00A527EA"/>
    <w:rsid w:val="00A60A01"/>
    <w:rsid w:val="00A95FBE"/>
    <w:rsid w:val="00AA17CA"/>
    <w:rsid w:val="00B00B94"/>
    <w:rsid w:val="00B10F98"/>
    <w:rsid w:val="00B11B11"/>
    <w:rsid w:val="00B137A7"/>
    <w:rsid w:val="00B31D4C"/>
    <w:rsid w:val="00B846E0"/>
    <w:rsid w:val="00B86B89"/>
    <w:rsid w:val="00BC1B29"/>
    <w:rsid w:val="00BE473F"/>
    <w:rsid w:val="00BE7421"/>
    <w:rsid w:val="00BF051A"/>
    <w:rsid w:val="00C21BEE"/>
    <w:rsid w:val="00C43B29"/>
    <w:rsid w:val="00C44815"/>
    <w:rsid w:val="00C835FE"/>
    <w:rsid w:val="00C87761"/>
    <w:rsid w:val="00C90796"/>
    <w:rsid w:val="00CA76F7"/>
    <w:rsid w:val="00CC1D1E"/>
    <w:rsid w:val="00CE0CA3"/>
    <w:rsid w:val="00CE7D0F"/>
    <w:rsid w:val="00D124A6"/>
    <w:rsid w:val="00D36C53"/>
    <w:rsid w:val="00D67FD6"/>
    <w:rsid w:val="00D97012"/>
    <w:rsid w:val="00DB0174"/>
    <w:rsid w:val="00DC6612"/>
    <w:rsid w:val="00DE1F4B"/>
    <w:rsid w:val="00DE3758"/>
    <w:rsid w:val="00DF13A4"/>
    <w:rsid w:val="00E11F52"/>
    <w:rsid w:val="00E27AE6"/>
    <w:rsid w:val="00EA67AC"/>
    <w:rsid w:val="00EA7AED"/>
    <w:rsid w:val="00EB43F3"/>
    <w:rsid w:val="00EB5433"/>
    <w:rsid w:val="00EC2612"/>
    <w:rsid w:val="00EF4D2A"/>
    <w:rsid w:val="00F011CF"/>
    <w:rsid w:val="00F162EC"/>
    <w:rsid w:val="00F27A55"/>
    <w:rsid w:val="00F35FD5"/>
    <w:rsid w:val="00F417C7"/>
    <w:rsid w:val="00F63CE6"/>
    <w:rsid w:val="00F73A1C"/>
    <w:rsid w:val="00FA34B2"/>
    <w:rsid w:val="00FB6238"/>
    <w:rsid w:val="00FD2A99"/>
    <w:rsid w:val="00FD36EE"/>
    <w:rsid w:val="00FE08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A58B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FC8"/>
    <w:pPr>
      <w:spacing w:line="360" w:lineRule="auto"/>
      <w:jc w:val="both"/>
    </w:pPr>
    <w:rPr>
      <w:rFonts w:ascii="Times New Roman" w:hAnsi="Times New Roman"/>
      <w:sz w:val="24"/>
      <w:szCs w:val="24"/>
      <w14:ligatures w14:val="none"/>
    </w:rPr>
  </w:style>
  <w:style w:type="paragraph" w:styleId="Heading1">
    <w:name w:val="heading 1"/>
    <w:basedOn w:val="Normal"/>
    <w:next w:val="Normal"/>
    <w:link w:val="Heading1Char"/>
    <w:autoRedefine/>
    <w:uiPriority w:val="9"/>
    <w:qFormat/>
    <w:rsid w:val="00C835FE"/>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A341A3"/>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1D6733"/>
    <w:pPr>
      <w:keepNext/>
      <w:keepLines/>
      <w:spacing w:before="40" w:after="0"/>
      <w:outlineLvl w:val="2"/>
    </w:pPr>
    <w:rPr>
      <w:rFonts w:eastAsiaTheme="majorEastAsia" w:cstheme="majorBidi"/>
      <w:b/>
      <w:i/>
      <w:color w:val="0A2F40" w:themeColor="accent1" w:themeShade="7F"/>
    </w:rPr>
  </w:style>
  <w:style w:type="paragraph" w:styleId="Heading4">
    <w:name w:val="heading 4"/>
    <w:basedOn w:val="Normal"/>
    <w:next w:val="Normal"/>
    <w:link w:val="Heading4Char"/>
    <w:uiPriority w:val="9"/>
    <w:semiHidden/>
    <w:unhideWhenUsed/>
    <w:qFormat/>
    <w:rsid w:val="0095587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5587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5587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5587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5587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5587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341A3"/>
    <w:rPr>
      <w:rFonts w:ascii="Times New Roman" w:eastAsiaTheme="majorEastAsia" w:hAnsi="Times New Roman" w:cstheme="majorBidi"/>
      <w:b/>
      <w:sz w:val="28"/>
      <w:szCs w:val="26"/>
      <w14:ligatures w14:val="none"/>
    </w:rPr>
  </w:style>
  <w:style w:type="character" w:customStyle="1" w:styleId="Heading1Char">
    <w:name w:val="Heading 1 Char"/>
    <w:basedOn w:val="DefaultParagraphFont"/>
    <w:link w:val="Heading1"/>
    <w:uiPriority w:val="9"/>
    <w:rsid w:val="00C835FE"/>
    <w:rPr>
      <w:rFonts w:ascii="Times New Roman" w:eastAsiaTheme="majorEastAsia" w:hAnsi="Times New Roman" w:cstheme="majorBidi"/>
      <w:b/>
      <w:sz w:val="32"/>
      <w:szCs w:val="32"/>
    </w:rPr>
  </w:style>
  <w:style w:type="character" w:customStyle="1" w:styleId="Heading3Char">
    <w:name w:val="Heading 3 Char"/>
    <w:basedOn w:val="DefaultParagraphFont"/>
    <w:link w:val="Heading3"/>
    <w:uiPriority w:val="9"/>
    <w:rsid w:val="001D6733"/>
    <w:rPr>
      <w:rFonts w:ascii="Times New Roman" w:eastAsiaTheme="majorEastAsia" w:hAnsi="Times New Roman" w:cstheme="majorBidi"/>
      <w:b/>
      <w:i/>
      <w:color w:val="0A2F40" w:themeColor="accent1" w:themeShade="7F"/>
      <w:sz w:val="24"/>
      <w:szCs w:val="24"/>
    </w:rPr>
  </w:style>
  <w:style w:type="character" w:customStyle="1" w:styleId="Heading4Char">
    <w:name w:val="Heading 4 Char"/>
    <w:basedOn w:val="DefaultParagraphFont"/>
    <w:link w:val="Heading4"/>
    <w:uiPriority w:val="9"/>
    <w:semiHidden/>
    <w:rsid w:val="0095587B"/>
    <w:rPr>
      <w:rFonts w:eastAsiaTheme="majorEastAsia" w:cstheme="majorBidi"/>
      <w:i/>
      <w:iCs/>
      <w:color w:val="0F4761" w:themeColor="accent1" w:themeShade="BF"/>
      <w:sz w:val="24"/>
      <w:szCs w:val="24"/>
      <w14:ligatures w14:val="none"/>
    </w:rPr>
  </w:style>
  <w:style w:type="character" w:customStyle="1" w:styleId="Heading5Char">
    <w:name w:val="Heading 5 Char"/>
    <w:basedOn w:val="DefaultParagraphFont"/>
    <w:link w:val="Heading5"/>
    <w:uiPriority w:val="9"/>
    <w:semiHidden/>
    <w:rsid w:val="0095587B"/>
    <w:rPr>
      <w:rFonts w:eastAsiaTheme="majorEastAsia" w:cstheme="majorBidi"/>
      <w:color w:val="0F4761" w:themeColor="accent1" w:themeShade="BF"/>
      <w:sz w:val="24"/>
      <w:szCs w:val="24"/>
      <w14:ligatures w14:val="none"/>
    </w:rPr>
  </w:style>
  <w:style w:type="character" w:customStyle="1" w:styleId="Heading6Char">
    <w:name w:val="Heading 6 Char"/>
    <w:basedOn w:val="DefaultParagraphFont"/>
    <w:link w:val="Heading6"/>
    <w:uiPriority w:val="9"/>
    <w:semiHidden/>
    <w:rsid w:val="0095587B"/>
    <w:rPr>
      <w:rFonts w:eastAsiaTheme="majorEastAsia" w:cstheme="majorBidi"/>
      <w:i/>
      <w:iCs/>
      <w:color w:val="595959" w:themeColor="text1" w:themeTint="A6"/>
      <w:sz w:val="24"/>
      <w:szCs w:val="24"/>
      <w14:ligatures w14:val="none"/>
    </w:rPr>
  </w:style>
  <w:style w:type="character" w:customStyle="1" w:styleId="Heading7Char">
    <w:name w:val="Heading 7 Char"/>
    <w:basedOn w:val="DefaultParagraphFont"/>
    <w:link w:val="Heading7"/>
    <w:uiPriority w:val="9"/>
    <w:semiHidden/>
    <w:rsid w:val="0095587B"/>
    <w:rPr>
      <w:rFonts w:eastAsiaTheme="majorEastAsia" w:cstheme="majorBidi"/>
      <w:color w:val="595959" w:themeColor="text1" w:themeTint="A6"/>
      <w:sz w:val="24"/>
      <w:szCs w:val="24"/>
      <w14:ligatures w14:val="none"/>
    </w:rPr>
  </w:style>
  <w:style w:type="character" w:customStyle="1" w:styleId="Heading8Char">
    <w:name w:val="Heading 8 Char"/>
    <w:basedOn w:val="DefaultParagraphFont"/>
    <w:link w:val="Heading8"/>
    <w:uiPriority w:val="9"/>
    <w:semiHidden/>
    <w:rsid w:val="0095587B"/>
    <w:rPr>
      <w:rFonts w:eastAsiaTheme="majorEastAsia" w:cstheme="majorBidi"/>
      <w:i/>
      <w:iCs/>
      <w:color w:val="272727" w:themeColor="text1" w:themeTint="D8"/>
      <w:sz w:val="24"/>
      <w:szCs w:val="24"/>
      <w14:ligatures w14:val="none"/>
    </w:rPr>
  </w:style>
  <w:style w:type="character" w:customStyle="1" w:styleId="Heading9Char">
    <w:name w:val="Heading 9 Char"/>
    <w:basedOn w:val="DefaultParagraphFont"/>
    <w:link w:val="Heading9"/>
    <w:uiPriority w:val="9"/>
    <w:semiHidden/>
    <w:rsid w:val="0095587B"/>
    <w:rPr>
      <w:rFonts w:eastAsiaTheme="majorEastAsia" w:cstheme="majorBidi"/>
      <w:color w:val="272727" w:themeColor="text1" w:themeTint="D8"/>
      <w:sz w:val="24"/>
      <w:szCs w:val="24"/>
      <w14:ligatures w14:val="none"/>
    </w:rPr>
  </w:style>
  <w:style w:type="paragraph" w:styleId="Title">
    <w:name w:val="Title"/>
    <w:basedOn w:val="Normal"/>
    <w:next w:val="Normal"/>
    <w:link w:val="TitleChar"/>
    <w:uiPriority w:val="10"/>
    <w:qFormat/>
    <w:rsid w:val="009558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587B"/>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95587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587B"/>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95587B"/>
    <w:pPr>
      <w:spacing w:before="160"/>
      <w:jc w:val="center"/>
    </w:pPr>
    <w:rPr>
      <w:i/>
      <w:iCs/>
      <w:color w:val="404040" w:themeColor="text1" w:themeTint="BF"/>
    </w:rPr>
  </w:style>
  <w:style w:type="character" w:customStyle="1" w:styleId="QuoteChar">
    <w:name w:val="Quote Char"/>
    <w:basedOn w:val="DefaultParagraphFont"/>
    <w:link w:val="Quote"/>
    <w:uiPriority w:val="29"/>
    <w:rsid w:val="0095587B"/>
    <w:rPr>
      <w:rFonts w:ascii="Times New Roman" w:hAnsi="Times New Roman"/>
      <w:i/>
      <w:iCs/>
      <w:color w:val="404040" w:themeColor="text1" w:themeTint="BF"/>
      <w:sz w:val="24"/>
      <w:szCs w:val="24"/>
      <w14:ligatures w14:val="none"/>
    </w:rPr>
  </w:style>
  <w:style w:type="paragraph" w:styleId="ListParagraph">
    <w:name w:val="List Paragraph"/>
    <w:basedOn w:val="Normal"/>
    <w:uiPriority w:val="34"/>
    <w:qFormat/>
    <w:rsid w:val="0095587B"/>
    <w:pPr>
      <w:ind w:left="720"/>
      <w:contextualSpacing/>
    </w:pPr>
  </w:style>
  <w:style w:type="character" w:styleId="IntenseEmphasis">
    <w:name w:val="Intense Emphasis"/>
    <w:basedOn w:val="DefaultParagraphFont"/>
    <w:uiPriority w:val="21"/>
    <w:qFormat/>
    <w:rsid w:val="0095587B"/>
    <w:rPr>
      <w:i/>
      <w:iCs/>
      <w:color w:val="0F4761" w:themeColor="accent1" w:themeShade="BF"/>
    </w:rPr>
  </w:style>
  <w:style w:type="paragraph" w:styleId="IntenseQuote">
    <w:name w:val="Intense Quote"/>
    <w:basedOn w:val="Normal"/>
    <w:next w:val="Normal"/>
    <w:link w:val="IntenseQuoteChar"/>
    <w:uiPriority w:val="30"/>
    <w:qFormat/>
    <w:rsid w:val="009558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587B"/>
    <w:rPr>
      <w:rFonts w:ascii="Times New Roman" w:hAnsi="Times New Roman"/>
      <w:i/>
      <w:iCs/>
      <w:color w:val="0F4761" w:themeColor="accent1" w:themeShade="BF"/>
      <w:sz w:val="24"/>
      <w:szCs w:val="24"/>
      <w14:ligatures w14:val="none"/>
    </w:rPr>
  </w:style>
  <w:style w:type="character" w:styleId="IntenseReference">
    <w:name w:val="Intense Reference"/>
    <w:basedOn w:val="DefaultParagraphFont"/>
    <w:uiPriority w:val="32"/>
    <w:qFormat/>
    <w:rsid w:val="0095587B"/>
    <w:rPr>
      <w:b/>
      <w:bCs/>
      <w:smallCaps/>
      <w:color w:val="0F4761" w:themeColor="accent1" w:themeShade="BF"/>
      <w:spacing w:val="5"/>
    </w:rPr>
  </w:style>
  <w:style w:type="character" w:styleId="Emphasis">
    <w:name w:val="Emphasis"/>
    <w:basedOn w:val="DefaultParagraphFont"/>
    <w:uiPriority w:val="20"/>
    <w:qFormat/>
    <w:rsid w:val="009E4FC1"/>
    <w:rPr>
      <w:i/>
      <w:iCs/>
    </w:rPr>
  </w:style>
  <w:style w:type="character" w:styleId="Strong">
    <w:name w:val="Strong"/>
    <w:basedOn w:val="DefaultParagraphFont"/>
    <w:uiPriority w:val="22"/>
    <w:qFormat/>
    <w:rsid w:val="00A10276"/>
    <w:rPr>
      <w:b/>
      <w:bCs/>
    </w:rPr>
  </w:style>
  <w:style w:type="paragraph" w:styleId="NormalWeb">
    <w:name w:val="Normal (Web)"/>
    <w:basedOn w:val="Normal"/>
    <w:uiPriority w:val="99"/>
    <w:semiHidden/>
    <w:unhideWhenUsed/>
    <w:rsid w:val="00A10276"/>
    <w:pPr>
      <w:spacing w:before="100" w:beforeAutospacing="1" w:after="100" w:afterAutospacing="1" w:line="240" w:lineRule="auto"/>
      <w:jc w:val="left"/>
    </w:pPr>
    <w:rPr>
      <w:rFonts w:eastAsia="Times New Roman" w:cs="Times New Roman"/>
      <w:lang w:eastAsia="en-GB"/>
    </w:rPr>
  </w:style>
  <w:style w:type="table" w:styleId="TableGrid">
    <w:name w:val="Table Grid"/>
    <w:basedOn w:val="TableNormal"/>
    <w:uiPriority w:val="39"/>
    <w:rsid w:val="001203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1203C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194B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4B67"/>
    <w:rPr>
      <w:rFonts w:ascii="Times New Roman" w:hAnsi="Times New Roman"/>
      <w:sz w:val="24"/>
      <w:szCs w:val="24"/>
      <w14:ligatures w14:val="none"/>
    </w:rPr>
  </w:style>
  <w:style w:type="paragraph" w:styleId="Footer">
    <w:name w:val="footer"/>
    <w:basedOn w:val="Normal"/>
    <w:link w:val="FooterChar"/>
    <w:uiPriority w:val="99"/>
    <w:unhideWhenUsed/>
    <w:rsid w:val="00194B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4B67"/>
    <w:rPr>
      <w:rFonts w:ascii="Times New Roman" w:hAnsi="Times New Roman"/>
      <w:sz w:val="24"/>
      <w:szCs w:val="24"/>
      <w14:ligatures w14:val="none"/>
    </w:rPr>
  </w:style>
  <w:style w:type="paragraph" w:styleId="TOCHeading">
    <w:name w:val="TOC Heading"/>
    <w:basedOn w:val="Heading1"/>
    <w:next w:val="Normal"/>
    <w:uiPriority w:val="39"/>
    <w:unhideWhenUsed/>
    <w:qFormat/>
    <w:rsid w:val="00194B67"/>
    <w:pPr>
      <w:spacing w:line="259" w:lineRule="auto"/>
      <w:jc w:val="left"/>
      <w:outlineLvl w:val="9"/>
    </w:pPr>
    <w:rPr>
      <w:rFonts w:asciiTheme="majorHAnsi" w:hAnsiTheme="majorHAnsi"/>
      <w:b w:val="0"/>
      <w:color w:val="0F4761" w:themeColor="accent1" w:themeShade="BF"/>
      <w:lang w:eastAsia="en-GB"/>
    </w:rPr>
  </w:style>
  <w:style w:type="paragraph" w:styleId="TOC1">
    <w:name w:val="toc 1"/>
    <w:basedOn w:val="Normal"/>
    <w:next w:val="Normal"/>
    <w:autoRedefine/>
    <w:uiPriority w:val="39"/>
    <w:unhideWhenUsed/>
    <w:rsid w:val="00194B67"/>
    <w:pPr>
      <w:spacing w:after="100"/>
    </w:pPr>
  </w:style>
  <w:style w:type="paragraph" w:styleId="TOC2">
    <w:name w:val="toc 2"/>
    <w:basedOn w:val="Normal"/>
    <w:next w:val="Normal"/>
    <w:autoRedefine/>
    <w:uiPriority w:val="39"/>
    <w:unhideWhenUsed/>
    <w:rsid w:val="00194B67"/>
    <w:pPr>
      <w:spacing w:after="100"/>
      <w:ind w:left="240"/>
    </w:pPr>
  </w:style>
  <w:style w:type="character" w:styleId="Hyperlink">
    <w:name w:val="Hyperlink"/>
    <w:basedOn w:val="DefaultParagraphFont"/>
    <w:uiPriority w:val="99"/>
    <w:unhideWhenUsed/>
    <w:rsid w:val="00194B67"/>
    <w:rPr>
      <w:color w:val="467886" w:themeColor="hyperlink"/>
      <w:u w:val="single"/>
    </w:rPr>
  </w:style>
  <w:style w:type="table" w:styleId="GridTable6Colourful">
    <w:name w:val="Grid Table 6 Colorful"/>
    <w:basedOn w:val="TableNormal"/>
    <w:uiPriority w:val="51"/>
    <w:rsid w:val="00C43B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C43B2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486452">
      <w:bodyDiv w:val="1"/>
      <w:marLeft w:val="0"/>
      <w:marRight w:val="0"/>
      <w:marTop w:val="0"/>
      <w:marBottom w:val="0"/>
      <w:divBdr>
        <w:top w:val="none" w:sz="0" w:space="0" w:color="auto"/>
        <w:left w:val="none" w:sz="0" w:space="0" w:color="auto"/>
        <w:bottom w:val="none" w:sz="0" w:space="0" w:color="auto"/>
        <w:right w:val="none" w:sz="0" w:space="0" w:color="auto"/>
      </w:divBdr>
      <w:divsChild>
        <w:div w:id="721750767">
          <w:marLeft w:val="0"/>
          <w:marRight w:val="0"/>
          <w:marTop w:val="0"/>
          <w:marBottom w:val="0"/>
          <w:divBdr>
            <w:top w:val="none" w:sz="0" w:space="0" w:color="auto"/>
            <w:left w:val="none" w:sz="0" w:space="0" w:color="auto"/>
            <w:bottom w:val="none" w:sz="0" w:space="0" w:color="auto"/>
            <w:right w:val="none" w:sz="0" w:space="0" w:color="auto"/>
          </w:divBdr>
        </w:div>
      </w:divsChild>
    </w:div>
    <w:div w:id="79298950">
      <w:bodyDiv w:val="1"/>
      <w:marLeft w:val="0"/>
      <w:marRight w:val="0"/>
      <w:marTop w:val="0"/>
      <w:marBottom w:val="0"/>
      <w:divBdr>
        <w:top w:val="none" w:sz="0" w:space="0" w:color="auto"/>
        <w:left w:val="none" w:sz="0" w:space="0" w:color="auto"/>
        <w:bottom w:val="none" w:sz="0" w:space="0" w:color="auto"/>
        <w:right w:val="none" w:sz="0" w:space="0" w:color="auto"/>
      </w:divBdr>
      <w:divsChild>
        <w:div w:id="103889587">
          <w:marLeft w:val="0"/>
          <w:marRight w:val="0"/>
          <w:marTop w:val="0"/>
          <w:marBottom w:val="0"/>
          <w:divBdr>
            <w:top w:val="none" w:sz="0" w:space="0" w:color="auto"/>
            <w:left w:val="none" w:sz="0" w:space="0" w:color="auto"/>
            <w:bottom w:val="none" w:sz="0" w:space="0" w:color="auto"/>
            <w:right w:val="none" w:sz="0" w:space="0" w:color="auto"/>
          </w:divBdr>
        </w:div>
      </w:divsChild>
    </w:div>
    <w:div w:id="320738582">
      <w:bodyDiv w:val="1"/>
      <w:marLeft w:val="0"/>
      <w:marRight w:val="0"/>
      <w:marTop w:val="0"/>
      <w:marBottom w:val="0"/>
      <w:divBdr>
        <w:top w:val="none" w:sz="0" w:space="0" w:color="auto"/>
        <w:left w:val="none" w:sz="0" w:space="0" w:color="auto"/>
        <w:bottom w:val="none" w:sz="0" w:space="0" w:color="auto"/>
        <w:right w:val="none" w:sz="0" w:space="0" w:color="auto"/>
      </w:divBdr>
    </w:div>
    <w:div w:id="398408193">
      <w:bodyDiv w:val="1"/>
      <w:marLeft w:val="0"/>
      <w:marRight w:val="0"/>
      <w:marTop w:val="0"/>
      <w:marBottom w:val="0"/>
      <w:divBdr>
        <w:top w:val="none" w:sz="0" w:space="0" w:color="auto"/>
        <w:left w:val="none" w:sz="0" w:space="0" w:color="auto"/>
        <w:bottom w:val="none" w:sz="0" w:space="0" w:color="auto"/>
        <w:right w:val="none" w:sz="0" w:space="0" w:color="auto"/>
      </w:divBdr>
      <w:divsChild>
        <w:div w:id="828860938">
          <w:marLeft w:val="0"/>
          <w:marRight w:val="0"/>
          <w:marTop w:val="0"/>
          <w:marBottom w:val="0"/>
          <w:divBdr>
            <w:top w:val="none" w:sz="0" w:space="0" w:color="auto"/>
            <w:left w:val="none" w:sz="0" w:space="0" w:color="auto"/>
            <w:bottom w:val="none" w:sz="0" w:space="0" w:color="auto"/>
            <w:right w:val="none" w:sz="0" w:space="0" w:color="auto"/>
          </w:divBdr>
        </w:div>
      </w:divsChild>
    </w:div>
    <w:div w:id="565140771">
      <w:bodyDiv w:val="1"/>
      <w:marLeft w:val="0"/>
      <w:marRight w:val="0"/>
      <w:marTop w:val="0"/>
      <w:marBottom w:val="0"/>
      <w:divBdr>
        <w:top w:val="none" w:sz="0" w:space="0" w:color="auto"/>
        <w:left w:val="none" w:sz="0" w:space="0" w:color="auto"/>
        <w:bottom w:val="none" w:sz="0" w:space="0" w:color="auto"/>
        <w:right w:val="none" w:sz="0" w:space="0" w:color="auto"/>
      </w:divBdr>
    </w:div>
    <w:div w:id="602373209">
      <w:bodyDiv w:val="1"/>
      <w:marLeft w:val="0"/>
      <w:marRight w:val="0"/>
      <w:marTop w:val="0"/>
      <w:marBottom w:val="0"/>
      <w:divBdr>
        <w:top w:val="none" w:sz="0" w:space="0" w:color="auto"/>
        <w:left w:val="none" w:sz="0" w:space="0" w:color="auto"/>
        <w:bottom w:val="none" w:sz="0" w:space="0" w:color="auto"/>
        <w:right w:val="none" w:sz="0" w:space="0" w:color="auto"/>
      </w:divBdr>
      <w:divsChild>
        <w:div w:id="1807428305">
          <w:marLeft w:val="0"/>
          <w:marRight w:val="0"/>
          <w:marTop w:val="0"/>
          <w:marBottom w:val="0"/>
          <w:divBdr>
            <w:top w:val="none" w:sz="0" w:space="0" w:color="auto"/>
            <w:left w:val="none" w:sz="0" w:space="0" w:color="auto"/>
            <w:bottom w:val="none" w:sz="0" w:space="0" w:color="auto"/>
            <w:right w:val="none" w:sz="0" w:space="0" w:color="auto"/>
          </w:divBdr>
        </w:div>
      </w:divsChild>
    </w:div>
    <w:div w:id="639195254">
      <w:bodyDiv w:val="1"/>
      <w:marLeft w:val="0"/>
      <w:marRight w:val="0"/>
      <w:marTop w:val="0"/>
      <w:marBottom w:val="0"/>
      <w:divBdr>
        <w:top w:val="none" w:sz="0" w:space="0" w:color="auto"/>
        <w:left w:val="none" w:sz="0" w:space="0" w:color="auto"/>
        <w:bottom w:val="none" w:sz="0" w:space="0" w:color="auto"/>
        <w:right w:val="none" w:sz="0" w:space="0" w:color="auto"/>
      </w:divBdr>
      <w:divsChild>
        <w:div w:id="725957790">
          <w:marLeft w:val="0"/>
          <w:marRight w:val="0"/>
          <w:marTop w:val="0"/>
          <w:marBottom w:val="0"/>
          <w:divBdr>
            <w:top w:val="none" w:sz="0" w:space="0" w:color="auto"/>
            <w:left w:val="none" w:sz="0" w:space="0" w:color="auto"/>
            <w:bottom w:val="none" w:sz="0" w:space="0" w:color="auto"/>
            <w:right w:val="none" w:sz="0" w:space="0" w:color="auto"/>
          </w:divBdr>
        </w:div>
      </w:divsChild>
    </w:div>
    <w:div w:id="639653612">
      <w:bodyDiv w:val="1"/>
      <w:marLeft w:val="0"/>
      <w:marRight w:val="0"/>
      <w:marTop w:val="0"/>
      <w:marBottom w:val="0"/>
      <w:divBdr>
        <w:top w:val="none" w:sz="0" w:space="0" w:color="auto"/>
        <w:left w:val="none" w:sz="0" w:space="0" w:color="auto"/>
        <w:bottom w:val="none" w:sz="0" w:space="0" w:color="auto"/>
        <w:right w:val="none" w:sz="0" w:space="0" w:color="auto"/>
      </w:divBdr>
      <w:divsChild>
        <w:div w:id="1657999352">
          <w:marLeft w:val="0"/>
          <w:marRight w:val="0"/>
          <w:marTop w:val="0"/>
          <w:marBottom w:val="0"/>
          <w:divBdr>
            <w:top w:val="none" w:sz="0" w:space="0" w:color="auto"/>
            <w:left w:val="none" w:sz="0" w:space="0" w:color="auto"/>
            <w:bottom w:val="none" w:sz="0" w:space="0" w:color="auto"/>
            <w:right w:val="none" w:sz="0" w:space="0" w:color="auto"/>
          </w:divBdr>
        </w:div>
      </w:divsChild>
    </w:div>
    <w:div w:id="647128729">
      <w:bodyDiv w:val="1"/>
      <w:marLeft w:val="0"/>
      <w:marRight w:val="0"/>
      <w:marTop w:val="0"/>
      <w:marBottom w:val="0"/>
      <w:divBdr>
        <w:top w:val="none" w:sz="0" w:space="0" w:color="auto"/>
        <w:left w:val="none" w:sz="0" w:space="0" w:color="auto"/>
        <w:bottom w:val="none" w:sz="0" w:space="0" w:color="auto"/>
        <w:right w:val="none" w:sz="0" w:space="0" w:color="auto"/>
      </w:divBdr>
      <w:divsChild>
        <w:div w:id="1337346064">
          <w:marLeft w:val="0"/>
          <w:marRight w:val="0"/>
          <w:marTop w:val="0"/>
          <w:marBottom w:val="0"/>
          <w:divBdr>
            <w:top w:val="none" w:sz="0" w:space="0" w:color="auto"/>
            <w:left w:val="none" w:sz="0" w:space="0" w:color="auto"/>
            <w:bottom w:val="none" w:sz="0" w:space="0" w:color="auto"/>
            <w:right w:val="none" w:sz="0" w:space="0" w:color="auto"/>
          </w:divBdr>
        </w:div>
      </w:divsChild>
    </w:div>
    <w:div w:id="656617621">
      <w:bodyDiv w:val="1"/>
      <w:marLeft w:val="0"/>
      <w:marRight w:val="0"/>
      <w:marTop w:val="0"/>
      <w:marBottom w:val="0"/>
      <w:divBdr>
        <w:top w:val="none" w:sz="0" w:space="0" w:color="auto"/>
        <w:left w:val="none" w:sz="0" w:space="0" w:color="auto"/>
        <w:bottom w:val="none" w:sz="0" w:space="0" w:color="auto"/>
        <w:right w:val="none" w:sz="0" w:space="0" w:color="auto"/>
      </w:divBdr>
      <w:divsChild>
        <w:div w:id="145316548">
          <w:marLeft w:val="0"/>
          <w:marRight w:val="0"/>
          <w:marTop w:val="0"/>
          <w:marBottom w:val="0"/>
          <w:divBdr>
            <w:top w:val="none" w:sz="0" w:space="0" w:color="auto"/>
            <w:left w:val="none" w:sz="0" w:space="0" w:color="auto"/>
            <w:bottom w:val="none" w:sz="0" w:space="0" w:color="auto"/>
            <w:right w:val="none" w:sz="0" w:space="0" w:color="auto"/>
          </w:divBdr>
        </w:div>
      </w:divsChild>
    </w:div>
    <w:div w:id="831220624">
      <w:bodyDiv w:val="1"/>
      <w:marLeft w:val="0"/>
      <w:marRight w:val="0"/>
      <w:marTop w:val="0"/>
      <w:marBottom w:val="0"/>
      <w:divBdr>
        <w:top w:val="none" w:sz="0" w:space="0" w:color="auto"/>
        <w:left w:val="none" w:sz="0" w:space="0" w:color="auto"/>
        <w:bottom w:val="none" w:sz="0" w:space="0" w:color="auto"/>
        <w:right w:val="none" w:sz="0" w:space="0" w:color="auto"/>
      </w:divBdr>
      <w:divsChild>
        <w:div w:id="1689678464">
          <w:marLeft w:val="0"/>
          <w:marRight w:val="0"/>
          <w:marTop w:val="0"/>
          <w:marBottom w:val="0"/>
          <w:divBdr>
            <w:top w:val="none" w:sz="0" w:space="0" w:color="auto"/>
            <w:left w:val="none" w:sz="0" w:space="0" w:color="auto"/>
            <w:bottom w:val="none" w:sz="0" w:space="0" w:color="auto"/>
            <w:right w:val="none" w:sz="0" w:space="0" w:color="auto"/>
          </w:divBdr>
        </w:div>
      </w:divsChild>
    </w:div>
    <w:div w:id="840043568">
      <w:bodyDiv w:val="1"/>
      <w:marLeft w:val="0"/>
      <w:marRight w:val="0"/>
      <w:marTop w:val="0"/>
      <w:marBottom w:val="0"/>
      <w:divBdr>
        <w:top w:val="none" w:sz="0" w:space="0" w:color="auto"/>
        <w:left w:val="none" w:sz="0" w:space="0" w:color="auto"/>
        <w:bottom w:val="none" w:sz="0" w:space="0" w:color="auto"/>
        <w:right w:val="none" w:sz="0" w:space="0" w:color="auto"/>
      </w:divBdr>
      <w:divsChild>
        <w:div w:id="1586642933">
          <w:marLeft w:val="0"/>
          <w:marRight w:val="0"/>
          <w:marTop w:val="0"/>
          <w:marBottom w:val="0"/>
          <w:divBdr>
            <w:top w:val="none" w:sz="0" w:space="0" w:color="auto"/>
            <w:left w:val="none" w:sz="0" w:space="0" w:color="auto"/>
            <w:bottom w:val="none" w:sz="0" w:space="0" w:color="auto"/>
            <w:right w:val="none" w:sz="0" w:space="0" w:color="auto"/>
          </w:divBdr>
        </w:div>
      </w:divsChild>
    </w:div>
    <w:div w:id="891237895">
      <w:bodyDiv w:val="1"/>
      <w:marLeft w:val="0"/>
      <w:marRight w:val="0"/>
      <w:marTop w:val="0"/>
      <w:marBottom w:val="0"/>
      <w:divBdr>
        <w:top w:val="none" w:sz="0" w:space="0" w:color="auto"/>
        <w:left w:val="none" w:sz="0" w:space="0" w:color="auto"/>
        <w:bottom w:val="none" w:sz="0" w:space="0" w:color="auto"/>
        <w:right w:val="none" w:sz="0" w:space="0" w:color="auto"/>
      </w:divBdr>
      <w:divsChild>
        <w:div w:id="1194927335">
          <w:marLeft w:val="0"/>
          <w:marRight w:val="0"/>
          <w:marTop w:val="0"/>
          <w:marBottom w:val="0"/>
          <w:divBdr>
            <w:top w:val="none" w:sz="0" w:space="0" w:color="auto"/>
            <w:left w:val="none" w:sz="0" w:space="0" w:color="auto"/>
            <w:bottom w:val="none" w:sz="0" w:space="0" w:color="auto"/>
            <w:right w:val="none" w:sz="0" w:space="0" w:color="auto"/>
          </w:divBdr>
        </w:div>
      </w:divsChild>
    </w:div>
    <w:div w:id="1029599139">
      <w:bodyDiv w:val="1"/>
      <w:marLeft w:val="0"/>
      <w:marRight w:val="0"/>
      <w:marTop w:val="0"/>
      <w:marBottom w:val="0"/>
      <w:divBdr>
        <w:top w:val="none" w:sz="0" w:space="0" w:color="auto"/>
        <w:left w:val="none" w:sz="0" w:space="0" w:color="auto"/>
        <w:bottom w:val="none" w:sz="0" w:space="0" w:color="auto"/>
        <w:right w:val="none" w:sz="0" w:space="0" w:color="auto"/>
      </w:divBdr>
      <w:divsChild>
        <w:div w:id="340205992">
          <w:marLeft w:val="0"/>
          <w:marRight w:val="0"/>
          <w:marTop w:val="0"/>
          <w:marBottom w:val="0"/>
          <w:divBdr>
            <w:top w:val="none" w:sz="0" w:space="0" w:color="auto"/>
            <w:left w:val="none" w:sz="0" w:space="0" w:color="auto"/>
            <w:bottom w:val="none" w:sz="0" w:space="0" w:color="auto"/>
            <w:right w:val="none" w:sz="0" w:space="0" w:color="auto"/>
          </w:divBdr>
        </w:div>
      </w:divsChild>
    </w:div>
    <w:div w:id="1144079973">
      <w:bodyDiv w:val="1"/>
      <w:marLeft w:val="0"/>
      <w:marRight w:val="0"/>
      <w:marTop w:val="0"/>
      <w:marBottom w:val="0"/>
      <w:divBdr>
        <w:top w:val="none" w:sz="0" w:space="0" w:color="auto"/>
        <w:left w:val="none" w:sz="0" w:space="0" w:color="auto"/>
        <w:bottom w:val="none" w:sz="0" w:space="0" w:color="auto"/>
        <w:right w:val="none" w:sz="0" w:space="0" w:color="auto"/>
      </w:divBdr>
      <w:divsChild>
        <w:div w:id="1119104532">
          <w:marLeft w:val="0"/>
          <w:marRight w:val="0"/>
          <w:marTop w:val="0"/>
          <w:marBottom w:val="0"/>
          <w:divBdr>
            <w:top w:val="none" w:sz="0" w:space="0" w:color="auto"/>
            <w:left w:val="none" w:sz="0" w:space="0" w:color="auto"/>
            <w:bottom w:val="none" w:sz="0" w:space="0" w:color="auto"/>
            <w:right w:val="none" w:sz="0" w:space="0" w:color="auto"/>
          </w:divBdr>
        </w:div>
      </w:divsChild>
    </w:div>
    <w:div w:id="1248538763">
      <w:bodyDiv w:val="1"/>
      <w:marLeft w:val="0"/>
      <w:marRight w:val="0"/>
      <w:marTop w:val="0"/>
      <w:marBottom w:val="0"/>
      <w:divBdr>
        <w:top w:val="none" w:sz="0" w:space="0" w:color="auto"/>
        <w:left w:val="none" w:sz="0" w:space="0" w:color="auto"/>
        <w:bottom w:val="none" w:sz="0" w:space="0" w:color="auto"/>
        <w:right w:val="none" w:sz="0" w:space="0" w:color="auto"/>
      </w:divBdr>
    </w:div>
    <w:div w:id="1381251023">
      <w:bodyDiv w:val="1"/>
      <w:marLeft w:val="0"/>
      <w:marRight w:val="0"/>
      <w:marTop w:val="0"/>
      <w:marBottom w:val="0"/>
      <w:divBdr>
        <w:top w:val="none" w:sz="0" w:space="0" w:color="auto"/>
        <w:left w:val="none" w:sz="0" w:space="0" w:color="auto"/>
        <w:bottom w:val="none" w:sz="0" w:space="0" w:color="auto"/>
        <w:right w:val="none" w:sz="0" w:space="0" w:color="auto"/>
      </w:divBdr>
      <w:divsChild>
        <w:div w:id="527645589">
          <w:marLeft w:val="0"/>
          <w:marRight w:val="0"/>
          <w:marTop w:val="0"/>
          <w:marBottom w:val="0"/>
          <w:divBdr>
            <w:top w:val="none" w:sz="0" w:space="0" w:color="auto"/>
            <w:left w:val="none" w:sz="0" w:space="0" w:color="auto"/>
            <w:bottom w:val="none" w:sz="0" w:space="0" w:color="auto"/>
            <w:right w:val="none" w:sz="0" w:space="0" w:color="auto"/>
          </w:divBdr>
        </w:div>
      </w:divsChild>
    </w:div>
    <w:div w:id="1393119578">
      <w:bodyDiv w:val="1"/>
      <w:marLeft w:val="0"/>
      <w:marRight w:val="0"/>
      <w:marTop w:val="0"/>
      <w:marBottom w:val="0"/>
      <w:divBdr>
        <w:top w:val="none" w:sz="0" w:space="0" w:color="auto"/>
        <w:left w:val="none" w:sz="0" w:space="0" w:color="auto"/>
        <w:bottom w:val="none" w:sz="0" w:space="0" w:color="auto"/>
        <w:right w:val="none" w:sz="0" w:space="0" w:color="auto"/>
      </w:divBdr>
      <w:divsChild>
        <w:div w:id="1722051627">
          <w:marLeft w:val="0"/>
          <w:marRight w:val="0"/>
          <w:marTop w:val="0"/>
          <w:marBottom w:val="0"/>
          <w:divBdr>
            <w:top w:val="none" w:sz="0" w:space="0" w:color="auto"/>
            <w:left w:val="none" w:sz="0" w:space="0" w:color="auto"/>
            <w:bottom w:val="none" w:sz="0" w:space="0" w:color="auto"/>
            <w:right w:val="none" w:sz="0" w:space="0" w:color="auto"/>
          </w:divBdr>
        </w:div>
      </w:divsChild>
    </w:div>
    <w:div w:id="1438133190">
      <w:bodyDiv w:val="1"/>
      <w:marLeft w:val="0"/>
      <w:marRight w:val="0"/>
      <w:marTop w:val="0"/>
      <w:marBottom w:val="0"/>
      <w:divBdr>
        <w:top w:val="none" w:sz="0" w:space="0" w:color="auto"/>
        <w:left w:val="none" w:sz="0" w:space="0" w:color="auto"/>
        <w:bottom w:val="none" w:sz="0" w:space="0" w:color="auto"/>
        <w:right w:val="none" w:sz="0" w:space="0" w:color="auto"/>
      </w:divBdr>
      <w:divsChild>
        <w:div w:id="1149127437">
          <w:marLeft w:val="0"/>
          <w:marRight w:val="0"/>
          <w:marTop w:val="0"/>
          <w:marBottom w:val="0"/>
          <w:divBdr>
            <w:top w:val="none" w:sz="0" w:space="0" w:color="auto"/>
            <w:left w:val="none" w:sz="0" w:space="0" w:color="auto"/>
            <w:bottom w:val="none" w:sz="0" w:space="0" w:color="auto"/>
            <w:right w:val="none" w:sz="0" w:space="0" w:color="auto"/>
          </w:divBdr>
        </w:div>
      </w:divsChild>
    </w:div>
    <w:div w:id="1585649459">
      <w:bodyDiv w:val="1"/>
      <w:marLeft w:val="0"/>
      <w:marRight w:val="0"/>
      <w:marTop w:val="0"/>
      <w:marBottom w:val="0"/>
      <w:divBdr>
        <w:top w:val="none" w:sz="0" w:space="0" w:color="auto"/>
        <w:left w:val="none" w:sz="0" w:space="0" w:color="auto"/>
        <w:bottom w:val="none" w:sz="0" w:space="0" w:color="auto"/>
        <w:right w:val="none" w:sz="0" w:space="0" w:color="auto"/>
      </w:divBdr>
      <w:divsChild>
        <w:div w:id="574046882">
          <w:marLeft w:val="0"/>
          <w:marRight w:val="0"/>
          <w:marTop w:val="0"/>
          <w:marBottom w:val="0"/>
          <w:divBdr>
            <w:top w:val="none" w:sz="0" w:space="0" w:color="auto"/>
            <w:left w:val="none" w:sz="0" w:space="0" w:color="auto"/>
            <w:bottom w:val="none" w:sz="0" w:space="0" w:color="auto"/>
            <w:right w:val="none" w:sz="0" w:space="0" w:color="auto"/>
          </w:divBdr>
        </w:div>
      </w:divsChild>
    </w:div>
    <w:div w:id="1596480394">
      <w:bodyDiv w:val="1"/>
      <w:marLeft w:val="0"/>
      <w:marRight w:val="0"/>
      <w:marTop w:val="0"/>
      <w:marBottom w:val="0"/>
      <w:divBdr>
        <w:top w:val="none" w:sz="0" w:space="0" w:color="auto"/>
        <w:left w:val="none" w:sz="0" w:space="0" w:color="auto"/>
        <w:bottom w:val="none" w:sz="0" w:space="0" w:color="auto"/>
        <w:right w:val="none" w:sz="0" w:space="0" w:color="auto"/>
      </w:divBdr>
      <w:divsChild>
        <w:div w:id="397946645">
          <w:marLeft w:val="0"/>
          <w:marRight w:val="0"/>
          <w:marTop w:val="0"/>
          <w:marBottom w:val="0"/>
          <w:divBdr>
            <w:top w:val="none" w:sz="0" w:space="0" w:color="auto"/>
            <w:left w:val="none" w:sz="0" w:space="0" w:color="auto"/>
            <w:bottom w:val="none" w:sz="0" w:space="0" w:color="auto"/>
            <w:right w:val="none" w:sz="0" w:space="0" w:color="auto"/>
          </w:divBdr>
        </w:div>
      </w:divsChild>
    </w:div>
    <w:div w:id="1669555251">
      <w:bodyDiv w:val="1"/>
      <w:marLeft w:val="0"/>
      <w:marRight w:val="0"/>
      <w:marTop w:val="0"/>
      <w:marBottom w:val="0"/>
      <w:divBdr>
        <w:top w:val="none" w:sz="0" w:space="0" w:color="auto"/>
        <w:left w:val="none" w:sz="0" w:space="0" w:color="auto"/>
        <w:bottom w:val="none" w:sz="0" w:space="0" w:color="auto"/>
        <w:right w:val="none" w:sz="0" w:space="0" w:color="auto"/>
      </w:divBdr>
      <w:divsChild>
        <w:div w:id="936715853">
          <w:marLeft w:val="0"/>
          <w:marRight w:val="0"/>
          <w:marTop w:val="0"/>
          <w:marBottom w:val="0"/>
          <w:divBdr>
            <w:top w:val="none" w:sz="0" w:space="0" w:color="auto"/>
            <w:left w:val="none" w:sz="0" w:space="0" w:color="auto"/>
            <w:bottom w:val="none" w:sz="0" w:space="0" w:color="auto"/>
            <w:right w:val="none" w:sz="0" w:space="0" w:color="auto"/>
          </w:divBdr>
        </w:div>
      </w:divsChild>
    </w:div>
    <w:div w:id="1694384538">
      <w:bodyDiv w:val="1"/>
      <w:marLeft w:val="0"/>
      <w:marRight w:val="0"/>
      <w:marTop w:val="0"/>
      <w:marBottom w:val="0"/>
      <w:divBdr>
        <w:top w:val="none" w:sz="0" w:space="0" w:color="auto"/>
        <w:left w:val="none" w:sz="0" w:space="0" w:color="auto"/>
        <w:bottom w:val="none" w:sz="0" w:space="0" w:color="auto"/>
        <w:right w:val="none" w:sz="0" w:space="0" w:color="auto"/>
      </w:divBdr>
      <w:divsChild>
        <w:div w:id="773592525">
          <w:marLeft w:val="0"/>
          <w:marRight w:val="0"/>
          <w:marTop w:val="0"/>
          <w:marBottom w:val="0"/>
          <w:divBdr>
            <w:top w:val="none" w:sz="0" w:space="0" w:color="auto"/>
            <w:left w:val="none" w:sz="0" w:space="0" w:color="auto"/>
            <w:bottom w:val="none" w:sz="0" w:space="0" w:color="auto"/>
            <w:right w:val="none" w:sz="0" w:space="0" w:color="auto"/>
          </w:divBdr>
        </w:div>
      </w:divsChild>
    </w:div>
    <w:div w:id="1770933139">
      <w:bodyDiv w:val="1"/>
      <w:marLeft w:val="0"/>
      <w:marRight w:val="0"/>
      <w:marTop w:val="0"/>
      <w:marBottom w:val="0"/>
      <w:divBdr>
        <w:top w:val="none" w:sz="0" w:space="0" w:color="auto"/>
        <w:left w:val="none" w:sz="0" w:space="0" w:color="auto"/>
        <w:bottom w:val="none" w:sz="0" w:space="0" w:color="auto"/>
        <w:right w:val="none" w:sz="0" w:space="0" w:color="auto"/>
      </w:divBdr>
      <w:divsChild>
        <w:div w:id="1994678114">
          <w:marLeft w:val="0"/>
          <w:marRight w:val="0"/>
          <w:marTop w:val="0"/>
          <w:marBottom w:val="0"/>
          <w:divBdr>
            <w:top w:val="none" w:sz="0" w:space="0" w:color="auto"/>
            <w:left w:val="none" w:sz="0" w:space="0" w:color="auto"/>
            <w:bottom w:val="none" w:sz="0" w:space="0" w:color="auto"/>
            <w:right w:val="none" w:sz="0" w:space="0" w:color="auto"/>
          </w:divBdr>
        </w:div>
      </w:divsChild>
    </w:div>
    <w:div w:id="1771000947">
      <w:bodyDiv w:val="1"/>
      <w:marLeft w:val="0"/>
      <w:marRight w:val="0"/>
      <w:marTop w:val="0"/>
      <w:marBottom w:val="0"/>
      <w:divBdr>
        <w:top w:val="none" w:sz="0" w:space="0" w:color="auto"/>
        <w:left w:val="none" w:sz="0" w:space="0" w:color="auto"/>
        <w:bottom w:val="none" w:sz="0" w:space="0" w:color="auto"/>
        <w:right w:val="none" w:sz="0" w:space="0" w:color="auto"/>
      </w:divBdr>
    </w:div>
    <w:div w:id="1786001860">
      <w:bodyDiv w:val="1"/>
      <w:marLeft w:val="0"/>
      <w:marRight w:val="0"/>
      <w:marTop w:val="0"/>
      <w:marBottom w:val="0"/>
      <w:divBdr>
        <w:top w:val="none" w:sz="0" w:space="0" w:color="auto"/>
        <w:left w:val="none" w:sz="0" w:space="0" w:color="auto"/>
        <w:bottom w:val="none" w:sz="0" w:space="0" w:color="auto"/>
        <w:right w:val="none" w:sz="0" w:space="0" w:color="auto"/>
      </w:divBdr>
    </w:div>
    <w:div w:id="2050104022">
      <w:bodyDiv w:val="1"/>
      <w:marLeft w:val="0"/>
      <w:marRight w:val="0"/>
      <w:marTop w:val="0"/>
      <w:marBottom w:val="0"/>
      <w:divBdr>
        <w:top w:val="none" w:sz="0" w:space="0" w:color="auto"/>
        <w:left w:val="none" w:sz="0" w:space="0" w:color="auto"/>
        <w:bottom w:val="none" w:sz="0" w:space="0" w:color="auto"/>
        <w:right w:val="none" w:sz="0" w:space="0" w:color="auto"/>
      </w:divBdr>
      <w:divsChild>
        <w:div w:id="567809852">
          <w:marLeft w:val="0"/>
          <w:marRight w:val="0"/>
          <w:marTop w:val="0"/>
          <w:marBottom w:val="0"/>
          <w:divBdr>
            <w:top w:val="none" w:sz="0" w:space="0" w:color="auto"/>
            <w:left w:val="none" w:sz="0" w:space="0" w:color="auto"/>
            <w:bottom w:val="none" w:sz="0" w:space="0" w:color="auto"/>
            <w:right w:val="none" w:sz="0" w:space="0" w:color="auto"/>
          </w:divBdr>
        </w:div>
      </w:divsChild>
    </w:div>
    <w:div w:id="2067333899">
      <w:bodyDiv w:val="1"/>
      <w:marLeft w:val="0"/>
      <w:marRight w:val="0"/>
      <w:marTop w:val="0"/>
      <w:marBottom w:val="0"/>
      <w:divBdr>
        <w:top w:val="none" w:sz="0" w:space="0" w:color="auto"/>
        <w:left w:val="none" w:sz="0" w:space="0" w:color="auto"/>
        <w:bottom w:val="none" w:sz="0" w:space="0" w:color="auto"/>
        <w:right w:val="none" w:sz="0" w:space="0" w:color="auto"/>
      </w:divBdr>
    </w:div>
    <w:div w:id="2085103669">
      <w:bodyDiv w:val="1"/>
      <w:marLeft w:val="0"/>
      <w:marRight w:val="0"/>
      <w:marTop w:val="0"/>
      <w:marBottom w:val="0"/>
      <w:divBdr>
        <w:top w:val="none" w:sz="0" w:space="0" w:color="auto"/>
        <w:left w:val="none" w:sz="0" w:space="0" w:color="auto"/>
        <w:bottom w:val="none" w:sz="0" w:space="0" w:color="auto"/>
        <w:right w:val="none" w:sz="0" w:space="0" w:color="auto"/>
      </w:divBdr>
      <w:divsChild>
        <w:div w:id="204611082">
          <w:marLeft w:val="0"/>
          <w:marRight w:val="0"/>
          <w:marTop w:val="0"/>
          <w:marBottom w:val="0"/>
          <w:divBdr>
            <w:top w:val="none" w:sz="0" w:space="0" w:color="auto"/>
            <w:left w:val="none" w:sz="0" w:space="0" w:color="auto"/>
            <w:bottom w:val="none" w:sz="0" w:space="0" w:color="auto"/>
            <w:right w:val="none" w:sz="0" w:space="0" w:color="auto"/>
          </w:divBdr>
        </w:div>
      </w:divsChild>
    </w:div>
    <w:div w:id="2120567410">
      <w:bodyDiv w:val="1"/>
      <w:marLeft w:val="0"/>
      <w:marRight w:val="0"/>
      <w:marTop w:val="0"/>
      <w:marBottom w:val="0"/>
      <w:divBdr>
        <w:top w:val="none" w:sz="0" w:space="0" w:color="auto"/>
        <w:left w:val="none" w:sz="0" w:space="0" w:color="auto"/>
        <w:bottom w:val="none" w:sz="0" w:space="0" w:color="auto"/>
        <w:right w:val="none" w:sz="0" w:space="0" w:color="auto"/>
      </w:divBdr>
      <w:divsChild>
        <w:div w:id="355471104">
          <w:marLeft w:val="0"/>
          <w:marRight w:val="0"/>
          <w:marTop w:val="0"/>
          <w:marBottom w:val="0"/>
          <w:divBdr>
            <w:top w:val="none" w:sz="0" w:space="0" w:color="auto"/>
            <w:left w:val="none" w:sz="0" w:space="0" w:color="auto"/>
            <w:bottom w:val="none" w:sz="0" w:space="0" w:color="auto"/>
            <w:right w:val="none" w:sz="0" w:space="0" w:color="auto"/>
          </w:divBdr>
        </w:div>
      </w:divsChild>
    </w:div>
    <w:div w:id="2127387185">
      <w:bodyDiv w:val="1"/>
      <w:marLeft w:val="0"/>
      <w:marRight w:val="0"/>
      <w:marTop w:val="0"/>
      <w:marBottom w:val="0"/>
      <w:divBdr>
        <w:top w:val="none" w:sz="0" w:space="0" w:color="auto"/>
        <w:left w:val="none" w:sz="0" w:space="0" w:color="auto"/>
        <w:bottom w:val="none" w:sz="0" w:space="0" w:color="auto"/>
        <w:right w:val="none" w:sz="0" w:space="0" w:color="auto"/>
      </w:divBdr>
      <w:divsChild>
        <w:div w:id="21281155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765D26-2553-44A3-B8FC-7F695F57F6E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3710</Words>
  <Characters>21150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2025-01-31T16:10:00Z</dcterms:created>
  <dcterms:modified xsi:type="dcterms:W3CDTF">2025-02-28T22:23:00Z</dcterms:modified>
</cp:coreProperties>
</file>