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Arial" w:hAnsi="Arial" w:cs="Arial" w:eastAsia="Arial"/>
          <w:color w:val="5A5A5A"/>
          <w:spacing w:val="15"/>
          <w:position w:val="0"/>
          <w:sz w:val="42"/>
          <w:shd w:fill="auto" w:val="clear"/>
        </w:rPr>
      </w:pPr>
      <w:r>
        <w:object w:dxaOrig="12205" w:dyaOrig="2592">
          <v:rect xmlns:o="urn:schemas-microsoft-com:office:office" xmlns:v="urn:schemas-microsoft-com:vml" id="rectole0000000000" style="width:610.250000pt;height:129.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center"/>
        <w:rPr>
          <w:rFonts w:ascii="Arial" w:hAnsi="Arial" w:cs="Arial" w:eastAsia="Arial"/>
          <w:b/>
          <w:color w:val="5A5A5A"/>
          <w:spacing w:val="15"/>
          <w:position w:val="0"/>
          <w:sz w:val="40"/>
          <w:shd w:fill="auto" w:val="clear"/>
        </w:rPr>
      </w:pPr>
      <w:r>
        <w:rPr>
          <w:rFonts w:ascii="Arial" w:hAnsi="Arial" w:cs="Arial" w:eastAsia="Arial"/>
          <w:b/>
          <w:color w:val="5A5A5A"/>
          <w:spacing w:val="15"/>
          <w:position w:val="0"/>
          <w:sz w:val="40"/>
          <w:shd w:fill="auto" w:val="clear"/>
        </w:rPr>
        <w:t xml:space="preserve">Module Code &amp; Title: </w:t>
      </w:r>
      <w:r>
        <w:rPr>
          <w:rFonts w:ascii="Arial" w:hAnsi="Arial" w:cs="Arial" w:eastAsia="Arial"/>
          <w:b/>
          <w:color w:val="222222"/>
          <w:spacing w:val="15"/>
          <w:position w:val="0"/>
          <w:sz w:val="40"/>
          <w:shd w:fill="FFFFFF" w:val="clear"/>
        </w:rPr>
        <w:t xml:space="preserve"> </w:t>
      </w:r>
      <w:r>
        <w:rPr>
          <w:rFonts w:ascii="Arial" w:hAnsi="Arial" w:cs="Arial" w:eastAsia="Arial"/>
          <w:b/>
          <w:color w:val="000000"/>
          <w:spacing w:val="15"/>
          <w:position w:val="0"/>
          <w:sz w:val="40"/>
          <w:shd w:fill="auto" w:val="clear"/>
        </w:rPr>
        <w:t xml:space="preserve">ACMA4014</w:t>
      </w:r>
    </w:p>
    <w:p>
      <w:pPr>
        <w:spacing w:before="0" w:after="160" w:line="360"/>
        <w:ind w:right="0" w:left="0" w:firstLine="0"/>
        <w:jc w:val="center"/>
        <w:rPr>
          <w:rFonts w:ascii="Arial" w:hAnsi="Arial" w:cs="Arial" w:eastAsia="Arial"/>
          <w:b/>
          <w:color w:val="000000"/>
          <w:spacing w:val="15"/>
          <w:position w:val="0"/>
          <w:sz w:val="40"/>
          <w:shd w:fill="auto" w:val="clear"/>
        </w:rPr>
      </w:pPr>
      <w:r>
        <w:rPr>
          <w:rFonts w:ascii="Arial" w:hAnsi="Arial" w:cs="Arial" w:eastAsia="Arial"/>
          <w:b/>
          <w:color w:val="000000"/>
          <w:spacing w:val="15"/>
          <w:position w:val="0"/>
          <w:sz w:val="40"/>
          <w:shd w:fill="auto" w:val="clear"/>
        </w:rPr>
        <w:t xml:space="preserve">Technical Skills Development</w:t>
      </w:r>
    </w:p>
    <w:p>
      <w:pPr>
        <w:spacing w:before="0" w:after="160" w:line="240"/>
        <w:ind w:right="0" w:left="0" w:firstLine="0"/>
        <w:jc w:val="center"/>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Title: Logbook</w:t>
      </w: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5A5A5A"/>
          <w:spacing w:val="15"/>
          <w:position w:val="0"/>
          <w:sz w:val="42"/>
          <w:shd w:fill="auto" w:val="clear"/>
        </w:rPr>
      </w:pP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Name</w:t>
        <w:tab/>
        <w:t xml:space="preserve">:</w:t>
      </w:r>
      <w:r>
        <w:rPr>
          <w:rFonts w:ascii="Arial" w:hAnsi="Arial" w:cs="Arial" w:eastAsia="Arial"/>
          <w:b/>
          <w:color w:val="5A5A5A"/>
          <w:spacing w:val="15"/>
          <w:position w:val="0"/>
          <w:sz w:val="28"/>
          <w:shd w:fill="auto" w:val="clear"/>
        </w:rPr>
        <w:t xml:space="preserve">Ivan Danyi</w:t>
      </w:r>
    </w:p>
    <w:p>
      <w:pPr>
        <w:spacing w:before="0" w:after="160" w:line="360"/>
        <w:ind w:right="0" w:left="0" w:firstLine="0"/>
        <w:jc w:val="both"/>
        <w:rPr>
          <w:rFonts w:ascii="Arial" w:hAnsi="Arial" w:cs="Arial" w:eastAsia="Arial"/>
          <w:b/>
          <w:color w:val="5A5A5A"/>
          <w:spacing w:val="15"/>
          <w:position w:val="0"/>
          <w:sz w:val="28"/>
          <w:shd w:fill="auto" w:val="clear"/>
        </w:rPr>
      </w:pPr>
      <w:r>
        <w:rPr>
          <w:rFonts w:ascii="Arial" w:hAnsi="Arial" w:cs="Arial" w:eastAsia="Arial"/>
          <w:b/>
          <w:color w:val="5A5A5A"/>
          <w:spacing w:val="15"/>
          <w:position w:val="0"/>
          <w:sz w:val="28"/>
          <w:shd w:fill="auto" w:val="clear"/>
        </w:rPr>
        <w:t xml:space="preserve">Student ID</w:t>
        <w:tab/>
        <w:t xml:space="preserve">:</w:t>
      </w:r>
      <w:r>
        <w:rPr>
          <w:rFonts w:ascii="Arial" w:hAnsi="Arial" w:cs="Arial" w:eastAsia="Arial"/>
          <w:b/>
          <w:color w:val="5A5A5A"/>
          <w:spacing w:val="15"/>
          <w:position w:val="0"/>
          <w:sz w:val="28"/>
          <w:shd w:fill="auto" w:val="clear"/>
        </w:rPr>
        <w:t xml:space="preserve">2232676</w:t>
      </w:r>
    </w:p>
    <w:p>
      <w:pPr>
        <w:spacing w:before="0" w:after="160" w:line="24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Lecturer Name</w:t>
        <w:tab/>
        <w:t xml:space="preserve">:</w:t>
      </w:r>
      <w:r>
        <w:rPr>
          <w:rFonts w:ascii="Arial" w:hAnsi="Arial" w:cs="Arial" w:eastAsia="Arial"/>
          <w:b/>
          <w:color w:val="auto"/>
          <w:spacing w:val="0"/>
          <w:position w:val="0"/>
          <w:sz w:val="28"/>
          <w:shd w:fill="auto" w:val="clear"/>
        </w:rPr>
        <w:t xml:space="preserve">Dr Jamiu A. Dauda</w:t>
      </w:r>
    </w:p>
    <w:p>
      <w:pPr>
        <w:spacing w:before="0" w:after="160" w:line="360"/>
        <w:ind w:right="0" w:left="0" w:firstLine="0"/>
        <w:jc w:val="both"/>
        <w:rPr>
          <w:rFonts w:ascii="Arial" w:hAnsi="Arial" w:cs="Arial" w:eastAsia="Arial"/>
          <w:color w:val="5A5A5A"/>
          <w:spacing w:val="15"/>
          <w:position w:val="0"/>
          <w:sz w:val="28"/>
          <w:shd w:fill="auto" w:val="clear"/>
        </w:rPr>
      </w:pPr>
    </w:p>
    <w:p>
      <w:pPr>
        <w:spacing w:before="0" w:after="160" w:line="360"/>
        <w:ind w:right="0" w:left="0" w:firstLine="0"/>
        <w:jc w:val="both"/>
        <w:rPr>
          <w:rFonts w:ascii="Arial" w:hAnsi="Arial" w:cs="Arial" w:eastAsia="Arial"/>
          <w:color w:val="auto"/>
          <w:spacing w:val="0"/>
          <w:position w:val="0"/>
          <w:sz w:val="70"/>
          <w:shd w:fill="auto" w:val="clear"/>
        </w:rPr>
      </w:pPr>
    </w:p>
    <w:p>
      <w:pPr>
        <w:spacing w:before="0" w:after="200" w:line="360"/>
        <w:ind w:right="0" w:left="0" w:firstLine="0"/>
        <w:jc w:val="both"/>
        <w:rPr>
          <w:rFonts w:ascii="Arial" w:hAnsi="Arial" w:cs="Arial" w:eastAsia="Arial"/>
          <w:color w:val="auto"/>
          <w:spacing w:val="0"/>
          <w:position w:val="0"/>
          <w:sz w:val="44"/>
          <w:shd w:fill="auto" w:val="clear"/>
        </w:rPr>
      </w:pPr>
      <w:r>
        <w:rPr>
          <w:rFonts w:ascii="Arial" w:hAnsi="Arial" w:cs="Arial" w:eastAsia="Arial"/>
          <w:color w:val="auto"/>
          <w:spacing w:val="0"/>
          <w:position w:val="0"/>
          <w:sz w:val="44"/>
          <w:shd w:fill="auto" w:val="clear"/>
        </w:rPr>
        <w:t xml:space="preserve"> </w:t>
      </w:r>
    </w:p>
    <w:p>
      <w:pPr>
        <w:spacing w:before="0" w:after="200" w:line="360"/>
        <w:ind w:right="0" w:left="0" w:firstLine="0"/>
        <w:jc w:val="both"/>
        <w:rPr>
          <w:rFonts w:ascii="Arial" w:hAnsi="Arial" w:cs="Arial" w:eastAsia="Arial"/>
          <w:color w:val="auto"/>
          <w:spacing w:val="0"/>
          <w:position w:val="0"/>
          <w:sz w:val="4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Introduction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report will concentrate on the activities and knowledge gained from both technical skills lectures, thus a comprehension of the tasks completed and the advantages I gained from them is necessary. Also, I'd be able to identify my areas of improvement and the parts of my work that need more effort before they're consistent with the rest thanks to this. This will guarantee that what was successful and how the topic's major benefits/values relate to the lecture's material. By examining this in further depth, we can see that it is really rather straightforward and easy to grasp. Here, I would additionally incorporate what lecturers covered the notebook. For instance, the lecture also discusses health and safety protocols, since this aspect of working in a secure setting is essential for discussing any potential dangers and how they might be avoided or mitigated. </w:t>
      </w: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Logbook</w:t>
      </w:r>
    </w:p>
    <w:tbl>
      <w:tblPr/>
      <w:tblGrid>
        <w:gridCol w:w="1089"/>
        <w:gridCol w:w="1620"/>
        <w:gridCol w:w="2056"/>
        <w:gridCol w:w="2133"/>
        <w:gridCol w:w="2888"/>
      </w:tblGrid>
      <w:tr>
        <w:trPr>
          <w:trHeight w:val="1" w:hRule="atLeast"/>
          <w:jc w:val="left"/>
        </w:trPr>
        <w:tc>
          <w:tcPr>
            <w:tcW w:w="1089"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Activity WK</w:t>
            </w:r>
          </w:p>
        </w:tc>
        <w:tc>
          <w:tcPr>
            <w:tcW w:w="1620"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Activity</w:t>
            </w:r>
          </w:p>
        </w:tc>
        <w:tc>
          <w:tcPr>
            <w:tcW w:w="2056"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Key Learning Points</w:t>
            </w:r>
          </w:p>
        </w:tc>
        <w:tc>
          <w:tcPr>
            <w:tcW w:w="2133"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Key Benefits/Value added</w:t>
            </w:r>
          </w:p>
        </w:tc>
        <w:tc>
          <w:tcPr>
            <w:tcW w:w="2888" w:type="dxa"/>
            <w:tcBorders>
              <w:top w:val="single" w:color="000000" w:sz="4"/>
              <w:left w:val="single" w:color="000000" w:sz="4"/>
              <w:bottom w:val="single" w:color="000000" w:sz="4"/>
              <w:right w:val="single" w:color="000000" w:sz="4"/>
            </w:tcBorders>
            <w:shd w:color="auto" w:fill="b2a1c7" w:val="clear"/>
            <w:tcMar>
              <w:left w:w="108" w:type="dxa"/>
              <w:right w:w="108" w:type="dxa"/>
            </w:tcMar>
            <w:vAlign w:val="top"/>
          </w:tcPr>
          <w:p>
            <w:pPr>
              <w:spacing w:before="0" w:after="160" w:line="360"/>
              <w:ind w:right="0" w:left="0" w:firstLine="0"/>
              <w:jc w:val="both"/>
              <w:rPr>
                <w:color w:val="auto"/>
                <w:spacing w:val="0"/>
                <w:position w:val="0"/>
                <w:shd w:fill="auto" w:val="clear"/>
              </w:rPr>
            </w:pPr>
            <w:r>
              <w:rPr>
                <w:rFonts w:ascii="Arial" w:hAnsi="Arial" w:cs="Arial" w:eastAsia="Arial"/>
                <w:b/>
                <w:color w:val="auto"/>
                <w:spacing w:val="0"/>
                <w:position w:val="0"/>
                <w:sz w:val="24"/>
                <w:shd w:fill="auto" w:val="clear"/>
              </w:rPr>
              <w:t xml:space="preserve">Further comments and How can I improve it in future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1</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Introduction to Health and Safety</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Health and safety benefits in the workplace.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necessity of having proper health and safety policy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development of appropriate health and safety principle based on the employee feedback and current workplace demand. </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Through this course, I learned more about HSE (Health, Safety, Welfare, and Risk) management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educated myself on the laws governing workplace safety.</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this lesson, I was educated on the roles that both employers and workers play in ensuring a safe working environment.</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Workers and managers who are well-informed about health and safety issues in the workplace are better equipped to spot dangers and take preventative measures (Jonathan and Mbogo, 2016). This has the potential to lessen the incidence of occupational injuries and illnesses, which is good for workers' health in general. It is possible to estimate the amount of danger posed by each potential hazard in the workplace by doing a risk assessment. With this knowledge, a strategy to eradicate or reduce the threat may be formulated. The training was a huge success. Having a fun, engaging video game to play that teaches me about health and safety is a great way to learn more.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2</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Why is health and safety important in the workplace? </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importance of maintaining health and safety at workplace for avoiding hazards.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placement of health and safety acts in the right platform. </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management of health and safety principle. </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After a risk factor has been identified, the employer may take action to mitigate the danger. Providing PPE, maintaining equipment, and instituting safe procedures are all examples of what this may include.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addition to the obvious practical applications, I also gained an appreciation for health and safety in the workplace.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gained knowledge about the challenges I could face and how to meet them.</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session was excellent and helpful since the work was well described, and I left knowing exactly what I needed to do and turn in to determine where I stood and what I could work on to make progress.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was able to gain insight into occupational hazards thanks to the worksheets and examples provided.</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manage risks successfully in the workplace, it's important to understand what causes them and what countermeasures may be taken.</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3</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Practical risk assessment. </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Rules and Regulations.</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development of risk assessment based on the identification of risks at workplace.</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Strategies of risk assessment within the workplace. </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Here I look at some of the more tangible benefits of doing a risk assessment, including the safety of the workplace for both employers and workers. Following the rules and legislation will make sure whether the task is complete and satisfactory.</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 have understand that any business that cares about providing its employees with a healthy and risk-free workplace should prioritize learning about risk assessment. possible risks are identified, the possibility of those risks happening is evaluated, and the possible repercussions of those risks are weighed. Organizations may avoid mishaps by conducting risk assessments to uncover hidden dangers. Organizations may take preventative measures against accidents if they are aware of the risks that exist. Accidents in the workplace may be quite expensive for businesses (HOU et al., 2021). Organizations may save money by lowering the cost of accidents by recognizing risks and taking preventative actions.</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4</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Health &amp; Safety Scenario at Workplaces.</w:t>
            </w:r>
          </w:p>
          <w:p>
            <w:pPr>
              <w:spacing w:before="0" w:after="160" w:line="240"/>
              <w:ind w:right="0" w:left="0" w:firstLine="0"/>
              <w:jc w:val="left"/>
              <w:rPr>
                <w:color w:val="auto"/>
                <w:spacing w:val="0"/>
                <w:position w:val="0"/>
                <w:sz w:val="22"/>
                <w:shd w:fill="auto" w:val="clear"/>
              </w:rPr>
            </w:pPr>
            <w:r>
              <w:rPr>
                <w:rFonts w:ascii="Arial" w:hAnsi="Arial" w:cs="Arial" w:eastAsia="Arial"/>
                <w:color w:val="auto"/>
                <w:spacing w:val="0"/>
                <w:position w:val="0"/>
                <w:sz w:val="22"/>
                <w:shd w:fill="auto" w:val="clear"/>
              </w:rPr>
              <w:t xml:space="preserve">Risk Identification &amp; Management tools</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Understanding on the relationship between safety measurements, risk assessments and the identified risks. </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using of risk management tools to minimise the risk at workplace. </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Risk assessment tools aid businesses in seeing possible threats and determining how severe they are likely to be (Magalhães et al., 2022). With this knowledge, a risk management strategy may be developed to reduce or do away with the identified threats. Organizations may set priorities for which risks to address first if they have a thorough grasp of the risks and the possible implications of those risks. This aids in the efficient distribution of company resources. Tools for risk assessment provide a methodical way to investigate and rank possible dangers. This allows businesses to make choices based on fact rather than speculation. Risk assessment instruments provide people a shared vocabulary and structure for talking about hazards. Employees, supervisors, and other interested parties may more easily share information and work together.</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 gained an understanding of the factors that contribute to workplace hazards and its implications for employees. This would also indicate the scale on which individual risk perceptions are placed.</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How this may help workers stay safe on the job, no matter where they happen to be.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Safety tools and procedures, together with any applicable strategies, may be used to compare potential outcomes and provide insight into the potential internal and external impacts on the firm and its employees.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Long-term management plans, enabling a large number of people to keep track of events and their causes.</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5</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Risk Identification.</w:t>
            </w:r>
          </w:p>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Risk Prosecution</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Notice of Prohibition and Notice of Improvement</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Examples from everyday life and the risks they pose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Probability scales</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repercussions of breaking the rules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What would happen if there were more warnings? </w:t>
            </w:r>
          </w:p>
          <w:p>
            <w:pPr>
              <w:spacing w:before="0" w:after="160" w:line="240"/>
              <w:ind w:right="0" w:left="0" w:firstLine="0"/>
              <w:jc w:val="left"/>
              <w:rPr>
                <w:color w:val="auto"/>
                <w:spacing w:val="0"/>
                <w:position w:val="0"/>
                <w:shd w:fill="auto" w:val="clear"/>
              </w:rPr>
            </w:pP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To make things better, I will look into the company's preferred repercussions for rule breaking and incorporate those ideas into my own work in the future.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Why not doing so might cause problems for companies and individuals, and what checks and balances are in place to prevent that from happening. There are businesses that do daily checks to determine whether everything is running well and what needs to change (Sorensen et al., 2018).</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should be aware of the potential complications that might arise if this advice was disregarded. A punishment of £100 could be imposed after a certain number of warnings or instances of this behavior.</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6</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Water jug puzzle</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The conversion of 3 glasses to liters was a must. To identify the hostage and catch the three thieves</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What the thieves' perception of the glasses' difference means and how it works</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Using this method, I was able to calculate how many liters would be needed to fill three glasses and the implications this would have for the burglars. Gold coins, presumably if the supply is enough. To facilitate this, I went into Word and added a circle without an arrow in the middle to symbolize the informational data, so that I would always be aware of what needed to be done.</w:t>
            </w: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7</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spacing w:val="0"/>
                <w:position w:val="0"/>
                <w:sz w:val="22"/>
                <w:shd w:fill="auto" w:val="clear"/>
              </w:rPr>
            </w:pPr>
            <w:r>
              <w:rPr>
                <w:rFonts w:ascii="Arial" w:hAnsi="Arial" w:cs="Arial" w:eastAsia="Arial"/>
                <w:color w:val="000000"/>
                <w:spacing w:val="0"/>
                <w:position w:val="0"/>
                <w:sz w:val="22"/>
                <w:shd w:fill="auto" w:val="clear"/>
              </w:rPr>
              <w:t xml:space="preserve">Velocity and time excel</w:t>
            </w: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Determine the vehicle's velocity, range, and travel time, making sure to provide a graph representing the data and appropriate units of measurement.</w:t>
            </w: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With this knowledge in hand, I was able to devote more time to exploring various approaches to answering each question type.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Excel users may improve their data analysis skills by learning how to compute velocity and time. This is helpful in a number of fields, including project management, economics, and market research. By calculating how long activities will take to complete and how much advancement can be achieved in a given amount of time, velocity and time calculations may help people and organizations plan projects more successfully. Learning to use Excel's velocity and time calculation tools may help people and businesses better manage resources by revealing where they are being wasted or where more support is required.</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Because of this, I can see how a solution or equation may be used to calculate the required speed or distance for a vehicle.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Thinking about possible time-saving methods and deciding which computations to apply to each cell. Specifically, you might use something like =AVERAGE(F2:F21). Overall dimensions are broken down into Technician A, B, and C categories as well as sample and real dimensions.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By figuring this out, we can provide answers that satisfy the unique needs of each specialist in charge of analyzing the data.</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As this was required for the grade, I gave it a quick run through and answered the questions based on what I knew and what was provided in the brief.</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8</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Library session </w:t>
            </w:r>
          </w:p>
          <w:p>
            <w:pPr>
              <w:spacing w:before="0" w:after="160" w:line="240"/>
              <w:ind w:right="0" w:left="0" w:firstLine="0"/>
              <w:jc w:val="left"/>
              <w:rPr>
                <w:spacing w:val="0"/>
                <w:position w:val="0"/>
                <w:sz w:val="22"/>
                <w:shd w:fill="auto" w:val="clear"/>
              </w:rPr>
            </w:pP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Books </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Instructions for Using the Virtual Library</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Methods and materials </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This gave me an idea of what resources were out there and how to find them using my own knowledge.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lecturer gave me a guided tour of the greatest literature, explained why information is valuable, and outlined the implications of having access to this knowledge.</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Educational resources that aid in the completion of homework and other schoolwork in order to convey a concept to the learner. </w:t>
            </w:r>
          </w:p>
          <w:p>
            <w:pPr>
              <w:spacing w:before="0" w:after="160" w:line="240"/>
              <w:ind w:right="0" w:left="0" w:firstLine="0"/>
              <w:jc w:val="left"/>
              <w:rPr>
                <w:color w:val="auto"/>
                <w:spacing w:val="0"/>
                <w:position w:val="0"/>
                <w:shd w:fill="auto" w:val="clear"/>
              </w:rPr>
            </w:pPr>
          </w:p>
        </w:tc>
      </w:tr>
      <w:tr>
        <w:trPr>
          <w:trHeight w:val="1" w:hRule="atLeast"/>
          <w:jc w:val="left"/>
        </w:trPr>
        <w:tc>
          <w:tcPr>
            <w:tcW w:w="108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Week 9</w:t>
            </w:r>
          </w:p>
        </w:tc>
        <w:tc>
          <w:tcPr>
            <w:tcW w:w="16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2"/>
                <w:shd w:fill="auto" w:val="clear"/>
              </w:rPr>
              <w:t xml:space="preserve">Composites</w:t>
            </w:r>
          </w:p>
          <w:p>
            <w:pPr>
              <w:spacing w:before="0" w:after="160" w:line="240"/>
              <w:ind w:right="0" w:left="0" w:firstLine="0"/>
              <w:jc w:val="left"/>
              <w:rPr>
                <w:spacing w:val="0"/>
                <w:position w:val="0"/>
                <w:sz w:val="22"/>
                <w:shd w:fill="auto" w:val="clear"/>
              </w:rPr>
            </w:pPr>
          </w:p>
        </w:tc>
        <w:tc>
          <w:tcPr>
            <w:tcW w:w="205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Composites (a collection of materials that have been fused together) are what it is.</w:t>
            </w:r>
          </w:p>
          <w:p>
            <w:pPr>
              <w:spacing w:before="0" w:after="160" w:line="240"/>
              <w:ind w:right="0" w:left="0" w:firstLine="0"/>
              <w:jc w:val="left"/>
              <w:rPr>
                <w:rFonts w:ascii="Arial" w:hAnsi="Arial" w:cs="Arial" w:eastAsia="Arial"/>
                <w:color w:val="auto"/>
                <w:spacing w:val="0"/>
                <w:position w:val="0"/>
                <w:sz w:val="24"/>
                <w:shd w:fill="auto" w:val="clear"/>
              </w:rPr>
            </w:pP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Types of Alignments and Their Functions</w:t>
            </w:r>
          </w:p>
          <w:p>
            <w:pPr>
              <w:spacing w:before="0" w:after="160" w:line="240"/>
              <w:ind w:right="0" w:left="0" w:firstLine="0"/>
              <w:jc w:val="left"/>
              <w:rPr>
                <w:color w:val="auto"/>
                <w:spacing w:val="0"/>
                <w:position w:val="0"/>
                <w:shd w:fill="auto" w:val="clear"/>
              </w:rPr>
            </w:pPr>
          </w:p>
        </w:tc>
        <w:tc>
          <w:tcPr>
            <w:tcW w:w="2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color w:val="auto"/>
                <w:spacing w:val="0"/>
                <w:position w:val="0"/>
                <w:shd w:fill="auto" w:val="clear"/>
              </w:rPr>
            </w:pPr>
            <w:r>
              <w:rPr>
                <w:rFonts w:ascii="Arial" w:hAnsi="Arial" w:cs="Arial" w:eastAsia="Arial"/>
                <w:color w:val="auto"/>
                <w:spacing w:val="0"/>
                <w:position w:val="0"/>
                <w:sz w:val="24"/>
                <w:shd w:fill="auto" w:val="clear"/>
              </w:rPr>
              <w:t xml:space="preserve">I benefited from slide-based learning on building materials and their uses because:</w:t>
            </w:r>
          </w:p>
        </w:tc>
        <w:tc>
          <w:tcPr>
            <w:tcW w:w="288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workshop was informative since I was able to ask questions and learn more about the many kinds of materials, their advantages and disadvantages, and their significance in the context of the relevant business.</w:t>
            </w:r>
          </w:p>
          <w:p>
            <w:pPr>
              <w:spacing w:before="0" w:after="16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This taught me the significance of the materials used in construction over time.</w:t>
            </w:r>
          </w:p>
          <w:p>
            <w:pPr>
              <w:spacing w:before="0" w:after="160" w:line="240"/>
              <w:ind w:right="0" w:left="0" w:firstLine="0"/>
              <w:jc w:val="left"/>
              <w:rPr>
                <w:color w:val="auto"/>
                <w:spacing w:val="0"/>
                <w:position w:val="0"/>
                <w:shd w:fill="auto" w:val="clear"/>
              </w:rPr>
            </w:pPr>
          </w:p>
        </w:tc>
      </w:tr>
    </w:tbl>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spacing w:before="0" w:after="160" w:line="24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An in-depth understanding of potential dangers in the workplace, as well as methods for mitigating such dangers, may be gained by participation in a health and safety program. As a result, people will be better able to make educated choices and take effective measures to avoid harm. A health and safety training may help workers become familiar with the rules and regulations that govern their safety on the job. This may aid people and businesses in staying out of trouble and maintaining compliance. Overall, I have been benefited from the information, skills, and tactics learned in a health and safety course in order to create and sustain a healthy and safe workplace. By capitalizing on these advantages, businesses and people may boost safety, communication, morale, and output while decreasing the costs of workplace injuries. </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both"/>
        <w:rPr>
          <w:rFonts w:ascii="Arial" w:hAnsi="Arial" w:cs="Arial" w:eastAsia="Arial"/>
          <w:b/>
          <w:color w:val="365F91"/>
          <w:spacing w:val="0"/>
          <w:position w:val="0"/>
          <w:sz w:val="30"/>
          <w:shd w:fill="auto" w:val="clear"/>
        </w:rPr>
      </w:pPr>
      <w:r>
        <w:rPr>
          <w:rFonts w:ascii="Arial" w:hAnsi="Arial" w:cs="Arial" w:eastAsia="Arial"/>
          <w:b/>
          <w:color w:val="365F91"/>
          <w:spacing w:val="0"/>
          <w:position w:val="0"/>
          <w:sz w:val="30"/>
          <w:shd w:fill="auto" w:val="clear"/>
        </w:rPr>
        <w:t xml:space="preserve">References</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HOU, Y., Khokhar, M., Khan, M., Islam, T. and Haider, I. (2021) Put Safety First: Exploring the Role of Health and Safety Practices in Improving the Performance of SMEs. </w:t>
      </w:r>
      <w:r>
        <w:rPr>
          <w:rFonts w:ascii="Arial" w:hAnsi="Arial" w:cs="Arial" w:eastAsia="Arial"/>
          <w:i/>
          <w:color w:val="auto"/>
          <w:spacing w:val="0"/>
          <w:position w:val="0"/>
          <w:sz w:val="24"/>
          <w:shd w:fill="auto" w:val="clear"/>
        </w:rPr>
        <w:t xml:space="preserve">SAGE Open</w:t>
      </w:r>
      <w:r>
        <w:rPr>
          <w:rFonts w:ascii="Arial" w:hAnsi="Arial" w:cs="Arial" w:eastAsia="Arial"/>
          <w:color w:val="auto"/>
          <w:spacing w:val="0"/>
          <w:position w:val="0"/>
          <w:sz w:val="24"/>
          <w:shd w:fill="auto" w:val="clear"/>
        </w:rPr>
        <w:t xml:space="preserve">, 11(3), p.215824402110321. doi:https://doi.org/10.1177/21582440211032173.</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Jonathan, G. and Mbogo, R. (2016) </w:t>
      </w:r>
      <w:r>
        <w:rPr>
          <w:rFonts w:ascii="Arial" w:hAnsi="Arial" w:cs="Arial" w:eastAsia="Arial"/>
          <w:i/>
          <w:color w:val="auto"/>
          <w:spacing w:val="0"/>
          <w:position w:val="0"/>
          <w:sz w:val="24"/>
          <w:shd w:fill="auto" w:val="clear"/>
        </w:rPr>
        <w:t xml:space="preserve">Maintaining Health and Safety at Workplace: Employee and Employer’s Role in Ensuring a Safe Working Environment</w:t>
      </w:r>
      <w:r>
        <w:rPr>
          <w:rFonts w:ascii="Arial" w:hAnsi="Arial" w:cs="Arial" w:eastAsia="Arial"/>
          <w:color w:val="auto"/>
          <w:spacing w:val="0"/>
          <w:position w:val="0"/>
          <w:sz w:val="24"/>
          <w:shd w:fill="auto" w:val="clear"/>
        </w:rPr>
        <w:t xml:space="preserve">. [online] Available at: </w:t>
      </w:r>
      <w:hyperlink xmlns:r="http://schemas.openxmlformats.org/officeDocument/2006/relationships" r:id="docRId2">
        <w:r>
          <w:rPr>
            <w:rFonts w:ascii="Arial" w:hAnsi="Arial" w:cs="Arial" w:eastAsia="Arial"/>
            <w:color w:val="0000FF"/>
            <w:spacing w:val="0"/>
            <w:position w:val="0"/>
            <w:sz w:val="24"/>
            <w:u w:val="single"/>
            <w:shd w:fill="auto" w:val="clear"/>
          </w:rPr>
          <w:t xml:space="preserve">https://files.eric.ed.gov/fulltext/EJ1118861.pdf</w:t>
        </w:r>
      </w:hyperlink>
      <w:r>
        <w:rPr>
          <w:rFonts w:ascii="Arial" w:hAnsi="Arial" w:cs="Arial" w:eastAsia="Arial"/>
          <w:color w:val="auto"/>
          <w:spacing w:val="0"/>
          <w:position w:val="0"/>
          <w:sz w:val="24"/>
          <w:shd w:fill="auto" w:val="clear"/>
        </w:rPr>
        <w:t xml:space="preserve">.</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Magalhães, L.M.C.A., Silva Costa, K.T. da, Capistrano, G.N., Leal, M.D. and de Andrade, F.B. (2022) A study on occupational health and safety. </w:t>
      </w:r>
      <w:r>
        <w:rPr>
          <w:rFonts w:ascii="Arial" w:hAnsi="Arial" w:cs="Arial" w:eastAsia="Arial"/>
          <w:i/>
          <w:color w:val="auto"/>
          <w:spacing w:val="0"/>
          <w:position w:val="0"/>
          <w:sz w:val="24"/>
          <w:shd w:fill="auto" w:val="clear"/>
        </w:rPr>
        <w:t xml:space="preserve">BMC Public Health</w:t>
      </w:r>
      <w:r>
        <w:rPr>
          <w:rFonts w:ascii="Arial" w:hAnsi="Arial" w:cs="Arial" w:eastAsia="Arial"/>
          <w:color w:val="auto"/>
          <w:spacing w:val="0"/>
          <w:position w:val="0"/>
          <w:sz w:val="24"/>
          <w:shd w:fill="auto" w:val="clear"/>
        </w:rPr>
        <w:t xml:space="preserve">, 22(1). doi:https://doi.org/10.1186/s12889-022-14584-w.</w:t>
      </w:r>
    </w:p>
    <w:p>
      <w:pPr>
        <w:spacing w:before="0" w:after="24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Sorensen, G., Sparer, E., Williams, J.A.R., Gundersen, D., Boden, L.I., Dennerlein, J.T., Hashimoto, D., Katz, J.N., McLellan, D.L., Okechukwu, C.A., Pronk, N.P., Revette, A. and Wagner, G.R. (2018) Measuring Best Practices for Workplace Safety, Health, and Well-Being. </w:t>
      </w:r>
      <w:r>
        <w:rPr>
          <w:rFonts w:ascii="Arial" w:hAnsi="Arial" w:cs="Arial" w:eastAsia="Arial"/>
          <w:i/>
          <w:color w:val="auto"/>
          <w:spacing w:val="0"/>
          <w:position w:val="0"/>
          <w:sz w:val="24"/>
          <w:shd w:fill="auto" w:val="clear"/>
        </w:rPr>
        <w:t xml:space="preserve">Journal of Occupational and Environmental Medicine</w:t>
      </w:r>
      <w:r>
        <w:rPr>
          <w:rFonts w:ascii="Arial" w:hAnsi="Arial" w:cs="Arial" w:eastAsia="Arial"/>
          <w:color w:val="auto"/>
          <w:spacing w:val="0"/>
          <w:position w:val="0"/>
          <w:sz w:val="24"/>
          <w:shd w:fill="auto" w:val="clear"/>
        </w:rPr>
        <w:t xml:space="preserve">, [online] 60(5), pp.430</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439. doi:https://doi.org/10.1097/jom.0000000000001286.</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numbering.xml" Id="docRId3" Type="http://schemas.openxmlformats.org/officeDocument/2006/relationships/numbering" /><Relationship Target="embeddings/oleObject0.bin" Id="docRId0" Type="http://schemas.openxmlformats.org/officeDocument/2006/relationships/oleObject" /><Relationship TargetMode="External" Target="https://files.eric.ed.gov/fulltext/EJ1118861.pdf" Id="docRId2" Type="http://schemas.openxmlformats.org/officeDocument/2006/relationships/hyperlink" /><Relationship Target="styles.xml" Id="docRId4" Type="http://schemas.openxmlformats.org/officeDocument/2006/relationships/styles" /></Relationships>
</file>