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720" w:after="120"/>
      </w:pPr>
      <w:r>
        <w:rPr>
          <w:rFonts w:ascii="Calibri" w:cs="Calibri" w:eastAsia="Calibri" w:hAnsi="Calibri"/>
          <w:color w:val="555555"/>
          <w:sz w:val="20"/>
          <w:szCs w:val="20"/>
        </w:rPr>
        <w:t xml:space="preserve">LCDB7010 Converting Research into Practice</w:t>
      </w:r>
    </w:p>
    <w:p>
      <w:pPr>
        <w:spacing w:before="0" w:after="200"/>
      </w:pPr>
      <w:r>
        <w:rPr>
          <w:rFonts w:ascii="Calibri" w:cs="Calibri" w:eastAsia="Calibri" w:hAnsi="Calibri"/>
          <w:b/>
          <w:bCs/>
          <w:color w:val="6D2E46"/>
          <w:sz w:val="32"/>
          <w:szCs w:val="32"/>
        </w:rPr>
        <w:t xml:space="preserve">Writing the Literature Review for Your Pilot Study</w:t>
      </w:r>
    </w:p>
    <w:p>
      <w:pPr>
        <w:spacing w:before="0" w:after="120"/>
      </w:pPr>
      <w:r>
        <w:rPr>
          <w:rFonts w:ascii="Calibri" w:cs="Calibri" w:eastAsia="Calibri" w:hAnsi="Calibri"/>
          <w:b/>
          <w:bCs/>
          <w:color w:val="2C2C2C"/>
          <w:sz w:val="28"/>
          <w:szCs w:val="28"/>
        </w:rPr>
        <w:t xml:space="preserve">Facilitator Answer Key</w:t>
      </w:r>
    </w:p>
    <w:p>
      <w:pPr>
        <w:spacing w:before="0" w:after="80"/>
      </w:pPr>
      <w:r>
        <w:rPr>
          <w:rFonts w:ascii="Calibri" w:cs="Calibri" w:eastAsia="Calibri" w:hAnsi="Calibri"/>
          <w:color w:val="555555"/>
          <w:sz w:val="20"/>
          <w:szCs w:val="20"/>
        </w:rPr>
        <w:t xml:space="preserve">Model answers and facilitator guidance for Activities 1–6</w:t>
      </w:r>
    </w:p>
    <w:p>
      <w:pPr>
        <w:spacing w:before="0" w:after="80"/>
      </w:pPr>
      <w:r>
        <w:rPr>
          <w:rFonts w:ascii="Calibri" w:cs="Calibri" w:eastAsia="Calibri" w:hAnsi="Calibri"/>
          <w:color w:val="555555"/>
          <w:sz w:val="20"/>
          <w:szCs w:val="20"/>
        </w:rPr>
        <w:t xml:space="preserve">Dr Caroline Jawad  |  DBA Programme  |  UWTSD</w:t>
      </w:r>
    </w:p>
    <w:p>
      <w:pPr>
        <w:pBdr>
          <w:bottom w:val="single" w:color="DDDDDD" w:sz="4"/>
        </w:pBdr>
        <w:spacing w:before="200" w:after="200"/>
      </w:pPr>
    </w:p>
    <w:p>
      <w:r>
        <w:br w:type="page"/>
      </w:r>
    </w:p>
    <w:p>
      <w:pPr>
        <w:spacing w:before="40" w:after="100"/>
      </w:pPr>
      <w:r>
        <w:rPr>
          <w:rFonts w:ascii="Calibri" w:cs="Calibri" w:eastAsia="Calibri" w:hAnsi="Calibri"/>
          <w:color w:val="2C2C2C"/>
          <w:sz w:val="20"/>
          <w:szCs w:val="20"/>
        </w:rPr>
        <w:t xml:space="preserve">This document provides model answers for use in facilitation. For Activities 1–5, a shared scenario answer is provided first, followed by guidance on what a strong answer to the ‘your topic’ section should contain. Activity 6 is individual reflection — indicative strong responses are provided for each Move.</w:t>
      </w:r>
    </w:p>
    <w:p>
      <w:pPr>
        <w:spacing w:before="40" w:after="100"/>
      </w:pPr>
      <w:r>
        <w:rPr>
          <w:rFonts w:ascii="Calibri" w:cs="Calibri" w:eastAsia="Calibri" w:hAnsi="Calibri"/>
          <w:color w:val="2C2C2C"/>
          <w:sz w:val="20"/>
          <w:szCs w:val="20"/>
        </w:rPr>
        <w:t xml:space="preserve">These answers represent the standard of a strong, engaged DBA student. Students who produce something equivalent, in their own topic and voice, are on the right track.</w:t>
      </w:r>
    </w:p>
    <w:p>
      <w:pPr>
        <w:pStyle w:val="Heading1"/>
        <w:spacing w:before="360" w:after="120"/>
      </w:pPr>
      <w:r>
        <w:rPr>
          <w:rFonts w:ascii="Calibri" w:cs="Calibri" w:eastAsia="Calibri" w:hAnsi="Calibri"/>
          <w:b/>
          <w:bCs/>
          <w:color w:val="6D2E46"/>
          <w:sz w:val="32"/>
          <w:szCs w:val="32"/>
        </w:rPr>
        <w:t xml:space="preserve">Activity 1  ·  Spot the Difference</w:t>
      </w:r>
    </w:p>
    <w:p>
      <w:pPr>
        <w:pStyle w:val="Heading2"/>
        <w:spacing w:before="240" w:after="80"/>
      </w:pPr>
      <w:r>
        <w:rPr>
          <w:rFonts w:ascii="Calibri" w:cs="Calibri" w:eastAsia="Calibri" w:hAnsi="Calibri"/>
          <w:b/>
          <w:bCs/>
          <w:color w:val="6D2E46"/>
          <w:sz w:val="26"/>
          <w:szCs w:val="26"/>
        </w:rPr>
        <w:t xml:space="preserve">Task (a) — Shared scenario answer</w:t>
      </w:r>
    </w:p>
    <w:p>
      <w:pPr>
        <w:spacing w:before="160" w:after="40"/>
      </w:pPr>
      <w:r>
        <w:rPr>
          <w:rFonts w:ascii="Calibri" w:cs="Calibri" w:eastAsia="Calibri" w:hAnsi="Calibri"/>
          <w:b/>
          <w:bCs/>
          <w:color w:val="2C2C2C"/>
          <w:sz w:val="20"/>
          <w:szCs w:val="20"/>
        </w:rPr>
        <w:t xml:space="preserve">Which paragraph is descriptive and which is critical?</w:t>
      </w:r>
    </w:p>
    <w:p>
      <w:pPr>
        <w:spacing w:before="40" w:after="100"/>
      </w:pPr>
      <w:r>
        <w:rPr>
          <w:rFonts w:ascii="Calibri" w:cs="Calibri" w:eastAsia="Calibri" w:hAnsi="Calibri"/>
          <w:color w:val="2C2C2C"/>
          <w:sz w:val="20"/>
          <w:szCs w:val="20"/>
        </w:rPr>
        <w:t xml:space="preserve">Paragraph A is descriptive. Paragraph B is critical and doctoral standard.</w:t>
      </w:r>
    </w:p>
    <w:p>
      <w:pPr>
        <w:spacing w:before="160" w:after="40"/>
      </w:pPr>
      <w:r>
        <w:rPr>
          <w:rFonts w:ascii="Calibri" w:cs="Calibri" w:eastAsia="Calibri" w:hAnsi="Calibri"/>
          <w:b/>
          <w:bCs/>
          <w:color w:val="2C2C2C"/>
          <w:sz w:val="20"/>
          <w:szCs w:val="20"/>
        </w:rPr>
        <w:t xml:space="preserve">Three features that distinguish them:</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Structure: Paragraph A is organised author-by-author (Nguyen found… Lee found… Chen argued…). Each sentence reports one author’s finding in isolation. Paragraph B is organised thematically around a single intellectual argument — the methodological dominance of quantitative approaches — and uses multiple authors as evidence for that argument rather than as separate reports.</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Evaluation: Paragraph A makes no evaluative judgement. It accepts each finding at face value. Paragraph B evaluates the methodology of the cited studies (‘rely predominantly on quantitative measures that capture leadership behaviours without accessing the meanings’), identifies a shared limitation across studies, and names the consequence of that limitation.</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Gap and rationale: Paragraph A ends with a vague summary (‘These studies show that culture is important’) which tells us nothing we could not already infer. Paragraph B ends with a precise, argued gap (‘remains undertheorised’) and derives a methodological rationale directly from the gap (‘a gap that justifies an interpretivist approach’). The gap does not merely point to absence — it argues for why that absence matters and what kind of research it demands.</w:t>
      </w:r>
    </w:p>
    <w:p>
      <w:pPr>
        <w:spacing w:before="120" w:after="60"/>
      </w:pPr>
    </w:p>
    <w:p>
      <w:pPr>
        <w:spacing w:before="60" w:after="60"/>
      </w:pPr>
      <w:r>
        <w:rPr>
          <w:rFonts w:ascii="Calibri" w:cs="Calibri" w:eastAsia="Calibri" w:hAnsi="Calibri"/>
          <w:color w:val="888888"/>
          <w:sz w:val="18"/>
          <w:szCs w:val="18"/>
        </w:rPr>
        <w:t xml:space="preserve">Facilitator note: Students often identify the correct paragraph immediately but struggle to name specific distinguishing features. Push them beyond ‘B is better because it is more analytical’ — that is a conclusion, not a feature. The three features above are what they should be able to articulate.</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Task (b) — Guidance for the ‘your topic’ section</w:t>
      </w:r>
    </w:p>
    <w:p>
      <w:pPr>
        <w:spacing w:before="40" w:after="100"/>
      </w:pPr>
      <w:r>
        <w:rPr>
          <w:rFonts w:ascii="Calibri" w:cs="Calibri" w:eastAsia="Calibri" w:hAnsi="Calibri"/>
          <w:color w:val="2C2C2C"/>
          <w:sz w:val="20"/>
          <w:szCs w:val="20"/>
        </w:rPr>
        <w:t xml:space="preserve">Students cannot produce a model answer here because the topic is their own. However, a strong response has the following characteristics:</w:t>
      </w:r>
    </w:p>
    <w:p>
      <w:pPr>
        <w:spacing w:before="160" w:after="40"/>
      </w:pPr>
      <w:r>
        <w:rPr>
          <w:rFonts w:ascii="Calibri" w:cs="Calibri" w:eastAsia="Calibri" w:hAnsi="Calibri"/>
          <w:b/>
          <w:bCs/>
          <w:color w:val="2C2C2C"/>
          <w:sz w:val="20"/>
          <w:szCs w:val="20"/>
        </w:rPr>
        <w:t xml:space="preserve">The descriptive sentence:</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Names one author, states what they found, and stops. No evaluation, no consequence, no connection to any other study.</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Example of what a strong descriptive sentence looks like: ‘Smith (2020) examined employee engagement in the logistics sector and found that communication style was associated with retention rates.’</w:t>
      </w:r>
    </w:p>
    <w:p>
      <w:pPr>
        <w:spacing w:before="160" w:after="40"/>
      </w:pPr>
      <w:r>
        <w:rPr>
          <w:rFonts w:ascii="Calibri" w:cs="Calibri" w:eastAsia="Calibri" w:hAnsi="Calibri"/>
          <w:b/>
          <w:bCs/>
          <w:color w:val="2C2C2C"/>
          <w:sz w:val="20"/>
          <w:szCs w:val="20"/>
        </w:rPr>
        <w:t xml:space="preserve">The critical sentence:</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Does not begin with an author’s name. Begins with the intellectual issue or the theme.</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Makes an evaluative judgement about the literature rather than reporting a finding.</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Contains a limitation and a consequence or implication.</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Example of the move from descriptive to critical: ‘Studies examining employee engagement in logistics have focused predominantly on quantitative retention metrics, leaving the subjective experience of engagement — what employees understand it to mean in practice — theoretically underexplored.’</w:t>
      </w:r>
    </w:p>
    <w:p>
      <w:pPr>
        <w:spacing w:before="160" w:after="40"/>
      </w:pPr>
      <w:r>
        <w:rPr>
          <w:rFonts w:ascii="Calibri" w:cs="Calibri" w:eastAsia="Calibri" w:hAnsi="Calibri"/>
          <w:b/>
          <w:bCs/>
          <w:color w:val="2C2C2C"/>
          <w:sz w:val="20"/>
          <w:szCs w:val="20"/>
        </w:rPr>
        <w:t xml:space="preserve">What did you have to do differently?</w:t>
      </w:r>
    </w:p>
    <w:p>
      <w:pPr>
        <w:spacing w:before="40" w:after="100"/>
      </w:pPr>
      <w:r>
        <w:rPr>
          <w:rFonts w:ascii="Calibri" w:cs="Calibri" w:eastAsia="Calibri" w:hAnsi="Calibri"/>
          <w:color w:val="2C2C2C"/>
          <w:sz w:val="20"/>
          <w:szCs w:val="20"/>
        </w:rPr>
        <w:t xml:space="preserve">Students should articulate at least two of the following: they had to identify a limitation rather than report a finding; they had to shift from author-centred to theme-centred writing; they had to think about what the literature does not do rather than what it does; they had to connect their point to a gap or implication rather than stopping at the finding.</w:t>
      </w:r>
    </w:p>
    <w:p>
      <w:pPr>
        <w:spacing w:before="60" w:after="60"/>
      </w:pPr>
      <w:r>
        <w:rPr>
          <w:rFonts w:ascii="Calibri" w:cs="Calibri" w:eastAsia="Calibri" w:hAnsi="Calibri"/>
          <w:color w:val="888888"/>
          <w:sz w:val="18"/>
          <w:szCs w:val="18"/>
        </w:rPr>
        <w:t xml:space="preserve">Facilitator note: If students say they ‘added more detail’ or ‘made it longer’, redirect them. The difference between descriptive and critical writing is not quantity — it is the nature of the intellectual operation being performed.</w:t>
      </w:r>
    </w:p>
    <w:p>
      <w:r>
        <w:br w:type="page"/>
      </w:r>
    </w:p>
    <w:p>
      <w:pPr>
        <w:pStyle w:val="Heading1"/>
        <w:spacing w:before="360" w:after="120"/>
      </w:pPr>
      <w:r>
        <w:rPr>
          <w:rFonts w:ascii="Calibri" w:cs="Calibri" w:eastAsia="Calibri" w:hAnsi="Calibri"/>
          <w:b/>
          <w:bCs/>
          <w:color w:val="6D2E46"/>
          <w:sz w:val="32"/>
          <w:szCs w:val="32"/>
        </w:rPr>
        <w:t xml:space="preserve">Activity 2  ·  Gap Spotting</w:t>
      </w:r>
    </w:p>
    <w:p>
      <w:pPr>
        <w:pStyle w:val="Heading2"/>
        <w:spacing w:before="240" w:after="80"/>
      </w:pPr>
      <w:r>
        <w:rPr>
          <w:rFonts w:ascii="Calibri" w:cs="Calibri" w:eastAsia="Calibri" w:hAnsi="Calibri"/>
          <w:b/>
          <w:bCs/>
          <w:color w:val="6D2E46"/>
          <w:sz w:val="26"/>
          <w:szCs w:val="26"/>
        </w:rPr>
        <w:t xml:space="preserve">Task (a) — Shared scenario answer</w:t>
      </w:r>
    </w:p>
    <w:p>
      <w:pPr>
        <w:spacing w:before="160" w:after="40"/>
      </w:pPr>
      <w:r>
        <w:rPr>
          <w:rFonts w:ascii="Calibri" w:cs="Calibri" w:eastAsia="Calibri" w:hAnsi="Calibri"/>
          <w:b/>
          <w:bCs/>
          <w:color w:val="2C2C2C"/>
          <w:sz w:val="20"/>
          <w:szCs w:val="20"/>
        </w:rPr>
        <w:t xml:space="preserve">What Study A does NOT tell us (one sentence):</w:t>
      </w:r>
    </w:p>
    <w:p>
      <w:pPr>
        <w:spacing w:before="40" w:after="100"/>
      </w:pPr>
      <w:r>
        <w:rPr>
          <w:rFonts w:ascii="Calibri" w:cs="Calibri" w:eastAsia="Calibri" w:hAnsi="Calibri"/>
          <w:color w:val="2C2C2C"/>
          <w:sz w:val="20"/>
          <w:szCs w:val="20"/>
        </w:rPr>
        <w:t xml:space="preserve">Study A tells us that line manager behaviour correlates with wellbeing scores, but does not tell us how employees subjectively experience or make sense of that relationship, or what line management means to them in their specific working context.</w:t>
      </w:r>
    </w:p>
    <w:p>
      <w:pPr>
        <w:spacing w:before="160" w:after="40"/>
      </w:pPr>
      <w:r>
        <w:rPr>
          <w:rFonts w:ascii="Calibri" w:cs="Calibri" w:eastAsia="Calibri" w:hAnsi="Calibri"/>
          <w:b/>
          <w:bCs/>
          <w:color w:val="2C2C2C"/>
          <w:sz w:val="20"/>
          <w:szCs w:val="20"/>
        </w:rPr>
        <w:t xml:space="preserve">What Study B does NOT tell us (one sentence):</w:t>
      </w:r>
    </w:p>
    <w:p>
      <w:pPr>
        <w:spacing w:before="40" w:after="100"/>
      </w:pPr>
      <w:r>
        <w:rPr>
          <w:rFonts w:ascii="Calibri" w:cs="Calibri" w:eastAsia="Calibri" w:hAnsi="Calibri"/>
          <w:color w:val="2C2C2C"/>
          <w:sz w:val="20"/>
          <w:szCs w:val="20"/>
        </w:rPr>
        <w:t xml:space="preserve">Study B tells us that flexible working policy produces initial wellbeing improvement followed by plateau, but does not tell us why the plateau occurs or how employees interpret the limits of policy-driven change in their day-to-day working lives.</w:t>
      </w:r>
    </w:p>
    <w:p>
      <w:pPr>
        <w:spacing w:before="160" w:after="40"/>
      </w:pPr>
      <w:r>
        <w:rPr>
          <w:rFonts w:ascii="Calibri" w:cs="Calibri" w:eastAsia="Calibri" w:hAnsi="Calibri"/>
          <w:b/>
          <w:bCs/>
          <w:color w:val="2C2C2C"/>
          <w:sz w:val="20"/>
          <w:szCs w:val="20"/>
        </w:rPr>
        <w:t xml:space="preserve">What Study C does NOT tell us (one sentence):</w:t>
      </w:r>
    </w:p>
    <w:p>
      <w:pPr>
        <w:spacing w:before="40" w:after="100"/>
      </w:pPr>
      <w:r>
        <w:rPr>
          <w:rFonts w:ascii="Calibri" w:cs="Calibri" w:eastAsia="Calibri" w:hAnsi="Calibri"/>
          <w:color w:val="2C2C2C"/>
          <w:sz w:val="20"/>
          <w:szCs w:val="20"/>
        </w:rPr>
        <w:t xml:space="preserve">Study C tells us that senior leaders hold instrumental views of wellbeing, but does not tell us how front-line employees in that same organisation understand or experience wellbeing, nor how the tension between instrumental and experiential views plays out in practice.</w:t>
      </w:r>
    </w:p>
    <w:p>
      <w:pPr>
        <w:spacing w:before="160" w:after="40"/>
      </w:pPr>
      <w:r>
        <w:rPr>
          <w:rFonts w:ascii="Calibri" w:cs="Calibri" w:eastAsia="Calibri" w:hAnsi="Calibri"/>
          <w:b/>
          <w:bCs/>
          <w:color w:val="2C2C2C"/>
          <w:sz w:val="20"/>
          <w:szCs w:val="20"/>
        </w:rPr>
        <w:t xml:space="preserve">Synthesised gap statement:</w:t>
      </w:r>
    </w:p>
    <w:p>
      <w:pPr>
        <w:spacing w:before="80" w:after="100"/>
        <w:ind w:left="720"/>
      </w:pPr>
      <w:r>
        <w:rPr>
          <w:rFonts w:ascii="Calibri" w:cs="Calibri" w:eastAsia="Calibri" w:hAnsi="Calibri"/>
          <w:color w:val="555555"/>
          <w:sz w:val="20"/>
          <w:szCs w:val="20"/>
        </w:rPr>
        <w:t xml:space="preserve">"Existing research on employee wellbeing in SMEs has established significant correlations between management behaviour and wellbeing scores (Study A), tracked the limits of policy intervention over time (Study B), and begun to explore the conceptual gap between organisational and employee framings of wellbeing (Study C). However, these studies share a common absence: none examines how employees themselves construct meaning around wellbeing in their specific working context, how that meaning shifts over time or across hierarchies, or what subjective understandings of wellbeing the existing measurement instruments and policy frameworks are failing to capture. The gap is not simply empirical — it is interpretive. It calls for research that accesses the meanings employees attach to wellbeing rather than the scores, behaviours, or policies that surround it."</w:t>
      </w:r>
    </w:p>
    <w:p>
      <w:pPr>
        <w:spacing w:before="120" w:after="60"/>
      </w:pPr>
    </w:p>
    <w:p>
      <w:pPr>
        <w:spacing w:before="60" w:after="60"/>
      </w:pPr>
      <w:r>
        <w:rPr>
          <w:rFonts w:ascii="Calibri" w:cs="Calibri" w:eastAsia="Calibri" w:hAnsi="Calibri"/>
          <w:color w:val="888888"/>
          <w:sz w:val="18"/>
          <w:szCs w:val="18"/>
        </w:rPr>
        <w:t xml:space="preserve">Facilitator note: The key distinction to draw out is between identifying three separate absences and synthesising them into one argument. Many students will produce three gap sentences and stop. A doctoral-level gap statement is not a list of what is missing — it is an argument about why the cumulative pattern of absence matters and what it demands.</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Task (b) — Guidance for the ‘your topic’ section</w:t>
      </w:r>
    </w:p>
    <w:p>
      <w:pPr>
        <w:spacing w:before="40" w:after="100"/>
      </w:pPr>
      <w:r>
        <w:rPr>
          <w:rFonts w:ascii="Calibri" w:cs="Calibri" w:eastAsia="Calibri" w:hAnsi="Calibri"/>
          <w:color w:val="2C2C2C"/>
          <w:sz w:val="20"/>
          <w:szCs w:val="20"/>
        </w:rPr>
        <w:t xml:space="preserve">A strong gap statement on the student’s own topic follows the three-part structure exactly:</w:t>
      </w:r>
    </w:p>
    <w:p>
      <w:pPr>
        <w:spacing w:before="160" w:after="40"/>
      </w:pPr>
      <w:r>
        <w:rPr>
          <w:rFonts w:ascii="Calibri" w:cs="Calibri" w:eastAsia="Calibri" w:hAnsi="Calibri"/>
          <w:b/>
          <w:bCs/>
          <w:color w:val="2C2C2C"/>
          <w:sz w:val="20"/>
          <w:szCs w:val="20"/>
        </w:rPr>
        <w:t xml:space="preserve">Sentence 1: What we know</w:t>
      </w:r>
    </w:p>
    <w:p>
      <w:pPr>
        <w:spacing w:before="40" w:after="100"/>
      </w:pPr>
      <w:r>
        <w:rPr>
          <w:rFonts w:ascii="Calibri" w:cs="Calibri" w:eastAsia="Calibri" w:hAnsi="Calibri"/>
          <w:color w:val="2C2C2C"/>
          <w:sz w:val="20"/>
          <w:szCs w:val="20"/>
        </w:rPr>
        <w:t xml:space="preserve">Should cite at least two studies and describe what the literature has established. Not a summary of individual studies — a characterisation of what the field as a whole has done.</w:t>
      </w:r>
    </w:p>
    <w:p>
      <w:pPr>
        <w:spacing w:before="160" w:after="40"/>
      </w:pPr>
      <w:r>
        <w:rPr>
          <w:rFonts w:ascii="Calibri" w:cs="Calibri" w:eastAsia="Calibri" w:hAnsi="Calibri"/>
          <w:b/>
          <w:bCs/>
          <w:color w:val="2C2C2C"/>
          <w:sz w:val="20"/>
          <w:szCs w:val="20"/>
        </w:rPr>
        <w:t xml:space="preserve">Sentence 2: What remains unexamined</w:t>
      </w:r>
    </w:p>
    <w:p>
      <w:pPr>
        <w:spacing w:before="40" w:after="100"/>
      </w:pPr>
      <w:r>
        <w:rPr>
          <w:rFonts w:ascii="Calibri" w:cs="Calibri" w:eastAsia="Calibri" w:hAnsi="Calibri"/>
          <w:color w:val="2C2C2C"/>
          <w:sz w:val="20"/>
          <w:szCs w:val="20"/>
        </w:rPr>
        <w:t xml:space="preserve">Should be precise. Not ‘more research is needed’ but a specific articulation of what is absent: which population, which context, which kind of knowledge, which methodological approach is missing.</w:t>
      </w:r>
    </w:p>
    <w:p>
      <w:pPr>
        <w:spacing w:before="160" w:after="40"/>
      </w:pPr>
      <w:r>
        <w:rPr>
          <w:rFonts w:ascii="Calibri" w:cs="Calibri" w:eastAsia="Calibri" w:hAnsi="Calibri"/>
          <w:b/>
          <w:bCs/>
          <w:color w:val="2C2C2C"/>
          <w:sz w:val="20"/>
          <w:szCs w:val="20"/>
        </w:rPr>
        <w:t xml:space="preserve">Sentence 3: Why an interpretivist pilot is the appropriate response</w:t>
      </w:r>
    </w:p>
    <w:p>
      <w:pPr>
        <w:spacing w:before="40" w:after="100"/>
      </w:pPr>
      <w:r>
        <w:rPr>
          <w:rFonts w:ascii="Calibri" w:cs="Calibri" w:eastAsia="Calibri" w:hAnsi="Calibri"/>
          <w:color w:val="2C2C2C"/>
          <w:sz w:val="20"/>
          <w:szCs w:val="20"/>
        </w:rPr>
        <w:t xml:space="preserve">Should connect the absence directly to the need for interpretive inquiry. The word ‘meanings’, ‘experience’, ‘interpretation’, or ‘understanding’ should appear. The pilot should be framed as the first step toward filling the gap, not as the full response to it.</w:t>
      </w:r>
    </w:p>
    <w:p>
      <w:pPr>
        <w:spacing w:before="160" w:after="40"/>
      </w:pPr>
      <w:r>
        <w:rPr>
          <w:rFonts w:ascii="Calibri" w:cs="Calibri" w:eastAsia="Calibri" w:hAnsi="Calibri"/>
          <w:b/>
          <w:bCs/>
          <w:color w:val="2C2C2C"/>
          <w:sz w:val="20"/>
          <w:szCs w:val="20"/>
        </w:rPr>
        <w:t xml:space="preserve">Example of a strong student response (hypothetical topic: SME leadership in post-conflict regions):</w:t>
      </w:r>
    </w:p>
    <w:p>
      <w:pPr>
        <w:spacing w:before="80" w:after="100"/>
        <w:ind w:left="720"/>
      </w:pPr>
      <w:r>
        <w:rPr>
          <w:rFonts w:ascii="Calibri" w:cs="Calibri" w:eastAsia="Calibri" w:hAnsi="Calibri"/>
          <w:color w:val="555555"/>
          <w:sz w:val="20"/>
          <w:szCs w:val="20"/>
        </w:rPr>
        <w:t xml:space="preserve">"Studies of SME leadership in fragile and post-conflict contexts have documented structural barriers to growth and governance challenges (Bruton et al., 2018; Tracey and Phillips, 2011). However, no study has examined how leaders in these contexts construct their own authority and legitimacy in relation to informal community expectations — a question that quantitative governance frameworks are not designed to address. An interpretivist pilot, using semi-structured interviews, provides the appropriate first step because the research question asks how leaders make sense of their role, which requires access to meaning rather than measurement."</w:t>
      </w:r>
    </w:p>
    <w:p>
      <w:r>
        <w:br w:type="page"/>
      </w:r>
    </w:p>
    <w:p>
      <w:pPr>
        <w:pStyle w:val="Heading1"/>
        <w:spacing w:before="360" w:after="120"/>
      </w:pPr>
      <w:r>
        <w:rPr>
          <w:rFonts w:ascii="Calibri" w:cs="Calibri" w:eastAsia="Calibri" w:hAnsi="Calibri"/>
          <w:b/>
          <w:bCs/>
          <w:color w:val="6D2E46"/>
          <w:sz w:val="32"/>
          <w:szCs w:val="32"/>
        </w:rPr>
        <w:t xml:space="preserve">Activity 3  ·  Concept Mapping</w:t>
      </w:r>
    </w:p>
    <w:p>
      <w:pPr>
        <w:pStyle w:val="Heading2"/>
        <w:spacing w:before="240" w:after="80"/>
      </w:pPr>
      <w:r>
        <w:rPr>
          <w:rFonts w:ascii="Calibri" w:cs="Calibri" w:eastAsia="Calibri" w:hAnsi="Calibri"/>
          <w:b/>
          <w:bCs/>
          <w:color w:val="6D2E46"/>
          <w:sz w:val="26"/>
          <w:szCs w:val="26"/>
        </w:rPr>
        <w:t xml:space="preserve">Task (a) — Completed concept map for the shared scenario</w:t>
      </w:r>
    </w:p>
    <w:p>
      <w:pPr>
        <w:spacing w:before="40" w:after="100"/>
      </w:pPr>
      <w:r>
        <w:rPr>
          <w:rFonts w:ascii="Calibri" w:cs="Calibri" w:eastAsia="Calibri" w:hAnsi="Calibri"/>
          <w:color w:val="2C2C2C"/>
          <w:sz w:val="20"/>
          <w:szCs w:val="20"/>
        </w:rPr>
        <w:t xml:space="preserve">Shared scenario: How do middle managers in UK financial services firms experience and make sense of organisational change?</w:t>
      </w:r>
    </w:p>
    <w:p>
      <w:pPr>
        <w:spacing w:before="120" w:after="6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000"/>
        <w:gridCol w:w="7026"/>
      </w:tblGrid>
      <w:tr>
        <w:tc>
          <w:tcPr>
            <w:tcW w:type="dxa" w:w="2000"/>
            <w:tcBorders>
              <w:top w:val="single" w:color="CCCCCC" w:sz="1"/>
              <w:left w:val="single" w:color="CCCCCC" w:sz="1"/>
              <w:bottom w:val="single" w:color="CCCCCC" w:sz="1"/>
              <w:right w:val="single" w:color="CCCCCC" w:sz="1"/>
            </w:tcBorders>
            <w:shd w:fill="6D2E46" w:val="clear"/>
            <w:tcMar>
              <w:top w:type="dxa" w:w="100"/>
              <w:left w:type="dxa" w:w="150"/>
              <w:bottom w:type="dxa" w:w="100"/>
              <w:right w:type="dxa" w:w="150"/>
            </w:tcMar>
          </w:tcPr>
          <w:p>
            <w:r>
              <w:rPr>
                <w:rFonts w:ascii="Calibri" w:cs="Calibri" w:eastAsia="Calibri" w:hAnsi="Calibri"/>
                <w:b/>
                <w:bCs/>
                <w:color w:val="FFFFFF"/>
                <w:sz w:val="20"/>
                <w:szCs w:val="20"/>
              </w:rPr>
              <w:t xml:space="preserve">1. Broad field</w:t>
            </w:r>
          </w:p>
        </w:tc>
        <w:tc>
          <w:tcPr>
            <w:tcW w:type="dxa" w:w="7026"/>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Organisational change and change management; managerial work; financial services sector studies.</w:t>
            </w:r>
          </w:p>
        </w:tc>
      </w:tr>
      <w:tr>
        <w:tc>
          <w:tcPr>
            <w:tcW w:type="dxa" w:w="2000"/>
            <w:tcBorders>
              <w:top w:val="single" w:color="CCCCCC" w:sz="1"/>
              <w:left w:val="single" w:color="CCCCCC" w:sz="1"/>
              <w:bottom w:val="single" w:color="CCCCCC" w:sz="1"/>
              <w:right w:val="single" w:color="CCCCCC" w:sz="1"/>
            </w:tcBorders>
            <w:shd w:fill="F2ECF0" w:val="clear"/>
            <w:tcMar>
              <w:top w:type="dxa" w:w="100"/>
              <w:left w:type="dxa" w:w="150"/>
              <w:bottom w:type="dxa" w:w="100"/>
              <w:right w:type="dxa" w:w="150"/>
            </w:tcMar>
          </w:tcPr>
          <w:p>
            <w:r>
              <w:rPr>
                <w:rFonts w:ascii="Calibri" w:cs="Calibri" w:eastAsia="Calibri" w:hAnsi="Calibri"/>
                <w:b/>
                <w:bCs/>
                <w:color w:val="6D2E46"/>
                <w:sz w:val="20"/>
                <w:szCs w:val="20"/>
              </w:rPr>
              <w:t xml:space="preserve">2. Key concepts</w:t>
            </w:r>
          </w:p>
        </w:tc>
        <w:tc>
          <w:tcPr>
            <w:tcW w:type="dxa" w:w="7026"/>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Sensemaking; managerial identity; middle management; organisational change; experience and meaning-making.</w:t>
            </w:r>
          </w:p>
        </w:tc>
      </w:tr>
      <w:tr>
        <w:tc>
          <w:tcPr>
            <w:tcW w:type="dxa" w:w="2000"/>
            <w:tcBorders>
              <w:top w:val="single" w:color="CCCCCC" w:sz="1"/>
              <w:left w:val="single" w:color="CCCCCC" w:sz="1"/>
              <w:bottom w:val="single" w:color="CCCCCC" w:sz="1"/>
              <w:right w:val="single" w:color="CCCCCC" w:sz="1"/>
            </w:tcBorders>
            <w:shd w:fill="6D2E46" w:val="clear"/>
            <w:tcMar>
              <w:top w:type="dxa" w:w="100"/>
              <w:left w:type="dxa" w:w="150"/>
              <w:bottom w:type="dxa" w:w="100"/>
              <w:right w:type="dxa" w:w="150"/>
            </w:tcMar>
          </w:tcPr>
          <w:p>
            <w:r>
              <w:rPr>
                <w:rFonts w:ascii="Calibri" w:cs="Calibri" w:eastAsia="Calibri" w:hAnsi="Calibri"/>
                <w:b/>
                <w:bCs/>
                <w:color w:val="FFFFFF"/>
                <w:sz w:val="20"/>
                <w:szCs w:val="20"/>
              </w:rPr>
              <w:t xml:space="preserve">3. Theories</w:t>
            </w:r>
          </w:p>
        </w:tc>
        <w:tc>
          <w:tcPr>
            <w:tcW w:type="dxa" w:w="7026"/>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Weick's (1995) sensemaking theory — selected because it explains how individuals construct meaning from ambiguous organisational situations through retrospective interpretation. Giddens' structuration theory may also feature. Kotter's (1996) change management framework is foundational but primarily structural rather than interpretive.</w:t>
            </w:r>
          </w:p>
        </w:tc>
      </w:tr>
      <w:tr>
        <w:tc>
          <w:tcPr>
            <w:tcW w:type="dxa" w:w="2000"/>
            <w:tcBorders>
              <w:top w:val="single" w:color="CCCCCC" w:sz="1"/>
              <w:left w:val="single" w:color="CCCCCC" w:sz="1"/>
              <w:bottom w:val="single" w:color="CCCCCC" w:sz="1"/>
              <w:right w:val="single" w:color="CCCCCC" w:sz="1"/>
            </w:tcBorders>
            <w:shd w:fill="F2ECF0" w:val="clear"/>
            <w:tcMar>
              <w:top w:type="dxa" w:w="100"/>
              <w:left w:type="dxa" w:w="150"/>
              <w:bottom w:type="dxa" w:w="100"/>
              <w:right w:type="dxa" w:w="150"/>
            </w:tcMar>
          </w:tcPr>
          <w:p>
            <w:r>
              <w:rPr>
                <w:rFonts w:ascii="Calibri" w:cs="Calibri" w:eastAsia="Calibri" w:hAnsi="Calibri"/>
                <w:b/>
                <w:bCs/>
                <w:color w:val="6D2E46"/>
                <w:sz w:val="20"/>
                <w:szCs w:val="20"/>
              </w:rPr>
              <w:t xml:space="preserve">4. Your context</w:t>
            </w:r>
          </w:p>
        </w:tc>
        <w:tc>
          <w:tcPr>
            <w:tcW w:type="dxa" w:w="7026"/>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UK financial services sector — specifically post-2008 regulatory restructuring environment. Middle managers are extensively studied in general change management literature but under-examined specifically within heavily regulated financial services contexts where change is driven by external regulatory compulsion rather than strategic choice.</w:t>
            </w:r>
          </w:p>
        </w:tc>
      </w:tr>
      <w:tr>
        <w:tc>
          <w:tcPr>
            <w:tcW w:type="dxa" w:w="2000"/>
            <w:tcBorders>
              <w:top w:val="single" w:color="CCCCCC" w:sz="1"/>
              <w:left w:val="single" w:color="CCCCCC" w:sz="1"/>
              <w:bottom w:val="single" w:color="CCCCCC" w:sz="1"/>
              <w:right w:val="single" w:color="CCCCCC" w:sz="1"/>
            </w:tcBorders>
            <w:shd w:fill="6D2E46" w:val="clear"/>
            <w:tcMar>
              <w:top w:type="dxa" w:w="100"/>
              <w:left w:type="dxa" w:w="150"/>
              <w:bottom w:type="dxa" w:w="100"/>
              <w:right w:type="dxa" w:w="150"/>
            </w:tcMar>
          </w:tcPr>
          <w:p>
            <w:r>
              <w:rPr>
                <w:rFonts w:ascii="Calibri" w:cs="Calibri" w:eastAsia="Calibri" w:hAnsi="Calibri"/>
                <w:b/>
                <w:bCs/>
                <w:color w:val="FFFFFF"/>
                <w:sz w:val="20"/>
                <w:szCs w:val="20"/>
              </w:rPr>
              <w:t xml:space="preserve">5. The gap</w:t>
            </w:r>
          </w:p>
        </w:tc>
        <w:tc>
          <w:tcPr>
            <w:tcW w:type="dxa" w:w="7026"/>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The interpretive experience of middle managers navigating regulatory-driven change in UK financial services has not been examined through a sensemaking lens. The literature knows what middle managers do during change; it does not know how they construct meaning around authority, identity, and responsibility when the impetus for change is externally imposed and the consequences are institutional rather than strategic.</w:t>
            </w:r>
          </w:p>
        </w:tc>
      </w:tr>
    </w:tbl>
    <w:p>
      <w:pPr>
        <w:spacing w:before="160" w:after="60"/>
      </w:pPr>
    </w:p>
    <w:p>
      <w:pPr>
        <w:spacing w:before="60" w:after="60"/>
      </w:pPr>
      <w:r>
        <w:rPr>
          <w:rFonts w:ascii="Calibri" w:cs="Calibri" w:eastAsia="Calibri" w:hAnsi="Calibri"/>
          <w:color w:val="888888"/>
          <w:sz w:val="18"/>
          <w:szCs w:val="18"/>
        </w:rPr>
        <w:t xml:space="preserve">Facilitator note: The concept map is not a list of topics to cover. It is an argument about intellectual territory — what the study must engage with before it can justify its own gap. Students who produce a list of keywords rather than connected concepts will need guidance on the distinction.</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Task (b) — Guidance for the ‘your topic’ section</w:t>
      </w:r>
    </w:p>
    <w:p>
      <w:pPr>
        <w:spacing w:before="40" w:after="100"/>
      </w:pPr>
      <w:r>
        <w:rPr>
          <w:rFonts w:ascii="Calibri" w:cs="Calibri" w:eastAsia="Calibri" w:hAnsi="Calibri"/>
          <w:color w:val="2C2C2C"/>
          <w:sz w:val="20"/>
          <w:szCs w:val="20"/>
        </w:rPr>
        <w:t xml:space="preserve">A strong concept map on the student’s own topic will:</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Name a broad field that is wider than the specific topic — not just the research question restated as a domain.</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Identify 3–4 key concepts that the LR must address, not just mention. Each concept should have at least one associated theory or theorist.</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Include at least one named theory, with a brief note on why it is relevant rather than simply what it says.</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Describe the context precisely enough that the gap follows naturally from it — i.e. the context is not just a demographic label but an intellectual location.</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Articulate a gap that is the intersection of boxes 2, 3, and 4 — the specific combination of concepts, theory, and context that is absent from the existing literature.</w:t>
      </w:r>
    </w:p>
    <w:p>
      <w:pPr>
        <w:spacing w:before="160" w:after="40"/>
      </w:pPr>
      <w:r>
        <w:rPr>
          <w:rFonts w:ascii="Calibri" w:cs="Calibri" w:eastAsia="Calibri" w:hAnsi="Calibri"/>
          <w:b/>
          <w:bCs/>
          <w:color w:val="2C2C2C"/>
          <w:sz w:val="20"/>
          <w:szCs w:val="20"/>
        </w:rPr>
        <w:t xml:space="preserve">Where boxes 4 and 5 differ from the shared scenario:</w:t>
      </w:r>
    </w:p>
    <w:p>
      <w:pPr>
        <w:spacing w:before="40" w:after="100"/>
      </w:pPr>
      <w:r>
        <w:rPr>
          <w:rFonts w:ascii="Calibri" w:cs="Calibri" w:eastAsia="Calibri" w:hAnsi="Calibri"/>
          <w:color w:val="2C2C2C"/>
          <w:sz w:val="20"/>
          <w:szCs w:val="20"/>
        </w:rPr>
        <w:t xml:space="preserve">This is the key question. Students should be able to say: my context differs because [X], and therefore my gap is located differently because [Y]. If they cannot say this, their concept map is not yet doing its work.</w:t>
      </w:r>
    </w:p>
    <w:p>
      <w:r>
        <w:br w:type="page"/>
      </w:r>
    </w:p>
    <w:p>
      <w:pPr>
        <w:pStyle w:val="Heading1"/>
        <w:spacing w:before="360" w:after="120"/>
      </w:pPr>
      <w:r>
        <w:rPr>
          <w:rFonts w:ascii="Calibri" w:cs="Calibri" w:eastAsia="Calibri" w:hAnsi="Calibri"/>
          <w:b/>
          <w:bCs/>
          <w:color w:val="6D2E46"/>
          <w:sz w:val="32"/>
          <w:szCs w:val="32"/>
        </w:rPr>
        <w:t xml:space="preserve">Activity 4  ·  Paradigm Sorting</w:t>
      </w:r>
    </w:p>
    <w:p>
      <w:pPr>
        <w:pStyle w:val="Heading2"/>
        <w:spacing w:before="240" w:after="80"/>
      </w:pPr>
      <w:r>
        <w:rPr>
          <w:rFonts w:ascii="Calibri" w:cs="Calibri" w:eastAsia="Calibri" w:hAnsi="Calibri"/>
          <w:b/>
          <w:bCs/>
          <w:color w:val="6D2E46"/>
          <w:sz w:val="26"/>
          <w:szCs w:val="26"/>
        </w:rPr>
        <w:t xml:space="preserve">Task (a) — Paradigm matches and discussion</w:t>
      </w:r>
    </w:p>
    <w:p>
      <w:pPr>
        <w:spacing w:before="160" w:after="40"/>
      </w:pPr>
      <w:r>
        <w:rPr>
          <w:rFonts w:ascii="Calibri" w:cs="Calibri" w:eastAsia="Calibri" w:hAnsi="Calibri"/>
          <w:b/>
          <w:bCs/>
          <w:color w:val="2C2C2C"/>
          <w:sz w:val="20"/>
          <w:szCs w:val="20"/>
        </w:rPr>
        <w:t xml:space="preserve">Correct matches:</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LR Description A → Positivism. The deductive structure, focus on causal evidence, measurement instruments, and hypothesis-building are all characteristic of positivist inquiry.</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LR Description B → Interpretivism. The focus on experience, meaning, and sensitising concepts; the open question about whose experiences are missing; and the absence of hypothesis or measurement are all interpretivist hallmarks.</w:t>
      </w:r>
    </w:p>
    <w:p>
      <w:pPr>
        <w:pStyle w:val="ListParagraph"/>
        <w:numPr>
          <w:ilvl w:val="0"/>
          <w:numId w:val="2"/>
        </w:numPr>
        <w:spacing w:before="40" w:after="60"/>
      </w:pPr>
      <w:r>
        <w:rPr>
          <w:rFonts w:ascii="Calibri" w:cs="Calibri" w:eastAsia="Calibri" w:hAnsi="Calibri"/>
          <w:b w:val="false"/>
          <w:bCs w:val="false"/>
          <w:color w:val="2C2C2C"/>
          <w:sz w:val="20"/>
          <w:szCs w:val="20"/>
        </w:rPr>
        <w:t xml:space="preserve">LR Description C → Pragmatism. The focus on practical outcomes, what has worked, transferability, and a mixed-methods justification based on actionability rather than ontological position is characteristic of pragmatist inquiry.</w:t>
      </w:r>
    </w:p>
    <w:p>
      <w:pPr>
        <w:spacing w:before="160" w:after="40"/>
      </w:pPr>
      <w:r>
        <w:rPr>
          <w:rFonts w:ascii="Calibri" w:cs="Calibri" w:eastAsia="Calibri" w:hAnsi="Calibri"/>
          <w:b/>
          <w:bCs/>
          <w:color w:val="2C2C2C"/>
          <w:sz w:val="20"/>
          <w:szCs w:val="20"/>
        </w:rPr>
        <w:t xml:space="preserve">The single biggest difference between B and C:</w:t>
      </w:r>
    </w:p>
    <w:p>
      <w:pPr>
        <w:spacing w:before="40" w:after="100"/>
      </w:pPr>
      <w:r>
        <w:rPr>
          <w:rFonts w:ascii="Calibri" w:cs="Calibri" w:eastAsia="Calibri" w:hAnsi="Calibri"/>
          <w:color w:val="2C2C2C"/>
          <w:sz w:val="20"/>
          <w:szCs w:val="20"/>
        </w:rPr>
        <w:t xml:space="preserve">Description B asks what leadership means to employees — it seeks subjective understanding and is guided by an ontological commitment to meaning and experience as the primary object of inquiry. Description C asks what works — it is guided by practical utility and is indifferent to ontological position, selecting methods based on what will generate the most actionable knowledge. The difference is between a paradigm grounded in epistemology (B: how do we know what experience means?) and one grounded in outcome (C: what produces useful results?). Students who say ‘B uses qualitative methods and C uses mixed methods’ have identified a consequence of the difference, not the difference itself.</w:t>
      </w:r>
    </w:p>
    <w:p>
      <w:pPr>
        <w:spacing w:before="120" w:after="60"/>
      </w:pPr>
    </w:p>
    <w:p>
      <w:pPr>
        <w:spacing w:before="60" w:after="60"/>
      </w:pPr>
      <w:r>
        <w:rPr>
          <w:rFonts w:ascii="Calibri" w:cs="Calibri" w:eastAsia="Calibri" w:hAnsi="Calibri"/>
          <w:color w:val="888888"/>
          <w:sz w:val="18"/>
          <w:szCs w:val="18"/>
        </w:rPr>
        <w:t xml:space="preserve">Facilitator note: Many students conflate interpretivism with qualitative methods and pragmatism with mixed methods. Redirect to the underlying question each paradigm is asking. The method follows from the paradigm; it does not constitute it.</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Task (b) — Guidance for the ‘your topic’ section</w:t>
      </w:r>
    </w:p>
    <w:p>
      <w:pPr>
        <w:spacing w:before="40" w:after="100"/>
      </w:pPr>
      <w:r>
        <w:rPr>
          <w:rFonts w:ascii="Calibri" w:cs="Calibri" w:eastAsia="Calibri" w:hAnsi="Calibri"/>
          <w:color w:val="2C2C2C"/>
          <w:sz w:val="20"/>
          <w:szCs w:val="20"/>
        </w:rPr>
        <w:t xml:space="preserve">A strong response completes the sentence authentically rather than generically. The following pattern indicates doctoral-level understanding:</w:t>
      </w:r>
    </w:p>
    <w:p>
      <w:pPr>
        <w:spacing w:before="160" w:after="40"/>
      </w:pPr>
      <w:r>
        <w:rPr>
          <w:rFonts w:ascii="Calibri" w:cs="Calibri" w:eastAsia="Calibri" w:hAnsi="Calibri"/>
          <w:b/>
          <w:bCs/>
          <w:color w:val="2C2C2C"/>
          <w:sz w:val="20"/>
          <w:szCs w:val="20"/>
        </w:rPr>
        <w:t xml:space="preserve">Weak response (generic):</w:t>
      </w:r>
    </w:p>
    <w:p>
      <w:pPr>
        <w:spacing w:before="80" w:after="100"/>
        <w:ind w:left="720"/>
      </w:pPr>
      <w:r>
        <w:rPr>
          <w:rFonts w:ascii="Calibri" w:cs="Calibri" w:eastAsia="Calibri" w:hAnsi="Calibri"/>
          <w:color w:val="555555"/>
          <w:sz w:val="20"/>
          <w:szCs w:val="20"/>
        </w:rPr>
        <w:t xml:space="preserve">"This pilot uses an interpretivist approach because interpretivism focuses on meaning and experience."</w:t>
      </w:r>
    </w:p>
    <w:p>
      <w:pPr>
        <w:spacing w:before="40" w:after="100"/>
      </w:pPr>
      <w:r>
        <w:rPr>
          <w:rFonts w:ascii="Calibri" w:cs="Calibri" w:eastAsia="Calibri" w:hAnsi="Calibri"/>
          <w:color w:val="2C2C2C"/>
          <w:sz w:val="20"/>
          <w:szCs w:val="20"/>
        </w:rPr>
        <w:t xml:space="preserve">This restates the definition. It does not connect interpretivism to the specific research question.</w:t>
      </w:r>
    </w:p>
    <w:p>
      <w:pPr>
        <w:spacing w:before="160" w:after="40"/>
      </w:pPr>
      <w:r>
        <w:rPr>
          <w:rFonts w:ascii="Calibri" w:cs="Calibri" w:eastAsia="Calibri" w:hAnsi="Calibri"/>
          <w:b/>
          <w:bCs/>
          <w:color w:val="2C2C2C"/>
          <w:sz w:val="20"/>
          <w:szCs w:val="20"/>
        </w:rPr>
        <w:t xml:space="preserve">Strong response (topic-specific):</w:t>
      </w:r>
    </w:p>
    <w:p>
      <w:pPr>
        <w:spacing w:before="80" w:after="100"/>
        <w:ind w:left="720"/>
      </w:pPr>
      <w:r>
        <w:rPr>
          <w:rFonts w:ascii="Calibri" w:cs="Calibri" w:eastAsia="Calibri" w:hAnsi="Calibri"/>
          <w:color w:val="555555"/>
          <w:sz w:val="20"/>
          <w:szCs w:val="20"/>
        </w:rPr>
        <w:t xml:space="preserve">"This pilot uses an interpretivist approach because my research question asks how procurement managers in public sector organisations experience and make sense of ethical dilemmas, which requires access to the meanings they attach to competing obligations rather than measurement of their decision-making frequency or outcomes."</w:t>
      </w:r>
    </w:p>
    <w:p>
      <w:pPr>
        <w:spacing w:before="40" w:after="100"/>
      </w:pPr>
      <w:r>
        <w:rPr>
          <w:rFonts w:ascii="Calibri" w:cs="Calibri" w:eastAsia="Calibri" w:hAnsi="Calibri"/>
          <w:color w:val="2C2C2C"/>
          <w:sz w:val="20"/>
          <w:szCs w:val="20"/>
        </w:rPr>
        <w:t xml:space="preserve">The strong response names the research question, identifies what the question is asking for (meanings, experience, interpretation), and makes explicit what an alternative approach would have produced instead (measurement, frequency, outcomes). Each of these three moves must be present for the sentence to be doctorally adequate.</w:t>
      </w:r>
    </w:p>
    <w:p>
      <w:r>
        <w:br w:type="page"/>
      </w:r>
    </w:p>
    <w:p>
      <w:pPr>
        <w:pStyle w:val="Heading1"/>
        <w:spacing w:before="360" w:after="120"/>
      </w:pPr>
      <w:r>
        <w:rPr>
          <w:rFonts w:ascii="Calibri" w:cs="Calibri" w:eastAsia="Calibri" w:hAnsi="Calibri"/>
          <w:b/>
          <w:bCs/>
          <w:color w:val="6D2E46"/>
          <w:sz w:val="32"/>
          <w:szCs w:val="32"/>
        </w:rPr>
        <w:t xml:space="preserve">Activity 5  ·  Framework Unpacking</w:t>
      </w:r>
    </w:p>
    <w:p>
      <w:pPr>
        <w:pStyle w:val="Heading2"/>
        <w:spacing w:before="240" w:after="80"/>
      </w:pPr>
      <w:r>
        <w:rPr>
          <w:rFonts w:ascii="Calibri" w:cs="Calibri" w:eastAsia="Calibri" w:hAnsi="Calibri"/>
          <w:b/>
          <w:bCs/>
          <w:color w:val="6D2E46"/>
          <w:sz w:val="26"/>
          <w:szCs w:val="26"/>
        </w:rPr>
        <w:t xml:space="preserve">Task (a) — Locating and labelling the three components</w:t>
      </w:r>
    </w:p>
    <w:p>
      <w:pPr>
        <w:spacing w:before="160" w:after="40"/>
      </w:pPr>
      <w:r>
        <w:rPr>
          <w:rFonts w:ascii="Calibri" w:cs="Calibri" w:eastAsia="Calibri" w:hAnsi="Calibri"/>
          <w:b/>
          <w:bCs/>
          <w:color w:val="2C2C2C"/>
          <w:sz w:val="20"/>
          <w:szCs w:val="20"/>
        </w:rPr>
        <w:t xml:space="preserve">Where each component appears in the worked example: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00"/>
        <w:gridCol w:w="3000"/>
        <w:gridCol w:w="3826"/>
      </w:tblGrid>
      <w:tr>
        <w:tc>
          <w:tcPr>
            <w:tcW w:type="dxa" w:w="2200"/>
            <w:tcBorders>
              <w:top w:val="single" w:color="CCCCCC" w:sz="1"/>
              <w:left w:val="single" w:color="CCCCCC" w:sz="1"/>
              <w:bottom w:val="single" w:color="CCCCCC" w:sz="1"/>
              <w:right w:val="single" w:color="CCCCCC" w:sz="1"/>
            </w:tcBorders>
            <w:shd w:fill="6D2E46" w:val="clear"/>
            <w:tcMar>
              <w:top w:type="dxa" w:w="100"/>
              <w:left w:type="dxa" w:w="150"/>
              <w:bottom w:type="dxa" w:w="100"/>
              <w:right w:type="dxa" w:w="150"/>
            </w:tcMar>
          </w:tcPr>
          <w:p>
            <w:r>
              <w:rPr>
                <w:rFonts w:ascii="Calibri" w:cs="Calibri" w:eastAsia="Calibri" w:hAnsi="Calibri"/>
                <w:b/>
                <w:bCs/>
                <w:color w:val="FFFFFF"/>
                <w:sz w:val="20"/>
                <w:szCs w:val="20"/>
              </w:rPr>
              <w:t xml:space="preserve">Component</w:t>
            </w:r>
          </w:p>
        </w:tc>
        <w:tc>
          <w:tcPr>
            <w:tcW w:type="dxa" w:w="3000"/>
            <w:tcBorders>
              <w:top w:val="single" w:color="CCCCCC" w:sz="1"/>
              <w:left w:val="single" w:color="CCCCCC" w:sz="1"/>
              <w:bottom w:val="single" w:color="CCCCCC" w:sz="1"/>
              <w:right w:val="single" w:color="CCCCCC" w:sz="1"/>
            </w:tcBorders>
            <w:shd w:fill="6D2E46" w:val="clear"/>
            <w:tcMar>
              <w:top w:type="dxa" w:w="100"/>
              <w:left w:type="dxa" w:w="150"/>
              <w:bottom w:type="dxa" w:w="100"/>
              <w:right w:type="dxa" w:w="150"/>
            </w:tcMar>
          </w:tcPr>
          <w:p>
            <w:r>
              <w:rPr>
                <w:rFonts w:ascii="Calibri" w:cs="Calibri" w:eastAsia="Calibri" w:hAnsi="Calibri"/>
                <w:b/>
                <w:bCs/>
                <w:color w:val="FFFFFF"/>
                <w:sz w:val="20"/>
                <w:szCs w:val="20"/>
              </w:rPr>
              <w:t xml:space="preserve">Location in extract</w:t>
            </w:r>
          </w:p>
        </w:tc>
        <w:tc>
          <w:tcPr>
            <w:tcW w:type="dxa" w:w="3826"/>
            <w:tcBorders>
              <w:top w:val="single" w:color="CCCCCC" w:sz="1"/>
              <w:left w:val="single" w:color="CCCCCC" w:sz="1"/>
              <w:bottom w:val="single" w:color="CCCCCC" w:sz="1"/>
              <w:right w:val="single" w:color="CCCCCC" w:sz="1"/>
            </w:tcBorders>
            <w:shd w:fill="6D2E46" w:val="clear"/>
            <w:tcMar>
              <w:top w:type="dxa" w:w="100"/>
              <w:left w:type="dxa" w:w="150"/>
              <w:bottom w:type="dxa" w:w="100"/>
              <w:right w:type="dxa" w:w="150"/>
            </w:tcMar>
          </w:tcPr>
          <w:p>
            <w:r>
              <w:rPr>
                <w:rFonts w:ascii="Calibri" w:cs="Calibri" w:eastAsia="Calibri" w:hAnsi="Calibri"/>
                <w:b/>
                <w:bCs/>
                <w:color w:val="FFFFFF"/>
                <w:sz w:val="20"/>
                <w:szCs w:val="20"/>
              </w:rPr>
              <w:t xml:space="preserve">What makes it different from the others</w:t>
            </w:r>
          </w:p>
        </w:tc>
      </w:tr>
      <w:tr>
        <w:tc>
          <w:tcPr>
            <w:tcW w:type="dxa" w:w="2200"/>
            <w:tcBorders>
              <w:top w:val="single" w:color="CCCCCC" w:sz="1"/>
              <w:left w:val="single" w:color="CCCCCC" w:sz="1"/>
              <w:bottom w:val="single" w:color="CCCCCC" w:sz="1"/>
              <w:right w:val="single" w:color="CCCCCC" w:sz="1"/>
            </w:tcBorders>
            <w:shd w:fill="F2ECF0" w:val="clear"/>
            <w:tcMar>
              <w:top w:type="dxa" w:w="100"/>
              <w:left w:type="dxa" w:w="150"/>
              <w:bottom w:type="dxa" w:w="100"/>
              <w:right w:type="dxa" w:w="150"/>
            </w:tcMar>
          </w:tcPr>
          <w:p>
            <w:r>
              <w:rPr>
                <w:rFonts w:ascii="Calibri" w:cs="Calibri" w:eastAsia="Calibri" w:hAnsi="Calibri"/>
                <w:b/>
                <w:bCs/>
                <w:color w:val="6D2E46"/>
                <w:sz w:val="20"/>
                <w:szCs w:val="20"/>
              </w:rPr>
              <w:t xml:space="preserve">Theory</w:t>
            </w:r>
          </w:p>
        </w:tc>
        <w:tc>
          <w:tcPr>
            <w:tcW w:type="dxa" w:w="3000"/>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Paragraph 1 (labelled [Theory]): Douglas and Wildavsky (1982), Knight (1921). The review of existing theoretical literature on risk as a construct.</w:t>
            </w:r>
          </w:p>
        </w:tc>
        <w:tc>
          <w:tcPr>
            <w:tcW w:type="dxa" w:w="3826"/>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Theory is OTHER scholars' work. The student reviews it but does not select or own it. It defines the intellectual landscape of the area.</w:t>
            </w:r>
          </w:p>
        </w:tc>
      </w:tr>
      <w:tr>
        <w:tc>
          <w:tcPr>
            <w:tcW w:type="dxa" w:w="2200"/>
            <w:tcBorders>
              <w:top w:val="single" w:color="CCCCCC" w:sz="1"/>
              <w:left w:val="single" w:color="CCCCCC" w:sz="1"/>
              <w:bottom w:val="single" w:color="CCCCCC" w:sz="1"/>
              <w:right w:val="single" w:color="CCCCCC" w:sz="1"/>
            </w:tcBorders>
            <w:shd w:fill="F8F8F8" w:val="clear"/>
            <w:tcMar>
              <w:top w:type="dxa" w:w="100"/>
              <w:left w:type="dxa" w:w="150"/>
              <w:bottom w:type="dxa" w:w="100"/>
              <w:right w:type="dxa" w:w="150"/>
            </w:tcMar>
          </w:tcPr>
          <w:p>
            <w:r>
              <w:rPr>
                <w:rFonts w:ascii="Calibri" w:cs="Calibri" w:eastAsia="Calibri" w:hAnsi="Calibri"/>
                <w:b/>
                <w:bCs/>
                <w:color w:val="6D2E46"/>
                <w:sz w:val="20"/>
                <w:szCs w:val="20"/>
              </w:rPr>
              <w:t xml:space="preserve">Theoretical Framework</w:t>
            </w:r>
          </w:p>
        </w:tc>
        <w:tc>
          <w:tcPr>
            <w:tcW w:type="dxa" w:w="3000"/>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Paragraph 2 (labelled [Theoretical Framework]): Weick (1995) sensemaking. The student's selection of one theory to scaffold their study.</w:t>
            </w:r>
          </w:p>
        </w:tc>
        <w:tc>
          <w:tcPr>
            <w:tcW w:type="dxa" w:w="3826"/>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The theoretical framework is the student's OWN CHOICE. It is justified, not just described. The key sentence is 'This framework is selected because…' — that is what makes it a framework rather than a theory review.</w:t>
            </w:r>
          </w:p>
        </w:tc>
      </w:tr>
      <w:tr>
        <w:tc>
          <w:tcPr>
            <w:tcW w:type="dxa" w:w="2200"/>
            <w:tcBorders>
              <w:top w:val="single" w:color="CCCCCC" w:sz="1"/>
              <w:left w:val="single" w:color="CCCCCC" w:sz="1"/>
              <w:bottom w:val="single" w:color="CCCCCC" w:sz="1"/>
              <w:right w:val="single" w:color="CCCCCC" w:sz="1"/>
            </w:tcBorders>
            <w:shd w:fill="F2ECF0" w:val="clear"/>
            <w:tcMar>
              <w:top w:type="dxa" w:w="100"/>
              <w:left w:type="dxa" w:w="150"/>
              <w:bottom w:type="dxa" w:w="100"/>
              <w:right w:type="dxa" w:w="150"/>
            </w:tcMar>
          </w:tcPr>
          <w:p>
            <w:r>
              <w:rPr>
                <w:rFonts w:ascii="Calibri" w:cs="Calibri" w:eastAsia="Calibri" w:hAnsi="Calibri"/>
                <w:b/>
                <w:bCs/>
                <w:color w:val="6D2E46"/>
                <w:sz w:val="20"/>
                <w:szCs w:val="20"/>
              </w:rPr>
              <w:t xml:space="preserve">Conceptual Framework thread</w:t>
            </w:r>
          </w:p>
        </w:tc>
        <w:tc>
          <w:tcPr>
            <w:tcW w:type="dxa" w:w="3000"/>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Paragraph 3 (labelled [Conceptual Framework thread]): the synthesising argument connecting gap, theory, and methodology into one thread.</w:t>
            </w:r>
          </w:p>
        </w:tc>
        <w:tc>
          <w:tcPr>
            <w:tcW w:type="dxa" w:w="3826"/>
            <w:tcBorders>
              <w:top w:val="single" w:color="CCCCCC" w:sz="1"/>
              <w:left w:val="single" w:color="CCCCCC" w:sz="1"/>
              <w:bottom w:val="single" w:color="CCCCCC" w:sz="1"/>
              <w:right w:val="single" w:color="CCCCCC" w:sz="1"/>
            </w:tcBorders>
            <w:tcMar>
              <w:top w:type="dxa" w:w="100"/>
              <w:left w:type="dxa" w:w="150"/>
              <w:bottom w:type="dxa" w:w="100"/>
              <w:right w:type="dxa" w:w="150"/>
            </w:tcMar>
          </w:tcPr>
          <w:p>
            <w:r>
              <w:rPr>
                <w:rFonts w:ascii="Calibri" w:cs="Calibri" w:eastAsia="Calibri" w:hAnsi="Calibri"/>
                <w:color w:val="2C2C2C"/>
                <w:sz w:val="20"/>
                <w:szCs w:val="20"/>
              </w:rPr>
              <w:t xml:space="preserve">The conceptual framework is not a section — it is the connecting argument that runs through the entire LR. It answers: why does this study need to exist, and how does the theory justify the method? Rocco and Plakhotnik (2009) call it the thread connecting problem → gap → theory → methodology.</w:t>
            </w:r>
          </w:p>
        </w:tc>
      </w:tr>
    </w:tbl>
    <w:p>
      <w:pPr>
        <w:spacing w:before="160" w:after="60"/>
      </w:pPr>
    </w:p>
    <w:p>
      <w:pPr>
        <w:spacing w:before="60" w:after="60"/>
      </w:pPr>
      <w:r>
        <w:rPr>
          <w:rFonts w:ascii="Calibri" w:cs="Calibri" w:eastAsia="Calibri" w:hAnsi="Calibri"/>
          <w:color w:val="888888"/>
          <w:sz w:val="18"/>
          <w:szCs w:val="18"/>
        </w:rPr>
        <w:t xml:space="preserve">Facilitator note: The most common confusion is treating the conceptual framework as a separate section to write. Students will ask 'where does the conceptual framework go?' The answer is: it does not go anywhere — it runs through everything. It is the argument, not the architecture.</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Task (b) — Guidance for the ‘your topic’ section</w:t>
      </w:r>
    </w:p>
    <w:p>
      <w:pPr>
        <w:spacing w:before="160" w:after="40"/>
      </w:pPr>
      <w:r>
        <w:rPr>
          <w:rFonts w:ascii="Calibri" w:cs="Calibri" w:eastAsia="Calibri" w:hAnsi="Calibri"/>
          <w:b/>
          <w:bCs/>
          <w:color w:val="2C2C2C"/>
          <w:sz w:val="20"/>
          <w:szCs w:val="20"/>
        </w:rPr>
        <w:t xml:space="preserve">A strong response names one theory AND justifies it:</w:t>
      </w:r>
    </w:p>
    <w:p>
      <w:pPr>
        <w:spacing w:before="160" w:after="40"/>
      </w:pPr>
      <w:r>
        <w:rPr>
          <w:rFonts w:ascii="Calibri" w:cs="Calibri" w:eastAsia="Calibri" w:hAnsi="Calibri"/>
          <w:b/>
          <w:bCs/>
          <w:color w:val="2C2C2C"/>
          <w:sz w:val="20"/>
          <w:szCs w:val="20"/>
        </w:rPr>
        <w:t xml:space="preserve">Weak response (description only):</w:t>
      </w:r>
    </w:p>
    <w:p>
      <w:pPr>
        <w:spacing w:before="80" w:after="100"/>
        <w:ind w:left="720"/>
      </w:pPr>
      <w:r>
        <w:rPr>
          <w:rFonts w:ascii="Calibri" w:cs="Calibri" w:eastAsia="Calibri" w:hAnsi="Calibri"/>
          <w:color w:val="555555"/>
          <w:sz w:val="20"/>
          <w:szCs w:val="20"/>
        </w:rPr>
        <w:t xml:space="preserve">"I am considering using Bourdieu’s theory of social capital, which argues that networks and relationships create value for individuals and organisations."</w:t>
      </w:r>
    </w:p>
    <w:p>
      <w:pPr>
        <w:spacing w:before="40" w:after="100"/>
      </w:pPr>
      <w:r>
        <w:rPr>
          <w:rFonts w:ascii="Calibri" w:cs="Calibri" w:eastAsia="Calibri" w:hAnsi="Calibri"/>
          <w:color w:val="2C2C2C"/>
          <w:sz w:val="20"/>
          <w:szCs w:val="20"/>
        </w:rPr>
        <w:t xml:space="preserve">This describes the theory. It does not justify its selection for this study.</w:t>
      </w:r>
    </w:p>
    <w:p>
      <w:pPr>
        <w:spacing w:before="160" w:after="40"/>
      </w:pPr>
      <w:r>
        <w:rPr>
          <w:rFonts w:ascii="Calibri" w:cs="Calibri" w:eastAsia="Calibri" w:hAnsi="Calibri"/>
          <w:b/>
          <w:bCs/>
          <w:color w:val="2C2C2C"/>
          <w:sz w:val="20"/>
          <w:szCs w:val="20"/>
        </w:rPr>
        <w:t xml:space="preserve">Strong response (justification):</w:t>
      </w:r>
    </w:p>
    <w:p>
      <w:pPr>
        <w:spacing w:before="80" w:after="100"/>
        <w:ind w:left="720"/>
      </w:pPr>
      <w:r>
        <w:rPr>
          <w:rFonts w:ascii="Calibri" w:cs="Calibri" w:eastAsia="Calibri" w:hAnsi="Calibri"/>
          <w:color w:val="555555"/>
          <w:sz w:val="20"/>
          <w:szCs w:val="20"/>
        </w:rPr>
        <w:t xml:space="preserve">"I am considering Bourdieu’s (1986) concept of social capital because my research question asks how female entrepreneurs in rural West Africa access and mobilise resources in the absence of formal institutional support — a question about the value of informal relational networks that social capital theory is specifically designed to address, and that quantitative measures of network size or frequency cannot capture."</w:t>
      </w:r>
    </w:p>
    <w:p>
      <w:pPr>
        <w:spacing w:before="40" w:after="100"/>
      </w:pPr>
      <w:r>
        <w:rPr>
          <w:rFonts w:ascii="Calibri" w:cs="Calibri" w:eastAsia="Calibri" w:hAnsi="Calibri"/>
          <w:color w:val="2C2C2C"/>
          <w:sz w:val="20"/>
          <w:szCs w:val="20"/>
        </w:rPr>
        <w:t xml:space="preserve">The strong response names the theory with its original theorist and date, connects it to the specific research question by naming what the question is asking for, and explains why this theory — rather than an alternative approach — is the right fit.</w:t>
      </w:r>
    </w:p>
    <w:p>
      <w:r>
        <w:br w:type="page"/>
      </w:r>
    </w:p>
    <w:p>
      <w:pPr>
        <w:pStyle w:val="Heading1"/>
        <w:spacing w:before="360" w:after="120"/>
      </w:pPr>
      <w:r>
        <w:rPr>
          <w:rFonts w:ascii="Calibri" w:cs="Calibri" w:eastAsia="Calibri" w:hAnsi="Calibri"/>
          <w:b/>
          <w:bCs/>
          <w:color w:val="6D2E46"/>
          <w:sz w:val="32"/>
          <w:szCs w:val="32"/>
        </w:rPr>
        <w:t xml:space="preserve">Activity 6  ·  Your Topic — First Moves</w:t>
      </w:r>
    </w:p>
    <w:p>
      <w:pPr>
        <w:spacing w:before="40" w:after="100"/>
      </w:pPr>
      <w:r>
        <w:rPr>
          <w:rFonts w:ascii="Calibri" w:cs="Calibri" w:eastAsia="Calibri" w:hAnsi="Calibri"/>
          <w:color w:val="2C2C2C"/>
          <w:sz w:val="20"/>
          <w:szCs w:val="20"/>
        </w:rPr>
        <w:t xml:space="preserve">Activity 6 has no shared scenario and no single correct answer. The following provides indicative model responses for each Move, using a hypothetical DBA student researching how senior HR leaders in UK NHS Trusts make sense of workforce planning during organisational restructuring. Use these to calibrate the standard you are looking for.</w:t>
      </w:r>
    </w:p>
    <w:p>
      <w:pPr>
        <w:spacing w:before="120" w:after="60"/>
      </w:pPr>
    </w:p>
    <w:p>
      <w:pPr>
        <w:pStyle w:val="Heading2"/>
        <w:spacing w:before="240" w:after="80"/>
      </w:pPr>
      <w:r>
        <w:rPr>
          <w:rFonts w:ascii="Calibri" w:cs="Calibri" w:eastAsia="Calibri" w:hAnsi="Calibri"/>
          <w:b/>
          <w:bCs/>
          <w:color w:val="6D2E46"/>
          <w:sz w:val="26"/>
          <w:szCs w:val="26"/>
        </w:rPr>
        <w:t xml:space="preserve">Move 1 — One critical sentence</w:t>
      </w:r>
    </w:p>
    <w:p>
      <w:pPr>
        <w:spacing w:before="40" w:after="100"/>
      </w:pPr>
      <w:r>
        <w:rPr>
          <w:rFonts w:ascii="Calibri" w:cs="Calibri" w:eastAsia="Calibri" w:hAnsi="Calibri"/>
          <w:color w:val="2C2C2C"/>
          <w:sz w:val="20"/>
          <w:szCs w:val="20"/>
        </w:rPr>
        <w:t xml:space="preserve">Task: Write one sentence that evaluates rather than describes, containing a limitation of existing literature and a consequence of that limitation.</w:t>
      </w:r>
    </w:p>
    <w:p>
      <w:pPr>
        <w:spacing w:before="160" w:after="40"/>
      </w:pPr>
      <w:r>
        <w:rPr>
          <w:rFonts w:ascii="Calibri" w:cs="Calibri" w:eastAsia="Calibri" w:hAnsi="Calibri"/>
          <w:b/>
          <w:bCs/>
          <w:color w:val="2C2C2C"/>
          <w:sz w:val="20"/>
          <w:szCs w:val="20"/>
        </w:rPr>
        <w:t xml:space="preserve">Indicative strong response:</w:t>
      </w:r>
    </w:p>
    <w:p>
      <w:pPr>
        <w:spacing w:before="80" w:after="100"/>
        <w:ind w:left="720"/>
      </w:pPr>
      <w:r>
        <w:rPr>
          <w:rFonts w:ascii="Calibri" w:cs="Calibri" w:eastAsia="Calibri" w:hAnsi="Calibri"/>
          <w:color w:val="555555"/>
          <w:sz w:val="20"/>
          <w:szCs w:val="20"/>
        </w:rPr>
        <w:t xml:space="preserve">"Whilst workforce planning in the NHS has been extensively documented through quantitative modelling and policy analysis (Buchan et al., 2019; NHS England, 2022), these approaches privilege structural and numerical dimensions of planning over the interpretive processes through which senior HR leaders make decisions under conditions of institutional uncertainty — leaving the experiential and sensemaking dimensions of workforce planning leadership theoretically underexplored."</w:t>
      </w:r>
    </w:p>
    <w:p>
      <w:pPr>
        <w:spacing w:before="40" w:after="100"/>
      </w:pPr>
      <w:r>
        <w:rPr>
          <w:rFonts w:ascii="Calibri" w:cs="Calibri" w:eastAsia="Calibri" w:hAnsi="Calibri"/>
          <w:color w:val="2C2C2C"/>
          <w:sz w:val="20"/>
          <w:szCs w:val="20"/>
        </w:rPr>
        <w:t xml:space="preserve">What makes this strong: it opens thematically, not with an author name; it identifies a methodological pattern in the literature (quantitative modelling, policy analysis); it names the consequence (a specific absence, not a vague gap); and it uses evaluative language ('privilege', 'leaving… underexplored').</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Move 2 — Your gap — three sentences</w:t>
      </w:r>
    </w:p>
    <w:p>
      <w:pPr>
        <w:spacing w:before="40" w:after="100"/>
      </w:pPr>
      <w:r>
        <w:rPr>
          <w:rFonts w:ascii="Calibri" w:cs="Calibri" w:eastAsia="Calibri" w:hAnsi="Calibri"/>
          <w:color w:val="2C2C2C"/>
          <w:sz w:val="20"/>
          <w:szCs w:val="20"/>
        </w:rPr>
        <w:t xml:space="preserve">Task: Sentence 1: what the literature tells us. Sentence 2: what it does not tell us. Sentence 3: why an interpretivist pilot is the appropriate response.</w:t>
      </w:r>
    </w:p>
    <w:p>
      <w:pPr>
        <w:spacing w:before="160" w:after="40"/>
      </w:pPr>
      <w:r>
        <w:rPr>
          <w:rFonts w:ascii="Calibri" w:cs="Calibri" w:eastAsia="Calibri" w:hAnsi="Calibri"/>
          <w:b/>
          <w:bCs/>
          <w:color w:val="2C2C2C"/>
          <w:sz w:val="20"/>
          <w:szCs w:val="20"/>
        </w:rPr>
        <w:t xml:space="preserve">Indicative strong response:</w:t>
      </w:r>
    </w:p>
    <w:p>
      <w:pPr>
        <w:spacing w:before="80" w:after="100"/>
        <w:ind w:left="720"/>
      </w:pPr>
      <w:r>
        <w:rPr>
          <w:rFonts w:ascii="Calibri" w:cs="Calibri" w:eastAsia="Calibri" w:hAnsi="Calibri"/>
          <w:color w:val="555555"/>
          <w:sz w:val="20"/>
          <w:szCs w:val="20"/>
        </w:rPr>
        <w:t xml:space="preserve">"The workforce planning literature in UK healthcare provides extensive evidence on staffing shortfalls, turnover patterns, and the structural factors driving planning failure across NHS Trusts (Buchan et al., 2019; Kline, 2020). However, no study has examined how senior HR leaders in NHS Trusts make sense of their own agency and decision-making during restructuring — specifically, how they navigate the tension between institutional compliance and operational judgement when formal planning frameworks are inadequate to the complexity of the situation they face. An interpretivist pilot, using semi-structured interviews with six senior HR directors, is the appropriate first step because the research question asks how leaders construct meaning in ambiguous institutional conditions, which requires access to their interpretive processes rather than measurement of planning outcomes."</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Move 3 — Conceptual territory</w:t>
      </w:r>
    </w:p>
    <w:p>
      <w:pPr>
        <w:spacing w:before="40" w:after="100"/>
      </w:pPr>
      <w:r>
        <w:rPr>
          <w:rFonts w:ascii="Calibri" w:cs="Calibri" w:eastAsia="Calibri" w:hAnsi="Calibri"/>
          <w:color w:val="2C2C2C"/>
          <w:sz w:val="20"/>
          <w:szCs w:val="20"/>
        </w:rPr>
        <w:t xml:space="preserve">Task: Name broad field, 2–3 key concepts, and specific context. Draw a line between where the literature sits and where the study will be located.</w:t>
      </w:r>
    </w:p>
    <w:p>
      <w:pPr>
        <w:spacing w:before="160" w:after="40"/>
      </w:pPr>
      <w:r>
        <w:rPr>
          <w:rFonts w:ascii="Calibri" w:cs="Calibri" w:eastAsia="Calibri" w:hAnsi="Calibri"/>
          <w:b/>
          <w:bCs/>
          <w:color w:val="2C2C2C"/>
          <w:sz w:val="20"/>
          <w:szCs w:val="20"/>
        </w:rPr>
        <w:t xml:space="preserve">Indicative strong response:</w:t>
      </w:r>
    </w:p>
    <w:p>
      <w:pPr>
        <w:spacing w:before="40" w:after="100"/>
      </w:pPr>
      <w:r>
        <w:rPr>
          <w:rFonts w:ascii="Calibri" w:cs="Calibri" w:eastAsia="Calibri" w:hAnsi="Calibri"/>
          <w:color w:val="2C2C2C"/>
          <w:sz w:val="20"/>
          <w:szCs w:val="20"/>
        </w:rPr>
        <w:t xml:space="preserve">Broad field: Healthcare management; human resource management in public sector organisations; organisational change in the NHS.</w:t>
      </w:r>
    </w:p>
    <w:p>
      <w:pPr>
        <w:spacing w:before="40" w:after="100"/>
      </w:pPr>
      <w:r>
        <w:rPr>
          <w:rFonts w:ascii="Calibri" w:cs="Calibri" w:eastAsia="Calibri" w:hAnsi="Calibri"/>
          <w:color w:val="2C2C2C"/>
          <w:sz w:val="20"/>
          <w:szCs w:val="20"/>
        </w:rPr>
        <w:t xml:space="preserve">Key concepts: Sensemaking (Weick, 1995); institutional logics (Thornton and Ocasio, 2008); workforce planning and HR decision-making.</w:t>
      </w:r>
    </w:p>
    <w:p>
      <w:pPr>
        <w:spacing w:before="40" w:after="100"/>
      </w:pPr>
      <w:r>
        <w:rPr>
          <w:rFonts w:ascii="Calibri" w:cs="Calibri" w:eastAsia="Calibri" w:hAnsi="Calibri"/>
          <w:color w:val="2C2C2C"/>
          <w:sz w:val="20"/>
          <w:szCs w:val="20"/>
        </w:rPr>
        <w:t xml:space="preserve">Specific context: Senior HR leaders in NHS Trusts during periods of active restructuring (post-2019, incorporating COVID-19 recovery and Long Term Workforce Plan pressures).</w:t>
      </w:r>
    </w:p>
    <w:p>
      <w:pPr>
        <w:spacing w:before="40" w:after="100"/>
      </w:pPr>
      <w:r>
        <w:rPr>
          <w:rFonts w:ascii="Calibri" w:cs="Calibri" w:eastAsia="Calibri" w:hAnsi="Calibri"/>
          <w:color w:val="2C2C2C"/>
          <w:sz w:val="20"/>
          <w:szCs w:val="20"/>
        </w:rPr>
        <w:t xml:space="preserve">Where the literature sits vs where this study is located: The literature sits at the intersection of workforce planning (structural) and NHS management (institutional). This study is located at the intersection of sensemaking (interpretive, micro-level) and institutional pressure (macro-level) in a sector where the two are in persistent tension — a location the existing literature has not reached.</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Move 4 — Paradigm in one sentence</w:t>
      </w:r>
    </w:p>
    <w:p>
      <w:pPr>
        <w:spacing w:before="40" w:after="100"/>
      </w:pPr>
      <w:r>
        <w:rPr>
          <w:rFonts w:ascii="Calibri" w:cs="Calibri" w:eastAsia="Calibri" w:hAnsi="Calibri"/>
          <w:color w:val="2C2C2C"/>
          <w:sz w:val="20"/>
          <w:szCs w:val="20"/>
        </w:rPr>
        <w:t xml:space="preserve">Task: Complete the sentence template.</w:t>
      </w:r>
    </w:p>
    <w:p>
      <w:pPr>
        <w:spacing w:before="160" w:after="40"/>
      </w:pPr>
      <w:r>
        <w:rPr>
          <w:rFonts w:ascii="Calibri" w:cs="Calibri" w:eastAsia="Calibri" w:hAnsi="Calibri"/>
          <w:b/>
          <w:bCs/>
          <w:color w:val="2C2C2C"/>
          <w:sz w:val="20"/>
          <w:szCs w:val="20"/>
        </w:rPr>
        <w:t xml:space="preserve">Indicative strong response:</w:t>
      </w:r>
    </w:p>
    <w:p>
      <w:pPr>
        <w:spacing w:before="80" w:after="100"/>
        <w:ind w:left="720"/>
      </w:pPr>
      <w:r>
        <w:rPr>
          <w:rFonts w:ascii="Calibri" w:cs="Calibri" w:eastAsia="Calibri" w:hAnsi="Calibri"/>
          <w:color w:val="555555"/>
          <w:sz w:val="20"/>
          <w:szCs w:val="20"/>
        </w:rPr>
        <w:t xml:space="preserve">"This pilot uses an interpretivist approach because my research question asks how senior HR leaders in NHS Trusts make sense of workforce planning decisions under conditions of institutional uncertainty, which requires access to the meanings, judgements, and interpretive processes they bring to those decisions rather than measurement of planning outcomes, staffing ratios, or policy compliance."</w:t>
      </w:r>
    </w:p>
    <w:p>
      <w:pPr>
        <w:pBdr>
          <w:bottom w:val="single" w:color="DDDDDD" w:sz="4"/>
        </w:pBdr>
        <w:spacing w:before="200" w:after="200"/>
      </w:pPr>
    </w:p>
    <w:p>
      <w:pPr>
        <w:pStyle w:val="Heading2"/>
        <w:spacing w:before="240" w:after="80"/>
      </w:pPr>
      <w:r>
        <w:rPr>
          <w:rFonts w:ascii="Calibri" w:cs="Calibri" w:eastAsia="Calibri" w:hAnsi="Calibri"/>
          <w:b/>
          <w:bCs/>
          <w:color w:val="6D2E46"/>
          <w:sz w:val="26"/>
          <w:szCs w:val="26"/>
        </w:rPr>
        <w:t xml:space="preserve">Move 5 — One theory and why</w:t>
      </w:r>
    </w:p>
    <w:p>
      <w:pPr>
        <w:spacing w:before="40" w:after="100"/>
      </w:pPr>
      <w:r>
        <w:rPr>
          <w:rFonts w:ascii="Calibri" w:cs="Calibri" w:eastAsia="Calibri" w:hAnsi="Calibri"/>
          <w:color w:val="2C2C2C"/>
          <w:sz w:val="20"/>
          <w:szCs w:val="20"/>
        </w:rPr>
        <w:t xml:space="preserve">Task: Name a theory and justify its selection in one sentence.</w:t>
      </w:r>
    </w:p>
    <w:p>
      <w:pPr>
        <w:spacing w:before="160" w:after="40"/>
      </w:pPr>
      <w:r>
        <w:rPr>
          <w:rFonts w:ascii="Calibri" w:cs="Calibri" w:eastAsia="Calibri" w:hAnsi="Calibri"/>
          <w:b/>
          <w:bCs/>
          <w:color w:val="2C2C2C"/>
          <w:sz w:val="20"/>
          <w:szCs w:val="20"/>
        </w:rPr>
        <w:t xml:space="preserve">Indicative strong response:</w:t>
      </w:r>
    </w:p>
    <w:p>
      <w:pPr>
        <w:spacing w:before="80" w:after="100"/>
        <w:ind w:left="720"/>
      </w:pPr>
      <w:r>
        <w:rPr>
          <w:rFonts w:ascii="Calibri" w:cs="Calibri" w:eastAsia="Calibri" w:hAnsi="Calibri"/>
          <w:color w:val="555555"/>
          <w:sz w:val="20"/>
          <w:szCs w:val="20"/>
        </w:rPr>
        <w:t xml:space="preserve">"I am considering Weick's (1995) sensemaking theory because my research question asks how HR leaders construct meaning and make decisions under conditions of ambiguity — which is precisely the situation sensemaking theory was developed to explain — and because its emphasis on retrospective interpretation makes it well-suited to understanding how leaders account for decisions already made under incomplete information, which is the condition my participants face."</w:t>
      </w:r>
    </w:p>
    <w:p>
      <w:pPr>
        <w:spacing w:before="120" w:after="60"/>
      </w:pPr>
    </w:p>
    <w:p>
      <w:pPr>
        <w:spacing w:before="60" w:after="60"/>
      </w:pPr>
      <w:r>
        <w:rPr>
          <w:rFonts w:ascii="Calibri" w:cs="Calibri" w:eastAsia="Calibri" w:hAnsi="Calibri"/>
          <w:color w:val="888888"/>
          <w:sz w:val="18"/>
          <w:szCs w:val="18"/>
        </w:rPr>
        <w:t xml:space="preserve">Facilitator note: For Move 5, students who select a theory without justification, or who justify by description rather than fit, should be invited to answer the question: what is your research question actually asking for? If the answer is 'meanings' or 'experience', the theory they select should be one that is designed to access meanings and experience. If it is not, the theory may be wrong for the study.</w:t>
      </w:r>
    </w:p>
    <w:p>
      <w:pPr>
        <w:pBdr>
          <w:bottom w:val="single" w:color="DDDDDD" w:sz="4"/>
        </w:pBdr>
        <w:spacing w:before="200" w:after="200"/>
      </w:pPr>
    </w:p>
    <w:p>
      <w:pPr>
        <w:spacing w:before="240" w:after="80"/>
      </w:pPr>
      <w:r>
        <w:rPr>
          <w:rFonts w:ascii="Calibri" w:cs="Calibri" w:eastAsia="Calibri" w:hAnsi="Calibri"/>
          <w:b/>
          <w:bCs/>
          <w:color w:val="6D2E46"/>
          <w:sz w:val="20"/>
          <w:szCs w:val="20"/>
        </w:rPr>
        <w:t xml:space="preserve">Note on use of this document</w:t>
      </w:r>
    </w:p>
    <w:p>
      <w:pPr>
        <w:spacing w:before="40" w:after="100"/>
      </w:pPr>
      <w:r>
        <w:rPr>
          <w:rFonts w:ascii="Calibri" w:cs="Calibri" w:eastAsia="Calibri" w:hAnsi="Calibri"/>
          <w:color w:val="2C2C2C"/>
          <w:sz w:val="20"/>
          <w:szCs w:val="20"/>
        </w:rPr>
        <w:t xml:space="preserve">These model answers represent one strong response to each task. Students working on different business and management topics will produce different content — the standard being assessed is the intellectual operation performed, not the specific topic, theory, or organisation named. A student writing about family business succession, supply chain governance, or corporate sustainability can produce an equally strong response provided they demonstrate critical writing, precise gap identification, conceptual mapping, paradigm awareness, and theory justification. The content is theirs; the moves are common to all doctoral researchers.</w:t>
      </w:r>
    </w:p>
    <w:sectPr>
      <w:footerReference w:type="default" r:id="rId6"/>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888888"/>
        <w:sz w:val="16"/>
        <w:szCs w:val="16"/>
      </w:rPr>
      <w:t xml:space="preserve">LCDB7010  |  Writing the Literature Review  |  Dr Caroline Jawad  |  p.</w:t>
    </w:r>
    <w:fldSimple w:instr="PAG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60" w:after="120"/>
      <w:outlineLvl w:val="0"/>
    </w:pPr>
    <w:rPr>
      <w:rFonts w:ascii="Calibri" w:cs="Calibri" w:eastAsia="Calibri" w:hAnsi="Calibri"/>
      <w:b/>
      <w:bCs/>
      <w:color w:val="6D2E46"/>
      <w:sz w:val="32"/>
      <w:szCs w:val="32"/>
    </w:rPr>
  </w:style>
  <w:style w:type="paragraph" w:styleId="Heading2">
    <w:name w:val="Heading 2"/>
    <w:basedOn w:val="Normal"/>
    <w:next w:val="Normal"/>
    <w:qFormat/>
    <w:pPr>
      <w:spacing w:before="240" w:after="80"/>
      <w:outlineLvl w:val="1"/>
    </w:pPr>
    <w:rPr>
      <w:rFonts w:ascii="Calibri" w:cs="Calibri" w:eastAsia="Calibri" w:hAnsi="Calibri"/>
      <w:b/>
      <w:bCs/>
      <w:color w:val="6D2E46"/>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2026-02-23T18:34:35.081Z</dcterms:created>
  <dcterms:modified xsi:type="dcterms:W3CDTF">2026-02-23T18:34:35.082Z</dcterms:modified>
</cp:coreProperties>
</file>

<file path=docProps/custom.xml><?xml version="1.0" encoding="utf-8"?>
<Properties xmlns="http://schemas.openxmlformats.org/officeDocument/2006/custom-properties" xmlns:vt="http://schemas.openxmlformats.org/officeDocument/2006/docPropsVTypes"/>
</file>