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59EF4" w14:textId="77777777" w:rsidR="00F72822" w:rsidRDefault="00F72822" w:rsidP="00F72822"/>
    <w:p w14:paraId="1C6FC04C" w14:textId="77777777" w:rsidR="00F72822" w:rsidRDefault="00F72822" w:rsidP="00F72822"/>
    <w:p w14:paraId="1DE5B411" w14:textId="6AE79240" w:rsidR="00F72822" w:rsidRPr="00F72822" w:rsidRDefault="00F72822" w:rsidP="00F72822">
      <w:pPr>
        <w:jc w:val="center"/>
        <w:rPr>
          <w:rFonts w:ascii="Arial" w:hAnsi="Arial" w:cs="Arial"/>
          <w:sz w:val="28"/>
          <w:szCs w:val="28"/>
        </w:rPr>
      </w:pPr>
      <w:r w:rsidRPr="00F72822">
        <w:rPr>
          <w:rFonts w:ascii="Arial" w:hAnsi="Arial" w:cs="Arial"/>
          <w:sz w:val="28"/>
          <w:szCs w:val="28"/>
        </w:rPr>
        <w:t>University of Wales Trinity Saint David</w:t>
      </w:r>
    </w:p>
    <w:p w14:paraId="11A9486A" w14:textId="2436F1D1" w:rsidR="00F72822" w:rsidRPr="00F72822" w:rsidRDefault="00F72822" w:rsidP="00F72822">
      <w:pPr>
        <w:jc w:val="center"/>
        <w:rPr>
          <w:rFonts w:ascii="Arial" w:hAnsi="Arial" w:cs="Arial"/>
          <w:sz w:val="28"/>
          <w:szCs w:val="28"/>
        </w:rPr>
      </w:pPr>
      <w:r w:rsidRPr="00F72822">
        <w:rPr>
          <w:rFonts w:ascii="Arial" w:hAnsi="Arial" w:cs="Arial"/>
          <w:sz w:val="28"/>
          <w:szCs w:val="28"/>
        </w:rPr>
        <w:t>BA (Hons) Leadership and Management Skills for the Workplace</w:t>
      </w:r>
    </w:p>
    <w:p w14:paraId="468732E5" w14:textId="59DE02F8" w:rsidR="00F72822" w:rsidRPr="00F72822" w:rsidRDefault="00F72822" w:rsidP="00F72822">
      <w:pPr>
        <w:jc w:val="center"/>
        <w:rPr>
          <w:rFonts w:ascii="Arial" w:hAnsi="Arial" w:cs="Arial"/>
          <w:sz w:val="28"/>
          <w:szCs w:val="28"/>
        </w:rPr>
      </w:pPr>
      <w:r w:rsidRPr="00F72822">
        <w:rPr>
          <w:rFonts w:ascii="Arial" w:hAnsi="Arial" w:cs="Arial"/>
          <w:sz w:val="28"/>
          <w:szCs w:val="28"/>
        </w:rPr>
        <w:t xml:space="preserve">Student </w:t>
      </w:r>
      <w:r w:rsidR="002F7167" w:rsidRPr="00F72822">
        <w:rPr>
          <w:rFonts w:ascii="Arial" w:hAnsi="Arial" w:cs="Arial"/>
          <w:sz w:val="28"/>
          <w:szCs w:val="28"/>
        </w:rPr>
        <w:t>Name:</w:t>
      </w:r>
      <w:r w:rsidR="002F7167">
        <w:rPr>
          <w:rFonts w:ascii="Arial" w:hAnsi="Arial" w:cs="Arial"/>
          <w:sz w:val="28"/>
          <w:szCs w:val="28"/>
        </w:rPr>
        <w:t xml:space="preserve"> Raduta</w:t>
      </w:r>
      <w:r w:rsidR="00112CEB">
        <w:rPr>
          <w:rFonts w:ascii="Arial" w:hAnsi="Arial" w:cs="Arial"/>
          <w:sz w:val="28"/>
          <w:szCs w:val="28"/>
        </w:rPr>
        <w:t xml:space="preserve"> Adriana P</w:t>
      </w:r>
      <w:r w:rsidR="00E44C86">
        <w:rPr>
          <w:rFonts w:ascii="Arial" w:hAnsi="Arial" w:cs="Arial"/>
          <w:sz w:val="28"/>
          <w:szCs w:val="28"/>
        </w:rPr>
        <w:t>lesca</w:t>
      </w:r>
    </w:p>
    <w:p w14:paraId="79A5C572" w14:textId="5B11A537" w:rsidR="00F72822" w:rsidRPr="00F72822" w:rsidRDefault="00F72822" w:rsidP="00F72822">
      <w:pPr>
        <w:jc w:val="center"/>
        <w:rPr>
          <w:rFonts w:ascii="Arial" w:hAnsi="Arial" w:cs="Arial"/>
          <w:sz w:val="28"/>
          <w:szCs w:val="28"/>
        </w:rPr>
      </w:pPr>
      <w:r w:rsidRPr="00F72822">
        <w:rPr>
          <w:rFonts w:ascii="Arial" w:hAnsi="Arial" w:cs="Arial"/>
          <w:sz w:val="28"/>
          <w:szCs w:val="28"/>
        </w:rPr>
        <w:t>Student Number:</w:t>
      </w:r>
      <w:r w:rsidR="00E44C86">
        <w:rPr>
          <w:rFonts w:ascii="Arial" w:hAnsi="Arial" w:cs="Arial"/>
          <w:sz w:val="28"/>
          <w:szCs w:val="28"/>
        </w:rPr>
        <w:t>2420315</w:t>
      </w:r>
    </w:p>
    <w:p w14:paraId="4C19751C" w14:textId="1A1404DB" w:rsidR="00F72822" w:rsidRPr="00F72822" w:rsidRDefault="00F72822" w:rsidP="00F72822">
      <w:pPr>
        <w:jc w:val="center"/>
        <w:rPr>
          <w:rFonts w:ascii="Arial" w:hAnsi="Arial" w:cs="Arial"/>
          <w:sz w:val="28"/>
          <w:szCs w:val="28"/>
        </w:rPr>
      </w:pPr>
      <w:r w:rsidRPr="00F72822">
        <w:rPr>
          <w:rFonts w:ascii="Arial" w:hAnsi="Arial" w:cs="Arial"/>
          <w:sz w:val="28"/>
          <w:szCs w:val="28"/>
        </w:rPr>
        <w:t>Lecturer Name: Taonga Kaonga Sobere-Snithens</w:t>
      </w:r>
    </w:p>
    <w:p w14:paraId="4DD7A419" w14:textId="7A86A279" w:rsidR="00F72822" w:rsidRPr="00F72822" w:rsidRDefault="00F72822" w:rsidP="00F72822">
      <w:pPr>
        <w:jc w:val="center"/>
        <w:rPr>
          <w:rFonts w:ascii="Arial" w:hAnsi="Arial" w:cs="Arial"/>
          <w:sz w:val="28"/>
          <w:szCs w:val="28"/>
        </w:rPr>
      </w:pPr>
      <w:r w:rsidRPr="00F72822">
        <w:rPr>
          <w:rFonts w:ascii="Arial" w:hAnsi="Arial" w:cs="Arial"/>
          <w:sz w:val="28"/>
          <w:szCs w:val="28"/>
        </w:rPr>
        <w:t>Module Tile: Organisational Culture LCLM 5005</w:t>
      </w:r>
    </w:p>
    <w:p w14:paraId="64BF3696" w14:textId="3D1CEDF4" w:rsidR="00F72822" w:rsidRDefault="00F72822" w:rsidP="00F72822">
      <w:pPr>
        <w:jc w:val="center"/>
        <w:rPr>
          <w:rFonts w:ascii="Arial" w:hAnsi="Arial" w:cs="Arial"/>
          <w:sz w:val="28"/>
          <w:szCs w:val="28"/>
        </w:rPr>
      </w:pPr>
      <w:r w:rsidRPr="00F72822">
        <w:rPr>
          <w:rFonts w:ascii="Arial" w:hAnsi="Arial" w:cs="Arial"/>
          <w:sz w:val="28"/>
          <w:szCs w:val="28"/>
        </w:rPr>
        <w:t>Component 1: Individual Report on Lloyds Bank</w:t>
      </w:r>
    </w:p>
    <w:p w14:paraId="11EAA4BF" w14:textId="2AC6E7BB" w:rsidR="00560C53" w:rsidRPr="00F72822" w:rsidRDefault="00560C53" w:rsidP="00F72822">
      <w:pPr>
        <w:jc w:val="center"/>
        <w:rPr>
          <w:rFonts w:ascii="Arial" w:hAnsi="Arial" w:cs="Arial"/>
          <w:sz w:val="28"/>
          <w:szCs w:val="28"/>
        </w:rPr>
      </w:pPr>
      <w:r>
        <w:rPr>
          <w:rFonts w:ascii="Arial" w:hAnsi="Arial" w:cs="Arial"/>
          <w:sz w:val="28"/>
          <w:szCs w:val="28"/>
        </w:rPr>
        <w:t>Word count:</w:t>
      </w:r>
      <w:r w:rsidR="00AA1041">
        <w:rPr>
          <w:rFonts w:ascii="Arial" w:hAnsi="Arial" w:cs="Arial"/>
          <w:sz w:val="28"/>
          <w:szCs w:val="28"/>
        </w:rPr>
        <w:t>2,786</w:t>
      </w:r>
    </w:p>
    <w:p w14:paraId="169DFABA" w14:textId="77777777" w:rsidR="00F72822" w:rsidRPr="00F72822" w:rsidRDefault="00F72822" w:rsidP="00F72822">
      <w:pPr>
        <w:jc w:val="center"/>
        <w:rPr>
          <w:rFonts w:ascii="Arial" w:hAnsi="Arial" w:cs="Arial"/>
          <w:sz w:val="28"/>
          <w:szCs w:val="28"/>
        </w:rPr>
      </w:pPr>
    </w:p>
    <w:p w14:paraId="45A86A11" w14:textId="19E17D0A" w:rsidR="00F72822" w:rsidRPr="00F72822" w:rsidRDefault="00F72822" w:rsidP="00F72822">
      <w:pPr>
        <w:jc w:val="center"/>
        <w:rPr>
          <w:rFonts w:ascii="Arial" w:hAnsi="Arial" w:cs="Arial"/>
          <w:sz w:val="28"/>
          <w:szCs w:val="28"/>
        </w:rPr>
      </w:pPr>
    </w:p>
    <w:p w14:paraId="68F9E65D" w14:textId="77777777" w:rsidR="00F72822" w:rsidRDefault="00F72822" w:rsidP="00F72822"/>
    <w:p w14:paraId="560775F8" w14:textId="77777777" w:rsidR="00F72822" w:rsidRDefault="00F72822" w:rsidP="00F72822">
      <w:r>
        <w:t xml:space="preserve"> </w:t>
      </w:r>
    </w:p>
    <w:p w14:paraId="7745926B" w14:textId="77777777" w:rsidR="00F72822" w:rsidRDefault="00F72822" w:rsidP="00F72822"/>
    <w:p w14:paraId="430EFF38" w14:textId="77777777" w:rsidR="00F72822" w:rsidRDefault="00F72822" w:rsidP="00F72822">
      <w:r>
        <w:t xml:space="preserve"> </w:t>
      </w:r>
    </w:p>
    <w:p w14:paraId="3161D3FF" w14:textId="77777777" w:rsidR="00F72822" w:rsidRDefault="00F72822" w:rsidP="00F72822"/>
    <w:p w14:paraId="110EB083" w14:textId="77777777" w:rsidR="00F72822" w:rsidRDefault="00F72822" w:rsidP="00F72822">
      <w:r>
        <w:t xml:space="preserve"> </w:t>
      </w:r>
    </w:p>
    <w:p w14:paraId="7B964104" w14:textId="77777777" w:rsidR="00F72822" w:rsidRDefault="00F72822" w:rsidP="00F72822"/>
    <w:p w14:paraId="4E4935D5" w14:textId="77777777" w:rsidR="00F72822" w:rsidRDefault="00F72822" w:rsidP="00F72822">
      <w:r>
        <w:t xml:space="preserve"> </w:t>
      </w:r>
    </w:p>
    <w:p w14:paraId="69A2FE20" w14:textId="77777777" w:rsidR="00F72822" w:rsidRDefault="00F72822" w:rsidP="00F72822"/>
    <w:p w14:paraId="2CFBF1FC" w14:textId="77777777" w:rsidR="00F72822" w:rsidRDefault="00F72822" w:rsidP="00F72822">
      <w:r>
        <w:t xml:space="preserve"> </w:t>
      </w:r>
    </w:p>
    <w:p w14:paraId="587F1AA6" w14:textId="77777777" w:rsidR="00F72822" w:rsidRDefault="00F72822" w:rsidP="00F72822"/>
    <w:p w14:paraId="1F2E44CC" w14:textId="77777777" w:rsidR="00F72822" w:rsidRDefault="00F72822" w:rsidP="00F72822">
      <w:r>
        <w:t xml:space="preserve"> </w:t>
      </w:r>
    </w:p>
    <w:p w14:paraId="4D120E91" w14:textId="77777777" w:rsidR="00F72822" w:rsidRDefault="00F72822" w:rsidP="00F72822"/>
    <w:p w14:paraId="48C59CF4" w14:textId="77777777" w:rsidR="00F72822" w:rsidRDefault="00F72822" w:rsidP="00F72822">
      <w:r>
        <w:t xml:space="preserve"> </w:t>
      </w:r>
    </w:p>
    <w:p w14:paraId="1EFE7325" w14:textId="03BFD455" w:rsidR="00F72822" w:rsidRDefault="00F72822" w:rsidP="00F72822"/>
    <w:sdt>
      <w:sdtPr>
        <w:rPr>
          <w:rFonts w:asciiTheme="minorHAnsi" w:eastAsiaTheme="minorHAnsi" w:hAnsiTheme="minorHAnsi" w:cstheme="minorBidi"/>
          <w:color w:val="auto"/>
          <w:kern w:val="2"/>
          <w:sz w:val="24"/>
          <w:szCs w:val="24"/>
          <w:lang w:val="en-GB"/>
          <w14:ligatures w14:val="standardContextual"/>
        </w:rPr>
        <w:id w:val="-1860421426"/>
        <w:docPartObj>
          <w:docPartGallery w:val="Table of Contents"/>
          <w:docPartUnique/>
        </w:docPartObj>
      </w:sdtPr>
      <w:sdtEndPr>
        <w:rPr>
          <w:b/>
          <w:bCs/>
          <w:noProof/>
        </w:rPr>
      </w:sdtEndPr>
      <w:sdtContent>
        <w:p w14:paraId="379CA94D" w14:textId="06E06236" w:rsidR="0006049F" w:rsidRDefault="0006049F">
          <w:pPr>
            <w:pStyle w:val="TOCHeading"/>
          </w:pPr>
          <w:r>
            <w:t>Table of Contents</w:t>
          </w:r>
        </w:p>
        <w:p w14:paraId="777482FA" w14:textId="1345B809" w:rsidR="00414C0B" w:rsidRDefault="0006049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918104" w:history="1">
            <w:r w:rsidR="00414C0B" w:rsidRPr="003C123F">
              <w:rPr>
                <w:rStyle w:val="Hyperlink"/>
                <w:noProof/>
              </w:rPr>
              <w:t>1.Introduction</w:t>
            </w:r>
            <w:r w:rsidR="00414C0B">
              <w:rPr>
                <w:noProof/>
                <w:webHidden/>
              </w:rPr>
              <w:tab/>
            </w:r>
            <w:r w:rsidR="00414C0B">
              <w:rPr>
                <w:noProof/>
                <w:webHidden/>
              </w:rPr>
              <w:fldChar w:fldCharType="begin"/>
            </w:r>
            <w:r w:rsidR="00414C0B">
              <w:rPr>
                <w:noProof/>
                <w:webHidden/>
              </w:rPr>
              <w:instrText xml:space="preserve"> PAGEREF _Toc243918104 \h </w:instrText>
            </w:r>
            <w:r w:rsidR="00414C0B">
              <w:rPr>
                <w:noProof/>
                <w:webHidden/>
              </w:rPr>
            </w:r>
            <w:r w:rsidR="00414C0B">
              <w:rPr>
                <w:noProof/>
                <w:webHidden/>
              </w:rPr>
              <w:fldChar w:fldCharType="separate"/>
            </w:r>
            <w:r w:rsidR="00414C0B">
              <w:rPr>
                <w:noProof/>
                <w:webHidden/>
              </w:rPr>
              <w:t>3</w:t>
            </w:r>
            <w:r w:rsidR="00414C0B">
              <w:rPr>
                <w:noProof/>
                <w:webHidden/>
              </w:rPr>
              <w:fldChar w:fldCharType="end"/>
            </w:r>
          </w:hyperlink>
        </w:p>
        <w:p w14:paraId="4BD1B179" w14:textId="66931137" w:rsidR="00414C0B" w:rsidRDefault="00414C0B">
          <w:pPr>
            <w:pStyle w:val="TOC1"/>
            <w:tabs>
              <w:tab w:val="right" w:leader="dot" w:pos="9016"/>
            </w:tabs>
            <w:rPr>
              <w:rFonts w:eastAsiaTheme="minorEastAsia"/>
              <w:noProof/>
              <w:lang w:eastAsia="en-GB"/>
            </w:rPr>
          </w:pPr>
          <w:hyperlink w:anchor="_Toc243918105" w:history="1">
            <w:r w:rsidRPr="003C123F">
              <w:rPr>
                <w:rStyle w:val="Hyperlink"/>
                <w:noProof/>
              </w:rPr>
              <w:t>2.Organisational Structure and Decision-making at Lloyds</w:t>
            </w:r>
            <w:r>
              <w:rPr>
                <w:noProof/>
                <w:webHidden/>
              </w:rPr>
              <w:tab/>
            </w:r>
            <w:r>
              <w:rPr>
                <w:noProof/>
                <w:webHidden/>
              </w:rPr>
              <w:fldChar w:fldCharType="begin"/>
            </w:r>
            <w:r>
              <w:rPr>
                <w:noProof/>
                <w:webHidden/>
              </w:rPr>
              <w:instrText xml:space="preserve"> PAGEREF _Toc243918105 \h </w:instrText>
            </w:r>
            <w:r>
              <w:rPr>
                <w:noProof/>
                <w:webHidden/>
              </w:rPr>
            </w:r>
            <w:r>
              <w:rPr>
                <w:noProof/>
                <w:webHidden/>
              </w:rPr>
              <w:fldChar w:fldCharType="separate"/>
            </w:r>
            <w:r>
              <w:rPr>
                <w:noProof/>
                <w:webHidden/>
              </w:rPr>
              <w:t>3</w:t>
            </w:r>
            <w:r>
              <w:rPr>
                <w:noProof/>
                <w:webHidden/>
              </w:rPr>
              <w:fldChar w:fldCharType="end"/>
            </w:r>
          </w:hyperlink>
        </w:p>
        <w:p w14:paraId="46924427" w14:textId="5FC37845" w:rsidR="00414C0B" w:rsidRDefault="00414C0B">
          <w:pPr>
            <w:pStyle w:val="TOC2"/>
            <w:tabs>
              <w:tab w:val="right" w:leader="dot" w:pos="9016"/>
            </w:tabs>
            <w:rPr>
              <w:rFonts w:eastAsiaTheme="minorEastAsia"/>
              <w:noProof/>
              <w:lang w:eastAsia="en-GB"/>
            </w:rPr>
          </w:pPr>
          <w:hyperlink w:anchor="_Toc243918106" w:history="1">
            <w:r w:rsidRPr="003C123F">
              <w:rPr>
                <w:rStyle w:val="Hyperlink"/>
                <w:noProof/>
              </w:rPr>
              <w:t>2.1 Classification of Lloyds Banking Group’s Structure</w:t>
            </w:r>
            <w:r>
              <w:rPr>
                <w:noProof/>
                <w:webHidden/>
              </w:rPr>
              <w:tab/>
            </w:r>
            <w:r>
              <w:rPr>
                <w:noProof/>
                <w:webHidden/>
              </w:rPr>
              <w:fldChar w:fldCharType="begin"/>
            </w:r>
            <w:r>
              <w:rPr>
                <w:noProof/>
                <w:webHidden/>
              </w:rPr>
              <w:instrText xml:space="preserve"> PAGEREF _Toc243918106 \h </w:instrText>
            </w:r>
            <w:r>
              <w:rPr>
                <w:noProof/>
                <w:webHidden/>
              </w:rPr>
            </w:r>
            <w:r>
              <w:rPr>
                <w:noProof/>
                <w:webHidden/>
              </w:rPr>
              <w:fldChar w:fldCharType="separate"/>
            </w:r>
            <w:r>
              <w:rPr>
                <w:noProof/>
                <w:webHidden/>
              </w:rPr>
              <w:t>3</w:t>
            </w:r>
            <w:r>
              <w:rPr>
                <w:noProof/>
                <w:webHidden/>
              </w:rPr>
              <w:fldChar w:fldCharType="end"/>
            </w:r>
          </w:hyperlink>
        </w:p>
        <w:p w14:paraId="744D53CC" w14:textId="6D4E6C9F" w:rsidR="00414C0B" w:rsidRDefault="00414C0B">
          <w:pPr>
            <w:pStyle w:val="TOC2"/>
            <w:tabs>
              <w:tab w:val="right" w:leader="dot" w:pos="9016"/>
            </w:tabs>
            <w:rPr>
              <w:rFonts w:eastAsiaTheme="minorEastAsia"/>
              <w:noProof/>
              <w:lang w:eastAsia="en-GB"/>
            </w:rPr>
          </w:pPr>
          <w:hyperlink w:anchor="_Toc243918107" w:history="1">
            <w:r w:rsidRPr="003C123F">
              <w:rPr>
                <w:rStyle w:val="Hyperlink"/>
                <w:noProof/>
              </w:rPr>
              <w:t>2.2 How Organisational Culture Influences Decision-Making</w:t>
            </w:r>
            <w:r>
              <w:rPr>
                <w:noProof/>
                <w:webHidden/>
              </w:rPr>
              <w:tab/>
            </w:r>
            <w:r>
              <w:rPr>
                <w:noProof/>
                <w:webHidden/>
              </w:rPr>
              <w:fldChar w:fldCharType="begin"/>
            </w:r>
            <w:r>
              <w:rPr>
                <w:noProof/>
                <w:webHidden/>
              </w:rPr>
              <w:instrText xml:space="preserve"> PAGEREF _Toc243918107 \h </w:instrText>
            </w:r>
            <w:r>
              <w:rPr>
                <w:noProof/>
                <w:webHidden/>
              </w:rPr>
            </w:r>
            <w:r>
              <w:rPr>
                <w:noProof/>
                <w:webHidden/>
              </w:rPr>
              <w:fldChar w:fldCharType="separate"/>
            </w:r>
            <w:r>
              <w:rPr>
                <w:noProof/>
                <w:webHidden/>
              </w:rPr>
              <w:t>4</w:t>
            </w:r>
            <w:r>
              <w:rPr>
                <w:noProof/>
                <w:webHidden/>
              </w:rPr>
              <w:fldChar w:fldCharType="end"/>
            </w:r>
          </w:hyperlink>
        </w:p>
        <w:p w14:paraId="5594ABD3" w14:textId="38DD6361" w:rsidR="00414C0B" w:rsidRDefault="00414C0B">
          <w:pPr>
            <w:pStyle w:val="TOC1"/>
            <w:tabs>
              <w:tab w:val="right" w:leader="dot" w:pos="9016"/>
            </w:tabs>
            <w:rPr>
              <w:rFonts w:eastAsiaTheme="minorEastAsia"/>
              <w:noProof/>
              <w:lang w:eastAsia="en-GB"/>
            </w:rPr>
          </w:pPr>
          <w:hyperlink w:anchor="_Toc243918108" w:history="1">
            <w:r w:rsidRPr="003C123F">
              <w:rPr>
                <w:rStyle w:val="Hyperlink"/>
                <w:noProof/>
              </w:rPr>
              <w:t>3. Identifying Cultural Types: Model and Frameworks</w:t>
            </w:r>
            <w:r>
              <w:rPr>
                <w:noProof/>
                <w:webHidden/>
              </w:rPr>
              <w:tab/>
            </w:r>
            <w:r>
              <w:rPr>
                <w:noProof/>
                <w:webHidden/>
              </w:rPr>
              <w:fldChar w:fldCharType="begin"/>
            </w:r>
            <w:r>
              <w:rPr>
                <w:noProof/>
                <w:webHidden/>
              </w:rPr>
              <w:instrText xml:space="preserve"> PAGEREF _Toc243918108 \h </w:instrText>
            </w:r>
            <w:r>
              <w:rPr>
                <w:noProof/>
                <w:webHidden/>
              </w:rPr>
            </w:r>
            <w:r>
              <w:rPr>
                <w:noProof/>
                <w:webHidden/>
              </w:rPr>
              <w:fldChar w:fldCharType="separate"/>
            </w:r>
            <w:r>
              <w:rPr>
                <w:noProof/>
                <w:webHidden/>
              </w:rPr>
              <w:t>5</w:t>
            </w:r>
            <w:r>
              <w:rPr>
                <w:noProof/>
                <w:webHidden/>
              </w:rPr>
              <w:fldChar w:fldCharType="end"/>
            </w:r>
          </w:hyperlink>
        </w:p>
        <w:p w14:paraId="43909B17" w14:textId="76D5A302" w:rsidR="00414C0B" w:rsidRDefault="00414C0B">
          <w:pPr>
            <w:pStyle w:val="TOC2"/>
            <w:tabs>
              <w:tab w:val="right" w:leader="dot" w:pos="9016"/>
            </w:tabs>
            <w:rPr>
              <w:rFonts w:eastAsiaTheme="minorEastAsia"/>
              <w:noProof/>
              <w:lang w:eastAsia="en-GB"/>
            </w:rPr>
          </w:pPr>
          <w:hyperlink w:anchor="_Toc243918109" w:history="1">
            <w:r w:rsidRPr="003C123F">
              <w:rPr>
                <w:rStyle w:val="Hyperlink"/>
                <w:noProof/>
              </w:rPr>
              <w:t>3.1 Schein Model</w:t>
            </w:r>
            <w:r>
              <w:rPr>
                <w:noProof/>
                <w:webHidden/>
              </w:rPr>
              <w:tab/>
            </w:r>
            <w:r>
              <w:rPr>
                <w:noProof/>
                <w:webHidden/>
              </w:rPr>
              <w:fldChar w:fldCharType="begin"/>
            </w:r>
            <w:r>
              <w:rPr>
                <w:noProof/>
                <w:webHidden/>
              </w:rPr>
              <w:instrText xml:space="preserve"> PAGEREF _Toc243918109 \h </w:instrText>
            </w:r>
            <w:r>
              <w:rPr>
                <w:noProof/>
                <w:webHidden/>
              </w:rPr>
            </w:r>
            <w:r>
              <w:rPr>
                <w:noProof/>
                <w:webHidden/>
              </w:rPr>
              <w:fldChar w:fldCharType="separate"/>
            </w:r>
            <w:r>
              <w:rPr>
                <w:noProof/>
                <w:webHidden/>
              </w:rPr>
              <w:t>5</w:t>
            </w:r>
            <w:r>
              <w:rPr>
                <w:noProof/>
                <w:webHidden/>
              </w:rPr>
              <w:fldChar w:fldCharType="end"/>
            </w:r>
          </w:hyperlink>
        </w:p>
        <w:p w14:paraId="1D9A883D" w14:textId="0A3EEBC9" w:rsidR="00414C0B" w:rsidRDefault="00414C0B">
          <w:pPr>
            <w:pStyle w:val="TOC1"/>
            <w:tabs>
              <w:tab w:val="right" w:leader="dot" w:pos="9016"/>
            </w:tabs>
            <w:rPr>
              <w:rFonts w:eastAsiaTheme="minorEastAsia"/>
              <w:noProof/>
              <w:lang w:eastAsia="en-GB"/>
            </w:rPr>
          </w:pPr>
          <w:hyperlink w:anchor="_Toc243918110" w:history="1">
            <w:r w:rsidRPr="003C123F">
              <w:rPr>
                <w:rStyle w:val="Hyperlink"/>
                <w:noProof/>
              </w:rPr>
              <w:t>3.2 Handy’s Cultural Types</w:t>
            </w:r>
            <w:r>
              <w:rPr>
                <w:noProof/>
                <w:webHidden/>
              </w:rPr>
              <w:tab/>
            </w:r>
            <w:r>
              <w:rPr>
                <w:noProof/>
                <w:webHidden/>
              </w:rPr>
              <w:fldChar w:fldCharType="begin"/>
            </w:r>
            <w:r>
              <w:rPr>
                <w:noProof/>
                <w:webHidden/>
              </w:rPr>
              <w:instrText xml:space="preserve"> PAGEREF _Toc243918110 \h </w:instrText>
            </w:r>
            <w:r>
              <w:rPr>
                <w:noProof/>
                <w:webHidden/>
              </w:rPr>
            </w:r>
            <w:r>
              <w:rPr>
                <w:noProof/>
                <w:webHidden/>
              </w:rPr>
              <w:fldChar w:fldCharType="separate"/>
            </w:r>
            <w:r>
              <w:rPr>
                <w:noProof/>
                <w:webHidden/>
              </w:rPr>
              <w:t>6</w:t>
            </w:r>
            <w:r>
              <w:rPr>
                <w:noProof/>
                <w:webHidden/>
              </w:rPr>
              <w:fldChar w:fldCharType="end"/>
            </w:r>
          </w:hyperlink>
        </w:p>
        <w:p w14:paraId="4C695F8E" w14:textId="2658827C" w:rsidR="00414C0B" w:rsidRDefault="00414C0B">
          <w:pPr>
            <w:pStyle w:val="TOC1"/>
            <w:tabs>
              <w:tab w:val="right" w:leader="dot" w:pos="9016"/>
            </w:tabs>
            <w:rPr>
              <w:rFonts w:eastAsiaTheme="minorEastAsia"/>
              <w:noProof/>
              <w:lang w:eastAsia="en-GB"/>
            </w:rPr>
          </w:pPr>
          <w:hyperlink w:anchor="_Toc243918111" w:history="1">
            <w:r w:rsidRPr="003C123F">
              <w:rPr>
                <w:rStyle w:val="Hyperlink"/>
                <w:noProof/>
              </w:rPr>
              <w:t>3.3 Johnson and Scholes’ Cultural Web</w:t>
            </w:r>
            <w:r>
              <w:rPr>
                <w:noProof/>
                <w:webHidden/>
              </w:rPr>
              <w:tab/>
            </w:r>
            <w:r>
              <w:rPr>
                <w:noProof/>
                <w:webHidden/>
              </w:rPr>
              <w:fldChar w:fldCharType="begin"/>
            </w:r>
            <w:r>
              <w:rPr>
                <w:noProof/>
                <w:webHidden/>
              </w:rPr>
              <w:instrText xml:space="preserve"> PAGEREF _Toc243918111 \h </w:instrText>
            </w:r>
            <w:r>
              <w:rPr>
                <w:noProof/>
                <w:webHidden/>
              </w:rPr>
            </w:r>
            <w:r>
              <w:rPr>
                <w:noProof/>
                <w:webHidden/>
              </w:rPr>
              <w:fldChar w:fldCharType="separate"/>
            </w:r>
            <w:r>
              <w:rPr>
                <w:noProof/>
                <w:webHidden/>
              </w:rPr>
              <w:t>6</w:t>
            </w:r>
            <w:r>
              <w:rPr>
                <w:noProof/>
                <w:webHidden/>
              </w:rPr>
              <w:fldChar w:fldCharType="end"/>
            </w:r>
          </w:hyperlink>
        </w:p>
        <w:p w14:paraId="0183AACC" w14:textId="11435FB1" w:rsidR="00414C0B" w:rsidRDefault="00414C0B">
          <w:pPr>
            <w:pStyle w:val="TOC1"/>
            <w:tabs>
              <w:tab w:val="right" w:leader="dot" w:pos="9016"/>
            </w:tabs>
            <w:rPr>
              <w:rFonts w:eastAsiaTheme="minorEastAsia"/>
              <w:noProof/>
              <w:lang w:eastAsia="en-GB"/>
            </w:rPr>
          </w:pPr>
          <w:hyperlink w:anchor="_Toc243918112" w:history="1">
            <w:r w:rsidRPr="003C123F">
              <w:rPr>
                <w:rStyle w:val="Hyperlink"/>
                <w:noProof/>
              </w:rPr>
              <w:t>4.Organisational Culture and the External Environment</w:t>
            </w:r>
            <w:r>
              <w:rPr>
                <w:noProof/>
                <w:webHidden/>
              </w:rPr>
              <w:tab/>
            </w:r>
            <w:r>
              <w:rPr>
                <w:noProof/>
                <w:webHidden/>
              </w:rPr>
              <w:fldChar w:fldCharType="begin"/>
            </w:r>
            <w:r>
              <w:rPr>
                <w:noProof/>
                <w:webHidden/>
              </w:rPr>
              <w:instrText xml:space="preserve"> PAGEREF _Toc243918112 \h </w:instrText>
            </w:r>
            <w:r>
              <w:rPr>
                <w:noProof/>
                <w:webHidden/>
              </w:rPr>
            </w:r>
            <w:r>
              <w:rPr>
                <w:noProof/>
                <w:webHidden/>
              </w:rPr>
              <w:fldChar w:fldCharType="separate"/>
            </w:r>
            <w:r>
              <w:rPr>
                <w:noProof/>
                <w:webHidden/>
              </w:rPr>
              <w:t>7</w:t>
            </w:r>
            <w:r>
              <w:rPr>
                <w:noProof/>
                <w:webHidden/>
              </w:rPr>
              <w:fldChar w:fldCharType="end"/>
            </w:r>
          </w:hyperlink>
        </w:p>
        <w:p w14:paraId="333C1047" w14:textId="78811D99" w:rsidR="00414C0B" w:rsidRDefault="00414C0B">
          <w:pPr>
            <w:pStyle w:val="TOC1"/>
            <w:tabs>
              <w:tab w:val="right" w:leader="dot" w:pos="9016"/>
            </w:tabs>
            <w:rPr>
              <w:rFonts w:eastAsiaTheme="minorEastAsia"/>
              <w:noProof/>
              <w:lang w:eastAsia="en-GB"/>
            </w:rPr>
          </w:pPr>
          <w:hyperlink w:anchor="_Toc243918113" w:history="1">
            <w:r w:rsidRPr="003C123F">
              <w:rPr>
                <w:rStyle w:val="Hyperlink"/>
                <w:noProof/>
              </w:rPr>
              <w:t>5.Organisational Culture as an Enabler at Lloyds Banking Group</w:t>
            </w:r>
            <w:r>
              <w:rPr>
                <w:noProof/>
                <w:webHidden/>
              </w:rPr>
              <w:tab/>
            </w:r>
            <w:r>
              <w:rPr>
                <w:noProof/>
                <w:webHidden/>
              </w:rPr>
              <w:fldChar w:fldCharType="begin"/>
            </w:r>
            <w:r>
              <w:rPr>
                <w:noProof/>
                <w:webHidden/>
              </w:rPr>
              <w:instrText xml:space="preserve"> PAGEREF _Toc243918113 \h </w:instrText>
            </w:r>
            <w:r>
              <w:rPr>
                <w:noProof/>
                <w:webHidden/>
              </w:rPr>
            </w:r>
            <w:r>
              <w:rPr>
                <w:noProof/>
                <w:webHidden/>
              </w:rPr>
              <w:fldChar w:fldCharType="separate"/>
            </w:r>
            <w:r>
              <w:rPr>
                <w:noProof/>
                <w:webHidden/>
              </w:rPr>
              <w:t>9</w:t>
            </w:r>
            <w:r>
              <w:rPr>
                <w:noProof/>
                <w:webHidden/>
              </w:rPr>
              <w:fldChar w:fldCharType="end"/>
            </w:r>
          </w:hyperlink>
        </w:p>
        <w:p w14:paraId="2249482A" w14:textId="5DA7E05A" w:rsidR="00414C0B" w:rsidRDefault="00414C0B">
          <w:pPr>
            <w:pStyle w:val="TOC1"/>
            <w:tabs>
              <w:tab w:val="right" w:leader="dot" w:pos="9016"/>
            </w:tabs>
            <w:rPr>
              <w:rFonts w:eastAsiaTheme="minorEastAsia"/>
              <w:noProof/>
              <w:lang w:eastAsia="en-GB"/>
            </w:rPr>
          </w:pPr>
          <w:hyperlink w:anchor="_Toc243918114" w:history="1">
            <w:r w:rsidRPr="003C123F">
              <w:rPr>
                <w:rStyle w:val="Hyperlink"/>
                <w:noProof/>
              </w:rPr>
              <w:t>6.Impact of Culture on Organisational Performance</w:t>
            </w:r>
            <w:r>
              <w:rPr>
                <w:noProof/>
                <w:webHidden/>
              </w:rPr>
              <w:tab/>
            </w:r>
            <w:r>
              <w:rPr>
                <w:noProof/>
                <w:webHidden/>
              </w:rPr>
              <w:fldChar w:fldCharType="begin"/>
            </w:r>
            <w:r>
              <w:rPr>
                <w:noProof/>
                <w:webHidden/>
              </w:rPr>
              <w:instrText xml:space="preserve"> PAGEREF _Toc243918114 \h </w:instrText>
            </w:r>
            <w:r>
              <w:rPr>
                <w:noProof/>
                <w:webHidden/>
              </w:rPr>
            </w:r>
            <w:r>
              <w:rPr>
                <w:noProof/>
                <w:webHidden/>
              </w:rPr>
              <w:fldChar w:fldCharType="separate"/>
            </w:r>
            <w:r>
              <w:rPr>
                <w:noProof/>
                <w:webHidden/>
              </w:rPr>
              <w:t>9</w:t>
            </w:r>
            <w:r>
              <w:rPr>
                <w:noProof/>
                <w:webHidden/>
              </w:rPr>
              <w:fldChar w:fldCharType="end"/>
            </w:r>
          </w:hyperlink>
        </w:p>
        <w:p w14:paraId="70624677" w14:textId="7A2063D6" w:rsidR="00414C0B" w:rsidRDefault="00414C0B">
          <w:pPr>
            <w:pStyle w:val="TOC1"/>
            <w:tabs>
              <w:tab w:val="right" w:leader="dot" w:pos="9016"/>
            </w:tabs>
            <w:rPr>
              <w:rFonts w:eastAsiaTheme="minorEastAsia"/>
              <w:noProof/>
              <w:lang w:eastAsia="en-GB"/>
            </w:rPr>
          </w:pPr>
          <w:hyperlink w:anchor="_Toc243918115" w:history="1">
            <w:r w:rsidRPr="003C123F">
              <w:rPr>
                <w:rStyle w:val="Hyperlink"/>
                <w:noProof/>
              </w:rPr>
              <w:t>7. Recommendations</w:t>
            </w:r>
            <w:r>
              <w:rPr>
                <w:noProof/>
                <w:webHidden/>
              </w:rPr>
              <w:tab/>
            </w:r>
            <w:r>
              <w:rPr>
                <w:noProof/>
                <w:webHidden/>
              </w:rPr>
              <w:fldChar w:fldCharType="begin"/>
            </w:r>
            <w:r>
              <w:rPr>
                <w:noProof/>
                <w:webHidden/>
              </w:rPr>
              <w:instrText xml:space="preserve"> PAGEREF _Toc243918115 \h </w:instrText>
            </w:r>
            <w:r>
              <w:rPr>
                <w:noProof/>
                <w:webHidden/>
              </w:rPr>
            </w:r>
            <w:r>
              <w:rPr>
                <w:noProof/>
                <w:webHidden/>
              </w:rPr>
              <w:fldChar w:fldCharType="separate"/>
            </w:r>
            <w:r>
              <w:rPr>
                <w:noProof/>
                <w:webHidden/>
              </w:rPr>
              <w:t>10</w:t>
            </w:r>
            <w:r>
              <w:rPr>
                <w:noProof/>
                <w:webHidden/>
              </w:rPr>
              <w:fldChar w:fldCharType="end"/>
            </w:r>
          </w:hyperlink>
        </w:p>
        <w:p w14:paraId="05362534" w14:textId="5555D52E" w:rsidR="00414C0B" w:rsidRDefault="00414C0B">
          <w:pPr>
            <w:pStyle w:val="TOC1"/>
            <w:tabs>
              <w:tab w:val="right" w:leader="dot" w:pos="9016"/>
            </w:tabs>
            <w:rPr>
              <w:rFonts w:eastAsiaTheme="minorEastAsia"/>
              <w:noProof/>
              <w:lang w:eastAsia="en-GB"/>
            </w:rPr>
          </w:pPr>
          <w:hyperlink w:anchor="_Toc243918116" w:history="1">
            <w:r w:rsidRPr="003C123F">
              <w:rPr>
                <w:rStyle w:val="Hyperlink"/>
                <w:noProof/>
              </w:rPr>
              <w:t>8.Conclusion</w:t>
            </w:r>
            <w:r>
              <w:rPr>
                <w:noProof/>
                <w:webHidden/>
              </w:rPr>
              <w:tab/>
            </w:r>
            <w:r>
              <w:rPr>
                <w:noProof/>
                <w:webHidden/>
              </w:rPr>
              <w:fldChar w:fldCharType="begin"/>
            </w:r>
            <w:r>
              <w:rPr>
                <w:noProof/>
                <w:webHidden/>
              </w:rPr>
              <w:instrText xml:space="preserve"> PAGEREF _Toc243918116 \h </w:instrText>
            </w:r>
            <w:r>
              <w:rPr>
                <w:noProof/>
                <w:webHidden/>
              </w:rPr>
            </w:r>
            <w:r>
              <w:rPr>
                <w:noProof/>
                <w:webHidden/>
              </w:rPr>
              <w:fldChar w:fldCharType="separate"/>
            </w:r>
            <w:r>
              <w:rPr>
                <w:noProof/>
                <w:webHidden/>
              </w:rPr>
              <w:t>11</w:t>
            </w:r>
            <w:r>
              <w:rPr>
                <w:noProof/>
                <w:webHidden/>
              </w:rPr>
              <w:fldChar w:fldCharType="end"/>
            </w:r>
          </w:hyperlink>
        </w:p>
        <w:p w14:paraId="093DEF38" w14:textId="292FD582" w:rsidR="00414C0B" w:rsidRDefault="00414C0B">
          <w:pPr>
            <w:pStyle w:val="TOC1"/>
            <w:tabs>
              <w:tab w:val="right" w:leader="dot" w:pos="9016"/>
            </w:tabs>
            <w:rPr>
              <w:rFonts w:eastAsiaTheme="minorEastAsia"/>
              <w:noProof/>
              <w:lang w:eastAsia="en-GB"/>
            </w:rPr>
          </w:pPr>
          <w:hyperlink w:anchor="_Toc243918117" w:history="1">
            <w:r w:rsidRPr="003C123F">
              <w:rPr>
                <w:rStyle w:val="Hyperlink"/>
                <w:noProof/>
              </w:rPr>
              <w:t>References</w:t>
            </w:r>
            <w:r>
              <w:rPr>
                <w:noProof/>
                <w:webHidden/>
              </w:rPr>
              <w:tab/>
            </w:r>
            <w:r>
              <w:rPr>
                <w:noProof/>
                <w:webHidden/>
              </w:rPr>
              <w:fldChar w:fldCharType="begin"/>
            </w:r>
            <w:r>
              <w:rPr>
                <w:noProof/>
                <w:webHidden/>
              </w:rPr>
              <w:instrText xml:space="preserve"> PAGEREF _Toc243918117 \h </w:instrText>
            </w:r>
            <w:r>
              <w:rPr>
                <w:noProof/>
                <w:webHidden/>
              </w:rPr>
            </w:r>
            <w:r>
              <w:rPr>
                <w:noProof/>
                <w:webHidden/>
              </w:rPr>
              <w:fldChar w:fldCharType="separate"/>
            </w:r>
            <w:r>
              <w:rPr>
                <w:noProof/>
                <w:webHidden/>
              </w:rPr>
              <w:t>12</w:t>
            </w:r>
            <w:r>
              <w:rPr>
                <w:noProof/>
                <w:webHidden/>
              </w:rPr>
              <w:fldChar w:fldCharType="end"/>
            </w:r>
          </w:hyperlink>
        </w:p>
        <w:p w14:paraId="1017C0A6" w14:textId="280EFB15" w:rsidR="0006049F" w:rsidRDefault="0006049F">
          <w:r>
            <w:rPr>
              <w:b/>
              <w:bCs/>
              <w:noProof/>
            </w:rPr>
            <w:fldChar w:fldCharType="end"/>
          </w:r>
        </w:p>
      </w:sdtContent>
    </w:sdt>
    <w:p w14:paraId="2294132E" w14:textId="77777777" w:rsidR="00F72822" w:rsidRDefault="00F72822" w:rsidP="00F72822">
      <w:r>
        <w:t xml:space="preserve"> </w:t>
      </w:r>
    </w:p>
    <w:p w14:paraId="25B0A327" w14:textId="77777777" w:rsidR="00F72822" w:rsidRDefault="00F72822" w:rsidP="00F72822"/>
    <w:p w14:paraId="046FE809" w14:textId="77777777" w:rsidR="00F72822" w:rsidRDefault="00F72822" w:rsidP="00F72822">
      <w:r>
        <w:t xml:space="preserve"> </w:t>
      </w:r>
    </w:p>
    <w:p w14:paraId="54256514" w14:textId="77777777" w:rsidR="00F72822" w:rsidRDefault="00F72822" w:rsidP="00F72822"/>
    <w:p w14:paraId="39A398DE" w14:textId="77777777" w:rsidR="00F72822" w:rsidRDefault="00F72822" w:rsidP="00F72822">
      <w:r>
        <w:t xml:space="preserve"> </w:t>
      </w:r>
    </w:p>
    <w:p w14:paraId="542C4601" w14:textId="77777777" w:rsidR="00F72822" w:rsidRDefault="00F72822" w:rsidP="00F72822"/>
    <w:p w14:paraId="41866789" w14:textId="77777777" w:rsidR="00F72822" w:rsidRDefault="00F72822" w:rsidP="00F72822">
      <w:r>
        <w:t xml:space="preserve"> </w:t>
      </w:r>
    </w:p>
    <w:p w14:paraId="5C3EBE12" w14:textId="77777777" w:rsidR="00F72822" w:rsidRDefault="00F72822" w:rsidP="00F72822"/>
    <w:p w14:paraId="6E0EA76E" w14:textId="77777777" w:rsidR="00F72822" w:rsidRDefault="00F72822" w:rsidP="00F72822">
      <w:r>
        <w:t xml:space="preserve"> </w:t>
      </w:r>
    </w:p>
    <w:p w14:paraId="433A2092" w14:textId="77777777" w:rsidR="00F72822" w:rsidRDefault="00F72822" w:rsidP="00F72822"/>
    <w:p w14:paraId="3CAD892E" w14:textId="49153556" w:rsidR="00F72822" w:rsidRDefault="00F72822" w:rsidP="00F72822">
      <w:r>
        <w:t xml:space="preserve"> </w:t>
      </w:r>
    </w:p>
    <w:p w14:paraId="61F40539" w14:textId="77777777" w:rsidR="00B71605" w:rsidRDefault="00B71605" w:rsidP="00F72822"/>
    <w:p w14:paraId="1DD1E7A0" w14:textId="6E64AF5F" w:rsidR="00F72822" w:rsidRDefault="00F72822" w:rsidP="00F72822">
      <w:pPr>
        <w:pStyle w:val="Heading1"/>
      </w:pPr>
      <w:bookmarkStart w:id="0" w:name="_Toc243918104"/>
      <w:r>
        <w:lastRenderedPageBreak/>
        <w:t>1.Introduction</w:t>
      </w:r>
      <w:bookmarkEnd w:id="0"/>
      <w:r>
        <w:t xml:space="preserve"> </w:t>
      </w:r>
    </w:p>
    <w:p w14:paraId="2C837F2E" w14:textId="529F2865" w:rsidR="00F72822" w:rsidRPr="00F72822" w:rsidRDefault="00F72822" w:rsidP="00F72822">
      <w:pPr>
        <w:rPr>
          <w:rFonts w:ascii="Arial" w:hAnsi="Arial" w:cs="Arial"/>
          <w:sz w:val="22"/>
          <w:szCs w:val="22"/>
        </w:rPr>
      </w:pPr>
      <w:r w:rsidRPr="00F72822">
        <w:rPr>
          <w:rFonts w:ascii="Arial" w:hAnsi="Arial" w:cs="Arial"/>
          <w:sz w:val="22"/>
          <w:szCs w:val="22"/>
        </w:rPr>
        <w:t xml:space="preserve">Organisational culture refers to shared values, beliefs, behaviours and attitudes practices that shapes how people interact, make decisions and work together within an organisation (Kafilat,2026). It extends beyond formal policies, evolving through daily interactions, leadership behaviour, organisational routines, and assumptions about acceptable conduct. Mullins and Christy (2016) highlight that culture significantly impacts organisational processes such as structure, decision-making, motivation, group behaviour, and management control. Understanding culture is particularly crucial in highly regulated organisations where employees must balance business goals with customer interests, ethical responsibilities, and risk management. </w:t>
      </w:r>
    </w:p>
    <w:p w14:paraId="538E75BC" w14:textId="6BC8795B" w:rsidR="00F72822" w:rsidRPr="00F72822" w:rsidRDefault="00F72822" w:rsidP="00F72822">
      <w:pPr>
        <w:rPr>
          <w:rFonts w:ascii="Arial" w:hAnsi="Arial" w:cs="Arial"/>
          <w:sz w:val="22"/>
          <w:szCs w:val="22"/>
        </w:rPr>
      </w:pPr>
      <w:r w:rsidRPr="00F72822">
        <w:rPr>
          <w:rFonts w:ascii="Arial" w:hAnsi="Arial" w:cs="Arial"/>
          <w:sz w:val="22"/>
          <w:szCs w:val="22"/>
        </w:rPr>
        <w:t>Lloyds Banking Group is a major U</w:t>
      </w:r>
      <w:r w:rsidR="00B71605">
        <w:rPr>
          <w:rFonts w:ascii="Arial" w:hAnsi="Arial" w:cs="Arial"/>
          <w:sz w:val="22"/>
          <w:szCs w:val="22"/>
        </w:rPr>
        <w:t>K</w:t>
      </w:r>
      <w:r w:rsidRPr="00F72822">
        <w:rPr>
          <w:rFonts w:ascii="Arial" w:hAnsi="Arial" w:cs="Arial"/>
          <w:sz w:val="22"/>
          <w:szCs w:val="22"/>
        </w:rPr>
        <w:t xml:space="preserve"> financial services organisations that operates across banking, commercial banking and pensions and investments. The organisation’s mission, “Helping Britain Prosper”, ties into its efforts to support customers, colleagues, and communities while delivering sustainable returns for shareholders (Lloyds Banking Group, 2025a).  The current strategy emphasises growth, efficiency, digital transformation, technology, data, and artificial intelligence (AI).  </w:t>
      </w:r>
    </w:p>
    <w:p w14:paraId="5B702FAA" w14:textId="5AAB13B3" w:rsidR="00F72822" w:rsidRPr="00F72822" w:rsidRDefault="00F72822" w:rsidP="00F72822">
      <w:pPr>
        <w:rPr>
          <w:rFonts w:ascii="Arial" w:hAnsi="Arial" w:cs="Arial"/>
          <w:sz w:val="22"/>
          <w:szCs w:val="22"/>
        </w:rPr>
      </w:pPr>
      <w:r w:rsidRPr="00F72822">
        <w:rPr>
          <w:rFonts w:ascii="Arial" w:hAnsi="Arial" w:cs="Arial"/>
          <w:sz w:val="22"/>
          <w:szCs w:val="22"/>
        </w:rPr>
        <w:t xml:space="preserve">The impact of organisational culture on Lloyds’ organisational structure and decision-making procedures is critically assessed in this report. Lloyds visible cultural practices, espoused values and underlying assumptions are identified using Schein’s (2010) three level model. Also, Handy Cultural </w:t>
      </w:r>
      <w:r w:rsidR="00892D14">
        <w:rPr>
          <w:rFonts w:ascii="Arial" w:hAnsi="Arial" w:cs="Arial"/>
          <w:sz w:val="22"/>
          <w:szCs w:val="22"/>
        </w:rPr>
        <w:t>t</w:t>
      </w:r>
      <w:r w:rsidRPr="00F72822">
        <w:rPr>
          <w:rFonts w:ascii="Arial" w:hAnsi="Arial" w:cs="Arial"/>
          <w:sz w:val="22"/>
          <w:szCs w:val="22"/>
        </w:rPr>
        <w:t xml:space="preserve">ypes and Johnson and Scholes’ Cultural Web to evaluate the organisation prevailing culture and its response to external influences, including regulatory requirements, digital transformations and changing customer expectations  </w:t>
      </w:r>
    </w:p>
    <w:p w14:paraId="0E669FE9" w14:textId="45B4AC56" w:rsidR="00F72822" w:rsidRPr="00F72822" w:rsidRDefault="00F72822" w:rsidP="00F72822">
      <w:pPr>
        <w:rPr>
          <w:rFonts w:ascii="Arial" w:hAnsi="Arial" w:cs="Arial"/>
          <w:sz w:val="22"/>
          <w:szCs w:val="22"/>
        </w:rPr>
      </w:pPr>
      <w:r w:rsidRPr="00F72822">
        <w:rPr>
          <w:rFonts w:ascii="Arial" w:hAnsi="Arial" w:cs="Arial"/>
          <w:sz w:val="22"/>
          <w:szCs w:val="22"/>
        </w:rPr>
        <w:t xml:space="preserve">The report further evaluates whether culture acts as an enabler or barrier to effective organisational functioning and considers relationship with organisational performance before proposing evidence-based recommendations to strengthen employee participation, collaboration, innovation and alignment between organisational values and everyday practices. </w:t>
      </w:r>
    </w:p>
    <w:p w14:paraId="3ED91EAB" w14:textId="63CDFFCA" w:rsidR="00F72822" w:rsidRDefault="00F72822" w:rsidP="00F72822">
      <w:pPr>
        <w:pStyle w:val="Heading1"/>
      </w:pPr>
      <w:bookmarkStart w:id="1" w:name="_Toc243918105"/>
      <w:r>
        <w:t>2.Organisational Structure and Decision-making at Lloyds</w:t>
      </w:r>
      <w:bookmarkEnd w:id="1"/>
      <w:r>
        <w:t xml:space="preserve">  </w:t>
      </w:r>
    </w:p>
    <w:p w14:paraId="33335861" w14:textId="70DAD8FF" w:rsidR="00F72822" w:rsidRDefault="00F72822" w:rsidP="00F72822">
      <w:pPr>
        <w:pStyle w:val="Heading2"/>
      </w:pPr>
      <w:bookmarkStart w:id="2" w:name="_Toc243918106"/>
      <w:r>
        <w:t>2.1 Classification of Lloyds Banking Group’s Structure</w:t>
      </w:r>
      <w:bookmarkEnd w:id="2"/>
      <w:r>
        <w:t xml:space="preserve"> </w:t>
      </w:r>
    </w:p>
    <w:p w14:paraId="261E505A" w14:textId="7A8776A5" w:rsidR="002C4CEB" w:rsidRPr="00310829" w:rsidRDefault="002C4CEB" w:rsidP="006848EB">
      <w:pPr>
        <w:rPr>
          <w:rFonts w:ascii="Arial" w:hAnsi="Arial" w:cs="Arial"/>
          <w:sz w:val="22"/>
          <w:szCs w:val="22"/>
        </w:rPr>
      </w:pPr>
      <w:r w:rsidRPr="00310829">
        <w:rPr>
          <w:rFonts w:ascii="Arial" w:hAnsi="Arial" w:cs="Arial"/>
          <w:sz w:val="22"/>
          <w:szCs w:val="22"/>
        </w:rPr>
        <w:t xml:space="preserve">Organisational structure determines how authority </w:t>
      </w:r>
      <w:r w:rsidR="00BE17DA" w:rsidRPr="00310829">
        <w:rPr>
          <w:rFonts w:ascii="Arial" w:hAnsi="Arial" w:cs="Arial"/>
          <w:sz w:val="22"/>
          <w:szCs w:val="22"/>
        </w:rPr>
        <w:t>responsibilities</w:t>
      </w:r>
      <w:r w:rsidRPr="00310829">
        <w:rPr>
          <w:rFonts w:ascii="Arial" w:hAnsi="Arial" w:cs="Arial"/>
          <w:sz w:val="22"/>
          <w:szCs w:val="22"/>
        </w:rPr>
        <w:t xml:space="preserve"> and resources are distributed throughout the business (Jain,2024</w:t>
      </w:r>
      <w:r w:rsidR="0044409C" w:rsidRPr="00310829">
        <w:rPr>
          <w:rFonts w:ascii="Arial" w:hAnsi="Arial" w:cs="Arial"/>
          <w:sz w:val="22"/>
          <w:szCs w:val="22"/>
        </w:rPr>
        <w:t>). Lloyds</w:t>
      </w:r>
      <w:r w:rsidRPr="00310829">
        <w:rPr>
          <w:rFonts w:ascii="Arial" w:hAnsi="Arial" w:cs="Arial"/>
          <w:sz w:val="22"/>
          <w:szCs w:val="22"/>
        </w:rPr>
        <w:t xml:space="preserve"> Banking Group operates through business </w:t>
      </w:r>
      <w:r w:rsidR="007A5B59" w:rsidRPr="00310829">
        <w:rPr>
          <w:rFonts w:ascii="Arial" w:hAnsi="Arial" w:cs="Arial"/>
          <w:sz w:val="22"/>
          <w:szCs w:val="22"/>
        </w:rPr>
        <w:t>divisions, including</w:t>
      </w:r>
      <w:r w:rsidR="00C278BF" w:rsidRPr="00310829">
        <w:rPr>
          <w:rFonts w:ascii="Arial" w:hAnsi="Arial" w:cs="Arial"/>
          <w:sz w:val="22"/>
          <w:szCs w:val="22"/>
        </w:rPr>
        <w:t xml:space="preserve"> </w:t>
      </w:r>
      <w:r w:rsidR="00BE17DA" w:rsidRPr="00310829">
        <w:rPr>
          <w:rFonts w:ascii="Arial" w:hAnsi="Arial" w:cs="Arial"/>
          <w:sz w:val="22"/>
          <w:szCs w:val="22"/>
        </w:rPr>
        <w:t>Retail, Insurance</w:t>
      </w:r>
      <w:r w:rsidR="00C278BF" w:rsidRPr="00310829">
        <w:rPr>
          <w:rFonts w:ascii="Arial" w:hAnsi="Arial" w:cs="Arial"/>
          <w:sz w:val="22"/>
          <w:szCs w:val="22"/>
        </w:rPr>
        <w:t xml:space="preserve"> and Wealth and Commercial </w:t>
      </w:r>
      <w:r w:rsidR="00BE17DA" w:rsidRPr="00310829">
        <w:rPr>
          <w:rFonts w:ascii="Arial" w:hAnsi="Arial" w:cs="Arial"/>
          <w:sz w:val="22"/>
          <w:szCs w:val="22"/>
        </w:rPr>
        <w:t>Banking, supported</w:t>
      </w:r>
      <w:r w:rsidR="00C278BF" w:rsidRPr="00310829">
        <w:rPr>
          <w:rFonts w:ascii="Arial" w:hAnsi="Arial" w:cs="Arial"/>
          <w:sz w:val="22"/>
          <w:szCs w:val="22"/>
        </w:rPr>
        <w:t xml:space="preserve"> by specialist such as </w:t>
      </w:r>
      <w:r w:rsidR="0044409C" w:rsidRPr="00310829">
        <w:rPr>
          <w:rFonts w:ascii="Arial" w:hAnsi="Arial" w:cs="Arial"/>
          <w:sz w:val="22"/>
          <w:szCs w:val="22"/>
        </w:rPr>
        <w:t>finance, risk</w:t>
      </w:r>
      <w:r w:rsidR="00C278BF" w:rsidRPr="00310829">
        <w:rPr>
          <w:rFonts w:ascii="Arial" w:hAnsi="Arial" w:cs="Arial"/>
          <w:sz w:val="22"/>
          <w:szCs w:val="22"/>
        </w:rPr>
        <w:t xml:space="preserve"> management and </w:t>
      </w:r>
      <w:r w:rsidR="00BE17DA" w:rsidRPr="00310829">
        <w:rPr>
          <w:rFonts w:ascii="Arial" w:hAnsi="Arial" w:cs="Arial"/>
          <w:sz w:val="22"/>
          <w:szCs w:val="22"/>
        </w:rPr>
        <w:t>compliance. This</w:t>
      </w:r>
      <w:r w:rsidR="00C278BF" w:rsidRPr="00310829">
        <w:rPr>
          <w:rFonts w:ascii="Arial" w:hAnsi="Arial" w:cs="Arial"/>
          <w:sz w:val="22"/>
          <w:szCs w:val="22"/>
        </w:rPr>
        <w:t xml:space="preserve"> divisional allows each business are to focus on its customers while following the </w:t>
      </w:r>
      <w:r w:rsidR="00BE17DA" w:rsidRPr="00310829">
        <w:rPr>
          <w:rFonts w:ascii="Arial" w:hAnsi="Arial" w:cs="Arial"/>
          <w:sz w:val="22"/>
          <w:szCs w:val="22"/>
        </w:rPr>
        <w:t>business’s overall strategic objectives and governance requirements (Lloyds Banking Group,2025a).</w:t>
      </w:r>
    </w:p>
    <w:p w14:paraId="15D91C80" w14:textId="18FDD2FF" w:rsidR="00F72822" w:rsidRPr="00310829" w:rsidRDefault="00BE17DA" w:rsidP="00F72822">
      <w:pPr>
        <w:rPr>
          <w:rFonts w:ascii="Arial" w:hAnsi="Arial" w:cs="Arial"/>
          <w:sz w:val="22"/>
          <w:szCs w:val="22"/>
        </w:rPr>
      </w:pPr>
      <w:r w:rsidRPr="00310829">
        <w:rPr>
          <w:rFonts w:ascii="Arial" w:hAnsi="Arial" w:cs="Arial"/>
          <w:sz w:val="22"/>
          <w:szCs w:val="22"/>
        </w:rPr>
        <w:t xml:space="preserve">Lloyds Banking group is </w:t>
      </w:r>
      <w:r w:rsidR="00170EC2" w:rsidRPr="00310829">
        <w:rPr>
          <w:rFonts w:ascii="Arial" w:hAnsi="Arial" w:cs="Arial"/>
          <w:sz w:val="22"/>
          <w:szCs w:val="22"/>
        </w:rPr>
        <w:t xml:space="preserve">classified as predominantly mechanistic organisation because its operations require formal </w:t>
      </w:r>
      <w:r w:rsidR="0068025B" w:rsidRPr="00310829">
        <w:rPr>
          <w:rFonts w:ascii="Arial" w:hAnsi="Arial" w:cs="Arial"/>
          <w:sz w:val="22"/>
          <w:szCs w:val="22"/>
        </w:rPr>
        <w:t>procedures, a</w:t>
      </w:r>
      <w:r w:rsidR="00170EC2" w:rsidRPr="00310829">
        <w:rPr>
          <w:rFonts w:ascii="Arial" w:hAnsi="Arial" w:cs="Arial"/>
          <w:sz w:val="22"/>
          <w:szCs w:val="22"/>
        </w:rPr>
        <w:t xml:space="preserve"> clear </w:t>
      </w:r>
      <w:r w:rsidR="0068025B" w:rsidRPr="00310829">
        <w:rPr>
          <w:rFonts w:ascii="Arial" w:hAnsi="Arial" w:cs="Arial"/>
          <w:sz w:val="22"/>
          <w:szCs w:val="22"/>
        </w:rPr>
        <w:t>hierarchy, defined</w:t>
      </w:r>
      <w:r w:rsidR="00170EC2" w:rsidRPr="00310829">
        <w:rPr>
          <w:rFonts w:ascii="Arial" w:hAnsi="Arial" w:cs="Arial"/>
          <w:sz w:val="22"/>
          <w:szCs w:val="22"/>
        </w:rPr>
        <w:t xml:space="preserve"> </w:t>
      </w:r>
      <w:r w:rsidR="0068025B" w:rsidRPr="00310829">
        <w:rPr>
          <w:rFonts w:ascii="Arial" w:hAnsi="Arial" w:cs="Arial"/>
          <w:sz w:val="22"/>
          <w:szCs w:val="22"/>
        </w:rPr>
        <w:t>responsibilities</w:t>
      </w:r>
      <w:r w:rsidR="00170EC2" w:rsidRPr="00310829">
        <w:rPr>
          <w:rFonts w:ascii="Arial" w:hAnsi="Arial" w:cs="Arial"/>
          <w:sz w:val="22"/>
          <w:szCs w:val="22"/>
        </w:rPr>
        <w:t xml:space="preserve"> and strict risk </w:t>
      </w:r>
      <w:r w:rsidR="0068025B" w:rsidRPr="00310829">
        <w:rPr>
          <w:rFonts w:ascii="Arial" w:hAnsi="Arial" w:cs="Arial"/>
          <w:sz w:val="22"/>
          <w:szCs w:val="22"/>
        </w:rPr>
        <w:t>controls. Burns</w:t>
      </w:r>
      <w:r w:rsidR="00E667C1" w:rsidRPr="00310829">
        <w:rPr>
          <w:rFonts w:ascii="Arial" w:hAnsi="Arial" w:cs="Arial"/>
          <w:sz w:val="22"/>
          <w:szCs w:val="22"/>
        </w:rPr>
        <w:t xml:space="preserve"> and Stalker (1961) explain that </w:t>
      </w:r>
      <w:r w:rsidR="00804165">
        <w:rPr>
          <w:rFonts w:ascii="Arial" w:hAnsi="Arial" w:cs="Arial"/>
          <w:sz w:val="22"/>
          <w:szCs w:val="22"/>
        </w:rPr>
        <w:t>mechanistic</w:t>
      </w:r>
      <w:r w:rsidR="00E667C1" w:rsidRPr="00310829">
        <w:rPr>
          <w:rFonts w:ascii="Arial" w:hAnsi="Arial" w:cs="Arial"/>
          <w:sz w:val="22"/>
          <w:szCs w:val="22"/>
        </w:rPr>
        <w:t xml:space="preserve"> structures rely on formal </w:t>
      </w:r>
      <w:r w:rsidR="0068025B" w:rsidRPr="00310829">
        <w:rPr>
          <w:rFonts w:ascii="Arial" w:hAnsi="Arial" w:cs="Arial"/>
          <w:sz w:val="22"/>
          <w:szCs w:val="22"/>
        </w:rPr>
        <w:lastRenderedPageBreak/>
        <w:t>authority, established</w:t>
      </w:r>
      <w:r w:rsidR="00E667C1" w:rsidRPr="00310829">
        <w:rPr>
          <w:rFonts w:ascii="Arial" w:hAnsi="Arial" w:cs="Arial"/>
          <w:sz w:val="22"/>
          <w:szCs w:val="22"/>
        </w:rPr>
        <w:t xml:space="preserve"> rules and </w:t>
      </w:r>
      <w:r w:rsidR="0068025B" w:rsidRPr="00310829">
        <w:rPr>
          <w:rFonts w:ascii="Arial" w:hAnsi="Arial" w:cs="Arial"/>
          <w:sz w:val="22"/>
          <w:szCs w:val="22"/>
        </w:rPr>
        <w:t>standardised</w:t>
      </w:r>
      <w:r w:rsidR="00A318A7" w:rsidRPr="00310829">
        <w:rPr>
          <w:rFonts w:ascii="Arial" w:hAnsi="Arial" w:cs="Arial"/>
          <w:sz w:val="22"/>
          <w:szCs w:val="22"/>
        </w:rPr>
        <w:t xml:space="preserve"> </w:t>
      </w:r>
      <w:r w:rsidR="0068025B" w:rsidRPr="00310829">
        <w:rPr>
          <w:rFonts w:ascii="Arial" w:hAnsi="Arial" w:cs="Arial"/>
          <w:sz w:val="22"/>
          <w:szCs w:val="22"/>
        </w:rPr>
        <w:t>processes. These</w:t>
      </w:r>
      <w:r w:rsidR="00A318A7" w:rsidRPr="00310829">
        <w:rPr>
          <w:rFonts w:ascii="Arial" w:hAnsi="Arial" w:cs="Arial"/>
          <w:sz w:val="22"/>
          <w:szCs w:val="22"/>
        </w:rPr>
        <w:t xml:space="preserve"> characteristics are </w:t>
      </w:r>
      <w:r w:rsidR="0068025B" w:rsidRPr="00310829">
        <w:rPr>
          <w:rFonts w:ascii="Arial" w:hAnsi="Arial" w:cs="Arial"/>
          <w:sz w:val="22"/>
          <w:szCs w:val="22"/>
        </w:rPr>
        <w:t>particularly</w:t>
      </w:r>
      <w:r w:rsidR="00A318A7" w:rsidRPr="00310829">
        <w:rPr>
          <w:rFonts w:ascii="Arial" w:hAnsi="Arial" w:cs="Arial"/>
          <w:sz w:val="22"/>
          <w:szCs w:val="22"/>
        </w:rPr>
        <w:t xml:space="preserve"> suitable for banking because financial decisions can affect </w:t>
      </w:r>
      <w:r w:rsidR="0068025B" w:rsidRPr="00310829">
        <w:rPr>
          <w:rFonts w:ascii="Arial" w:hAnsi="Arial" w:cs="Arial"/>
          <w:sz w:val="22"/>
          <w:szCs w:val="22"/>
        </w:rPr>
        <w:t>customers, shareholders</w:t>
      </w:r>
      <w:r w:rsidR="00A318A7" w:rsidRPr="00310829">
        <w:rPr>
          <w:rFonts w:ascii="Arial" w:hAnsi="Arial" w:cs="Arial"/>
          <w:sz w:val="22"/>
          <w:szCs w:val="22"/>
        </w:rPr>
        <w:t xml:space="preserve"> and financial </w:t>
      </w:r>
      <w:r w:rsidR="0068025B" w:rsidRPr="00310829">
        <w:rPr>
          <w:rFonts w:ascii="Arial" w:hAnsi="Arial" w:cs="Arial"/>
          <w:sz w:val="22"/>
          <w:szCs w:val="22"/>
        </w:rPr>
        <w:t>stability. A</w:t>
      </w:r>
      <w:r w:rsidR="00A318A7" w:rsidRPr="00310829">
        <w:rPr>
          <w:rFonts w:ascii="Arial" w:hAnsi="Arial" w:cs="Arial"/>
          <w:sz w:val="22"/>
          <w:szCs w:val="22"/>
        </w:rPr>
        <w:t xml:space="preserve"> mechanistic </w:t>
      </w:r>
      <w:r w:rsidR="0068025B" w:rsidRPr="00310829">
        <w:rPr>
          <w:rFonts w:ascii="Arial" w:hAnsi="Arial" w:cs="Arial"/>
          <w:sz w:val="22"/>
          <w:szCs w:val="22"/>
        </w:rPr>
        <w:t>structure</w:t>
      </w:r>
      <w:r w:rsidR="00A318A7" w:rsidRPr="00310829">
        <w:rPr>
          <w:rFonts w:ascii="Arial" w:hAnsi="Arial" w:cs="Arial"/>
          <w:sz w:val="22"/>
          <w:szCs w:val="22"/>
        </w:rPr>
        <w:t xml:space="preserve"> helps ensure that </w:t>
      </w:r>
      <w:r w:rsidR="0068025B" w:rsidRPr="00310829">
        <w:rPr>
          <w:rFonts w:ascii="Arial" w:hAnsi="Arial" w:cs="Arial"/>
          <w:sz w:val="22"/>
          <w:szCs w:val="22"/>
        </w:rPr>
        <w:t>lending, financial</w:t>
      </w:r>
      <w:r w:rsidR="00A318A7" w:rsidRPr="00310829">
        <w:rPr>
          <w:rFonts w:ascii="Arial" w:hAnsi="Arial" w:cs="Arial"/>
          <w:sz w:val="22"/>
          <w:szCs w:val="22"/>
        </w:rPr>
        <w:t xml:space="preserve"> reporting </w:t>
      </w:r>
      <w:r w:rsidR="00DA01DA" w:rsidRPr="00310829">
        <w:rPr>
          <w:rFonts w:ascii="Arial" w:hAnsi="Arial" w:cs="Arial"/>
          <w:sz w:val="22"/>
          <w:szCs w:val="22"/>
        </w:rPr>
        <w:t xml:space="preserve">and </w:t>
      </w:r>
      <w:r w:rsidR="0068025B" w:rsidRPr="00310829">
        <w:rPr>
          <w:rFonts w:ascii="Arial" w:hAnsi="Arial" w:cs="Arial"/>
          <w:sz w:val="22"/>
          <w:szCs w:val="22"/>
        </w:rPr>
        <w:t>regulatory</w:t>
      </w:r>
      <w:r w:rsidR="00DA01DA" w:rsidRPr="00310829">
        <w:rPr>
          <w:rFonts w:ascii="Arial" w:hAnsi="Arial" w:cs="Arial"/>
          <w:sz w:val="22"/>
          <w:szCs w:val="22"/>
        </w:rPr>
        <w:t xml:space="preserve"> compliance follow consistent standards.</w:t>
      </w:r>
    </w:p>
    <w:p w14:paraId="2B8420E1" w14:textId="77777777" w:rsidR="00F05579" w:rsidRDefault="00F72822" w:rsidP="00F72822">
      <w:pPr>
        <w:rPr>
          <w:rFonts w:ascii="Arial" w:hAnsi="Arial" w:cs="Arial"/>
          <w:b/>
          <w:bCs/>
          <w:sz w:val="22"/>
          <w:szCs w:val="22"/>
        </w:rPr>
      </w:pPr>
      <w:r w:rsidRPr="00F72822">
        <w:rPr>
          <w:rFonts w:ascii="Arial" w:hAnsi="Arial" w:cs="Arial"/>
          <w:b/>
          <w:bCs/>
          <w:sz w:val="22"/>
          <w:szCs w:val="22"/>
        </w:rPr>
        <w:t>Table</w:t>
      </w:r>
      <w:r w:rsidR="00041141">
        <w:rPr>
          <w:rFonts w:ascii="Arial" w:hAnsi="Arial" w:cs="Arial"/>
          <w:b/>
          <w:bCs/>
          <w:sz w:val="22"/>
          <w:szCs w:val="22"/>
        </w:rPr>
        <w:t xml:space="preserve"> 1</w:t>
      </w:r>
      <w:r w:rsidRPr="00F72822">
        <w:rPr>
          <w:rFonts w:ascii="Arial" w:hAnsi="Arial" w:cs="Arial"/>
          <w:b/>
          <w:bCs/>
          <w:sz w:val="22"/>
          <w:szCs w:val="22"/>
        </w:rPr>
        <w:t xml:space="preserve">: Classification of Lloyds Banking Group’s organisational structure  </w:t>
      </w:r>
    </w:p>
    <w:p w14:paraId="11F9A84F" w14:textId="4D82BC71" w:rsidR="008F157E" w:rsidRDefault="00D46C92" w:rsidP="00F72822">
      <w:pPr>
        <w:rPr>
          <w:rFonts w:ascii="Arial" w:hAnsi="Arial" w:cs="Arial"/>
          <w:b/>
          <w:bCs/>
          <w:sz w:val="22"/>
          <w:szCs w:val="22"/>
        </w:rPr>
      </w:pPr>
      <w:r w:rsidRPr="00D46C92">
        <w:rPr>
          <w:rFonts w:ascii="Arial" w:hAnsi="Arial" w:cs="Arial"/>
          <w:b/>
          <w:bCs/>
          <w:noProof/>
          <w:sz w:val="22"/>
          <w:szCs w:val="22"/>
        </w:rPr>
        <w:drawing>
          <wp:anchor distT="0" distB="0" distL="114300" distR="114300" simplePos="0" relativeHeight="251661312" behindDoc="1" locked="0" layoutInCell="1" allowOverlap="1" wp14:anchorId="35B9EE25" wp14:editId="45742E70">
            <wp:simplePos x="0" y="0"/>
            <wp:positionH relativeFrom="margin">
              <wp:align>left</wp:align>
            </wp:positionH>
            <wp:positionV relativeFrom="paragraph">
              <wp:posOffset>11430</wp:posOffset>
            </wp:positionV>
            <wp:extent cx="5005754" cy="2077504"/>
            <wp:effectExtent l="0" t="0" r="4445" b="0"/>
            <wp:wrapTight wrapText="bothSides">
              <wp:wrapPolygon edited="0">
                <wp:start x="0" y="0"/>
                <wp:lineTo x="0" y="21395"/>
                <wp:lineTo x="21537" y="21395"/>
                <wp:lineTo x="21537" y="0"/>
                <wp:lineTo x="0" y="0"/>
              </wp:wrapPolygon>
            </wp:wrapTight>
            <wp:docPr id="972338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338611" name=""/>
                    <pic:cNvPicPr/>
                  </pic:nvPicPr>
                  <pic:blipFill>
                    <a:blip r:embed="rId4">
                      <a:extLst>
                        <a:ext uri="{28A0092B-C50C-407E-A947-70E740481C1C}">
                          <a14:useLocalDpi xmlns:a14="http://schemas.microsoft.com/office/drawing/2010/main" val="0"/>
                        </a:ext>
                      </a:extLst>
                    </a:blip>
                    <a:stretch>
                      <a:fillRect/>
                    </a:stretch>
                  </pic:blipFill>
                  <pic:spPr>
                    <a:xfrm>
                      <a:off x="0" y="0"/>
                      <a:ext cx="5005754" cy="2077504"/>
                    </a:xfrm>
                    <a:prstGeom prst="rect">
                      <a:avLst/>
                    </a:prstGeom>
                  </pic:spPr>
                </pic:pic>
              </a:graphicData>
            </a:graphic>
          </wp:anchor>
        </w:drawing>
      </w:r>
    </w:p>
    <w:p w14:paraId="5FEDBE58" w14:textId="3732B8FE" w:rsidR="008F157E" w:rsidRDefault="008F157E" w:rsidP="00F72822">
      <w:pPr>
        <w:rPr>
          <w:rFonts w:ascii="Arial" w:hAnsi="Arial" w:cs="Arial"/>
          <w:b/>
          <w:bCs/>
          <w:sz w:val="22"/>
          <w:szCs w:val="22"/>
        </w:rPr>
      </w:pPr>
    </w:p>
    <w:p w14:paraId="69E749DE" w14:textId="0CC9B3B2" w:rsidR="008F157E" w:rsidRDefault="008F157E" w:rsidP="00F72822">
      <w:pPr>
        <w:rPr>
          <w:rFonts w:ascii="Arial" w:hAnsi="Arial" w:cs="Arial"/>
          <w:b/>
          <w:bCs/>
          <w:sz w:val="22"/>
          <w:szCs w:val="22"/>
        </w:rPr>
      </w:pPr>
    </w:p>
    <w:p w14:paraId="378042A5" w14:textId="77777777" w:rsidR="008F157E" w:rsidRDefault="008F157E" w:rsidP="00F72822">
      <w:pPr>
        <w:rPr>
          <w:rFonts w:ascii="Arial" w:hAnsi="Arial" w:cs="Arial"/>
          <w:b/>
          <w:bCs/>
          <w:sz w:val="22"/>
          <w:szCs w:val="22"/>
        </w:rPr>
      </w:pPr>
    </w:p>
    <w:p w14:paraId="0BF49BA5" w14:textId="77777777" w:rsidR="008F157E" w:rsidRDefault="008F157E" w:rsidP="00F72822">
      <w:pPr>
        <w:rPr>
          <w:rFonts w:ascii="Arial" w:hAnsi="Arial" w:cs="Arial"/>
          <w:b/>
          <w:bCs/>
          <w:sz w:val="22"/>
          <w:szCs w:val="22"/>
        </w:rPr>
      </w:pPr>
    </w:p>
    <w:p w14:paraId="256E5A63" w14:textId="77777777" w:rsidR="008F157E" w:rsidRDefault="008F157E" w:rsidP="00F72822">
      <w:pPr>
        <w:rPr>
          <w:rFonts w:ascii="Arial" w:hAnsi="Arial" w:cs="Arial"/>
          <w:b/>
          <w:bCs/>
          <w:sz w:val="22"/>
          <w:szCs w:val="22"/>
        </w:rPr>
      </w:pPr>
    </w:p>
    <w:p w14:paraId="11A9F4C1" w14:textId="77777777" w:rsidR="008F157E" w:rsidRPr="00F72822" w:rsidRDefault="008F157E" w:rsidP="00F72822">
      <w:pPr>
        <w:rPr>
          <w:rFonts w:ascii="Arial" w:hAnsi="Arial" w:cs="Arial"/>
          <w:b/>
          <w:bCs/>
        </w:rPr>
      </w:pPr>
    </w:p>
    <w:p w14:paraId="40AB99FC" w14:textId="77777777" w:rsidR="00A82C30" w:rsidRDefault="00A82C30" w:rsidP="00F72822">
      <w:pPr>
        <w:rPr>
          <w:rFonts w:ascii="Arial" w:hAnsi="Arial" w:cs="Arial"/>
          <w:b/>
          <w:bCs/>
          <w:sz w:val="22"/>
          <w:szCs w:val="22"/>
        </w:rPr>
      </w:pPr>
    </w:p>
    <w:p w14:paraId="1C60D78A" w14:textId="46442E28" w:rsidR="00F72822" w:rsidRPr="00310829" w:rsidRDefault="00F72822" w:rsidP="00F72822">
      <w:pPr>
        <w:rPr>
          <w:rFonts w:ascii="Arial" w:hAnsi="Arial" w:cs="Arial"/>
          <w:b/>
          <w:bCs/>
          <w:sz w:val="22"/>
          <w:szCs w:val="22"/>
        </w:rPr>
      </w:pPr>
      <w:r w:rsidRPr="00310829">
        <w:rPr>
          <w:rFonts w:ascii="Arial" w:hAnsi="Arial" w:cs="Arial"/>
          <w:b/>
          <w:bCs/>
          <w:sz w:val="22"/>
          <w:szCs w:val="22"/>
        </w:rPr>
        <w:t xml:space="preserve">Source: Author’s Analysis based on Burns and Stalker (1961) and Lloyds Banking Group (2025b). </w:t>
      </w:r>
    </w:p>
    <w:p w14:paraId="3188F77E" w14:textId="4DF084F5" w:rsidR="00310829" w:rsidRPr="00F05579" w:rsidRDefault="0098779E" w:rsidP="00F72822">
      <w:pPr>
        <w:rPr>
          <w:rFonts w:ascii="Arial" w:hAnsi="Arial" w:cs="Arial"/>
          <w:sz w:val="22"/>
          <w:szCs w:val="22"/>
        </w:rPr>
      </w:pPr>
      <w:r w:rsidRPr="00310829">
        <w:rPr>
          <w:rFonts w:ascii="Arial" w:hAnsi="Arial" w:cs="Arial"/>
          <w:sz w:val="22"/>
          <w:szCs w:val="22"/>
        </w:rPr>
        <w:t xml:space="preserve">A mechanistic structure is more suitable for Lloyds than a predominantly organic structure because banking requires controlled decision-making and clear </w:t>
      </w:r>
      <w:r w:rsidR="00DA7749" w:rsidRPr="00310829">
        <w:rPr>
          <w:rFonts w:ascii="Arial" w:hAnsi="Arial" w:cs="Arial"/>
          <w:sz w:val="22"/>
          <w:szCs w:val="22"/>
        </w:rPr>
        <w:t>accountability</w:t>
      </w:r>
      <w:r w:rsidR="0090472C" w:rsidRPr="00310829">
        <w:rPr>
          <w:rFonts w:ascii="Arial" w:hAnsi="Arial" w:cs="Arial"/>
          <w:sz w:val="22"/>
          <w:szCs w:val="22"/>
        </w:rPr>
        <w:t xml:space="preserve"> (Burns and Stalker,1961)</w:t>
      </w:r>
      <w:r w:rsidR="00DA7749" w:rsidRPr="00310829">
        <w:rPr>
          <w:rFonts w:ascii="Arial" w:hAnsi="Arial" w:cs="Arial"/>
          <w:sz w:val="22"/>
          <w:szCs w:val="22"/>
        </w:rPr>
        <w:t>. The</w:t>
      </w:r>
      <w:r w:rsidR="004A35C3" w:rsidRPr="00310829">
        <w:rPr>
          <w:rFonts w:ascii="Arial" w:hAnsi="Arial" w:cs="Arial"/>
          <w:sz w:val="22"/>
          <w:szCs w:val="22"/>
        </w:rPr>
        <w:t xml:space="preserve"> board</w:t>
      </w:r>
      <w:r w:rsidR="00A82C30">
        <w:rPr>
          <w:rFonts w:ascii="Arial" w:hAnsi="Arial" w:cs="Arial"/>
          <w:sz w:val="22"/>
          <w:szCs w:val="22"/>
        </w:rPr>
        <w:t xml:space="preserve"> directors and</w:t>
      </w:r>
      <w:r w:rsidR="004A35C3" w:rsidRPr="00310829">
        <w:rPr>
          <w:rFonts w:ascii="Arial" w:hAnsi="Arial" w:cs="Arial"/>
          <w:sz w:val="22"/>
          <w:szCs w:val="22"/>
        </w:rPr>
        <w:t xml:space="preserve"> senior management establish strategic priorities and risk </w:t>
      </w:r>
      <w:r w:rsidR="00DA7749" w:rsidRPr="00310829">
        <w:rPr>
          <w:rFonts w:ascii="Arial" w:hAnsi="Arial" w:cs="Arial"/>
          <w:sz w:val="22"/>
          <w:szCs w:val="22"/>
        </w:rPr>
        <w:t>boundaries, while</w:t>
      </w:r>
      <w:r w:rsidR="004A35C3" w:rsidRPr="00310829">
        <w:rPr>
          <w:rFonts w:ascii="Arial" w:hAnsi="Arial" w:cs="Arial"/>
          <w:sz w:val="22"/>
          <w:szCs w:val="22"/>
        </w:rPr>
        <w:t xml:space="preserve"> employees follow approved policies and escalation </w:t>
      </w:r>
      <w:r w:rsidR="0044409C" w:rsidRPr="00310829">
        <w:rPr>
          <w:rFonts w:ascii="Arial" w:hAnsi="Arial" w:cs="Arial"/>
          <w:sz w:val="22"/>
          <w:szCs w:val="22"/>
        </w:rPr>
        <w:t>procedures (</w:t>
      </w:r>
      <w:r w:rsidR="0090472C" w:rsidRPr="00310829">
        <w:rPr>
          <w:rFonts w:ascii="Arial" w:hAnsi="Arial" w:cs="Arial"/>
          <w:sz w:val="22"/>
          <w:szCs w:val="22"/>
        </w:rPr>
        <w:t>Lloyds Banking Group,2025a)</w:t>
      </w:r>
      <w:r w:rsidR="00DA7749" w:rsidRPr="00310829">
        <w:rPr>
          <w:rFonts w:ascii="Arial" w:hAnsi="Arial" w:cs="Arial"/>
          <w:sz w:val="22"/>
          <w:szCs w:val="22"/>
        </w:rPr>
        <w:t>. This</w:t>
      </w:r>
      <w:r w:rsidR="004A35C3" w:rsidRPr="00310829">
        <w:rPr>
          <w:rFonts w:ascii="Arial" w:hAnsi="Arial" w:cs="Arial"/>
          <w:sz w:val="22"/>
          <w:szCs w:val="22"/>
        </w:rPr>
        <w:t xml:space="preserve"> reduces the likehood</w:t>
      </w:r>
      <w:r w:rsidR="00DA7749" w:rsidRPr="00310829">
        <w:rPr>
          <w:rFonts w:ascii="Arial" w:hAnsi="Arial" w:cs="Arial"/>
          <w:sz w:val="22"/>
          <w:szCs w:val="22"/>
        </w:rPr>
        <w:t xml:space="preserve"> of inconsistent decisions and helps manage financial and regulatory risks. However, excessive bureaucracy may delay responses to customer needs. Therefore, limited operational flexibility should be permitted within established controls.</w:t>
      </w:r>
    </w:p>
    <w:p w14:paraId="373D5B73" w14:textId="4775C821" w:rsidR="0047024E" w:rsidRDefault="00F72822" w:rsidP="00736483">
      <w:pPr>
        <w:pStyle w:val="Heading2"/>
      </w:pPr>
      <w:bookmarkStart w:id="3" w:name="_Toc243918107"/>
      <w:r>
        <w:t>2.2 How Organisational Culture Influences Decision-Making</w:t>
      </w:r>
      <w:bookmarkEnd w:id="3"/>
      <w:r>
        <w:t xml:space="preserve"> </w:t>
      </w:r>
    </w:p>
    <w:p w14:paraId="7A160F64" w14:textId="56219F3A" w:rsidR="0047024E" w:rsidRPr="00310829" w:rsidRDefault="0047024E" w:rsidP="00F72822">
      <w:pPr>
        <w:rPr>
          <w:rFonts w:ascii="Arial" w:hAnsi="Arial" w:cs="Arial"/>
          <w:sz w:val="22"/>
          <w:szCs w:val="22"/>
        </w:rPr>
      </w:pPr>
      <w:r w:rsidRPr="00310829">
        <w:rPr>
          <w:rFonts w:ascii="Arial" w:hAnsi="Arial" w:cs="Arial"/>
          <w:sz w:val="22"/>
          <w:szCs w:val="22"/>
        </w:rPr>
        <w:t xml:space="preserve">Lloyds’ mechanistic structures directly </w:t>
      </w:r>
      <w:r w:rsidR="005560E0" w:rsidRPr="00310829">
        <w:rPr>
          <w:rFonts w:ascii="Arial" w:hAnsi="Arial" w:cs="Arial"/>
          <w:sz w:val="22"/>
          <w:szCs w:val="22"/>
        </w:rPr>
        <w:t>influence</w:t>
      </w:r>
      <w:r w:rsidRPr="00310829">
        <w:rPr>
          <w:rFonts w:ascii="Arial" w:hAnsi="Arial" w:cs="Arial"/>
          <w:sz w:val="22"/>
          <w:szCs w:val="22"/>
        </w:rPr>
        <w:t xml:space="preserve"> decision-making by </w:t>
      </w:r>
      <w:r w:rsidR="00250A64" w:rsidRPr="00310829">
        <w:rPr>
          <w:rFonts w:ascii="Arial" w:hAnsi="Arial" w:cs="Arial"/>
          <w:sz w:val="22"/>
          <w:szCs w:val="22"/>
        </w:rPr>
        <w:t>determining</w:t>
      </w:r>
      <w:r w:rsidRPr="00310829">
        <w:rPr>
          <w:rFonts w:ascii="Arial" w:hAnsi="Arial" w:cs="Arial"/>
          <w:sz w:val="22"/>
          <w:szCs w:val="22"/>
        </w:rPr>
        <w:t xml:space="preserve"> who can make </w:t>
      </w:r>
      <w:r w:rsidR="00250A64" w:rsidRPr="00310829">
        <w:rPr>
          <w:rFonts w:ascii="Arial" w:hAnsi="Arial" w:cs="Arial"/>
          <w:sz w:val="22"/>
          <w:szCs w:val="22"/>
        </w:rPr>
        <w:t>decision, which</w:t>
      </w:r>
      <w:r w:rsidRPr="00310829">
        <w:rPr>
          <w:rFonts w:ascii="Arial" w:hAnsi="Arial" w:cs="Arial"/>
          <w:sz w:val="22"/>
          <w:szCs w:val="22"/>
        </w:rPr>
        <w:t xml:space="preserve"> procedures must be followed and when approval </w:t>
      </w:r>
      <w:r w:rsidR="00250A64" w:rsidRPr="00310829">
        <w:rPr>
          <w:rFonts w:ascii="Arial" w:hAnsi="Arial" w:cs="Arial"/>
          <w:sz w:val="22"/>
          <w:szCs w:val="22"/>
        </w:rPr>
        <w:t>from</w:t>
      </w:r>
      <w:r w:rsidRPr="00310829">
        <w:rPr>
          <w:rFonts w:ascii="Arial" w:hAnsi="Arial" w:cs="Arial"/>
          <w:sz w:val="22"/>
          <w:szCs w:val="22"/>
        </w:rPr>
        <w:t xml:space="preserve"> senior management is </w:t>
      </w:r>
      <w:r w:rsidR="00250A64" w:rsidRPr="00310829">
        <w:rPr>
          <w:rFonts w:ascii="Arial" w:hAnsi="Arial" w:cs="Arial"/>
          <w:sz w:val="22"/>
          <w:szCs w:val="22"/>
        </w:rPr>
        <w:t>required. For</w:t>
      </w:r>
      <w:r w:rsidR="009B4C09" w:rsidRPr="00310829">
        <w:rPr>
          <w:rFonts w:ascii="Arial" w:hAnsi="Arial" w:cs="Arial"/>
          <w:sz w:val="22"/>
          <w:szCs w:val="22"/>
        </w:rPr>
        <w:t xml:space="preserve"> example,</w:t>
      </w:r>
      <w:r w:rsidR="00250A64" w:rsidRPr="00310829">
        <w:rPr>
          <w:rFonts w:ascii="Arial" w:hAnsi="Arial" w:cs="Arial"/>
          <w:sz w:val="22"/>
          <w:szCs w:val="22"/>
        </w:rPr>
        <w:t xml:space="preserve"> lending</w:t>
      </w:r>
      <w:r w:rsidR="009B4C09" w:rsidRPr="00310829">
        <w:rPr>
          <w:rFonts w:ascii="Arial" w:hAnsi="Arial" w:cs="Arial"/>
          <w:sz w:val="22"/>
          <w:szCs w:val="22"/>
        </w:rPr>
        <w:t xml:space="preserve"> decisions must follow </w:t>
      </w:r>
      <w:r w:rsidR="00250A64" w:rsidRPr="00310829">
        <w:rPr>
          <w:rFonts w:ascii="Arial" w:hAnsi="Arial" w:cs="Arial"/>
          <w:sz w:val="22"/>
          <w:szCs w:val="22"/>
        </w:rPr>
        <w:t>established</w:t>
      </w:r>
      <w:r w:rsidR="009B4C09" w:rsidRPr="00310829">
        <w:rPr>
          <w:rFonts w:ascii="Arial" w:hAnsi="Arial" w:cs="Arial"/>
          <w:sz w:val="22"/>
          <w:szCs w:val="22"/>
        </w:rPr>
        <w:t xml:space="preserve"> </w:t>
      </w:r>
      <w:r w:rsidR="00250A64" w:rsidRPr="00310829">
        <w:rPr>
          <w:rFonts w:ascii="Arial" w:hAnsi="Arial" w:cs="Arial"/>
          <w:sz w:val="22"/>
          <w:szCs w:val="22"/>
        </w:rPr>
        <w:t>assessment</w:t>
      </w:r>
      <w:r w:rsidR="009B4C09" w:rsidRPr="00310829">
        <w:rPr>
          <w:rFonts w:ascii="Arial" w:hAnsi="Arial" w:cs="Arial"/>
          <w:sz w:val="22"/>
          <w:szCs w:val="22"/>
        </w:rPr>
        <w:t xml:space="preserve"> </w:t>
      </w:r>
      <w:r w:rsidR="00250A64" w:rsidRPr="00310829">
        <w:rPr>
          <w:rFonts w:ascii="Arial" w:hAnsi="Arial" w:cs="Arial"/>
          <w:sz w:val="22"/>
          <w:szCs w:val="22"/>
        </w:rPr>
        <w:t>criteria, wh</w:t>
      </w:r>
      <w:r w:rsidR="00A82C30">
        <w:rPr>
          <w:rFonts w:ascii="Arial" w:hAnsi="Arial" w:cs="Arial"/>
          <w:sz w:val="22"/>
          <w:szCs w:val="22"/>
        </w:rPr>
        <w:t>ich has</w:t>
      </w:r>
      <w:r w:rsidR="009B4C09" w:rsidRPr="00310829">
        <w:rPr>
          <w:rFonts w:ascii="Arial" w:hAnsi="Arial" w:cs="Arial"/>
          <w:sz w:val="22"/>
          <w:szCs w:val="22"/>
        </w:rPr>
        <w:t xml:space="preserve"> significant risks </w:t>
      </w:r>
      <w:r w:rsidR="00A82C30">
        <w:rPr>
          <w:rFonts w:ascii="Arial" w:hAnsi="Arial" w:cs="Arial"/>
          <w:sz w:val="22"/>
          <w:szCs w:val="22"/>
        </w:rPr>
        <w:t xml:space="preserve">and </w:t>
      </w:r>
      <w:r w:rsidR="009B4C09" w:rsidRPr="00310829">
        <w:rPr>
          <w:rFonts w:ascii="Arial" w:hAnsi="Arial" w:cs="Arial"/>
          <w:sz w:val="22"/>
          <w:szCs w:val="22"/>
        </w:rPr>
        <w:t xml:space="preserve">may require escalation to higher </w:t>
      </w:r>
      <w:r w:rsidR="00250A64" w:rsidRPr="00310829">
        <w:rPr>
          <w:rFonts w:ascii="Arial" w:hAnsi="Arial" w:cs="Arial"/>
          <w:sz w:val="22"/>
          <w:szCs w:val="22"/>
        </w:rPr>
        <w:t>management. This</w:t>
      </w:r>
      <w:r w:rsidR="009B4C09" w:rsidRPr="00310829">
        <w:rPr>
          <w:rFonts w:ascii="Arial" w:hAnsi="Arial" w:cs="Arial"/>
          <w:sz w:val="22"/>
          <w:szCs w:val="22"/>
        </w:rPr>
        <w:t xml:space="preserve"> approach promotes </w:t>
      </w:r>
      <w:r w:rsidR="00250A64" w:rsidRPr="00310829">
        <w:rPr>
          <w:rFonts w:ascii="Arial" w:hAnsi="Arial" w:cs="Arial"/>
          <w:sz w:val="22"/>
          <w:szCs w:val="22"/>
        </w:rPr>
        <w:t>consistency, transparency</w:t>
      </w:r>
      <w:r w:rsidR="009B4C09" w:rsidRPr="00310829">
        <w:rPr>
          <w:rFonts w:ascii="Arial" w:hAnsi="Arial" w:cs="Arial"/>
          <w:sz w:val="22"/>
          <w:szCs w:val="22"/>
        </w:rPr>
        <w:t xml:space="preserve"> and </w:t>
      </w:r>
      <w:r w:rsidR="00250A64" w:rsidRPr="00310829">
        <w:rPr>
          <w:rFonts w:ascii="Arial" w:hAnsi="Arial" w:cs="Arial"/>
          <w:sz w:val="22"/>
          <w:szCs w:val="22"/>
        </w:rPr>
        <w:t>accountability, supporting</w:t>
      </w:r>
      <w:r w:rsidR="009B4C09" w:rsidRPr="00310829">
        <w:rPr>
          <w:rFonts w:ascii="Arial" w:hAnsi="Arial" w:cs="Arial"/>
          <w:sz w:val="22"/>
          <w:szCs w:val="22"/>
        </w:rPr>
        <w:t xml:space="preserve"> the protection of customers and the </w:t>
      </w:r>
      <w:r w:rsidR="00250A64" w:rsidRPr="00310829">
        <w:rPr>
          <w:rFonts w:ascii="Arial" w:hAnsi="Arial" w:cs="Arial"/>
          <w:sz w:val="22"/>
          <w:szCs w:val="22"/>
        </w:rPr>
        <w:t>business (Lloyds Banking Group,2025b).</w:t>
      </w:r>
    </w:p>
    <w:p w14:paraId="7BA4F288" w14:textId="4993F534" w:rsidR="00250A64" w:rsidRPr="00310829" w:rsidRDefault="00250A64" w:rsidP="00F72822">
      <w:pPr>
        <w:rPr>
          <w:rFonts w:ascii="Arial" w:hAnsi="Arial" w:cs="Arial"/>
          <w:sz w:val="22"/>
          <w:szCs w:val="22"/>
        </w:rPr>
      </w:pPr>
      <w:r w:rsidRPr="00310829">
        <w:rPr>
          <w:rFonts w:ascii="Arial" w:hAnsi="Arial" w:cs="Arial"/>
          <w:sz w:val="22"/>
          <w:szCs w:val="22"/>
        </w:rPr>
        <w:t xml:space="preserve">Organisational culture also affects how employees interpret </w:t>
      </w:r>
      <w:r w:rsidR="00BD7678" w:rsidRPr="00310829">
        <w:rPr>
          <w:rFonts w:ascii="Arial" w:hAnsi="Arial" w:cs="Arial"/>
          <w:sz w:val="22"/>
          <w:szCs w:val="22"/>
        </w:rPr>
        <w:t>policies, assess</w:t>
      </w:r>
      <w:r w:rsidRPr="00310829">
        <w:rPr>
          <w:rFonts w:ascii="Arial" w:hAnsi="Arial" w:cs="Arial"/>
          <w:sz w:val="22"/>
          <w:szCs w:val="22"/>
        </w:rPr>
        <w:t xml:space="preserve"> risks and </w:t>
      </w:r>
      <w:r w:rsidR="00BD7678" w:rsidRPr="00310829">
        <w:rPr>
          <w:rFonts w:ascii="Arial" w:hAnsi="Arial" w:cs="Arial"/>
          <w:sz w:val="22"/>
          <w:szCs w:val="22"/>
        </w:rPr>
        <w:t>responds</w:t>
      </w:r>
      <w:r w:rsidRPr="00310829">
        <w:rPr>
          <w:rFonts w:ascii="Arial" w:hAnsi="Arial" w:cs="Arial"/>
          <w:sz w:val="22"/>
          <w:szCs w:val="22"/>
        </w:rPr>
        <w:t xml:space="preserve"> to </w:t>
      </w:r>
      <w:r w:rsidR="00BD7678" w:rsidRPr="00310829">
        <w:rPr>
          <w:rFonts w:ascii="Arial" w:hAnsi="Arial" w:cs="Arial"/>
          <w:sz w:val="22"/>
          <w:szCs w:val="22"/>
        </w:rPr>
        <w:t>problems. Schein</w:t>
      </w:r>
      <w:r w:rsidRPr="00310829">
        <w:rPr>
          <w:rFonts w:ascii="Arial" w:hAnsi="Arial" w:cs="Arial"/>
          <w:sz w:val="22"/>
          <w:szCs w:val="22"/>
        </w:rPr>
        <w:t xml:space="preserve"> (2010) explains that shared </w:t>
      </w:r>
      <w:r w:rsidR="00BD7678" w:rsidRPr="00310829">
        <w:rPr>
          <w:rFonts w:ascii="Arial" w:hAnsi="Arial" w:cs="Arial"/>
          <w:sz w:val="22"/>
          <w:szCs w:val="22"/>
        </w:rPr>
        <w:t>organisational</w:t>
      </w:r>
      <w:r w:rsidRPr="00310829">
        <w:rPr>
          <w:rFonts w:ascii="Arial" w:hAnsi="Arial" w:cs="Arial"/>
          <w:sz w:val="22"/>
          <w:szCs w:val="22"/>
        </w:rPr>
        <w:t xml:space="preserve"> </w:t>
      </w:r>
      <w:r w:rsidR="004E6311" w:rsidRPr="00310829">
        <w:rPr>
          <w:rFonts w:ascii="Arial" w:hAnsi="Arial" w:cs="Arial"/>
          <w:sz w:val="22"/>
          <w:szCs w:val="22"/>
        </w:rPr>
        <w:t xml:space="preserve">beliefs </w:t>
      </w:r>
      <w:r w:rsidR="009E5F81" w:rsidRPr="00310829">
        <w:rPr>
          <w:rFonts w:ascii="Arial" w:hAnsi="Arial" w:cs="Arial"/>
          <w:sz w:val="22"/>
          <w:szCs w:val="22"/>
        </w:rPr>
        <w:t xml:space="preserve">influence employee </w:t>
      </w:r>
      <w:r w:rsidR="00732DF6" w:rsidRPr="00310829">
        <w:rPr>
          <w:rFonts w:ascii="Arial" w:hAnsi="Arial" w:cs="Arial"/>
          <w:sz w:val="22"/>
          <w:szCs w:val="22"/>
        </w:rPr>
        <w:t>behaviour and decision-</w:t>
      </w:r>
      <w:r w:rsidR="00BD7678" w:rsidRPr="00310829">
        <w:rPr>
          <w:rFonts w:ascii="Arial" w:hAnsi="Arial" w:cs="Arial"/>
          <w:sz w:val="22"/>
          <w:szCs w:val="22"/>
        </w:rPr>
        <w:t>making. At</w:t>
      </w:r>
      <w:r w:rsidR="00732DF6" w:rsidRPr="00310829">
        <w:rPr>
          <w:rFonts w:ascii="Arial" w:hAnsi="Arial" w:cs="Arial"/>
          <w:sz w:val="22"/>
          <w:szCs w:val="22"/>
        </w:rPr>
        <w:t xml:space="preserve"> </w:t>
      </w:r>
      <w:r w:rsidR="00BD7678" w:rsidRPr="00310829">
        <w:rPr>
          <w:rFonts w:ascii="Arial" w:hAnsi="Arial" w:cs="Arial"/>
          <w:sz w:val="22"/>
          <w:szCs w:val="22"/>
        </w:rPr>
        <w:t>Lloyds, a</w:t>
      </w:r>
      <w:r w:rsidR="00732DF6" w:rsidRPr="00310829">
        <w:rPr>
          <w:rFonts w:ascii="Arial" w:hAnsi="Arial" w:cs="Arial"/>
          <w:sz w:val="22"/>
          <w:szCs w:val="22"/>
        </w:rPr>
        <w:t xml:space="preserve"> </w:t>
      </w:r>
      <w:r w:rsidR="00BD7678" w:rsidRPr="00310829">
        <w:rPr>
          <w:rFonts w:ascii="Arial" w:hAnsi="Arial" w:cs="Arial"/>
          <w:sz w:val="22"/>
          <w:szCs w:val="22"/>
        </w:rPr>
        <w:t>culture</w:t>
      </w:r>
      <w:r w:rsidR="00732DF6" w:rsidRPr="00310829">
        <w:rPr>
          <w:rFonts w:ascii="Arial" w:hAnsi="Arial" w:cs="Arial"/>
          <w:sz w:val="22"/>
          <w:szCs w:val="22"/>
        </w:rPr>
        <w:t xml:space="preserve"> that promotes</w:t>
      </w:r>
      <w:r w:rsidR="00546F91" w:rsidRPr="00310829">
        <w:rPr>
          <w:rFonts w:ascii="Arial" w:hAnsi="Arial" w:cs="Arial"/>
          <w:sz w:val="22"/>
          <w:szCs w:val="22"/>
        </w:rPr>
        <w:t xml:space="preserve"> </w:t>
      </w:r>
      <w:r w:rsidR="00BD7678" w:rsidRPr="00310829">
        <w:rPr>
          <w:rFonts w:ascii="Arial" w:hAnsi="Arial" w:cs="Arial"/>
          <w:sz w:val="22"/>
          <w:szCs w:val="22"/>
        </w:rPr>
        <w:t>integrity, accountability</w:t>
      </w:r>
      <w:r w:rsidR="00546F91" w:rsidRPr="00310829">
        <w:rPr>
          <w:rFonts w:ascii="Arial" w:hAnsi="Arial" w:cs="Arial"/>
          <w:sz w:val="22"/>
          <w:szCs w:val="22"/>
        </w:rPr>
        <w:t xml:space="preserve"> and customer</w:t>
      </w:r>
      <w:r w:rsidR="001B46B9" w:rsidRPr="00310829">
        <w:rPr>
          <w:rFonts w:ascii="Arial" w:hAnsi="Arial" w:cs="Arial"/>
          <w:sz w:val="22"/>
          <w:szCs w:val="22"/>
        </w:rPr>
        <w:t xml:space="preserve"> protection can </w:t>
      </w:r>
      <w:r w:rsidR="00BD7678" w:rsidRPr="00310829">
        <w:rPr>
          <w:rFonts w:ascii="Arial" w:hAnsi="Arial" w:cs="Arial"/>
          <w:sz w:val="22"/>
          <w:szCs w:val="22"/>
        </w:rPr>
        <w:t>strengthen</w:t>
      </w:r>
      <w:r w:rsidR="001B46B9" w:rsidRPr="00310829">
        <w:rPr>
          <w:rFonts w:ascii="Arial" w:hAnsi="Arial" w:cs="Arial"/>
          <w:sz w:val="22"/>
          <w:szCs w:val="22"/>
        </w:rPr>
        <w:t xml:space="preserve"> the </w:t>
      </w:r>
      <w:r w:rsidR="00F9158D" w:rsidRPr="00310829">
        <w:rPr>
          <w:rFonts w:ascii="Arial" w:hAnsi="Arial" w:cs="Arial"/>
          <w:sz w:val="22"/>
          <w:szCs w:val="22"/>
        </w:rPr>
        <w:t xml:space="preserve">effectiveness of formal </w:t>
      </w:r>
      <w:r w:rsidR="00BD7678" w:rsidRPr="00310829">
        <w:rPr>
          <w:rFonts w:ascii="Arial" w:hAnsi="Arial" w:cs="Arial"/>
          <w:sz w:val="22"/>
          <w:szCs w:val="22"/>
        </w:rPr>
        <w:t>procedures. Employees</w:t>
      </w:r>
      <w:r w:rsidR="008D6905" w:rsidRPr="00310829">
        <w:rPr>
          <w:rFonts w:ascii="Arial" w:hAnsi="Arial" w:cs="Arial"/>
          <w:sz w:val="22"/>
          <w:szCs w:val="22"/>
        </w:rPr>
        <w:t xml:space="preserve"> should be encouraged to report concerns and challenge decisions when evidence suggests potential risks.</w:t>
      </w:r>
    </w:p>
    <w:p w14:paraId="5ECE5F7D" w14:textId="755708B5" w:rsidR="00F72822" w:rsidRPr="00310829" w:rsidRDefault="00BD7678" w:rsidP="00F72822">
      <w:pPr>
        <w:rPr>
          <w:rFonts w:ascii="Arial" w:hAnsi="Arial" w:cs="Arial"/>
          <w:sz w:val="22"/>
          <w:szCs w:val="22"/>
        </w:rPr>
      </w:pPr>
      <w:r w:rsidRPr="00310829">
        <w:rPr>
          <w:rFonts w:ascii="Arial" w:hAnsi="Arial" w:cs="Arial"/>
          <w:sz w:val="22"/>
          <w:szCs w:val="22"/>
        </w:rPr>
        <w:t>Overall, a</w:t>
      </w:r>
      <w:r w:rsidR="008D6905" w:rsidRPr="00310829">
        <w:rPr>
          <w:rFonts w:ascii="Arial" w:hAnsi="Arial" w:cs="Arial"/>
          <w:sz w:val="22"/>
          <w:szCs w:val="22"/>
        </w:rPr>
        <w:t xml:space="preserve"> mechanistic structure is the most </w:t>
      </w:r>
      <w:r w:rsidRPr="00310829">
        <w:rPr>
          <w:rFonts w:ascii="Arial" w:hAnsi="Arial" w:cs="Arial"/>
          <w:sz w:val="22"/>
          <w:szCs w:val="22"/>
        </w:rPr>
        <w:t>suitable</w:t>
      </w:r>
      <w:r w:rsidR="004C23B1" w:rsidRPr="00310829">
        <w:rPr>
          <w:rFonts w:ascii="Arial" w:hAnsi="Arial" w:cs="Arial"/>
          <w:sz w:val="22"/>
          <w:szCs w:val="22"/>
        </w:rPr>
        <w:t xml:space="preserve"> approach for Lloyds because </w:t>
      </w:r>
      <w:r w:rsidRPr="00310829">
        <w:rPr>
          <w:rFonts w:ascii="Arial" w:hAnsi="Arial" w:cs="Arial"/>
          <w:sz w:val="22"/>
          <w:szCs w:val="22"/>
        </w:rPr>
        <w:t>regulatory</w:t>
      </w:r>
      <w:r w:rsidR="004C23B1" w:rsidRPr="00310829">
        <w:rPr>
          <w:rFonts w:ascii="Arial" w:hAnsi="Arial" w:cs="Arial"/>
          <w:sz w:val="22"/>
          <w:szCs w:val="22"/>
        </w:rPr>
        <w:t xml:space="preserve"> </w:t>
      </w:r>
      <w:r w:rsidRPr="00310829">
        <w:rPr>
          <w:rFonts w:ascii="Arial" w:hAnsi="Arial" w:cs="Arial"/>
          <w:sz w:val="22"/>
          <w:szCs w:val="22"/>
        </w:rPr>
        <w:t>compliance, risk</w:t>
      </w:r>
      <w:r w:rsidR="004C23B1" w:rsidRPr="00310829">
        <w:rPr>
          <w:rFonts w:ascii="Arial" w:hAnsi="Arial" w:cs="Arial"/>
          <w:sz w:val="22"/>
          <w:szCs w:val="22"/>
        </w:rPr>
        <w:t xml:space="preserve"> </w:t>
      </w:r>
      <w:r w:rsidR="00EC5071" w:rsidRPr="00310829">
        <w:rPr>
          <w:rFonts w:ascii="Arial" w:hAnsi="Arial" w:cs="Arial"/>
          <w:sz w:val="22"/>
          <w:szCs w:val="22"/>
        </w:rPr>
        <w:t xml:space="preserve">management should avoid </w:t>
      </w:r>
      <w:r w:rsidRPr="00310829">
        <w:rPr>
          <w:rFonts w:ascii="Arial" w:hAnsi="Arial" w:cs="Arial"/>
          <w:sz w:val="22"/>
          <w:szCs w:val="22"/>
        </w:rPr>
        <w:t>excessive</w:t>
      </w:r>
      <w:r w:rsidR="00EC5071" w:rsidRPr="00310829">
        <w:rPr>
          <w:rFonts w:ascii="Arial" w:hAnsi="Arial" w:cs="Arial"/>
          <w:sz w:val="22"/>
          <w:szCs w:val="22"/>
        </w:rPr>
        <w:t xml:space="preserve"> centralisation by allowing employees to make routines within clearly defined </w:t>
      </w:r>
      <w:r w:rsidRPr="00310829">
        <w:rPr>
          <w:rFonts w:ascii="Arial" w:hAnsi="Arial" w:cs="Arial"/>
          <w:sz w:val="22"/>
          <w:szCs w:val="22"/>
        </w:rPr>
        <w:t>limits. Combining</w:t>
      </w:r>
      <w:r w:rsidR="00EC5071" w:rsidRPr="00310829">
        <w:rPr>
          <w:rFonts w:ascii="Arial" w:hAnsi="Arial" w:cs="Arial"/>
          <w:sz w:val="22"/>
          <w:szCs w:val="22"/>
        </w:rPr>
        <w:t xml:space="preserve"> formal controls with open </w:t>
      </w:r>
      <w:r w:rsidR="00EC5071" w:rsidRPr="00310829">
        <w:rPr>
          <w:rFonts w:ascii="Arial" w:hAnsi="Arial" w:cs="Arial"/>
          <w:sz w:val="22"/>
          <w:szCs w:val="22"/>
        </w:rPr>
        <w:lastRenderedPageBreak/>
        <w:t>communication</w:t>
      </w:r>
      <w:r w:rsidRPr="00310829">
        <w:rPr>
          <w:rFonts w:ascii="Arial" w:hAnsi="Arial" w:cs="Arial"/>
          <w:sz w:val="22"/>
          <w:szCs w:val="22"/>
        </w:rPr>
        <w:t xml:space="preserve"> can improve decision-making while maintaining accountability and protecting customers.</w:t>
      </w:r>
    </w:p>
    <w:p w14:paraId="526EC5B5" w14:textId="397253AD" w:rsidR="00F72822" w:rsidRDefault="00F72822" w:rsidP="00F72822">
      <w:pPr>
        <w:pStyle w:val="Heading1"/>
      </w:pPr>
      <w:bookmarkStart w:id="4" w:name="_Toc243918108"/>
      <w:r>
        <w:t>3. Identifying Cultural Types: Model and Frameworks</w:t>
      </w:r>
      <w:bookmarkEnd w:id="4"/>
      <w:r>
        <w:t xml:space="preserve"> </w:t>
      </w:r>
    </w:p>
    <w:p w14:paraId="62D21D59" w14:textId="58797FD2" w:rsidR="00F72822" w:rsidRPr="00F72822" w:rsidRDefault="00F72822" w:rsidP="00F72822">
      <w:pPr>
        <w:rPr>
          <w:rFonts w:ascii="Arial" w:hAnsi="Arial" w:cs="Arial"/>
          <w:sz w:val="22"/>
          <w:szCs w:val="22"/>
        </w:rPr>
      </w:pPr>
      <w:r w:rsidRPr="00F72822">
        <w:rPr>
          <w:rFonts w:ascii="Arial" w:hAnsi="Arial" w:cs="Arial"/>
          <w:sz w:val="22"/>
          <w:szCs w:val="22"/>
        </w:rPr>
        <w:t xml:space="preserve">Different types of frameworks and models have been used to identify aspect of culture at Lloyds. </w:t>
      </w:r>
    </w:p>
    <w:p w14:paraId="30469C97" w14:textId="482991C0" w:rsidR="00F72822" w:rsidRDefault="00F72822" w:rsidP="00F72822">
      <w:pPr>
        <w:pStyle w:val="Heading2"/>
      </w:pPr>
      <w:bookmarkStart w:id="5" w:name="_Toc243918109"/>
      <w:r>
        <w:t>3.1 Schein Model</w:t>
      </w:r>
      <w:bookmarkEnd w:id="5"/>
      <w:r>
        <w:t xml:space="preserve"> </w:t>
      </w:r>
    </w:p>
    <w:p w14:paraId="23903CB5" w14:textId="51BEBFED" w:rsidR="00F72822" w:rsidRPr="00F72822" w:rsidRDefault="00F72822" w:rsidP="00F72822">
      <w:pPr>
        <w:rPr>
          <w:rFonts w:ascii="Arial" w:hAnsi="Arial" w:cs="Arial"/>
          <w:sz w:val="22"/>
          <w:szCs w:val="22"/>
        </w:rPr>
      </w:pPr>
      <w:r w:rsidRPr="00F72822">
        <w:rPr>
          <w:rFonts w:ascii="Arial" w:hAnsi="Arial" w:cs="Arial"/>
          <w:sz w:val="22"/>
          <w:szCs w:val="22"/>
        </w:rPr>
        <w:t xml:space="preserve">According to Schein (2010), organisational culture is understood at three levels: </w:t>
      </w:r>
      <w:r w:rsidRPr="008A6DBC">
        <w:rPr>
          <w:rFonts w:ascii="Arial" w:hAnsi="Arial" w:cs="Arial"/>
          <w:b/>
          <w:bCs/>
          <w:sz w:val="22"/>
          <w:szCs w:val="22"/>
        </w:rPr>
        <w:t>Artefacts</w:t>
      </w:r>
      <w:r w:rsidRPr="00F72822">
        <w:rPr>
          <w:rFonts w:ascii="Arial" w:hAnsi="Arial" w:cs="Arial"/>
          <w:sz w:val="22"/>
          <w:szCs w:val="22"/>
        </w:rPr>
        <w:t xml:space="preserve">, </w:t>
      </w:r>
      <w:r w:rsidR="008A6DBC">
        <w:rPr>
          <w:rFonts w:ascii="Arial" w:hAnsi="Arial" w:cs="Arial"/>
          <w:b/>
          <w:bCs/>
          <w:sz w:val="22"/>
          <w:szCs w:val="22"/>
        </w:rPr>
        <w:t>E</w:t>
      </w:r>
      <w:r w:rsidRPr="008A6DBC">
        <w:rPr>
          <w:rFonts w:ascii="Arial" w:hAnsi="Arial" w:cs="Arial"/>
          <w:b/>
          <w:bCs/>
          <w:sz w:val="22"/>
          <w:szCs w:val="22"/>
        </w:rPr>
        <w:t xml:space="preserve">spoused </w:t>
      </w:r>
      <w:r w:rsidR="008A6DBC">
        <w:rPr>
          <w:rFonts w:ascii="Arial" w:hAnsi="Arial" w:cs="Arial"/>
          <w:b/>
          <w:bCs/>
          <w:sz w:val="22"/>
          <w:szCs w:val="22"/>
        </w:rPr>
        <w:t>V</w:t>
      </w:r>
      <w:r w:rsidRPr="008A6DBC">
        <w:rPr>
          <w:rFonts w:ascii="Arial" w:hAnsi="Arial" w:cs="Arial"/>
          <w:b/>
          <w:bCs/>
          <w:sz w:val="22"/>
          <w:szCs w:val="22"/>
        </w:rPr>
        <w:t>alues</w:t>
      </w:r>
      <w:r w:rsidRPr="00F72822">
        <w:rPr>
          <w:rFonts w:ascii="Arial" w:hAnsi="Arial" w:cs="Arial"/>
          <w:sz w:val="22"/>
          <w:szCs w:val="22"/>
        </w:rPr>
        <w:t xml:space="preserve">, and basic </w:t>
      </w:r>
      <w:r w:rsidR="008A6DBC" w:rsidRPr="008A6DBC">
        <w:rPr>
          <w:rFonts w:ascii="Arial" w:hAnsi="Arial" w:cs="Arial"/>
          <w:b/>
          <w:bCs/>
          <w:sz w:val="22"/>
          <w:szCs w:val="22"/>
        </w:rPr>
        <w:t>U</w:t>
      </w:r>
      <w:r w:rsidRPr="008A6DBC">
        <w:rPr>
          <w:rFonts w:ascii="Arial" w:hAnsi="Arial" w:cs="Arial"/>
          <w:b/>
          <w:bCs/>
          <w:sz w:val="22"/>
          <w:szCs w:val="22"/>
        </w:rPr>
        <w:t xml:space="preserve">nderlying </w:t>
      </w:r>
      <w:r w:rsidR="008A6DBC">
        <w:rPr>
          <w:rFonts w:ascii="Arial" w:hAnsi="Arial" w:cs="Arial"/>
          <w:b/>
          <w:bCs/>
          <w:sz w:val="22"/>
          <w:szCs w:val="22"/>
        </w:rPr>
        <w:t>A</w:t>
      </w:r>
      <w:r w:rsidRPr="008A6DBC">
        <w:rPr>
          <w:rFonts w:ascii="Arial" w:hAnsi="Arial" w:cs="Arial"/>
          <w:b/>
          <w:bCs/>
          <w:sz w:val="22"/>
          <w:szCs w:val="22"/>
        </w:rPr>
        <w:t>ssumptions</w:t>
      </w:r>
      <w:r w:rsidRPr="00F72822">
        <w:rPr>
          <w:rFonts w:ascii="Arial" w:hAnsi="Arial" w:cs="Arial"/>
          <w:sz w:val="22"/>
          <w:szCs w:val="22"/>
        </w:rPr>
        <w:t xml:space="preserve">. This model helps Lloyds by preventing the evolution of culture solely through senior management’s communicated values, instead promoting alignment with organisational practices. </w:t>
      </w:r>
    </w:p>
    <w:p w14:paraId="0F5BE13F" w14:textId="5867B5D9" w:rsidR="00F72822" w:rsidRPr="00F72822" w:rsidRDefault="00F72822" w:rsidP="00F72822">
      <w:pPr>
        <w:rPr>
          <w:rFonts w:ascii="Arial" w:hAnsi="Arial" w:cs="Arial"/>
          <w:sz w:val="22"/>
          <w:szCs w:val="22"/>
        </w:rPr>
      </w:pPr>
      <w:r w:rsidRPr="00736483">
        <w:rPr>
          <w:rFonts w:ascii="Arial" w:hAnsi="Arial" w:cs="Arial"/>
          <w:b/>
          <w:bCs/>
          <w:sz w:val="22"/>
          <w:szCs w:val="22"/>
        </w:rPr>
        <w:t>Artefacts</w:t>
      </w:r>
      <w:r w:rsidRPr="00F72822">
        <w:rPr>
          <w:rFonts w:ascii="Arial" w:hAnsi="Arial" w:cs="Arial"/>
          <w:sz w:val="22"/>
          <w:szCs w:val="22"/>
        </w:rPr>
        <w:t xml:space="preserve">: refers to the visible features of an organisation such as its structure, procedures, communication workplace practices and staff uniforms or identification badges. For example, uniforms and badges can help identify employees and presents a professional image to customers. </w:t>
      </w:r>
    </w:p>
    <w:p w14:paraId="7E908086" w14:textId="62E65D31" w:rsidR="00F72822" w:rsidRPr="00F72822" w:rsidRDefault="00F72822" w:rsidP="00F72822">
      <w:pPr>
        <w:rPr>
          <w:rFonts w:ascii="Arial" w:hAnsi="Arial" w:cs="Arial"/>
          <w:sz w:val="22"/>
          <w:szCs w:val="22"/>
        </w:rPr>
      </w:pPr>
      <w:r w:rsidRPr="00F72822">
        <w:rPr>
          <w:rFonts w:ascii="Arial" w:hAnsi="Arial" w:cs="Arial"/>
          <w:sz w:val="22"/>
          <w:szCs w:val="22"/>
        </w:rPr>
        <w:t xml:space="preserve">Furthermore, Lloyds shows traits of a large, regulated, digital financial institution, including governance, risk management, and digital banking services. The 2025 Annual Report highlights over 95% of retail sales via digital channels and significant investment in digital and AI, indicating a culture focused on digital service, efficiency, and innovation. Altogether these features suggests and emphasis on professionalism, accountability, customer service and responsible risk management. </w:t>
      </w:r>
    </w:p>
    <w:p w14:paraId="6B70473F" w14:textId="68236E42" w:rsidR="00F72822" w:rsidRPr="00F72822" w:rsidRDefault="00F72822" w:rsidP="00F72822">
      <w:pPr>
        <w:rPr>
          <w:rFonts w:ascii="Arial" w:hAnsi="Arial" w:cs="Arial"/>
          <w:sz w:val="22"/>
          <w:szCs w:val="22"/>
        </w:rPr>
      </w:pPr>
      <w:r w:rsidRPr="00736483">
        <w:rPr>
          <w:rFonts w:ascii="Arial" w:hAnsi="Arial" w:cs="Arial"/>
          <w:b/>
          <w:bCs/>
          <w:sz w:val="22"/>
          <w:szCs w:val="22"/>
        </w:rPr>
        <w:t>Espoused Value:</w:t>
      </w:r>
      <w:r w:rsidRPr="00F72822">
        <w:rPr>
          <w:rFonts w:ascii="Arial" w:hAnsi="Arial" w:cs="Arial"/>
          <w:sz w:val="22"/>
          <w:szCs w:val="22"/>
        </w:rPr>
        <w:t xml:space="preserve"> are the principles an organisation publicly communicates Lloyds centres its strategy on “Helping Britain Prosper”, integrating commercial performance with a social purpose through its 2025 strategy of Grow, Focus, and Change, emphasizing revenue growth, cost discipline, and digital technology use (Lloyds Banking Group, 2025a</w:t>
      </w:r>
      <w:r w:rsidR="00310829" w:rsidRPr="00F72822">
        <w:rPr>
          <w:rFonts w:ascii="Arial" w:hAnsi="Arial" w:cs="Arial"/>
          <w:sz w:val="22"/>
          <w:szCs w:val="22"/>
        </w:rPr>
        <w:t>). These</w:t>
      </w:r>
      <w:r w:rsidRPr="00F72822">
        <w:rPr>
          <w:rFonts w:ascii="Arial" w:hAnsi="Arial" w:cs="Arial"/>
          <w:sz w:val="22"/>
          <w:szCs w:val="22"/>
        </w:rPr>
        <w:t xml:space="preserve"> values shows and intention to encourage collaboration, innovation, responsible behaviour and customer protection. </w:t>
      </w:r>
    </w:p>
    <w:p w14:paraId="7B711F7D" w14:textId="1598F153" w:rsidR="00F72822" w:rsidRPr="00F72822" w:rsidRDefault="00F72822" w:rsidP="00F72822">
      <w:pPr>
        <w:rPr>
          <w:rFonts w:ascii="Arial" w:hAnsi="Arial" w:cs="Arial"/>
          <w:sz w:val="22"/>
          <w:szCs w:val="22"/>
        </w:rPr>
      </w:pPr>
      <w:r w:rsidRPr="00736483">
        <w:rPr>
          <w:rFonts w:ascii="Arial" w:hAnsi="Arial" w:cs="Arial"/>
          <w:b/>
          <w:bCs/>
          <w:sz w:val="22"/>
          <w:szCs w:val="22"/>
        </w:rPr>
        <w:t>Underlying Assumptions</w:t>
      </w:r>
      <w:r w:rsidRPr="00F72822">
        <w:rPr>
          <w:rFonts w:ascii="Arial" w:hAnsi="Arial" w:cs="Arial"/>
          <w:sz w:val="22"/>
          <w:szCs w:val="22"/>
        </w:rPr>
        <w:t xml:space="preserve">: are the deeper beliefs that employees accept as normal such as the importance of maintaining customer confidence, protecting information and managing financial risks. However, these assumptions cannot be confirmed solely through corporate publications, they provide a useful basis for investing the business culture. </w:t>
      </w:r>
    </w:p>
    <w:p w14:paraId="38C065C9" w14:textId="2490FAC7" w:rsidR="00F72822" w:rsidRPr="00F72822" w:rsidRDefault="00F72822" w:rsidP="00F72822">
      <w:pPr>
        <w:rPr>
          <w:rFonts w:ascii="Arial" w:hAnsi="Arial" w:cs="Arial"/>
          <w:sz w:val="22"/>
          <w:szCs w:val="22"/>
        </w:rPr>
      </w:pPr>
      <w:r w:rsidRPr="00F72822">
        <w:rPr>
          <w:rFonts w:ascii="Arial" w:hAnsi="Arial" w:cs="Arial"/>
          <w:sz w:val="22"/>
          <w:szCs w:val="22"/>
        </w:rPr>
        <w:t xml:space="preserve">Schein’s model is valuable as it highlights the gap between what Lloyds communicates and what employees experience. For instance, the value “Helping Britain Prosper” holds significance only if it affects daily decisions like product design and customer service. If consistently reinforced through behaviour and decision-making, it becomes a foundational assumption. However, if employees face pressure to reduce costs at odds with customer interests, a disconnect between stated values and actual culture can occur. This is crucial because culture is shown through actions, not just statements.  </w:t>
      </w:r>
    </w:p>
    <w:p w14:paraId="4D6B636A" w14:textId="2E36F361" w:rsidR="00F72822" w:rsidRPr="00F72822" w:rsidRDefault="00F72822" w:rsidP="00F72822">
      <w:pPr>
        <w:rPr>
          <w:rFonts w:ascii="Arial" w:hAnsi="Arial" w:cs="Arial"/>
          <w:sz w:val="22"/>
          <w:szCs w:val="22"/>
        </w:rPr>
      </w:pPr>
      <w:r w:rsidRPr="00BF26DF">
        <w:rPr>
          <w:rFonts w:ascii="Arial" w:hAnsi="Arial" w:cs="Arial"/>
          <w:sz w:val="22"/>
          <w:szCs w:val="22"/>
        </w:rPr>
        <w:t xml:space="preserve">Similarly, Lloyds’ focusses on AI </w:t>
      </w:r>
      <w:r w:rsidR="00A82C30">
        <w:rPr>
          <w:rFonts w:ascii="Arial" w:hAnsi="Arial" w:cs="Arial"/>
          <w:sz w:val="22"/>
          <w:szCs w:val="22"/>
        </w:rPr>
        <w:t xml:space="preserve">which </w:t>
      </w:r>
      <w:r w:rsidRPr="00BF26DF">
        <w:rPr>
          <w:rFonts w:ascii="Arial" w:hAnsi="Arial" w:cs="Arial"/>
          <w:sz w:val="22"/>
          <w:szCs w:val="22"/>
        </w:rPr>
        <w:t xml:space="preserve">reflects this principle. While AI investment is a stated value, the real issue is whether employees view technology as a tool for enhancing performance or merely cutting costs. Their investment in digital technology and AI indicates </w:t>
      </w:r>
      <w:r w:rsidRPr="00BF26DF">
        <w:rPr>
          <w:rFonts w:ascii="Arial" w:hAnsi="Arial" w:cs="Arial"/>
          <w:sz w:val="22"/>
          <w:szCs w:val="22"/>
        </w:rPr>
        <w:lastRenderedPageBreak/>
        <w:t>a shift towards innovation. However, adopting technology alone doesn’t ensure cultural chance. Lloyds must foster an environment that encourages responsible experimentation.</w:t>
      </w:r>
      <w:r w:rsidRPr="00F72822">
        <w:rPr>
          <w:rFonts w:ascii="Arial" w:hAnsi="Arial" w:cs="Arial"/>
          <w:sz w:val="22"/>
          <w:szCs w:val="22"/>
        </w:rPr>
        <w:t xml:space="preserve"> </w:t>
      </w:r>
    </w:p>
    <w:p w14:paraId="6162C0B0" w14:textId="76C87C27" w:rsidR="00F72822" w:rsidRPr="00F72822" w:rsidRDefault="00F72822" w:rsidP="00F72822">
      <w:pPr>
        <w:rPr>
          <w:rFonts w:ascii="Arial" w:hAnsi="Arial" w:cs="Arial"/>
          <w:sz w:val="22"/>
          <w:szCs w:val="22"/>
        </w:rPr>
      </w:pPr>
      <w:r w:rsidRPr="00F72822">
        <w:rPr>
          <w:rFonts w:ascii="Arial" w:hAnsi="Arial" w:cs="Arial"/>
          <w:sz w:val="22"/>
          <w:szCs w:val="22"/>
        </w:rPr>
        <w:t xml:space="preserve">As a result, to the Schein’s framework advises against evaluating Lloyds’ culture only based on its stated values. The more crucial issue is whether these ideal day to day actions, especially choices pertaining to customers, risk, technology and exposes. </w:t>
      </w:r>
    </w:p>
    <w:p w14:paraId="2F3A5B5E" w14:textId="137B74B9" w:rsidR="00F72822" w:rsidRPr="00F72822" w:rsidRDefault="00F05579" w:rsidP="00F72822">
      <w:pPr>
        <w:pStyle w:val="Heading1"/>
      </w:pPr>
      <w:bookmarkStart w:id="6" w:name="_Toc243918110"/>
      <w:r>
        <w:t xml:space="preserve">3.2 </w:t>
      </w:r>
      <w:r w:rsidR="00F72822">
        <w:t>Handy’s Cultural Types</w:t>
      </w:r>
      <w:bookmarkEnd w:id="6"/>
      <w:r w:rsidR="00F72822">
        <w:t xml:space="preserve"> </w:t>
      </w:r>
    </w:p>
    <w:p w14:paraId="5FA44A29" w14:textId="00485AAD" w:rsidR="00F72822" w:rsidRPr="00F72822" w:rsidRDefault="00F72822" w:rsidP="00F72822">
      <w:pPr>
        <w:rPr>
          <w:rFonts w:ascii="Arial" w:hAnsi="Arial" w:cs="Arial"/>
          <w:sz w:val="22"/>
          <w:szCs w:val="22"/>
        </w:rPr>
      </w:pPr>
      <w:r w:rsidRPr="00F72822">
        <w:rPr>
          <w:rFonts w:ascii="Arial" w:hAnsi="Arial" w:cs="Arial"/>
          <w:sz w:val="22"/>
          <w:szCs w:val="22"/>
        </w:rPr>
        <w:t xml:space="preserve">Handy (1993) identifies four types of organisational culture; power, role, task and person culture. Role culture is characterised by formal responsibilities, rules and procedures. Lloyds demonstrates role-oriented characterises because its operations depend on defined authority, compliance procedures and risk management controls. These features are suitable for a financial institution because employees must understand their responsibilities and follow established requirements. </w:t>
      </w:r>
    </w:p>
    <w:p w14:paraId="5C4C337E" w14:textId="35F81F0D" w:rsidR="00F72822" w:rsidRPr="00F72822" w:rsidRDefault="00F72822" w:rsidP="00F72822">
      <w:pPr>
        <w:rPr>
          <w:rFonts w:ascii="Arial" w:hAnsi="Arial" w:cs="Arial"/>
          <w:sz w:val="22"/>
          <w:szCs w:val="22"/>
        </w:rPr>
      </w:pPr>
      <w:r w:rsidRPr="00F72822">
        <w:rPr>
          <w:rFonts w:ascii="Arial" w:hAnsi="Arial" w:cs="Arial"/>
          <w:sz w:val="22"/>
          <w:szCs w:val="22"/>
        </w:rPr>
        <w:t xml:space="preserve">Furthermore task-oriented characteristics are required, which emphasis teamwork and problem-solving. Digital transformation requires collaboration between technology specialists, customer service employees and risk management teams. Handy’s framework helps explain how role culture can provide stability while task culture supports innovation (Handy,1993). </w:t>
      </w:r>
    </w:p>
    <w:p w14:paraId="738EDFB1" w14:textId="2B3155F1" w:rsidR="00F72822" w:rsidRPr="00F72822" w:rsidRDefault="00F72822" w:rsidP="00F72822">
      <w:pPr>
        <w:rPr>
          <w:rFonts w:ascii="Arial" w:hAnsi="Arial" w:cs="Arial"/>
          <w:sz w:val="22"/>
          <w:szCs w:val="22"/>
        </w:rPr>
      </w:pPr>
      <w:r w:rsidRPr="00F72822">
        <w:rPr>
          <w:rFonts w:ascii="Arial" w:hAnsi="Arial" w:cs="Arial"/>
          <w:sz w:val="22"/>
          <w:szCs w:val="22"/>
        </w:rPr>
        <w:t xml:space="preserve">The prevailing culture can therefore be interpreted as predominantly role-oriented, with task-oriented features supporting strategies change. This classification is analytical interpretation rather than verified internal cultural assessment </w:t>
      </w:r>
    </w:p>
    <w:p w14:paraId="196611B2" w14:textId="7C251734" w:rsidR="00F72822" w:rsidRPr="00F72822" w:rsidRDefault="00F72822" w:rsidP="00F72822">
      <w:pPr>
        <w:rPr>
          <w:rFonts w:ascii="Arial" w:hAnsi="Arial" w:cs="Arial"/>
          <w:sz w:val="22"/>
          <w:szCs w:val="22"/>
        </w:rPr>
      </w:pPr>
      <w:r w:rsidRPr="00F72822">
        <w:rPr>
          <w:rFonts w:ascii="Arial" w:hAnsi="Arial" w:cs="Arial"/>
          <w:sz w:val="22"/>
          <w:szCs w:val="22"/>
        </w:rPr>
        <w:t xml:space="preserve">The combination can be an advantage because it allows Lloyds to maintain reliable control whole developing new services. However excessive reliance on procedures may limit flexibility if employee cannot make appropriate decisions independently. The business should retain clear responsibilities while empowering cross-functional teams to improve services within established risk limits. This approach would strengthen collaboration without weakening accountability (Burns and Stalker ,1994). </w:t>
      </w:r>
    </w:p>
    <w:p w14:paraId="5388CA2B" w14:textId="7A69ED6A" w:rsidR="00F72822" w:rsidRDefault="00F72822" w:rsidP="0020034F">
      <w:pPr>
        <w:pStyle w:val="Heading1"/>
      </w:pPr>
      <w:bookmarkStart w:id="7" w:name="_Toc243918111"/>
      <w:r>
        <w:t>3.3 Johnson and Scholes’ Cultural Web</w:t>
      </w:r>
      <w:bookmarkEnd w:id="7"/>
      <w:r>
        <w:t xml:space="preserve"> </w:t>
      </w:r>
    </w:p>
    <w:p w14:paraId="2F9C018B" w14:textId="3113C221" w:rsidR="00F72822" w:rsidRDefault="00F72822" w:rsidP="00F72822">
      <w:pPr>
        <w:rPr>
          <w:rFonts w:ascii="Arial" w:hAnsi="Arial" w:cs="Arial"/>
        </w:rPr>
      </w:pPr>
      <w:r w:rsidRPr="00267A35">
        <w:rPr>
          <w:rFonts w:ascii="Arial" w:hAnsi="Arial" w:cs="Arial"/>
        </w:rPr>
        <w:t xml:space="preserve">Johnson and Scholes’ Cultural Web (1992) examine the elements that reinforce organisational culture, including the paradigm, stories, symbols, rituals and routines, control systems, organisational structures and power relationships (Francis, 2014). </w:t>
      </w:r>
    </w:p>
    <w:p w14:paraId="10D7BE7F" w14:textId="77777777" w:rsidR="00EE1A5C" w:rsidRDefault="00EE1A5C" w:rsidP="00F72822">
      <w:pPr>
        <w:rPr>
          <w:rFonts w:ascii="Arial" w:hAnsi="Arial" w:cs="Arial"/>
        </w:rPr>
      </w:pPr>
    </w:p>
    <w:p w14:paraId="17585ECF" w14:textId="77777777" w:rsidR="00F05579" w:rsidRDefault="00F05579" w:rsidP="00F72822">
      <w:pPr>
        <w:rPr>
          <w:rFonts w:ascii="Arial" w:hAnsi="Arial" w:cs="Arial"/>
        </w:rPr>
      </w:pPr>
    </w:p>
    <w:p w14:paraId="2C179966" w14:textId="77777777" w:rsidR="00F05579" w:rsidRDefault="00F05579" w:rsidP="00F72822">
      <w:pPr>
        <w:rPr>
          <w:rFonts w:ascii="Arial" w:hAnsi="Arial" w:cs="Arial"/>
        </w:rPr>
      </w:pPr>
    </w:p>
    <w:p w14:paraId="517FAE6B" w14:textId="77777777" w:rsidR="00F05579" w:rsidRDefault="00F05579" w:rsidP="00F72822">
      <w:pPr>
        <w:rPr>
          <w:rFonts w:ascii="Arial" w:hAnsi="Arial" w:cs="Arial"/>
        </w:rPr>
      </w:pPr>
    </w:p>
    <w:p w14:paraId="4F66A11E" w14:textId="77777777" w:rsidR="00F05579" w:rsidRDefault="00F05579" w:rsidP="00F72822">
      <w:pPr>
        <w:rPr>
          <w:rFonts w:ascii="Arial" w:hAnsi="Arial" w:cs="Arial"/>
        </w:rPr>
      </w:pPr>
    </w:p>
    <w:p w14:paraId="71C36B6A" w14:textId="77777777" w:rsidR="00EE1A5C" w:rsidRPr="00A079FB" w:rsidRDefault="00EE1A5C" w:rsidP="00F72822">
      <w:pPr>
        <w:rPr>
          <w:rFonts w:ascii="Arial" w:hAnsi="Arial" w:cs="Arial"/>
        </w:rPr>
      </w:pPr>
    </w:p>
    <w:p w14:paraId="1279B5B3" w14:textId="55840C6E" w:rsidR="00DD03D8" w:rsidRDefault="00F72822" w:rsidP="00F72822">
      <w:pPr>
        <w:rPr>
          <w:rFonts w:ascii="Arial" w:hAnsi="Arial" w:cs="Arial"/>
          <w:b/>
          <w:bCs/>
        </w:rPr>
      </w:pPr>
      <w:r w:rsidRPr="0006049F">
        <w:rPr>
          <w:rFonts w:ascii="Arial" w:hAnsi="Arial" w:cs="Arial"/>
          <w:b/>
          <w:bCs/>
        </w:rPr>
        <w:lastRenderedPageBreak/>
        <w:t>Table</w:t>
      </w:r>
      <w:r w:rsidR="00041141">
        <w:rPr>
          <w:rFonts w:ascii="Arial" w:hAnsi="Arial" w:cs="Arial"/>
          <w:b/>
          <w:bCs/>
        </w:rPr>
        <w:t xml:space="preserve"> 2</w:t>
      </w:r>
      <w:r w:rsidRPr="0006049F">
        <w:rPr>
          <w:rFonts w:ascii="Arial" w:hAnsi="Arial" w:cs="Arial"/>
          <w:b/>
          <w:bCs/>
        </w:rPr>
        <w:t xml:space="preserve">: Johnson and Scholes ‘Cultural Web at Lloyds </w:t>
      </w:r>
    </w:p>
    <w:p w14:paraId="176F1EE5" w14:textId="54B27D5C" w:rsidR="005C613B" w:rsidRDefault="005C613B" w:rsidP="00F72822">
      <w:pPr>
        <w:rPr>
          <w:rFonts w:ascii="Arial" w:hAnsi="Arial" w:cs="Arial"/>
          <w:b/>
          <w:bCs/>
        </w:rPr>
      </w:pPr>
      <w:r w:rsidRPr="005C613B">
        <w:rPr>
          <w:rFonts w:ascii="Arial" w:hAnsi="Arial" w:cs="Arial"/>
          <w:b/>
          <w:bCs/>
          <w:noProof/>
        </w:rPr>
        <w:drawing>
          <wp:anchor distT="0" distB="0" distL="114300" distR="114300" simplePos="0" relativeHeight="251659264" behindDoc="1" locked="0" layoutInCell="1" allowOverlap="1" wp14:anchorId="11F6EBFF" wp14:editId="68929DCD">
            <wp:simplePos x="0" y="0"/>
            <wp:positionH relativeFrom="column">
              <wp:posOffset>-17780</wp:posOffset>
            </wp:positionH>
            <wp:positionV relativeFrom="paragraph">
              <wp:posOffset>181610</wp:posOffset>
            </wp:positionV>
            <wp:extent cx="5163820" cy="2988945"/>
            <wp:effectExtent l="0" t="0" r="0" b="1905"/>
            <wp:wrapTight wrapText="bothSides">
              <wp:wrapPolygon edited="0">
                <wp:start x="0" y="0"/>
                <wp:lineTo x="0" y="21476"/>
                <wp:lineTo x="21515" y="21476"/>
                <wp:lineTo x="21515" y="0"/>
                <wp:lineTo x="0" y="0"/>
              </wp:wrapPolygon>
            </wp:wrapTight>
            <wp:docPr id="1364474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474948" name=""/>
                    <pic:cNvPicPr/>
                  </pic:nvPicPr>
                  <pic:blipFill rotWithShape="1">
                    <a:blip r:embed="rId5" cstate="print">
                      <a:extLst>
                        <a:ext uri="{28A0092B-C50C-407E-A947-70E740481C1C}">
                          <a14:useLocalDpi xmlns:a14="http://schemas.microsoft.com/office/drawing/2010/main" val="0"/>
                        </a:ext>
                      </a:extLst>
                    </a:blip>
                    <a:srcRect l="23932" t="24256" r="25343" b="5653"/>
                    <a:stretch>
                      <a:fillRect/>
                    </a:stretch>
                  </pic:blipFill>
                  <pic:spPr bwMode="auto">
                    <a:xfrm>
                      <a:off x="0" y="0"/>
                      <a:ext cx="5163820" cy="2988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F21FE0" w14:textId="573ADD6E" w:rsidR="005C613B" w:rsidRDefault="005C613B" w:rsidP="00F72822">
      <w:pPr>
        <w:rPr>
          <w:rFonts w:ascii="Arial" w:hAnsi="Arial" w:cs="Arial"/>
          <w:b/>
          <w:bCs/>
        </w:rPr>
      </w:pPr>
    </w:p>
    <w:p w14:paraId="0960A82B" w14:textId="7A31AC2B" w:rsidR="005C613B" w:rsidRDefault="005C613B" w:rsidP="00F72822">
      <w:pPr>
        <w:rPr>
          <w:rFonts w:ascii="Arial" w:hAnsi="Arial" w:cs="Arial"/>
          <w:b/>
          <w:bCs/>
        </w:rPr>
      </w:pPr>
    </w:p>
    <w:p w14:paraId="5C4908E7" w14:textId="7969CC31" w:rsidR="005C613B" w:rsidRDefault="005C613B" w:rsidP="00F72822">
      <w:pPr>
        <w:rPr>
          <w:rFonts w:ascii="Arial" w:hAnsi="Arial" w:cs="Arial"/>
          <w:b/>
          <w:bCs/>
        </w:rPr>
      </w:pPr>
    </w:p>
    <w:p w14:paraId="635C3897" w14:textId="6037B89E" w:rsidR="005C613B" w:rsidRDefault="005C613B" w:rsidP="00F72822">
      <w:pPr>
        <w:rPr>
          <w:rFonts w:ascii="Arial" w:hAnsi="Arial" w:cs="Arial"/>
          <w:b/>
          <w:bCs/>
        </w:rPr>
      </w:pPr>
    </w:p>
    <w:p w14:paraId="1DBE3321" w14:textId="77777777" w:rsidR="005C613B" w:rsidRDefault="005C613B" w:rsidP="00F72822">
      <w:pPr>
        <w:rPr>
          <w:rFonts w:ascii="Arial" w:hAnsi="Arial" w:cs="Arial"/>
          <w:b/>
          <w:bCs/>
        </w:rPr>
      </w:pPr>
    </w:p>
    <w:p w14:paraId="6424CA54" w14:textId="77777777" w:rsidR="005C613B" w:rsidRPr="009014CA" w:rsidRDefault="005C613B" w:rsidP="00F72822">
      <w:pPr>
        <w:rPr>
          <w:rFonts w:ascii="Arial" w:hAnsi="Arial" w:cs="Arial"/>
          <w:b/>
          <w:bCs/>
        </w:rPr>
      </w:pPr>
    </w:p>
    <w:p w14:paraId="22BDB0F1" w14:textId="14668873" w:rsidR="00F72822" w:rsidRPr="00D41E67" w:rsidRDefault="00D41E67" w:rsidP="00F72822">
      <w:pPr>
        <w:rPr>
          <w:rFonts w:ascii="Arial" w:hAnsi="Arial" w:cs="Arial"/>
          <w:b/>
          <w:bCs/>
          <w:sz w:val="22"/>
          <w:szCs w:val="22"/>
        </w:rPr>
      </w:pPr>
      <w:r w:rsidRPr="00D41E67">
        <w:rPr>
          <w:rFonts w:ascii="Arial" w:hAnsi="Arial" w:cs="Arial"/>
          <w:b/>
          <w:bCs/>
          <w:sz w:val="22"/>
          <w:szCs w:val="22"/>
        </w:rPr>
        <w:t>Source: Self-made</w:t>
      </w:r>
      <w:r w:rsidR="006F795D" w:rsidRPr="00D41E67">
        <w:rPr>
          <w:rFonts w:ascii="Arial" w:hAnsi="Arial" w:cs="Arial"/>
          <w:b/>
          <w:bCs/>
          <w:sz w:val="22"/>
          <w:szCs w:val="22"/>
        </w:rPr>
        <w:t xml:space="preserve"> based on Johnson and </w:t>
      </w:r>
      <w:r w:rsidR="00F84CA0" w:rsidRPr="00D41E67">
        <w:rPr>
          <w:rFonts w:ascii="Arial" w:hAnsi="Arial" w:cs="Arial"/>
          <w:b/>
          <w:bCs/>
          <w:sz w:val="22"/>
          <w:szCs w:val="22"/>
        </w:rPr>
        <w:t>Scholes</w:t>
      </w:r>
      <w:r w:rsidR="006F795D" w:rsidRPr="00D41E67">
        <w:rPr>
          <w:rFonts w:ascii="Arial" w:hAnsi="Arial" w:cs="Arial"/>
          <w:b/>
          <w:bCs/>
          <w:sz w:val="22"/>
          <w:szCs w:val="22"/>
        </w:rPr>
        <w:t xml:space="preserve"> (1992)</w:t>
      </w:r>
      <w:r w:rsidRPr="00D41E67">
        <w:rPr>
          <w:rFonts w:ascii="Arial" w:hAnsi="Arial" w:cs="Arial"/>
          <w:b/>
          <w:bCs/>
          <w:sz w:val="22"/>
          <w:szCs w:val="22"/>
        </w:rPr>
        <w:t xml:space="preserve"> and Lloyds Banking Group (2025a)</w:t>
      </w:r>
    </w:p>
    <w:p w14:paraId="5CB79AD3" w14:textId="78DA80C9" w:rsidR="00F72822" w:rsidRDefault="00F72822" w:rsidP="00F72822">
      <w:r>
        <w:t xml:space="preserve">Lloyds Banking Group’s purpose of helping Britain guides its values and employee behaviour (Lloyds Banking Group,2025a). Policies and control systems help employees understand their responsibilities. </w:t>
      </w:r>
    </w:p>
    <w:p w14:paraId="56C56958" w14:textId="3FC6EFB3" w:rsidR="00F72822" w:rsidRDefault="00F72822" w:rsidP="00DD03D8">
      <w:r>
        <w:t xml:space="preserve">Johnson and Scholes’ (1992) Cultural Web model explains how leadership, routines and structures shapes culture. At Lloyds fair customer treatment should be reflected in employee training and performance targets. This helps align daily practices with the business values and build customer trust. </w:t>
      </w:r>
    </w:p>
    <w:p w14:paraId="09899535" w14:textId="77ECBA14" w:rsidR="00F72822" w:rsidRDefault="00B60C59" w:rsidP="00D10B66">
      <w:pPr>
        <w:pStyle w:val="Heading1"/>
      </w:pPr>
      <w:bookmarkStart w:id="8" w:name="_Toc243918112"/>
      <w:r>
        <w:t>4</w:t>
      </w:r>
      <w:r w:rsidR="00F05579">
        <w:t>.</w:t>
      </w:r>
      <w:r w:rsidR="00F72822">
        <w:t>Organisational Culture and the External Environment</w:t>
      </w:r>
      <w:bookmarkEnd w:id="8"/>
      <w:r w:rsidR="00F72822">
        <w:t xml:space="preserve"> </w:t>
      </w:r>
    </w:p>
    <w:p w14:paraId="3EF0129F" w14:textId="0AB026BA" w:rsidR="00F72822" w:rsidRPr="00D10B66" w:rsidRDefault="00F72822" w:rsidP="00F72822">
      <w:pPr>
        <w:rPr>
          <w:rFonts w:ascii="Arial" w:hAnsi="Arial" w:cs="Arial"/>
          <w:sz w:val="22"/>
          <w:szCs w:val="22"/>
        </w:rPr>
      </w:pPr>
      <w:r w:rsidRPr="00D10B66">
        <w:rPr>
          <w:rFonts w:ascii="Arial" w:hAnsi="Arial" w:cs="Arial"/>
          <w:sz w:val="22"/>
          <w:szCs w:val="22"/>
        </w:rPr>
        <w:t xml:space="preserve">Lloyds navigates an external landscape marked by digital disruption, fintech rivalry, evolving customer demands, economic instability, increased AI utilisation, and strict regulations. Therefore, its organisational culture must foster ongoing adaptation.  </w:t>
      </w:r>
    </w:p>
    <w:p w14:paraId="4CB590F8" w14:textId="2CF2CAEC" w:rsidR="00F72822" w:rsidRDefault="00F72822" w:rsidP="00D10B66">
      <w:pPr>
        <w:rPr>
          <w:rFonts w:ascii="Arial" w:hAnsi="Arial" w:cs="Arial"/>
          <w:sz w:val="22"/>
          <w:szCs w:val="22"/>
        </w:rPr>
      </w:pPr>
      <w:r w:rsidRPr="00D10B66">
        <w:rPr>
          <w:rFonts w:ascii="Arial" w:hAnsi="Arial" w:cs="Arial"/>
          <w:sz w:val="22"/>
          <w:szCs w:val="22"/>
        </w:rPr>
        <w:t>According to Denison and Mishra’s (1995) model, four cultural traits</w:t>
      </w:r>
      <w:r w:rsidR="00A82C30">
        <w:rPr>
          <w:rFonts w:ascii="Arial" w:hAnsi="Arial" w:cs="Arial"/>
          <w:sz w:val="22"/>
          <w:szCs w:val="22"/>
        </w:rPr>
        <w:t xml:space="preserve"> </w:t>
      </w:r>
      <w:r w:rsidRPr="00D10B66">
        <w:rPr>
          <w:rFonts w:ascii="Arial" w:hAnsi="Arial" w:cs="Arial"/>
          <w:sz w:val="22"/>
          <w:szCs w:val="22"/>
        </w:rPr>
        <w:t>-</w:t>
      </w:r>
      <w:r w:rsidR="00A82C30">
        <w:rPr>
          <w:rFonts w:ascii="Arial" w:hAnsi="Arial" w:cs="Arial"/>
          <w:sz w:val="22"/>
          <w:szCs w:val="22"/>
        </w:rPr>
        <w:t xml:space="preserve"> </w:t>
      </w:r>
      <w:r w:rsidRPr="00D10B66">
        <w:rPr>
          <w:rFonts w:ascii="Arial" w:hAnsi="Arial" w:cs="Arial"/>
          <w:sz w:val="22"/>
          <w:szCs w:val="22"/>
        </w:rPr>
        <w:t>mission, adaptability, involvement and consistency are crucial for organisational effectiveness, and Lloyds demonstrates all four.</w:t>
      </w:r>
    </w:p>
    <w:p w14:paraId="591683AE" w14:textId="77777777" w:rsidR="00CA4241" w:rsidRDefault="00CA4241" w:rsidP="00D10B66">
      <w:pPr>
        <w:rPr>
          <w:rFonts w:ascii="Arial" w:hAnsi="Arial" w:cs="Arial"/>
          <w:sz w:val="22"/>
          <w:szCs w:val="22"/>
        </w:rPr>
      </w:pPr>
    </w:p>
    <w:p w14:paraId="121D2659" w14:textId="77777777" w:rsidR="00CA4241" w:rsidRDefault="00CA4241" w:rsidP="00D10B66">
      <w:pPr>
        <w:rPr>
          <w:rFonts w:ascii="Arial" w:hAnsi="Arial" w:cs="Arial"/>
          <w:sz w:val="22"/>
          <w:szCs w:val="22"/>
        </w:rPr>
      </w:pPr>
    </w:p>
    <w:p w14:paraId="6B4C3653" w14:textId="77777777" w:rsidR="00CA4241" w:rsidRPr="00D10B66" w:rsidRDefault="00CA4241" w:rsidP="00D10B66">
      <w:pPr>
        <w:rPr>
          <w:rFonts w:ascii="Arial" w:hAnsi="Arial" w:cs="Arial"/>
          <w:sz w:val="22"/>
          <w:szCs w:val="22"/>
        </w:rPr>
      </w:pPr>
    </w:p>
    <w:p w14:paraId="6C87695C" w14:textId="77777777" w:rsidR="00F72822" w:rsidRDefault="00F72822" w:rsidP="00F72822"/>
    <w:p w14:paraId="21E1E483" w14:textId="27604CD0" w:rsidR="00F72822" w:rsidRDefault="00F72822" w:rsidP="00F72822">
      <w:pPr>
        <w:rPr>
          <w:rFonts w:ascii="Arial" w:hAnsi="Arial" w:cs="Arial"/>
          <w:b/>
          <w:bCs/>
          <w:sz w:val="22"/>
          <w:szCs w:val="22"/>
        </w:rPr>
      </w:pPr>
      <w:r w:rsidRPr="0029569E">
        <w:rPr>
          <w:rFonts w:ascii="Arial" w:hAnsi="Arial" w:cs="Arial"/>
          <w:b/>
          <w:bCs/>
          <w:sz w:val="22"/>
          <w:szCs w:val="22"/>
        </w:rPr>
        <w:lastRenderedPageBreak/>
        <w:t xml:space="preserve"> </w:t>
      </w:r>
      <w:r w:rsidR="0029569E" w:rsidRPr="0029569E">
        <w:rPr>
          <w:rFonts w:ascii="Arial" w:hAnsi="Arial" w:cs="Arial"/>
          <w:b/>
          <w:bCs/>
          <w:sz w:val="22"/>
          <w:szCs w:val="22"/>
        </w:rPr>
        <w:t>Table</w:t>
      </w:r>
      <w:r w:rsidR="00AD3590">
        <w:rPr>
          <w:rFonts w:ascii="Arial" w:hAnsi="Arial" w:cs="Arial"/>
          <w:b/>
          <w:bCs/>
          <w:sz w:val="22"/>
          <w:szCs w:val="22"/>
        </w:rPr>
        <w:t xml:space="preserve"> 2</w:t>
      </w:r>
      <w:r w:rsidR="0029569E" w:rsidRPr="0029569E">
        <w:rPr>
          <w:rFonts w:ascii="Arial" w:hAnsi="Arial" w:cs="Arial"/>
          <w:b/>
          <w:bCs/>
          <w:sz w:val="22"/>
          <w:szCs w:val="22"/>
        </w:rPr>
        <w:t>: Denison and Mishra</w:t>
      </w:r>
      <w:r w:rsidR="0020034F">
        <w:rPr>
          <w:rFonts w:ascii="Arial" w:hAnsi="Arial" w:cs="Arial"/>
          <w:b/>
          <w:bCs/>
          <w:sz w:val="22"/>
          <w:szCs w:val="22"/>
        </w:rPr>
        <w:t xml:space="preserve"> Framework</w:t>
      </w:r>
    </w:p>
    <w:p w14:paraId="42567F23" w14:textId="7C486990" w:rsidR="0095192B" w:rsidRDefault="0095192B" w:rsidP="00F72822">
      <w:pPr>
        <w:rPr>
          <w:rFonts w:ascii="Arial" w:hAnsi="Arial" w:cs="Arial"/>
          <w:b/>
          <w:bCs/>
          <w:sz w:val="22"/>
          <w:szCs w:val="22"/>
        </w:rPr>
      </w:pPr>
      <w:r w:rsidRPr="0095192B">
        <w:rPr>
          <w:rFonts w:ascii="Arial" w:hAnsi="Arial" w:cs="Arial"/>
          <w:b/>
          <w:bCs/>
          <w:noProof/>
          <w:sz w:val="22"/>
          <w:szCs w:val="22"/>
        </w:rPr>
        <w:drawing>
          <wp:anchor distT="0" distB="0" distL="114300" distR="114300" simplePos="0" relativeHeight="251660288" behindDoc="1" locked="0" layoutInCell="1" allowOverlap="1" wp14:anchorId="0598069C" wp14:editId="1E74E22A">
            <wp:simplePos x="0" y="0"/>
            <wp:positionH relativeFrom="margin">
              <wp:align>left</wp:align>
            </wp:positionH>
            <wp:positionV relativeFrom="paragraph">
              <wp:posOffset>22811</wp:posOffset>
            </wp:positionV>
            <wp:extent cx="5040630" cy="2575560"/>
            <wp:effectExtent l="0" t="0" r="7620" b="0"/>
            <wp:wrapTight wrapText="bothSides">
              <wp:wrapPolygon edited="0">
                <wp:start x="0" y="0"/>
                <wp:lineTo x="0" y="21408"/>
                <wp:lineTo x="21551" y="21408"/>
                <wp:lineTo x="21551" y="0"/>
                <wp:lineTo x="0" y="0"/>
              </wp:wrapPolygon>
            </wp:wrapTight>
            <wp:docPr id="1314462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462281" name=""/>
                    <pic:cNvPicPr/>
                  </pic:nvPicPr>
                  <pic:blipFill rotWithShape="1">
                    <a:blip r:embed="rId6">
                      <a:extLst>
                        <a:ext uri="{28A0092B-C50C-407E-A947-70E740481C1C}">
                          <a14:useLocalDpi xmlns:a14="http://schemas.microsoft.com/office/drawing/2010/main" val="0"/>
                        </a:ext>
                      </a:extLst>
                    </a:blip>
                    <a:srcRect l="23726" t="38117" r="25443" b="12981"/>
                    <a:stretch>
                      <a:fillRect/>
                    </a:stretch>
                  </pic:blipFill>
                  <pic:spPr bwMode="auto">
                    <a:xfrm>
                      <a:off x="0" y="0"/>
                      <a:ext cx="5053161" cy="25822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2E6812" w14:textId="67F75E14" w:rsidR="0095192B" w:rsidRDefault="0095192B" w:rsidP="00F72822">
      <w:pPr>
        <w:rPr>
          <w:rFonts w:ascii="Arial" w:hAnsi="Arial" w:cs="Arial"/>
          <w:b/>
          <w:bCs/>
          <w:sz w:val="22"/>
          <w:szCs w:val="22"/>
        </w:rPr>
      </w:pPr>
    </w:p>
    <w:p w14:paraId="1022437F" w14:textId="0286C029" w:rsidR="0095192B" w:rsidRDefault="0095192B" w:rsidP="00F72822">
      <w:pPr>
        <w:rPr>
          <w:rFonts w:ascii="Arial" w:hAnsi="Arial" w:cs="Arial"/>
          <w:b/>
          <w:bCs/>
          <w:sz w:val="22"/>
          <w:szCs w:val="22"/>
        </w:rPr>
      </w:pPr>
    </w:p>
    <w:p w14:paraId="2007147C" w14:textId="77777777" w:rsidR="0095192B" w:rsidRDefault="0095192B" w:rsidP="00F72822">
      <w:pPr>
        <w:rPr>
          <w:rFonts w:ascii="Arial" w:hAnsi="Arial" w:cs="Arial"/>
          <w:b/>
          <w:bCs/>
          <w:sz w:val="22"/>
          <w:szCs w:val="22"/>
        </w:rPr>
      </w:pPr>
    </w:p>
    <w:p w14:paraId="667DB6F8" w14:textId="77777777" w:rsidR="0095192B" w:rsidRDefault="0095192B" w:rsidP="00F72822">
      <w:pPr>
        <w:rPr>
          <w:rFonts w:ascii="Arial" w:hAnsi="Arial" w:cs="Arial"/>
          <w:b/>
          <w:bCs/>
          <w:sz w:val="22"/>
          <w:szCs w:val="22"/>
        </w:rPr>
      </w:pPr>
    </w:p>
    <w:p w14:paraId="7DF33C0F" w14:textId="4EE32D29" w:rsidR="0095192B" w:rsidRPr="0029569E" w:rsidRDefault="0095192B" w:rsidP="00F72822">
      <w:pPr>
        <w:rPr>
          <w:rFonts w:ascii="Arial" w:hAnsi="Arial" w:cs="Arial"/>
          <w:b/>
          <w:bCs/>
          <w:sz w:val="22"/>
          <w:szCs w:val="22"/>
        </w:rPr>
      </w:pPr>
    </w:p>
    <w:p w14:paraId="6AC1CCDE" w14:textId="77777777" w:rsidR="0095192B" w:rsidRDefault="0095192B" w:rsidP="00F72822">
      <w:pPr>
        <w:rPr>
          <w:rFonts w:ascii="Arial" w:hAnsi="Arial" w:cs="Arial"/>
          <w:b/>
          <w:bCs/>
          <w:sz w:val="22"/>
          <w:szCs w:val="22"/>
        </w:rPr>
      </w:pPr>
    </w:p>
    <w:p w14:paraId="71A8AA93" w14:textId="77777777" w:rsidR="0095192B" w:rsidRDefault="0095192B" w:rsidP="00F72822">
      <w:pPr>
        <w:rPr>
          <w:rFonts w:ascii="Arial" w:hAnsi="Arial" w:cs="Arial"/>
          <w:b/>
          <w:bCs/>
          <w:sz w:val="22"/>
          <w:szCs w:val="22"/>
        </w:rPr>
      </w:pPr>
    </w:p>
    <w:p w14:paraId="3F3F3A71" w14:textId="77777777" w:rsidR="0095192B" w:rsidRDefault="0095192B" w:rsidP="00F72822">
      <w:pPr>
        <w:rPr>
          <w:rFonts w:ascii="Arial" w:hAnsi="Arial" w:cs="Arial"/>
          <w:b/>
          <w:bCs/>
          <w:sz w:val="22"/>
          <w:szCs w:val="22"/>
        </w:rPr>
      </w:pPr>
    </w:p>
    <w:p w14:paraId="590CBD7E" w14:textId="6EA4B1A0" w:rsidR="00D10B66" w:rsidRPr="00AD3590" w:rsidRDefault="00AD3590" w:rsidP="00F72822">
      <w:pPr>
        <w:rPr>
          <w:rFonts w:ascii="Arial" w:hAnsi="Arial" w:cs="Arial"/>
          <w:b/>
          <w:bCs/>
          <w:sz w:val="22"/>
          <w:szCs w:val="22"/>
        </w:rPr>
      </w:pPr>
      <w:r w:rsidRPr="00AD3590">
        <w:rPr>
          <w:rFonts w:ascii="Arial" w:hAnsi="Arial" w:cs="Arial"/>
          <w:b/>
          <w:bCs/>
          <w:sz w:val="22"/>
          <w:szCs w:val="22"/>
        </w:rPr>
        <w:t>Source: Denison and Mishra (1995) and Lloyds Banking Group (2025).</w:t>
      </w:r>
    </w:p>
    <w:p w14:paraId="72A59980" w14:textId="048DF39F" w:rsidR="00F72822" w:rsidRPr="00D10B66" w:rsidRDefault="00B60C59" w:rsidP="00F72822">
      <w:pPr>
        <w:rPr>
          <w:rFonts w:ascii="Arial" w:hAnsi="Arial" w:cs="Arial"/>
          <w:b/>
          <w:bCs/>
          <w:sz w:val="22"/>
          <w:szCs w:val="22"/>
        </w:rPr>
      </w:pPr>
      <w:r>
        <w:rPr>
          <w:b/>
          <w:bCs/>
        </w:rPr>
        <w:t>4</w:t>
      </w:r>
      <w:r w:rsidR="00F72822" w:rsidRPr="00D10B66">
        <w:rPr>
          <w:rFonts w:ascii="Arial" w:hAnsi="Arial" w:cs="Arial"/>
          <w:b/>
          <w:bCs/>
          <w:sz w:val="22"/>
          <w:szCs w:val="22"/>
        </w:rPr>
        <w:t xml:space="preserve">.1Mission  </w:t>
      </w:r>
    </w:p>
    <w:p w14:paraId="1EA6726F" w14:textId="1A0CF60B" w:rsidR="00F72822" w:rsidRPr="00D10B66" w:rsidRDefault="00F72822" w:rsidP="00F72822">
      <w:pPr>
        <w:rPr>
          <w:rFonts w:ascii="Arial" w:hAnsi="Arial" w:cs="Arial"/>
          <w:sz w:val="22"/>
          <w:szCs w:val="22"/>
        </w:rPr>
      </w:pPr>
      <w:r w:rsidRPr="00D10B66">
        <w:rPr>
          <w:rFonts w:ascii="Arial" w:hAnsi="Arial" w:cs="Arial"/>
          <w:sz w:val="22"/>
          <w:szCs w:val="22"/>
        </w:rPr>
        <w:t>Lloyds’ mission-driven strategy is evident in its focus on customers, colleagues, and communities, aiming for sustainable long-term return as highlighted in the 2025 Annual Review, (Lloyds Banking Group, 2025). While purpose can align employees, it only adds value if it guides real decision.</w:t>
      </w:r>
      <w:r w:rsidR="00222BF1">
        <w:rPr>
          <w:rFonts w:ascii="Arial" w:hAnsi="Arial" w:cs="Arial"/>
          <w:sz w:val="22"/>
          <w:szCs w:val="22"/>
        </w:rPr>
        <w:t xml:space="preserve"> The</w:t>
      </w:r>
      <w:r w:rsidRPr="00D10B66">
        <w:rPr>
          <w:rFonts w:ascii="Arial" w:hAnsi="Arial" w:cs="Arial"/>
          <w:sz w:val="22"/>
          <w:szCs w:val="22"/>
        </w:rPr>
        <w:t xml:space="preserve"> </w:t>
      </w:r>
      <w:r w:rsidR="00222BF1">
        <w:rPr>
          <w:rFonts w:ascii="Arial" w:hAnsi="Arial" w:cs="Arial"/>
          <w:sz w:val="22"/>
          <w:szCs w:val="22"/>
        </w:rPr>
        <w:t>p</w:t>
      </w:r>
      <w:r w:rsidRPr="00D10B66">
        <w:rPr>
          <w:rFonts w:ascii="Arial" w:hAnsi="Arial" w:cs="Arial"/>
          <w:sz w:val="22"/>
          <w:szCs w:val="22"/>
        </w:rPr>
        <w:t xml:space="preserve">urpose </w:t>
      </w:r>
      <w:r w:rsidR="00BF26DF">
        <w:rPr>
          <w:rFonts w:ascii="Arial" w:hAnsi="Arial" w:cs="Arial"/>
          <w:sz w:val="22"/>
          <w:szCs w:val="22"/>
        </w:rPr>
        <w:t>is</w:t>
      </w:r>
      <w:r w:rsidRPr="00D10B66">
        <w:rPr>
          <w:rFonts w:ascii="Arial" w:hAnsi="Arial" w:cs="Arial"/>
          <w:sz w:val="22"/>
          <w:szCs w:val="22"/>
        </w:rPr>
        <w:t xml:space="preserve"> effective when it guides everyday decisions dn support customers. </w:t>
      </w:r>
    </w:p>
    <w:p w14:paraId="528133AB" w14:textId="0DDB8762" w:rsidR="00F72822" w:rsidRPr="00D10B66" w:rsidRDefault="00B60C59" w:rsidP="00F72822">
      <w:pPr>
        <w:rPr>
          <w:rFonts w:ascii="Arial" w:hAnsi="Arial" w:cs="Arial"/>
          <w:b/>
          <w:bCs/>
          <w:sz w:val="22"/>
          <w:szCs w:val="22"/>
        </w:rPr>
      </w:pPr>
      <w:r>
        <w:rPr>
          <w:rFonts w:ascii="Arial" w:hAnsi="Arial" w:cs="Arial"/>
          <w:b/>
          <w:bCs/>
          <w:sz w:val="22"/>
          <w:szCs w:val="22"/>
        </w:rPr>
        <w:t>4</w:t>
      </w:r>
      <w:r w:rsidR="00F72822" w:rsidRPr="00D10B66">
        <w:rPr>
          <w:rFonts w:ascii="Arial" w:hAnsi="Arial" w:cs="Arial"/>
          <w:b/>
          <w:bCs/>
          <w:sz w:val="22"/>
          <w:szCs w:val="22"/>
        </w:rPr>
        <w:t xml:space="preserve">.2 Adaptability </w:t>
      </w:r>
    </w:p>
    <w:p w14:paraId="0FBBDE91" w14:textId="55C6006B" w:rsidR="00F72822" w:rsidRPr="00D10B66" w:rsidRDefault="00F72822" w:rsidP="00F72822">
      <w:pPr>
        <w:rPr>
          <w:rFonts w:ascii="Arial" w:hAnsi="Arial" w:cs="Arial"/>
          <w:sz w:val="22"/>
          <w:szCs w:val="22"/>
        </w:rPr>
      </w:pPr>
      <w:r w:rsidRPr="00D10B66">
        <w:rPr>
          <w:rFonts w:ascii="Arial" w:hAnsi="Arial" w:cs="Arial"/>
          <w:sz w:val="22"/>
          <w:szCs w:val="22"/>
        </w:rPr>
        <w:t xml:space="preserve">Lloyds’ adaptability is shown through its AI investments, and digital transformation. Lloyd’s investment in AI demonstrates an attempt to respond to technological change. However, technology investment alone does not prove cultural adaptability. Managers must adopt new working practices; employees must </w:t>
      </w:r>
      <w:proofErr w:type="gramStart"/>
      <w:r w:rsidR="00A82C30">
        <w:rPr>
          <w:rFonts w:ascii="Arial" w:hAnsi="Arial" w:cs="Arial"/>
          <w:sz w:val="22"/>
          <w:szCs w:val="22"/>
        </w:rPr>
        <w:t>up</w:t>
      </w:r>
      <w:r w:rsidRPr="00D10B66">
        <w:rPr>
          <w:rFonts w:ascii="Arial" w:hAnsi="Arial" w:cs="Arial"/>
          <w:sz w:val="22"/>
          <w:szCs w:val="22"/>
        </w:rPr>
        <w:t>skills</w:t>
      </w:r>
      <w:proofErr w:type="gramEnd"/>
      <w:r w:rsidRPr="00D10B66">
        <w:rPr>
          <w:rFonts w:ascii="Arial" w:hAnsi="Arial" w:cs="Arial"/>
          <w:sz w:val="22"/>
          <w:szCs w:val="22"/>
        </w:rPr>
        <w:t xml:space="preserve"> and</w:t>
      </w:r>
      <w:r w:rsidR="00A82C30">
        <w:rPr>
          <w:rFonts w:ascii="Arial" w:hAnsi="Arial" w:cs="Arial"/>
          <w:sz w:val="22"/>
          <w:szCs w:val="22"/>
        </w:rPr>
        <w:t xml:space="preserve"> address</w:t>
      </w:r>
      <w:r w:rsidRPr="00D10B66">
        <w:rPr>
          <w:rFonts w:ascii="Arial" w:hAnsi="Arial" w:cs="Arial"/>
          <w:sz w:val="22"/>
          <w:szCs w:val="22"/>
        </w:rPr>
        <w:t xml:space="preserve"> risk functions </w:t>
      </w:r>
      <w:r w:rsidR="00A82C30">
        <w:rPr>
          <w:rFonts w:ascii="Arial" w:hAnsi="Arial" w:cs="Arial"/>
          <w:sz w:val="22"/>
          <w:szCs w:val="22"/>
        </w:rPr>
        <w:t xml:space="preserve">related to </w:t>
      </w:r>
      <w:r w:rsidRPr="00D10B66">
        <w:rPr>
          <w:rFonts w:ascii="Arial" w:hAnsi="Arial" w:cs="Arial"/>
          <w:sz w:val="22"/>
          <w:szCs w:val="22"/>
        </w:rPr>
        <w:t xml:space="preserve">emerging technologies. Without these cultural changes, technological investment may not deliver its anticipated strategic benefits. Employees need training to use new technology safely and effectively  </w:t>
      </w:r>
    </w:p>
    <w:p w14:paraId="40A680FB" w14:textId="30FC2F9B" w:rsidR="00F72822" w:rsidRPr="00D10B66" w:rsidRDefault="00B60C59" w:rsidP="00F72822">
      <w:pPr>
        <w:rPr>
          <w:rFonts w:ascii="Arial" w:hAnsi="Arial" w:cs="Arial"/>
          <w:b/>
          <w:bCs/>
          <w:sz w:val="22"/>
          <w:szCs w:val="22"/>
        </w:rPr>
      </w:pPr>
      <w:r>
        <w:rPr>
          <w:rFonts w:ascii="Arial" w:hAnsi="Arial" w:cs="Arial"/>
          <w:b/>
          <w:bCs/>
          <w:sz w:val="22"/>
          <w:szCs w:val="22"/>
        </w:rPr>
        <w:t>4</w:t>
      </w:r>
      <w:r w:rsidR="00F72822" w:rsidRPr="00D10B66">
        <w:rPr>
          <w:rFonts w:ascii="Arial" w:hAnsi="Arial" w:cs="Arial"/>
          <w:b/>
          <w:bCs/>
          <w:sz w:val="22"/>
          <w:szCs w:val="22"/>
        </w:rPr>
        <w:t xml:space="preserve">.3 Involvement </w:t>
      </w:r>
    </w:p>
    <w:p w14:paraId="28A0BA5B" w14:textId="4234C51B" w:rsidR="00F72822" w:rsidRPr="00D10B66" w:rsidRDefault="00F72822" w:rsidP="00F72822">
      <w:pPr>
        <w:rPr>
          <w:rFonts w:ascii="Arial" w:hAnsi="Arial" w:cs="Arial"/>
          <w:sz w:val="22"/>
          <w:szCs w:val="22"/>
        </w:rPr>
      </w:pPr>
      <w:r w:rsidRPr="00D10B66">
        <w:rPr>
          <w:rFonts w:ascii="Arial" w:hAnsi="Arial" w:cs="Arial"/>
          <w:sz w:val="22"/>
          <w:szCs w:val="22"/>
        </w:rPr>
        <w:t xml:space="preserve">Lloyd’s investment in employee development and inclusion supports Denison’s involvement dimension. Employee participation is particularly important during technological transformation because employees are more likely to support change when they understand it and have opportunities to influence implementation. Employees are more likely to accept change when they can share ideas. </w:t>
      </w:r>
    </w:p>
    <w:p w14:paraId="333C92F5" w14:textId="032B0469" w:rsidR="00F72822" w:rsidRPr="00D10B66" w:rsidRDefault="00B60C59" w:rsidP="00F72822">
      <w:pPr>
        <w:rPr>
          <w:rFonts w:ascii="Arial" w:hAnsi="Arial" w:cs="Arial"/>
          <w:b/>
          <w:bCs/>
          <w:sz w:val="22"/>
          <w:szCs w:val="22"/>
        </w:rPr>
      </w:pPr>
      <w:r>
        <w:rPr>
          <w:rFonts w:ascii="Arial" w:hAnsi="Arial" w:cs="Arial"/>
          <w:b/>
          <w:bCs/>
          <w:sz w:val="22"/>
          <w:szCs w:val="22"/>
        </w:rPr>
        <w:t>4</w:t>
      </w:r>
      <w:r w:rsidR="00F72822" w:rsidRPr="00D10B66">
        <w:rPr>
          <w:rFonts w:ascii="Arial" w:hAnsi="Arial" w:cs="Arial"/>
          <w:b/>
          <w:bCs/>
          <w:sz w:val="22"/>
          <w:szCs w:val="22"/>
        </w:rPr>
        <w:t xml:space="preserve">.4 Consistency  </w:t>
      </w:r>
    </w:p>
    <w:p w14:paraId="37A7E4FD" w14:textId="5DE259E8" w:rsidR="00F72822" w:rsidRPr="00D10B66" w:rsidRDefault="00F72822" w:rsidP="00F72822">
      <w:pPr>
        <w:rPr>
          <w:rFonts w:ascii="Arial" w:hAnsi="Arial" w:cs="Arial"/>
          <w:sz w:val="22"/>
          <w:szCs w:val="22"/>
        </w:rPr>
      </w:pPr>
      <w:r w:rsidRPr="00D10B66">
        <w:rPr>
          <w:rFonts w:ascii="Arial" w:hAnsi="Arial" w:cs="Arial"/>
          <w:sz w:val="22"/>
          <w:szCs w:val="22"/>
        </w:rPr>
        <w:t xml:space="preserve">Consistency remains vital, as Lloyds integrates risk management and governance into its strategy, balancing consistency with adaptability. </w:t>
      </w:r>
    </w:p>
    <w:p w14:paraId="142E2F09" w14:textId="7F5FCC52" w:rsidR="00F72822" w:rsidRPr="00D10B66" w:rsidRDefault="00F72822" w:rsidP="00F72822">
      <w:pPr>
        <w:rPr>
          <w:rFonts w:ascii="Arial" w:hAnsi="Arial" w:cs="Arial"/>
          <w:sz w:val="22"/>
          <w:szCs w:val="22"/>
        </w:rPr>
      </w:pPr>
      <w:r w:rsidRPr="00D10B66">
        <w:rPr>
          <w:rFonts w:ascii="Arial" w:hAnsi="Arial" w:cs="Arial"/>
          <w:sz w:val="22"/>
          <w:szCs w:val="22"/>
        </w:rPr>
        <w:t xml:space="preserve">However, consistency can become rigid when established procedures are applied regardless of changing circumstances. Denison and Mishra’s framework is therefore valuable because it does not treat consistency and adaptability as mutually exclusive. </w:t>
      </w:r>
    </w:p>
    <w:p w14:paraId="74249DAF" w14:textId="5EA31782" w:rsidR="00F72822" w:rsidRPr="0029569E" w:rsidRDefault="00F72822" w:rsidP="00F72822">
      <w:pPr>
        <w:rPr>
          <w:rFonts w:ascii="Arial" w:hAnsi="Arial" w:cs="Arial"/>
          <w:sz w:val="22"/>
          <w:szCs w:val="22"/>
        </w:rPr>
      </w:pPr>
      <w:r w:rsidRPr="00D10B66">
        <w:rPr>
          <w:rFonts w:ascii="Arial" w:hAnsi="Arial" w:cs="Arial"/>
          <w:sz w:val="22"/>
          <w:szCs w:val="22"/>
        </w:rPr>
        <w:lastRenderedPageBreak/>
        <w:t xml:space="preserve"> Adaptability is demonstrated by Lloyds’ investment in AI. Its 2025 reporting indicates that around 50 major live GenAI use cases generated approximately £50 million of incremental profit-and-loss benefit from GenAI in 2026, (Lloyds Banking Group, 2026). This implies that AI is being considered as a component of the organisation’s strategic operating model rather than just as an experimental technology. The crucial question, though, is whether cultural adaption goes hand in hand with technological adaption. Managers must embrace new working practices, employees must acquire new skills, and risk functions must comprehend emerging technologies. Investment in technology may not yield the anticipated strategic benefits in the absence of these cultural shifts. </w:t>
      </w:r>
    </w:p>
    <w:p w14:paraId="239D3FAB" w14:textId="666E0ACA" w:rsidR="00F72822" w:rsidRDefault="00B60C59" w:rsidP="00AD3590">
      <w:pPr>
        <w:pStyle w:val="Heading1"/>
      </w:pPr>
      <w:bookmarkStart w:id="9" w:name="_Toc243918113"/>
      <w:r>
        <w:t>5.</w:t>
      </w:r>
      <w:r w:rsidR="00F72822">
        <w:t>Organisational Culture as an Enabler at Lloyds Banking Group</w:t>
      </w:r>
      <w:bookmarkEnd w:id="9"/>
      <w:r w:rsidR="00F72822">
        <w:t xml:space="preserve"> </w:t>
      </w:r>
    </w:p>
    <w:p w14:paraId="37EDF6A9" w14:textId="42AFC8E2" w:rsidR="00F72822" w:rsidRPr="0029569E" w:rsidRDefault="00F72822" w:rsidP="00F72822">
      <w:pPr>
        <w:rPr>
          <w:rFonts w:ascii="Arial" w:hAnsi="Arial" w:cs="Arial"/>
          <w:sz w:val="22"/>
          <w:szCs w:val="22"/>
        </w:rPr>
      </w:pPr>
      <w:r w:rsidRPr="0029569E">
        <w:rPr>
          <w:rFonts w:ascii="Arial" w:hAnsi="Arial" w:cs="Arial"/>
          <w:sz w:val="22"/>
          <w:szCs w:val="22"/>
        </w:rPr>
        <w:t>At Lloyds Banking Group, organisational culture acts as a key enabler by fostering shared expectations, enhancing coordination, and promoting responsible behaviour</w:t>
      </w:r>
      <w:r w:rsidR="005F63F7">
        <w:rPr>
          <w:rFonts w:ascii="Arial" w:hAnsi="Arial" w:cs="Arial"/>
          <w:sz w:val="22"/>
          <w:szCs w:val="22"/>
        </w:rPr>
        <w:t xml:space="preserve"> (Lloyds Banking Group,2022)</w:t>
      </w:r>
      <w:r w:rsidRPr="0029569E">
        <w:rPr>
          <w:rFonts w:ascii="Arial" w:hAnsi="Arial" w:cs="Arial"/>
          <w:sz w:val="22"/>
          <w:szCs w:val="22"/>
        </w:rPr>
        <w:t xml:space="preserve">. </w:t>
      </w:r>
    </w:p>
    <w:p w14:paraId="4244CEEE" w14:textId="526890D7" w:rsidR="00F72822" w:rsidRPr="0029569E" w:rsidRDefault="00F72822" w:rsidP="00F72822">
      <w:pPr>
        <w:rPr>
          <w:rFonts w:ascii="Arial" w:hAnsi="Arial" w:cs="Arial"/>
          <w:sz w:val="22"/>
          <w:szCs w:val="22"/>
        </w:rPr>
      </w:pPr>
      <w:r w:rsidRPr="0029569E">
        <w:rPr>
          <w:rFonts w:ascii="Arial" w:hAnsi="Arial" w:cs="Arial"/>
          <w:sz w:val="22"/>
          <w:szCs w:val="22"/>
        </w:rPr>
        <w:t xml:space="preserve">Accountability is encouraged through clear roles, procedures, and risk management, reducing ambiguity and aiding decision-making within risk limits. This strengthens reliability and safeguards customers. </w:t>
      </w:r>
    </w:p>
    <w:p w14:paraId="352430E1" w14:textId="4A91F2D7" w:rsidR="00F72822" w:rsidRPr="0029569E" w:rsidRDefault="00F72822" w:rsidP="00F72822">
      <w:pPr>
        <w:rPr>
          <w:rFonts w:ascii="Arial" w:hAnsi="Arial" w:cs="Arial"/>
          <w:sz w:val="22"/>
          <w:szCs w:val="22"/>
        </w:rPr>
      </w:pPr>
      <w:r w:rsidRPr="0029569E">
        <w:rPr>
          <w:rFonts w:ascii="Arial" w:hAnsi="Arial" w:cs="Arial"/>
          <w:sz w:val="22"/>
          <w:szCs w:val="22"/>
        </w:rPr>
        <w:t xml:space="preserve">The Group’s values of trust, inclusion, and prioritising people support positive relationships and customer-driven choices. An inclusive culture encourages diverse perspectives, while trust aids delegation and cooperation. </w:t>
      </w:r>
    </w:p>
    <w:p w14:paraId="238D5209" w14:textId="7072EF2E" w:rsidR="00F72822" w:rsidRPr="0029569E" w:rsidRDefault="00F72822" w:rsidP="00F72822">
      <w:pPr>
        <w:rPr>
          <w:rFonts w:ascii="Arial" w:hAnsi="Arial" w:cs="Arial"/>
          <w:sz w:val="22"/>
          <w:szCs w:val="22"/>
        </w:rPr>
      </w:pPr>
      <w:r w:rsidRPr="0029569E">
        <w:rPr>
          <w:rFonts w:ascii="Arial" w:hAnsi="Arial" w:cs="Arial"/>
          <w:sz w:val="22"/>
          <w:szCs w:val="22"/>
        </w:rPr>
        <w:t xml:space="preserve">Combining role and task culture balances control with innovation, crucial for regulatory compliance and digital development. Cross-functional collaboration addresses customer needs and operational challenges. </w:t>
      </w:r>
    </w:p>
    <w:p w14:paraId="77E091A0" w14:textId="5E46AC9A" w:rsidR="00F72822" w:rsidRPr="0029569E" w:rsidRDefault="00F72822" w:rsidP="00F72822">
      <w:pPr>
        <w:rPr>
          <w:rFonts w:ascii="Arial" w:hAnsi="Arial" w:cs="Arial"/>
          <w:sz w:val="22"/>
          <w:szCs w:val="22"/>
        </w:rPr>
      </w:pPr>
      <w:r w:rsidRPr="0029569E">
        <w:rPr>
          <w:rFonts w:ascii="Arial" w:hAnsi="Arial" w:cs="Arial"/>
          <w:sz w:val="22"/>
          <w:szCs w:val="22"/>
        </w:rPr>
        <w:t xml:space="preserve">The cultural web shows how structures and practices reinforce desired behaviours, aligning daily activities with strategic goals. </w:t>
      </w:r>
    </w:p>
    <w:p w14:paraId="0DCF5598" w14:textId="5E3AEE2B" w:rsidR="00F72822" w:rsidRDefault="00F72822" w:rsidP="006C5759">
      <w:r w:rsidRPr="0029569E">
        <w:rPr>
          <w:rFonts w:ascii="Arial" w:hAnsi="Arial" w:cs="Arial"/>
          <w:sz w:val="22"/>
          <w:szCs w:val="22"/>
        </w:rPr>
        <w:t xml:space="preserve">Despite occasional procedural slowdowns, the culture’s benefits in accountability, trust, and adaptability are significant. Prioritising these traits ensures flexibility and challenges existing practices, supporting effective operations and sustainable growth. Furthermore, a culture of psychological safety </w:t>
      </w:r>
      <w:r w:rsidR="00520CFB" w:rsidRPr="0029569E">
        <w:rPr>
          <w:rFonts w:ascii="Arial" w:hAnsi="Arial" w:cs="Arial"/>
          <w:sz w:val="22"/>
          <w:szCs w:val="22"/>
        </w:rPr>
        <w:t>encourages</w:t>
      </w:r>
      <w:r w:rsidRPr="0029569E">
        <w:rPr>
          <w:rFonts w:ascii="Arial" w:hAnsi="Arial" w:cs="Arial"/>
          <w:sz w:val="22"/>
          <w:szCs w:val="22"/>
        </w:rPr>
        <w:t xml:space="preserve"> employees to share ideas, learn mistakes and contribute to continuous improvement (Edmondson,1999</w:t>
      </w:r>
      <w:proofErr w:type="gramStart"/>
      <w:r w:rsidRPr="0029569E">
        <w:rPr>
          <w:rFonts w:ascii="Arial" w:hAnsi="Arial" w:cs="Arial"/>
          <w:sz w:val="22"/>
          <w:szCs w:val="22"/>
        </w:rPr>
        <w:t>).This</w:t>
      </w:r>
      <w:proofErr w:type="gramEnd"/>
      <w:r w:rsidRPr="0029569E">
        <w:rPr>
          <w:rFonts w:ascii="Arial" w:hAnsi="Arial" w:cs="Arial"/>
          <w:sz w:val="22"/>
          <w:szCs w:val="22"/>
        </w:rPr>
        <w:t xml:space="preserve"> can strengthen organisational learning and help organisation adapt to changing circumstances (Senge,1990). </w:t>
      </w:r>
    </w:p>
    <w:p w14:paraId="12000107" w14:textId="03129780" w:rsidR="00F72822" w:rsidRDefault="00B60C59" w:rsidP="006C5759">
      <w:pPr>
        <w:pStyle w:val="Heading1"/>
      </w:pPr>
      <w:bookmarkStart w:id="10" w:name="_Toc243918114"/>
      <w:r>
        <w:t>6</w:t>
      </w:r>
      <w:r w:rsidR="00F72822">
        <w:t>.Impact of Culture on Organisational Performance</w:t>
      </w:r>
      <w:bookmarkEnd w:id="10"/>
      <w:r w:rsidR="00F72822">
        <w:t xml:space="preserve"> </w:t>
      </w:r>
    </w:p>
    <w:p w14:paraId="69B9BB42" w14:textId="3E8889C3" w:rsidR="00F72822" w:rsidRPr="0029569E" w:rsidRDefault="00F72822" w:rsidP="00F72822">
      <w:pPr>
        <w:rPr>
          <w:rFonts w:ascii="Arial" w:hAnsi="Arial" w:cs="Arial"/>
          <w:sz w:val="22"/>
          <w:szCs w:val="22"/>
        </w:rPr>
      </w:pPr>
      <w:r w:rsidRPr="0029569E">
        <w:rPr>
          <w:rFonts w:ascii="Arial" w:hAnsi="Arial" w:cs="Arial"/>
          <w:sz w:val="22"/>
          <w:szCs w:val="22"/>
        </w:rPr>
        <w:t xml:space="preserve">Organisational culture indirectly affects performance through employee behaviour, strategic implementation, innovation, customer service, and learning. Kotter and Heskett (1992) suggest that adaptive cultures can enhance long-term performance by effectively responding to environmental changes. Lloyds’ recent performance showcases significant transformation, with over 95% of retail sales done digitally, 9,000 technology hires since 2021, and 30,000 Copilot licenses distributed (Lloyds Banking Group, 2025). These developments suggest that </w:t>
      </w:r>
      <w:r w:rsidRPr="0029569E">
        <w:rPr>
          <w:rFonts w:ascii="Arial" w:hAnsi="Arial" w:cs="Arial"/>
          <w:sz w:val="22"/>
          <w:szCs w:val="22"/>
        </w:rPr>
        <w:lastRenderedPageBreak/>
        <w:t xml:space="preserve">digital capability and employee adaptability are important to the business strategic objectives. </w:t>
      </w:r>
    </w:p>
    <w:p w14:paraId="7D537212" w14:textId="192E6219" w:rsidR="00F72822" w:rsidRPr="0029569E" w:rsidRDefault="00F72822" w:rsidP="00F72822">
      <w:pPr>
        <w:rPr>
          <w:rFonts w:ascii="Arial" w:hAnsi="Arial" w:cs="Arial"/>
          <w:sz w:val="22"/>
          <w:szCs w:val="22"/>
        </w:rPr>
      </w:pPr>
      <w:r w:rsidRPr="0029569E">
        <w:rPr>
          <w:rFonts w:ascii="Arial" w:hAnsi="Arial" w:cs="Arial"/>
          <w:sz w:val="22"/>
          <w:szCs w:val="22"/>
        </w:rPr>
        <w:t xml:space="preserve">However, attributing financial or operational improvements solely to culture is methodologically inappropriate. Performance is influenced by factors like interest rates, economic conditions, competition, regulation, investment, and demand. Culture should be viewed as an enabler of strategy rather than an independent performance cause. </w:t>
      </w:r>
    </w:p>
    <w:p w14:paraId="54FA2B21" w14:textId="237619BF" w:rsidR="00F72822" w:rsidRPr="006C5759" w:rsidRDefault="00F72822" w:rsidP="00F72822">
      <w:pPr>
        <w:rPr>
          <w:rFonts w:ascii="Arial" w:hAnsi="Arial" w:cs="Arial"/>
          <w:sz w:val="22"/>
          <w:szCs w:val="22"/>
        </w:rPr>
      </w:pPr>
      <w:r w:rsidRPr="0029569E">
        <w:rPr>
          <w:rFonts w:ascii="Arial" w:hAnsi="Arial" w:cs="Arial"/>
          <w:sz w:val="22"/>
          <w:szCs w:val="22"/>
        </w:rPr>
        <w:t xml:space="preserve">AI investments create technological opportunities, but employees need the right skills and behaviours to turn that into customer and financial outcomes. Lloyds’ </w:t>
      </w:r>
      <w:r w:rsidR="00B656D7" w:rsidRPr="0029569E">
        <w:rPr>
          <w:rFonts w:ascii="Arial" w:hAnsi="Arial" w:cs="Arial"/>
          <w:sz w:val="22"/>
          <w:szCs w:val="22"/>
        </w:rPr>
        <w:t>focuses</w:t>
      </w:r>
      <w:r w:rsidRPr="0029569E">
        <w:rPr>
          <w:rFonts w:ascii="Arial" w:hAnsi="Arial" w:cs="Arial"/>
          <w:sz w:val="22"/>
          <w:szCs w:val="22"/>
        </w:rPr>
        <w:t xml:space="preserve"> on reskilling, digital transformation, and critical skills supports this view (Lloyds Banking Group, 2025b). Employee engagement, customer satisfaction and operational risk should also be considered when evaluating cultural effectiveness. Organisational performance increasingly relies on employees’ adaptability. Lloyds’ culture supports performance when purpose, customer focus, technology, employee capability, and risk management align. Comparing financial and non-financial indicators over time help assess weather cultural initiatives are associated with improvements in sustainable organisational performance (Balanced Scorecard Institute,2019). </w:t>
      </w:r>
    </w:p>
    <w:p w14:paraId="16D2D774" w14:textId="3B8C7EFD" w:rsidR="00F72822" w:rsidRDefault="00B60C59" w:rsidP="0029569E">
      <w:pPr>
        <w:pStyle w:val="Heading1"/>
      </w:pPr>
      <w:bookmarkStart w:id="11" w:name="_Toc243918115"/>
      <w:r>
        <w:t>7.</w:t>
      </w:r>
      <w:r w:rsidR="00F72822">
        <w:t xml:space="preserve"> Recommendations</w:t>
      </w:r>
      <w:bookmarkEnd w:id="11"/>
      <w:r w:rsidR="00F72822">
        <w:t xml:space="preserve">  </w:t>
      </w:r>
    </w:p>
    <w:p w14:paraId="6BA675D9" w14:textId="0118257B" w:rsidR="00F72822" w:rsidRPr="0029569E" w:rsidRDefault="00B60C59" w:rsidP="00F72822">
      <w:pPr>
        <w:rPr>
          <w:rFonts w:ascii="Arial" w:hAnsi="Arial" w:cs="Arial"/>
          <w:b/>
          <w:bCs/>
          <w:sz w:val="22"/>
          <w:szCs w:val="22"/>
        </w:rPr>
      </w:pPr>
      <w:r>
        <w:rPr>
          <w:rFonts w:ascii="Arial" w:hAnsi="Arial" w:cs="Arial"/>
          <w:b/>
          <w:bCs/>
          <w:sz w:val="22"/>
          <w:szCs w:val="22"/>
        </w:rPr>
        <w:t>7</w:t>
      </w:r>
      <w:r w:rsidR="00F72822" w:rsidRPr="0029569E">
        <w:rPr>
          <w:rFonts w:ascii="Arial" w:hAnsi="Arial" w:cs="Arial"/>
          <w:b/>
          <w:bCs/>
          <w:sz w:val="22"/>
          <w:szCs w:val="22"/>
        </w:rPr>
        <w:t xml:space="preserve">.1 Boost Staff Involvement  </w:t>
      </w:r>
    </w:p>
    <w:p w14:paraId="71A4B639" w14:textId="77F44963" w:rsidR="00F72822" w:rsidRPr="006C5759" w:rsidRDefault="00F72822" w:rsidP="00F72822">
      <w:pPr>
        <w:rPr>
          <w:rFonts w:ascii="Arial" w:hAnsi="Arial" w:cs="Arial"/>
          <w:sz w:val="22"/>
          <w:szCs w:val="22"/>
        </w:rPr>
      </w:pPr>
      <w:r w:rsidRPr="0029569E">
        <w:rPr>
          <w:rFonts w:ascii="Arial" w:hAnsi="Arial" w:cs="Arial"/>
          <w:sz w:val="22"/>
          <w:szCs w:val="22"/>
        </w:rPr>
        <w:t xml:space="preserve">Lloyds Banking Group should continue to encourage staff to voice concerns, offer suggestions, and participate in decisions impacting their work. Managers should ensure employees feel respected while challenging established practices and respond constructively to feedback. This is based on Schein’s (2010) model, highlighting the importance of aligning stated values with actual behavior. Progress can be measured through employee engagement surveys, confidence in speaking-up arrangements, and resolving reported issues. </w:t>
      </w:r>
    </w:p>
    <w:p w14:paraId="41A8D5FB" w14:textId="5BDFFE28" w:rsidR="00F72822" w:rsidRPr="0034031F" w:rsidRDefault="00B60C59" w:rsidP="00F72822">
      <w:pPr>
        <w:rPr>
          <w:rFonts w:ascii="Arial" w:hAnsi="Arial" w:cs="Arial"/>
          <w:b/>
          <w:bCs/>
          <w:sz w:val="22"/>
          <w:szCs w:val="22"/>
        </w:rPr>
      </w:pPr>
      <w:r>
        <w:rPr>
          <w:rFonts w:ascii="Arial" w:hAnsi="Arial" w:cs="Arial"/>
          <w:b/>
          <w:bCs/>
          <w:sz w:val="22"/>
          <w:szCs w:val="22"/>
        </w:rPr>
        <w:t>7</w:t>
      </w:r>
      <w:r w:rsidR="00F72822" w:rsidRPr="0029569E">
        <w:rPr>
          <w:rFonts w:ascii="Arial" w:hAnsi="Arial" w:cs="Arial"/>
          <w:b/>
          <w:bCs/>
          <w:sz w:val="22"/>
          <w:szCs w:val="22"/>
        </w:rPr>
        <w:t xml:space="preserve">.2 Promote Interdepartmental Cooperation </w:t>
      </w:r>
    </w:p>
    <w:p w14:paraId="16985E78" w14:textId="057DCE95" w:rsidR="00F72822" w:rsidRPr="006C5759" w:rsidRDefault="00F72822" w:rsidP="00F72822">
      <w:pPr>
        <w:rPr>
          <w:rFonts w:ascii="Arial" w:hAnsi="Arial" w:cs="Arial"/>
          <w:sz w:val="22"/>
          <w:szCs w:val="22"/>
        </w:rPr>
      </w:pPr>
      <w:r w:rsidRPr="0029569E">
        <w:rPr>
          <w:rFonts w:ascii="Arial" w:hAnsi="Arial" w:cs="Arial"/>
          <w:sz w:val="22"/>
          <w:szCs w:val="22"/>
        </w:rPr>
        <w:t xml:space="preserve">The group should expand opportunities for staff from various departments to collaborate on customer service improvements and digital transformation. Handy’s (1993) task culture supports collaborative problem-solving as teams integrate diverse skills and perspectives. Cross-functional projects should be gauged through project delivery schedules, staff involvement, and measurable enhancements in customer satisfaction. </w:t>
      </w:r>
    </w:p>
    <w:p w14:paraId="60F1BCCE" w14:textId="42776C7D" w:rsidR="00F72822" w:rsidRPr="002F3EBA" w:rsidRDefault="00B60C59" w:rsidP="00F72822">
      <w:pPr>
        <w:rPr>
          <w:rFonts w:ascii="Arial" w:hAnsi="Arial" w:cs="Arial"/>
          <w:b/>
          <w:bCs/>
          <w:sz w:val="22"/>
          <w:szCs w:val="22"/>
        </w:rPr>
      </w:pPr>
      <w:r>
        <w:rPr>
          <w:rFonts w:ascii="Arial" w:hAnsi="Arial" w:cs="Arial"/>
          <w:b/>
          <w:bCs/>
          <w:sz w:val="22"/>
          <w:szCs w:val="22"/>
        </w:rPr>
        <w:t>7</w:t>
      </w:r>
      <w:r w:rsidR="00F72822" w:rsidRPr="002F3EBA">
        <w:rPr>
          <w:rFonts w:ascii="Arial" w:hAnsi="Arial" w:cs="Arial"/>
          <w:b/>
          <w:bCs/>
          <w:sz w:val="22"/>
          <w:szCs w:val="22"/>
        </w:rPr>
        <w:t>.3 Match Organi</w:t>
      </w:r>
      <w:r w:rsidR="00CB3CB2">
        <w:rPr>
          <w:rFonts w:ascii="Arial" w:hAnsi="Arial" w:cs="Arial"/>
          <w:b/>
          <w:bCs/>
          <w:sz w:val="22"/>
          <w:szCs w:val="22"/>
        </w:rPr>
        <w:t>s</w:t>
      </w:r>
      <w:r w:rsidR="00F72822" w:rsidRPr="002F3EBA">
        <w:rPr>
          <w:rFonts w:ascii="Arial" w:hAnsi="Arial" w:cs="Arial"/>
          <w:b/>
          <w:bCs/>
          <w:sz w:val="22"/>
          <w:szCs w:val="22"/>
        </w:rPr>
        <w:t xml:space="preserve">ational Values with Performance Measures </w:t>
      </w:r>
    </w:p>
    <w:p w14:paraId="34E504FA" w14:textId="77777777" w:rsidR="00F72822" w:rsidRPr="0029569E" w:rsidRDefault="00F72822" w:rsidP="00F72822">
      <w:pPr>
        <w:rPr>
          <w:rFonts w:ascii="Arial" w:hAnsi="Arial" w:cs="Arial"/>
          <w:sz w:val="22"/>
          <w:szCs w:val="22"/>
        </w:rPr>
      </w:pPr>
      <w:r w:rsidRPr="0029569E">
        <w:rPr>
          <w:rFonts w:ascii="Arial" w:hAnsi="Arial" w:cs="Arial"/>
          <w:sz w:val="22"/>
          <w:szCs w:val="22"/>
        </w:rPr>
        <w:t xml:space="preserve">Lloyds Banking Group should review its performance metrics to ensure they reflect customer welfare, responsible behaviour, teamwork, and compliance alongside financial results. Johnson and Scholes’ Cultural Web highlight the impact of control systems on organisational behaviour (Johnson and Scholes,1992). Performance metrics that contradict stated values may encourage inconsistent decisions. Thus, the Group should monitor customer complaints, fair-treatment outcomes, conduct incidents, and customer satisfaction alongside commercial indicators. </w:t>
      </w:r>
    </w:p>
    <w:p w14:paraId="50FCB200" w14:textId="77777777" w:rsidR="00F72822" w:rsidRPr="0029569E" w:rsidRDefault="00F72822" w:rsidP="00F72822">
      <w:pPr>
        <w:rPr>
          <w:rFonts w:ascii="Arial" w:hAnsi="Arial" w:cs="Arial"/>
          <w:sz w:val="22"/>
          <w:szCs w:val="22"/>
        </w:rPr>
      </w:pPr>
    </w:p>
    <w:p w14:paraId="09459946" w14:textId="1649BD9D" w:rsidR="00F72822" w:rsidRPr="002F3EBA" w:rsidRDefault="00B60C59" w:rsidP="00F72822">
      <w:pPr>
        <w:rPr>
          <w:rFonts w:ascii="Arial" w:hAnsi="Arial" w:cs="Arial"/>
          <w:b/>
          <w:bCs/>
          <w:sz w:val="22"/>
          <w:szCs w:val="22"/>
        </w:rPr>
      </w:pPr>
      <w:r>
        <w:rPr>
          <w:rFonts w:ascii="Arial" w:hAnsi="Arial" w:cs="Arial"/>
          <w:b/>
          <w:bCs/>
          <w:sz w:val="22"/>
          <w:szCs w:val="22"/>
        </w:rPr>
        <w:lastRenderedPageBreak/>
        <w:t>7</w:t>
      </w:r>
      <w:r w:rsidR="00F72822" w:rsidRPr="002F3EBA">
        <w:rPr>
          <w:rFonts w:ascii="Arial" w:hAnsi="Arial" w:cs="Arial"/>
          <w:b/>
          <w:bCs/>
          <w:sz w:val="22"/>
          <w:szCs w:val="22"/>
        </w:rPr>
        <w:t xml:space="preserve">.4 Harmonise Innovation and Control </w:t>
      </w:r>
    </w:p>
    <w:p w14:paraId="40FF60CA" w14:textId="460546E2" w:rsidR="00F72822" w:rsidRPr="0029569E" w:rsidRDefault="00F72822" w:rsidP="00F72822">
      <w:pPr>
        <w:rPr>
          <w:rFonts w:ascii="Arial" w:hAnsi="Arial" w:cs="Arial"/>
          <w:sz w:val="22"/>
          <w:szCs w:val="22"/>
        </w:rPr>
      </w:pPr>
      <w:r w:rsidRPr="0029569E">
        <w:rPr>
          <w:rFonts w:ascii="Arial" w:hAnsi="Arial" w:cs="Arial"/>
          <w:sz w:val="22"/>
          <w:szCs w:val="22"/>
        </w:rPr>
        <w:t xml:space="preserve">The group should maintain strict oversight of significant financial and regulatory risks while streamlining unnecessary approval processes. Proper delegation would allow employees to respond faster to routine customer issues and operational challenges. Burns and Stalker (1961) demonstrate the importance of flexibility when organisations need to adapt to changing conditions.  Therefore, Lloyds Banking Group should combine clear accountability with appropriate operational autonomy, preserving the advantages of its current culture while enhancing adaptability and creativity.  </w:t>
      </w:r>
    </w:p>
    <w:p w14:paraId="14E9A64B" w14:textId="4A28F7B6" w:rsidR="00F72822" w:rsidRPr="002F3EBA" w:rsidRDefault="00B60C59" w:rsidP="00F72822">
      <w:pPr>
        <w:rPr>
          <w:rFonts w:ascii="Arial" w:hAnsi="Arial" w:cs="Arial"/>
          <w:b/>
          <w:bCs/>
          <w:sz w:val="22"/>
          <w:szCs w:val="22"/>
        </w:rPr>
      </w:pPr>
      <w:r>
        <w:rPr>
          <w:rFonts w:ascii="Arial" w:hAnsi="Arial" w:cs="Arial"/>
          <w:b/>
          <w:bCs/>
          <w:sz w:val="22"/>
          <w:szCs w:val="22"/>
        </w:rPr>
        <w:t>7</w:t>
      </w:r>
      <w:r w:rsidR="00F72822" w:rsidRPr="002F3EBA">
        <w:rPr>
          <w:rFonts w:ascii="Arial" w:hAnsi="Arial" w:cs="Arial"/>
          <w:b/>
          <w:bCs/>
          <w:sz w:val="22"/>
          <w:szCs w:val="22"/>
        </w:rPr>
        <w:t xml:space="preserve">.5 Track Cultural Efficiency </w:t>
      </w:r>
    </w:p>
    <w:p w14:paraId="4656870D" w14:textId="5999A35C" w:rsidR="00F72822" w:rsidRPr="006C5759" w:rsidRDefault="00F72822" w:rsidP="00F72822">
      <w:pPr>
        <w:rPr>
          <w:rFonts w:ascii="Arial" w:hAnsi="Arial" w:cs="Arial"/>
          <w:sz w:val="22"/>
          <w:szCs w:val="22"/>
        </w:rPr>
      </w:pPr>
      <w:r w:rsidRPr="0029569E">
        <w:rPr>
          <w:rFonts w:ascii="Arial" w:hAnsi="Arial" w:cs="Arial"/>
          <w:sz w:val="22"/>
          <w:szCs w:val="22"/>
        </w:rPr>
        <w:t xml:space="preserve">The group should regularly assess whether its cultural values align with employee experiences and organisational outcomes. Operational risk indicators, customer feedback, employee surveys, and performance metrics should be reviewed collectively to identify areas for improvement (Towe,2024). Denison’s (1990) framework provides a basis for assessing involvement, consistency, adaptability, and mission. By setting baseline measurements and tracking changes over time, Lloyds Banking Group can determine whether cultural initiatives lead to sustainable improvements rather than merely raising awareness of corporate values. </w:t>
      </w:r>
    </w:p>
    <w:p w14:paraId="7562CC9F" w14:textId="2FCF7013" w:rsidR="00F72822" w:rsidRDefault="00B60C59" w:rsidP="002F3EBA">
      <w:pPr>
        <w:pStyle w:val="Heading1"/>
      </w:pPr>
      <w:bookmarkStart w:id="12" w:name="_Toc243918116"/>
      <w:r>
        <w:t>8.</w:t>
      </w:r>
      <w:r w:rsidR="00F72822" w:rsidRPr="0029569E">
        <w:t>Conclusion</w:t>
      </w:r>
      <w:bookmarkEnd w:id="12"/>
      <w:r w:rsidR="00F72822" w:rsidRPr="0029569E">
        <w:t xml:space="preserve"> </w:t>
      </w:r>
    </w:p>
    <w:p w14:paraId="3C18CAC7" w14:textId="348B47EC" w:rsidR="00F72822" w:rsidRPr="00310829" w:rsidRDefault="00F72822" w:rsidP="00F72822">
      <w:pPr>
        <w:rPr>
          <w:rFonts w:ascii="Arial" w:hAnsi="Arial" w:cs="Arial"/>
          <w:sz w:val="22"/>
          <w:szCs w:val="22"/>
        </w:rPr>
      </w:pPr>
      <w:r w:rsidRPr="00310829">
        <w:rPr>
          <w:rFonts w:ascii="Arial" w:hAnsi="Arial" w:cs="Arial"/>
          <w:sz w:val="22"/>
          <w:szCs w:val="22"/>
        </w:rPr>
        <w:t xml:space="preserve">Organisational culture significantly impacts Lloyds Banking Group’s performance, structure, and decision-making. The analysis shows the group is mainly role-oriented with task-oriented traits that encourage creativity and teamwork. Schein’s Three Levels of Organisational Culture explains the link between visible behaviours stated values, and underlying assumptions. Handy’s Cultural Types clarifies the balance between formal duties and cooperative problem-solving, while Johnson and Scholes’ Cultural Web illustrate how structures, routines, and control systems reinforce cultural expectations. </w:t>
      </w:r>
    </w:p>
    <w:p w14:paraId="1E281002" w14:textId="74E9EA0C" w:rsidR="00F72822" w:rsidRPr="00310829" w:rsidRDefault="00F72822" w:rsidP="00F72822">
      <w:pPr>
        <w:rPr>
          <w:rFonts w:ascii="Arial" w:hAnsi="Arial" w:cs="Arial"/>
          <w:sz w:val="22"/>
          <w:szCs w:val="22"/>
        </w:rPr>
      </w:pPr>
      <w:r w:rsidRPr="00310829">
        <w:rPr>
          <w:rFonts w:ascii="Arial" w:hAnsi="Arial" w:cs="Arial"/>
          <w:sz w:val="22"/>
          <w:szCs w:val="22"/>
        </w:rPr>
        <w:t xml:space="preserve">Overall, organisational culture acts as an enabler by supporting accountability, customer trust, risk management, coordination and adaptability to external changes. To enhance these benefits, Lloyds Banking Group should encourage employee participation, improve cross-functional collaboration, align performance measures with its values, and balance formal controls with flexibility. These steps would help maintain responsible banking practices while adapting to changing customer expectations and technological developments. A culture that supports trust, inclusion, and continuous learning contributes to sustainable organisational effectiveness. </w:t>
      </w:r>
    </w:p>
    <w:p w14:paraId="01FADCCB" w14:textId="77777777" w:rsidR="00F72822" w:rsidRDefault="00F72822" w:rsidP="00F72822"/>
    <w:p w14:paraId="0FF516D7" w14:textId="77777777" w:rsidR="00F72822" w:rsidRDefault="00F72822" w:rsidP="00F72822">
      <w:r>
        <w:t xml:space="preserve">  </w:t>
      </w:r>
    </w:p>
    <w:p w14:paraId="4879E756" w14:textId="77777777" w:rsidR="00F72822" w:rsidRDefault="00F72822" w:rsidP="00F72822"/>
    <w:p w14:paraId="07ACA5B0" w14:textId="77777777" w:rsidR="00F72822" w:rsidRDefault="00F72822" w:rsidP="00F72822">
      <w:r>
        <w:t xml:space="preserve"> </w:t>
      </w:r>
    </w:p>
    <w:p w14:paraId="055D0371" w14:textId="77777777" w:rsidR="00F72822" w:rsidRDefault="00F72822" w:rsidP="00F72822"/>
    <w:p w14:paraId="06F9638C" w14:textId="746E8198" w:rsidR="002A2FCB" w:rsidRDefault="002A2FCB" w:rsidP="00F72822"/>
    <w:p w14:paraId="4DD44472" w14:textId="77777777" w:rsidR="00F72822" w:rsidRDefault="00F72822" w:rsidP="002F3EBA">
      <w:pPr>
        <w:pStyle w:val="Heading1"/>
      </w:pPr>
      <w:bookmarkStart w:id="13" w:name="_Toc243918117"/>
      <w:r>
        <w:lastRenderedPageBreak/>
        <w:t>References</w:t>
      </w:r>
      <w:bookmarkEnd w:id="13"/>
      <w:r>
        <w:t xml:space="preserve">  </w:t>
      </w:r>
    </w:p>
    <w:p w14:paraId="6352A161" w14:textId="77777777" w:rsidR="00F72822" w:rsidRDefault="00F72822" w:rsidP="00F72822">
      <w:r>
        <w:t xml:space="preserve">Alvesson, M (2013) Understanding Organizational Culture. 2nd edn. London: SAGE. Barnet, J.B. (1986) ‘Organizational culture: Can it be a source of sustained competitive advantage?’, Academy of Management Review,11(3), pp.656-665 </w:t>
      </w:r>
    </w:p>
    <w:p w14:paraId="21DC60A5" w14:textId="4099250E" w:rsidR="00F72822" w:rsidRDefault="00F72822" w:rsidP="00F72822">
      <w:r>
        <w:t xml:space="preserve"> Balanced Scorecard Institute (2019). BSC basics - balanced scorecard institute. [online] Balanced Scorecard Institute. Available at: </w:t>
      </w:r>
      <w:hyperlink r:id="rId7" w:history="1">
        <w:r w:rsidRPr="00C4470A">
          <w:rPr>
            <w:rStyle w:val="Hyperlink"/>
          </w:rPr>
          <w:t xml:space="preserve">https://balancedscorecard.org/bsc-basics/ </w:t>
        </w:r>
      </w:hyperlink>
      <w:r>
        <w:t xml:space="preserve"> </w:t>
      </w:r>
    </w:p>
    <w:p w14:paraId="7165B589" w14:textId="7E1B0015" w:rsidR="00F72822" w:rsidRDefault="00F72822" w:rsidP="00F72822">
      <w:r>
        <w:t xml:space="preserve"> Burns, T. and Stalker, G.M. (1994). The management of innovation. The Management of Innovation. </w:t>
      </w:r>
      <w:hyperlink r:id="rId8" w:history="1">
        <w:r w:rsidRPr="00BE7507">
          <w:rPr>
            <w:rStyle w:val="Hyperlink"/>
          </w:rPr>
          <w:t>https://academic.oup.com/book/4968</w:t>
        </w:r>
      </w:hyperlink>
      <w:r>
        <w:t xml:space="preserve"> </w:t>
      </w:r>
    </w:p>
    <w:p w14:paraId="65F24B84" w14:textId="74355B59" w:rsidR="00F72822" w:rsidRDefault="00F72822" w:rsidP="00F72822">
      <w:r>
        <w:t xml:space="preserve">Denison, D.R. and Mishra, A.K. (1995) ‘Toward a theory of organizational culture and effectiveness’, Organization Science, 6(2), pp. 204-223. </w:t>
      </w:r>
      <w:hyperlink r:id="rId9" w:history="1">
        <w:r w:rsidRPr="000A29D3">
          <w:rPr>
            <w:rStyle w:val="Hyperlink"/>
          </w:rPr>
          <w:t>https://www.jstor.org/stable/2635122</w:t>
        </w:r>
      </w:hyperlink>
      <w:r>
        <w:t xml:space="preserve"> </w:t>
      </w:r>
    </w:p>
    <w:p w14:paraId="035C0586" w14:textId="3229B167" w:rsidR="00BA3C4D" w:rsidRDefault="00BA3C4D" w:rsidP="00BA3C4D">
      <w:r>
        <w:t xml:space="preserve">Edmondson, A. (1999). Psychological safety and learning </w:t>
      </w:r>
      <w:proofErr w:type="spellStart"/>
      <w:r>
        <w:t>behavior</w:t>
      </w:r>
      <w:proofErr w:type="spellEnd"/>
      <w:r>
        <w:t xml:space="preserve"> in work teams. Administrative Science Quarterly, 44(2), pp.350–383. </w:t>
      </w:r>
      <w:hyperlink r:id="rId10" w:history="1">
        <w:r w:rsidRPr="000A29D3">
          <w:rPr>
            <w:rStyle w:val="Hyperlink"/>
          </w:rPr>
          <w:t>https://journals.sagepub.com/doi/10.2307/2666999</w:t>
        </w:r>
      </w:hyperlink>
      <w:r>
        <w:t xml:space="preserve"> </w:t>
      </w:r>
    </w:p>
    <w:p w14:paraId="393D49A2" w14:textId="4C9D2650" w:rsidR="00B33BE4" w:rsidRDefault="00B33BE4" w:rsidP="00B33BE4">
      <w:proofErr w:type="spellStart"/>
      <w:r>
        <w:t>GeeksforGeeks</w:t>
      </w:r>
      <w:proofErr w:type="spellEnd"/>
      <w:r>
        <w:t xml:space="preserve"> (2024b). What is Gantt Chart in Project Management? [online] </w:t>
      </w:r>
      <w:proofErr w:type="spellStart"/>
      <w:r>
        <w:t>GeeksforGeeks</w:t>
      </w:r>
      <w:proofErr w:type="spellEnd"/>
      <w:r>
        <w:t xml:space="preserve">. Available at: </w:t>
      </w:r>
      <w:hyperlink r:id="rId11" w:history="1">
        <w:r w:rsidRPr="00FD0A65">
          <w:rPr>
            <w:rStyle w:val="Hyperlink"/>
          </w:rPr>
          <w:t>https://www.geeksforgeeks.org/business-studies/what-is-gantt-chart-in-project-management/.</w:t>
        </w:r>
      </w:hyperlink>
      <w:r>
        <w:t xml:space="preserve"> </w:t>
      </w:r>
    </w:p>
    <w:p w14:paraId="4E51C603" w14:textId="77777777" w:rsidR="00A23681" w:rsidRDefault="00A23681" w:rsidP="00A23681">
      <w:r>
        <w:t>Hartnell, C.A., OU, A.Y. and Kinicki, A. (2011) ‘Organizational culture and Organisational effectiveness: A meta-analytic investigation of the competing values framework’s theoretical suppositions’, Journal of Applied Psychology, 94(4), pp. 677-694.</w:t>
      </w:r>
    </w:p>
    <w:p w14:paraId="2DFC5B78" w14:textId="7E9B8896" w:rsidR="00A23681" w:rsidRDefault="00A23681" w:rsidP="00A23681">
      <w:r>
        <w:t xml:space="preserve">Huff, R. (2014). Organizational culture. [online] </w:t>
      </w:r>
      <w:proofErr w:type="spellStart"/>
      <w:r>
        <w:t>Encyclopedia</w:t>
      </w:r>
      <w:proofErr w:type="spellEnd"/>
      <w:r>
        <w:t xml:space="preserve"> Britannica. Available at: </w:t>
      </w:r>
      <w:hyperlink r:id="rId12" w:history="1">
        <w:r w:rsidRPr="00FD0A65">
          <w:rPr>
            <w:rStyle w:val="Hyperlink"/>
          </w:rPr>
          <w:t>https://www.britannica.com/topic/organizational-culture</w:t>
        </w:r>
      </w:hyperlink>
      <w:r>
        <w:t xml:space="preserve"> </w:t>
      </w:r>
    </w:p>
    <w:p w14:paraId="664F4A71" w14:textId="548FFFB8" w:rsidR="003A79C6" w:rsidRDefault="003A79C6" w:rsidP="003A79C6">
      <w:r>
        <w:t xml:space="preserve">Jain, N. (2024). What is organizational structure? Definition, types, hierarchy, and examples. [online] </w:t>
      </w:r>
      <w:proofErr w:type="spellStart"/>
      <w:r>
        <w:t>IdeaScale</w:t>
      </w:r>
      <w:proofErr w:type="spellEnd"/>
      <w:r>
        <w:t xml:space="preserve">. Available at: </w:t>
      </w:r>
      <w:hyperlink r:id="rId13" w:history="1">
        <w:r w:rsidRPr="00FD0A65">
          <w:rPr>
            <w:rStyle w:val="Hyperlink"/>
          </w:rPr>
          <w:t xml:space="preserve">https://ideascale.com/blog/what-is-organizational-structure/ </w:t>
        </w:r>
      </w:hyperlink>
      <w:r>
        <w:t xml:space="preserve"> </w:t>
      </w:r>
    </w:p>
    <w:p w14:paraId="35139D88" w14:textId="0A35F3F4" w:rsidR="00F72822" w:rsidRDefault="00F72822" w:rsidP="00F72822">
      <w:r>
        <w:t xml:space="preserve">Janse, B. (2019). Cultural web analysis by Gerry Johnson and Kevan Scholes | Tools hero. [online] Tools Hero. Available at: </w:t>
      </w:r>
      <w:hyperlink r:id="rId14" w:history="1">
        <w:r w:rsidRPr="00FD0A65">
          <w:rPr>
            <w:rStyle w:val="Hyperlink"/>
          </w:rPr>
          <w:t>https://www.toolshero.com/management/cultural-web-analysis/</w:t>
        </w:r>
      </w:hyperlink>
      <w:r>
        <w:t xml:space="preserve"> </w:t>
      </w:r>
    </w:p>
    <w:p w14:paraId="724B40B8" w14:textId="1A6DCA65" w:rsidR="00F72822" w:rsidRDefault="00F72822" w:rsidP="00F72822">
      <w:proofErr w:type="spellStart"/>
      <w:r>
        <w:t>Kafilat</w:t>
      </w:r>
      <w:proofErr w:type="spellEnd"/>
      <w:r>
        <w:t xml:space="preserve"> (2026). Organisational Culture - Definition and Explanation. [online] The Oxford Review - OR Briefings. Available at: </w:t>
      </w:r>
      <w:hyperlink r:id="rId15" w:history="1">
        <w:r w:rsidRPr="00FD0A65">
          <w:rPr>
            <w:rStyle w:val="Hyperlink"/>
          </w:rPr>
          <w:t>https://oxford-review.com/the-oxford-review-dei-diversity-equity-and-inclusion-dictionary/organisational-culture-definition-and-explanation</w:t>
        </w:r>
      </w:hyperlink>
      <w:r>
        <w:t xml:space="preserve"> </w:t>
      </w:r>
    </w:p>
    <w:p w14:paraId="2FF884DE" w14:textId="77777777" w:rsidR="00BE30C8" w:rsidRDefault="00F72822" w:rsidP="00BE30C8">
      <w:r>
        <w:t xml:space="preserve">Kotter, J.P and Heskett, J.L. (1992) Corporate Culture and Performance. New York: Free Press. </w:t>
      </w:r>
    </w:p>
    <w:p w14:paraId="1BFEF173" w14:textId="77777777" w:rsidR="00495E81" w:rsidRDefault="00F72822" w:rsidP="00F72822">
      <w:r>
        <w:lastRenderedPageBreak/>
        <w:t xml:space="preserve"> </w:t>
      </w:r>
      <w:r w:rsidR="00BE30C8">
        <w:t xml:space="preserve">Lloyds Banking Group 2022 </w:t>
      </w:r>
      <w:r w:rsidR="00BE30C8" w:rsidRPr="00D56B39">
        <w:t xml:space="preserve">Our Code of Ethics and </w:t>
      </w:r>
      <w:r w:rsidR="00495E81" w:rsidRPr="00D56B39">
        <w:t>Responsibility</w:t>
      </w:r>
      <w:r w:rsidR="00495E81">
        <w:t xml:space="preserve">: Available </w:t>
      </w:r>
    </w:p>
    <w:p w14:paraId="339C8E88" w14:textId="2F9AEDF7" w:rsidR="003A451B" w:rsidRDefault="003A451B" w:rsidP="00F72822">
      <w:hyperlink r:id="rId16" w:history="1">
        <w:r w:rsidRPr="003A451B">
          <w:rPr>
            <w:rStyle w:val="Hyperlink"/>
          </w:rPr>
          <w:t>https://www.lloydsbankinggroup.com/assets/pdfs/who-we-are/responsible-business/downloads/group-codes-and-policies/2022-lbg-code-of-ethics-and-responsibility.pdf</w:t>
        </w:r>
      </w:hyperlink>
      <w:r>
        <w:t xml:space="preserve"> </w:t>
      </w:r>
    </w:p>
    <w:p w14:paraId="42139C8A" w14:textId="198DA4E5" w:rsidR="00F72822" w:rsidRDefault="00F72822" w:rsidP="00F72822">
      <w:r>
        <w:t xml:space="preserve">Lloyds Banking Group (2022). Our strategy. [online] </w:t>
      </w:r>
      <w:hyperlink r:id="rId17" w:history="1">
        <w:r w:rsidRPr="00FD0A65">
          <w:rPr>
            <w:rStyle w:val="Hyperlink"/>
          </w:rPr>
          <w:t>www.lloydsbankinggroup.com</w:t>
        </w:r>
      </w:hyperlink>
      <w:r>
        <w:t xml:space="preserve">. Available at: </w:t>
      </w:r>
      <w:hyperlink r:id="rId18" w:history="1">
        <w:r w:rsidRPr="00FD0A65">
          <w:rPr>
            <w:rStyle w:val="Hyperlink"/>
          </w:rPr>
          <w:t>https://www.lloydsbankinggroup.com/who-we-are/our-strategy.htm</w:t>
        </w:r>
        <w:r w:rsidR="002F3EBA" w:rsidRPr="00FD0A65">
          <w:rPr>
            <w:rStyle w:val="Hyperlink"/>
          </w:rPr>
          <w:t>l</w:t>
        </w:r>
      </w:hyperlink>
      <w:r>
        <w:t xml:space="preserve"> </w:t>
      </w:r>
    </w:p>
    <w:p w14:paraId="3A9357DC" w14:textId="07FF6B9E" w:rsidR="002C1859" w:rsidRDefault="002C1859" w:rsidP="002C1859">
      <w:r>
        <w:t xml:space="preserve">Lloyds Banking Group (2024) Sustainability Report 2024. </w:t>
      </w:r>
      <w:hyperlink r:id="rId19" w:history="1">
        <w:r w:rsidRPr="00FD0A65">
          <w:rPr>
            <w:rStyle w:val="Hyperlink"/>
          </w:rPr>
          <w:t>https://www.lloydsbankinggroup.com/assets/pdfs/sustainability/reports-and-presentations/2024/2024-lbg-sustainability-reporting-framework-index.pdf</w:t>
        </w:r>
      </w:hyperlink>
      <w:r>
        <w:t xml:space="preserve"> </w:t>
      </w:r>
    </w:p>
    <w:p w14:paraId="5791CBB8" w14:textId="5AE7D2B6" w:rsidR="002C1859" w:rsidRDefault="002C1859" w:rsidP="002C1859">
      <w:r>
        <w:t xml:space="preserve">Lloyds Banking Group. (2025). Sustainability report 2025. [online] Available at: </w:t>
      </w:r>
      <w:hyperlink r:id="rId20" w:history="1">
        <w:r w:rsidRPr="00FD0A65">
          <w:rPr>
            <w:rStyle w:val="Hyperlink"/>
          </w:rPr>
          <w:t xml:space="preserve">https://www.lloydsbankinggroup.com/sustainability/sustainability-report.html </w:t>
        </w:r>
      </w:hyperlink>
      <w:r>
        <w:t xml:space="preserve"> </w:t>
      </w:r>
    </w:p>
    <w:p w14:paraId="31D8D3A9" w14:textId="413EE6CD" w:rsidR="00F72822" w:rsidRDefault="00F72822" w:rsidP="00F72822">
      <w:r>
        <w:t>Lloyds Banking Group. (2026). Lloyds Banking Group expects over £100 million in value from next</w:t>
      </w:r>
      <w:r>
        <w:rPr>
          <w:rFonts w:ascii="Cambria Math" w:hAnsi="Cambria Math" w:cs="Cambria Math"/>
        </w:rPr>
        <w:t>‑</w:t>
      </w:r>
      <w:r>
        <w:t xml:space="preserve">generation AI in 2026. [online] Available at: </w:t>
      </w:r>
      <w:hyperlink r:id="rId21" w:history="1">
        <w:r w:rsidRPr="00FD0A65">
          <w:rPr>
            <w:rStyle w:val="Hyperlink"/>
          </w:rPr>
          <w:t>https://www.lloydsbankinggroup.com/media/press-releases/2026/lloyds-banking-group/ai-driven-benefits-2026.html</w:t>
        </w:r>
      </w:hyperlink>
    </w:p>
    <w:p w14:paraId="4C456911" w14:textId="20FA3064" w:rsidR="00F72822" w:rsidRDefault="00F72822" w:rsidP="00F72822">
      <w:r>
        <w:t xml:space="preserve">Mullins, L.J. and Christy. (2016) Management and Organisational Behaviour. 11th edn. Harlow: Pearson </w:t>
      </w:r>
    </w:p>
    <w:p w14:paraId="3152242D" w14:textId="74132D0A" w:rsidR="00F72822" w:rsidRDefault="00F72822" w:rsidP="00F72822">
      <w:r>
        <w:t xml:space="preserve">Schein, E.H. (2010) Organisational Culture and Leadership. 4th edn. San Francisco: Jossey-Bass. </w:t>
      </w:r>
    </w:p>
    <w:p w14:paraId="14197C02" w14:textId="0C7E9CD5" w:rsidR="00F72822" w:rsidRDefault="00F72822" w:rsidP="00F72822">
      <w:r>
        <w:t xml:space="preserve">Schneider, B. Ehrhart, K.H and Macey, W.H. (2013) ‘Organizational climate and culture’, Annual Review of Psychology, 64, pp. 361-388.  </w:t>
      </w:r>
    </w:p>
    <w:p w14:paraId="1E98A1BA" w14:textId="77777777" w:rsidR="00B33BE4" w:rsidRDefault="00B33BE4" w:rsidP="00B33BE4">
      <w:r>
        <w:t xml:space="preserve">Senge, P.M (1990) The Fifth Discipline: The Art and Practice of Learning Organisation. New York </w:t>
      </w:r>
    </w:p>
    <w:p w14:paraId="6E840B5F" w14:textId="13707CA9" w:rsidR="003A79C6" w:rsidRDefault="003A79C6" w:rsidP="003A79C6">
      <w:r>
        <w:t xml:space="preserve">Towe, A. (2024). 19 Culture metrics to track when measuring company culture (in 2025). [online] AIHR. Available at: </w:t>
      </w:r>
      <w:hyperlink r:id="rId22" w:history="1">
        <w:r w:rsidRPr="00FD0A65">
          <w:rPr>
            <w:rStyle w:val="Hyperlink"/>
          </w:rPr>
          <w:t>https://www.aihr.com/blog/culture-metrics/</w:t>
        </w:r>
      </w:hyperlink>
      <w:r>
        <w:t xml:space="preserve"> </w:t>
      </w:r>
    </w:p>
    <w:p w14:paraId="5FF5E1FD" w14:textId="77777777" w:rsidR="00BE30C8" w:rsidRDefault="00BE30C8" w:rsidP="00F72822"/>
    <w:p w14:paraId="2181C9AB" w14:textId="77777777" w:rsidR="008F157E" w:rsidRDefault="008F157E" w:rsidP="00F72822"/>
    <w:p w14:paraId="41AD603C" w14:textId="77777777" w:rsidR="008F157E" w:rsidRDefault="008F157E" w:rsidP="00F72822"/>
    <w:p w14:paraId="603B42AE" w14:textId="77777777" w:rsidR="008F157E" w:rsidRDefault="008F157E" w:rsidP="00F72822"/>
    <w:p w14:paraId="4D50DBFF" w14:textId="77777777" w:rsidR="008F157E" w:rsidRDefault="008F157E" w:rsidP="00F72822"/>
    <w:p w14:paraId="5B7EE545" w14:textId="77777777" w:rsidR="008F157E" w:rsidRDefault="008F157E" w:rsidP="00F72822"/>
    <w:p w14:paraId="55ECAD56" w14:textId="77777777" w:rsidR="008F157E" w:rsidRDefault="008F157E" w:rsidP="00F72822"/>
    <w:p w14:paraId="5CA79614" w14:textId="62801755" w:rsidR="008F157E" w:rsidRDefault="008F157E" w:rsidP="00F72822">
      <w:pPr>
        <w:rPr>
          <w:rFonts w:ascii="Arial" w:hAnsi="Arial" w:cs="Arial"/>
          <w:b/>
          <w:bCs/>
        </w:rPr>
      </w:pPr>
      <w:r w:rsidRPr="008F157E">
        <w:rPr>
          <w:rFonts w:ascii="Arial" w:hAnsi="Arial" w:cs="Arial"/>
          <w:b/>
          <w:bCs/>
        </w:rPr>
        <w:lastRenderedPageBreak/>
        <w:t xml:space="preserve">Appendix </w:t>
      </w:r>
    </w:p>
    <w:tbl>
      <w:tblPr>
        <w:tblpPr w:leftFromText="180" w:rightFromText="180" w:vertAnchor="text" w:horzAnchor="margin" w:tblpY="62"/>
        <w:tblW w:w="920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2685"/>
        <w:gridCol w:w="4406"/>
      </w:tblGrid>
      <w:tr w:rsidR="00EE1A5C" w:rsidRPr="00F72822" w14:paraId="4F092D69" w14:textId="77777777" w:rsidTr="00EE1A5C">
        <w:trPr>
          <w:trHeight w:val="300"/>
        </w:trPr>
        <w:tc>
          <w:tcPr>
            <w:tcW w:w="2115" w:type="dxa"/>
            <w:tcBorders>
              <w:top w:val="single" w:sz="6" w:space="0" w:color="auto"/>
              <w:left w:val="single" w:sz="6" w:space="0" w:color="auto"/>
              <w:bottom w:val="single" w:sz="6" w:space="0" w:color="auto"/>
              <w:right w:val="nil"/>
            </w:tcBorders>
            <w:shd w:val="clear" w:color="auto" w:fill="A02B93"/>
            <w:hideMark/>
          </w:tcPr>
          <w:p w14:paraId="659B137F" w14:textId="77777777" w:rsidR="00EE1A5C" w:rsidRPr="00F72822" w:rsidRDefault="00EE1A5C" w:rsidP="00EE1A5C">
            <w:pPr>
              <w:rPr>
                <w:rFonts w:ascii="Arial" w:hAnsi="Arial" w:cs="Arial"/>
                <w:b/>
                <w:bCs/>
                <w:sz w:val="22"/>
                <w:szCs w:val="22"/>
              </w:rPr>
            </w:pPr>
            <w:r w:rsidRPr="00F72822">
              <w:rPr>
                <w:rFonts w:ascii="Arial" w:hAnsi="Arial" w:cs="Arial"/>
                <w:b/>
                <w:bCs/>
                <w:sz w:val="22"/>
                <w:szCs w:val="22"/>
              </w:rPr>
              <w:t>Classification </w:t>
            </w:r>
          </w:p>
        </w:tc>
        <w:tc>
          <w:tcPr>
            <w:tcW w:w="2685" w:type="dxa"/>
            <w:tcBorders>
              <w:top w:val="single" w:sz="6" w:space="0" w:color="auto"/>
              <w:left w:val="nil"/>
              <w:bottom w:val="single" w:sz="6" w:space="0" w:color="auto"/>
              <w:right w:val="nil"/>
            </w:tcBorders>
            <w:shd w:val="clear" w:color="auto" w:fill="A02B93"/>
            <w:hideMark/>
          </w:tcPr>
          <w:p w14:paraId="0947E17B" w14:textId="77777777" w:rsidR="00EE1A5C" w:rsidRPr="00F72822" w:rsidRDefault="00EE1A5C" w:rsidP="00EE1A5C">
            <w:pPr>
              <w:rPr>
                <w:rFonts w:ascii="Arial" w:hAnsi="Arial" w:cs="Arial"/>
                <w:b/>
                <w:bCs/>
                <w:sz w:val="22"/>
                <w:szCs w:val="22"/>
              </w:rPr>
            </w:pPr>
            <w:r w:rsidRPr="00F72822">
              <w:rPr>
                <w:rFonts w:ascii="Arial" w:hAnsi="Arial" w:cs="Arial"/>
                <w:b/>
                <w:bCs/>
                <w:sz w:val="22"/>
                <w:szCs w:val="22"/>
              </w:rPr>
              <w:t>Assessment </w:t>
            </w:r>
          </w:p>
        </w:tc>
        <w:tc>
          <w:tcPr>
            <w:tcW w:w="4406" w:type="dxa"/>
            <w:tcBorders>
              <w:top w:val="single" w:sz="6" w:space="0" w:color="auto"/>
              <w:left w:val="nil"/>
              <w:bottom w:val="single" w:sz="6" w:space="0" w:color="auto"/>
              <w:right w:val="single" w:sz="6" w:space="0" w:color="auto"/>
            </w:tcBorders>
            <w:shd w:val="clear" w:color="auto" w:fill="A02B93"/>
            <w:hideMark/>
          </w:tcPr>
          <w:p w14:paraId="25A1E634" w14:textId="77777777" w:rsidR="00EE1A5C" w:rsidRPr="00F72822" w:rsidRDefault="00EE1A5C" w:rsidP="00EE1A5C">
            <w:pPr>
              <w:rPr>
                <w:rFonts w:ascii="Arial" w:hAnsi="Arial" w:cs="Arial"/>
                <w:b/>
                <w:bCs/>
                <w:sz w:val="22"/>
                <w:szCs w:val="22"/>
              </w:rPr>
            </w:pPr>
            <w:r w:rsidRPr="00F72822">
              <w:rPr>
                <w:rFonts w:ascii="Arial" w:hAnsi="Arial" w:cs="Arial"/>
                <w:b/>
                <w:bCs/>
                <w:sz w:val="22"/>
                <w:szCs w:val="22"/>
              </w:rPr>
              <w:t>Explanation </w:t>
            </w:r>
          </w:p>
        </w:tc>
      </w:tr>
      <w:tr w:rsidR="00EE1A5C" w:rsidRPr="00F72822" w14:paraId="40843B2B" w14:textId="77777777" w:rsidTr="00EE1A5C">
        <w:trPr>
          <w:trHeight w:val="300"/>
        </w:trPr>
        <w:tc>
          <w:tcPr>
            <w:tcW w:w="2115" w:type="dxa"/>
            <w:tcBorders>
              <w:top w:val="single" w:sz="6" w:space="0" w:color="FFFFFF"/>
              <w:left w:val="single" w:sz="6" w:space="0" w:color="FFFFFF"/>
              <w:bottom w:val="single" w:sz="6" w:space="0" w:color="FFFFFF"/>
              <w:right w:val="single" w:sz="6" w:space="0" w:color="FFFFFF"/>
            </w:tcBorders>
            <w:shd w:val="clear" w:color="auto" w:fill="A02B93"/>
            <w:hideMark/>
          </w:tcPr>
          <w:p w14:paraId="2E1FEACA" w14:textId="77777777" w:rsidR="00EE1A5C" w:rsidRPr="00F72822" w:rsidRDefault="00EE1A5C" w:rsidP="00EE1A5C">
            <w:pPr>
              <w:rPr>
                <w:rFonts w:ascii="Arial" w:hAnsi="Arial" w:cs="Arial"/>
                <w:b/>
                <w:bCs/>
                <w:sz w:val="22"/>
                <w:szCs w:val="22"/>
              </w:rPr>
            </w:pPr>
            <w:r w:rsidRPr="00F72822">
              <w:rPr>
                <w:rFonts w:ascii="Arial" w:hAnsi="Arial" w:cs="Arial"/>
                <w:b/>
                <w:bCs/>
                <w:sz w:val="22"/>
                <w:szCs w:val="22"/>
              </w:rPr>
              <w:t>Mechanistic or organic  </w:t>
            </w:r>
          </w:p>
        </w:tc>
        <w:tc>
          <w:tcPr>
            <w:tcW w:w="2685" w:type="dxa"/>
            <w:tcBorders>
              <w:top w:val="single" w:sz="6" w:space="0" w:color="FFFFFF"/>
              <w:left w:val="single" w:sz="6" w:space="0" w:color="FFFFFF"/>
              <w:bottom w:val="single" w:sz="6" w:space="0" w:color="FFFFFF"/>
              <w:right w:val="single" w:sz="6" w:space="0" w:color="FFFFFF"/>
            </w:tcBorders>
            <w:shd w:val="clear" w:color="auto" w:fill="E59EDC"/>
            <w:hideMark/>
          </w:tcPr>
          <w:p w14:paraId="197F1277" w14:textId="18C5DC47" w:rsidR="00EE1A5C" w:rsidRPr="00F72822" w:rsidRDefault="00EE1A5C" w:rsidP="00EE1A5C">
            <w:pPr>
              <w:rPr>
                <w:rFonts w:ascii="Arial" w:hAnsi="Arial" w:cs="Arial"/>
                <w:sz w:val="22"/>
                <w:szCs w:val="22"/>
              </w:rPr>
            </w:pPr>
            <w:r w:rsidRPr="00F72822">
              <w:rPr>
                <w:rFonts w:ascii="Arial" w:hAnsi="Arial" w:cs="Arial"/>
                <w:sz w:val="22"/>
                <w:szCs w:val="22"/>
              </w:rPr>
              <w:t>Predominantly mechanistic</w:t>
            </w:r>
          </w:p>
        </w:tc>
        <w:tc>
          <w:tcPr>
            <w:tcW w:w="4406" w:type="dxa"/>
            <w:tcBorders>
              <w:top w:val="single" w:sz="6" w:space="0" w:color="FFFFFF"/>
              <w:left w:val="single" w:sz="6" w:space="0" w:color="FFFFFF"/>
              <w:bottom w:val="single" w:sz="6" w:space="0" w:color="FFFFFF"/>
              <w:right w:val="single" w:sz="6" w:space="0" w:color="FFFFFF"/>
            </w:tcBorders>
            <w:shd w:val="clear" w:color="auto" w:fill="E59EDC"/>
            <w:hideMark/>
          </w:tcPr>
          <w:p w14:paraId="3AF412DB" w14:textId="5F6408DB" w:rsidR="00EE1A5C" w:rsidRPr="00F72822" w:rsidRDefault="00EE1A5C" w:rsidP="00EE1A5C">
            <w:pPr>
              <w:rPr>
                <w:rFonts w:ascii="Arial" w:hAnsi="Arial" w:cs="Arial"/>
                <w:sz w:val="22"/>
                <w:szCs w:val="22"/>
              </w:rPr>
            </w:pPr>
            <w:r w:rsidRPr="00F72822">
              <w:rPr>
                <w:rFonts w:ascii="Arial" w:hAnsi="Arial" w:cs="Arial"/>
                <w:sz w:val="22"/>
                <w:szCs w:val="22"/>
              </w:rPr>
              <w:t>Formal</w:t>
            </w:r>
            <w:r w:rsidR="00470C4B">
              <w:rPr>
                <w:rFonts w:ascii="Arial" w:hAnsi="Arial" w:cs="Arial"/>
                <w:sz w:val="22"/>
                <w:szCs w:val="22"/>
              </w:rPr>
              <w:t xml:space="preserve"> </w:t>
            </w:r>
            <w:r w:rsidR="00A0659A">
              <w:rPr>
                <w:rFonts w:ascii="Arial" w:hAnsi="Arial" w:cs="Arial"/>
                <w:sz w:val="22"/>
                <w:szCs w:val="22"/>
              </w:rPr>
              <w:t xml:space="preserve">procedures, </w:t>
            </w:r>
            <w:r w:rsidR="009824B7">
              <w:rPr>
                <w:rFonts w:ascii="Arial" w:hAnsi="Arial" w:cs="Arial"/>
                <w:sz w:val="22"/>
                <w:szCs w:val="22"/>
              </w:rPr>
              <w:t xml:space="preserve">hierarchy </w:t>
            </w:r>
            <w:r w:rsidR="009824B7" w:rsidRPr="00F72822">
              <w:rPr>
                <w:rFonts w:ascii="Arial" w:hAnsi="Arial" w:cs="Arial"/>
                <w:sz w:val="22"/>
                <w:szCs w:val="22"/>
              </w:rPr>
              <w:t>and</w:t>
            </w:r>
            <w:r w:rsidRPr="00F72822">
              <w:rPr>
                <w:rFonts w:ascii="Arial" w:hAnsi="Arial" w:cs="Arial"/>
                <w:sz w:val="22"/>
                <w:szCs w:val="22"/>
              </w:rPr>
              <w:t xml:space="preserve"> risk controls support consistency,</w:t>
            </w:r>
            <w:r w:rsidR="00A0659A">
              <w:rPr>
                <w:rFonts w:ascii="Arial" w:hAnsi="Arial" w:cs="Arial"/>
                <w:sz w:val="22"/>
                <w:szCs w:val="22"/>
              </w:rPr>
              <w:t xml:space="preserve"> </w:t>
            </w:r>
            <w:r w:rsidR="009824B7">
              <w:rPr>
                <w:rFonts w:ascii="Arial" w:hAnsi="Arial" w:cs="Arial"/>
                <w:sz w:val="22"/>
                <w:szCs w:val="22"/>
              </w:rPr>
              <w:t>compliance and accountability.</w:t>
            </w:r>
          </w:p>
        </w:tc>
      </w:tr>
      <w:tr w:rsidR="00EE1A5C" w:rsidRPr="00F72822" w14:paraId="6BE0B862" w14:textId="77777777" w:rsidTr="00EE1A5C">
        <w:trPr>
          <w:trHeight w:val="300"/>
        </w:trPr>
        <w:tc>
          <w:tcPr>
            <w:tcW w:w="2115" w:type="dxa"/>
            <w:tcBorders>
              <w:top w:val="single" w:sz="6" w:space="0" w:color="FFFFFF"/>
              <w:left w:val="single" w:sz="6" w:space="0" w:color="FFFFFF"/>
              <w:bottom w:val="single" w:sz="6" w:space="0" w:color="FFFFFF"/>
              <w:right w:val="single" w:sz="6" w:space="0" w:color="FFFFFF"/>
            </w:tcBorders>
            <w:shd w:val="clear" w:color="auto" w:fill="A02B93"/>
            <w:hideMark/>
          </w:tcPr>
          <w:p w14:paraId="2BDEB1C5" w14:textId="77777777" w:rsidR="00EE1A5C" w:rsidRPr="00F72822" w:rsidRDefault="00EE1A5C" w:rsidP="00EE1A5C">
            <w:pPr>
              <w:rPr>
                <w:rFonts w:ascii="Arial" w:hAnsi="Arial" w:cs="Arial"/>
                <w:b/>
                <w:bCs/>
                <w:sz w:val="22"/>
                <w:szCs w:val="22"/>
              </w:rPr>
            </w:pPr>
            <w:r w:rsidRPr="00F72822">
              <w:rPr>
                <w:rFonts w:ascii="Arial" w:hAnsi="Arial" w:cs="Arial"/>
                <w:b/>
                <w:bCs/>
                <w:sz w:val="22"/>
                <w:szCs w:val="22"/>
              </w:rPr>
              <w:t>Centralised or Decentralised </w:t>
            </w:r>
          </w:p>
        </w:tc>
        <w:tc>
          <w:tcPr>
            <w:tcW w:w="2685" w:type="dxa"/>
            <w:tcBorders>
              <w:top w:val="single" w:sz="6" w:space="0" w:color="FFFFFF"/>
              <w:left w:val="single" w:sz="6" w:space="0" w:color="FFFFFF"/>
              <w:bottom w:val="single" w:sz="6" w:space="0" w:color="FFFFFF"/>
              <w:right w:val="single" w:sz="6" w:space="0" w:color="FFFFFF"/>
            </w:tcBorders>
            <w:shd w:val="clear" w:color="auto" w:fill="F2CEED"/>
            <w:hideMark/>
          </w:tcPr>
          <w:p w14:paraId="1956A18B" w14:textId="79A04CA2" w:rsidR="00EE1A5C" w:rsidRPr="00F72822" w:rsidRDefault="00EE1A5C" w:rsidP="00EE1A5C">
            <w:pPr>
              <w:rPr>
                <w:rFonts w:ascii="Arial" w:hAnsi="Arial" w:cs="Arial"/>
                <w:sz w:val="22"/>
                <w:szCs w:val="22"/>
              </w:rPr>
            </w:pPr>
            <w:r w:rsidRPr="00F72822">
              <w:rPr>
                <w:rFonts w:ascii="Arial" w:hAnsi="Arial" w:cs="Arial"/>
                <w:sz w:val="22"/>
                <w:szCs w:val="22"/>
              </w:rPr>
              <w:t xml:space="preserve">Centralised strategic oversight </w:t>
            </w:r>
          </w:p>
        </w:tc>
        <w:tc>
          <w:tcPr>
            <w:tcW w:w="4406" w:type="dxa"/>
            <w:tcBorders>
              <w:top w:val="single" w:sz="6" w:space="0" w:color="FFFFFF"/>
              <w:left w:val="single" w:sz="6" w:space="0" w:color="FFFFFF"/>
              <w:bottom w:val="single" w:sz="6" w:space="0" w:color="FFFFFF"/>
              <w:right w:val="single" w:sz="6" w:space="0" w:color="FFFFFF"/>
            </w:tcBorders>
            <w:shd w:val="clear" w:color="auto" w:fill="F2CEED"/>
            <w:hideMark/>
          </w:tcPr>
          <w:p w14:paraId="2B801635" w14:textId="03C82B78" w:rsidR="00EE1A5C" w:rsidRPr="00F72822" w:rsidRDefault="00EE1A5C" w:rsidP="00EE1A5C">
            <w:pPr>
              <w:rPr>
                <w:rFonts w:ascii="Arial" w:hAnsi="Arial" w:cs="Arial"/>
                <w:sz w:val="22"/>
                <w:szCs w:val="22"/>
              </w:rPr>
            </w:pPr>
            <w:r w:rsidRPr="00F72822">
              <w:rPr>
                <w:rFonts w:ascii="Arial" w:hAnsi="Arial" w:cs="Arial"/>
                <w:sz w:val="22"/>
                <w:szCs w:val="22"/>
              </w:rPr>
              <w:t xml:space="preserve">The Board establishes strategy </w:t>
            </w:r>
            <w:r w:rsidR="009824B7" w:rsidRPr="00F72822">
              <w:rPr>
                <w:rFonts w:ascii="Arial" w:hAnsi="Arial" w:cs="Arial"/>
                <w:sz w:val="22"/>
                <w:szCs w:val="22"/>
              </w:rPr>
              <w:t>and</w:t>
            </w:r>
            <w:r w:rsidRPr="00F72822">
              <w:rPr>
                <w:rFonts w:ascii="Arial" w:hAnsi="Arial" w:cs="Arial"/>
                <w:sz w:val="22"/>
                <w:szCs w:val="22"/>
              </w:rPr>
              <w:t xml:space="preserve"> risk appetite, while managers exercise authority within agreed limits. </w:t>
            </w:r>
          </w:p>
        </w:tc>
      </w:tr>
      <w:tr w:rsidR="00EE1A5C" w:rsidRPr="00F72822" w14:paraId="3AEBF20C" w14:textId="77777777" w:rsidTr="00EE1A5C">
        <w:trPr>
          <w:trHeight w:val="300"/>
        </w:trPr>
        <w:tc>
          <w:tcPr>
            <w:tcW w:w="2115" w:type="dxa"/>
            <w:tcBorders>
              <w:top w:val="single" w:sz="6" w:space="0" w:color="FFFFFF"/>
              <w:left w:val="single" w:sz="6" w:space="0" w:color="FFFFFF"/>
              <w:bottom w:val="single" w:sz="6" w:space="0" w:color="FFFFFF"/>
              <w:right w:val="single" w:sz="6" w:space="0" w:color="FFFFFF"/>
            </w:tcBorders>
            <w:shd w:val="clear" w:color="auto" w:fill="A02B93"/>
            <w:hideMark/>
          </w:tcPr>
          <w:p w14:paraId="270E6C3B" w14:textId="77777777" w:rsidR="00EE1A5C" w:rsidRPr="00F72822" w:rsidRDefault="00EE1A5C" w:rsidP="00EE1A5C">
            <w:pPr>
              <w:rPr>
                <w:rFonts w:ascii="Arial" w:hAnsi="Arial" w:cs="Arial"/>
                <w:b/>
                <w:bCs/>
                <w:sz w:val="22"/>
                <w:szCs w:val="22"/>
              </w:rPr>
            </w:pPr>
            <w:r w:rsidRPr="00F72822">
              <w:rPr>
                <w:rFonts w:ascii="Arial" w:hAnsi="Arial" w:cs="Arial"/>
                <w:b/>
                <w:bCs/>
                <w:sz w:val="22"/>
                <w:szCs w:val="22"/>
              </w:rPr>
              <w:t>Simple, functional or divisional </w:t>
            </w:r>
          </w:p>
        </w:tc>
        <w:tc>
          <w:tcPr>
            <w:tcW w:w="2685" w:type="dxa"/>
            <w:tcBorders>
              <w:top w:val="single" w:sz="6" w:space="0" w:color="FFFFFF"/>
              <w:left w:val="single" w:sz="6" w:space="0" w:color="FFFFFF"/>
              <w:bottom w:val="single" w:sz="6" w:space="0" w:color="FFFFFF"/>
              <w:right w:val="single" w:sz="6" w:space="0" w:color="FFFFFF"/>
            </w:tcBorders>
            <w:shd w:val="clear" w:color="auto" w:fill="E59EDC"/>
            <w:hideMark/>
          </w:tcPr>
          <w:p w14:paraId="6F5AEB2C" w14:textId="77777777" w:rsidR="00EE1A5C" w:rsidRPr="00F72822" w:rsidRDefault="00EE1A5C" w:rsidP="00EE1A5C">
            <w:pPr>
              <w:rPr>
                <w:rFonts w:ascii="Arial" w:hAnsi="Arial" w:cs="Arial"/>
                <w:sz w:val="22"/>
                <w:szCs w:val="22"/>
              </w:rPr>
            </w:pPr>
            <w:r w:rsidRPr="00F72822">
              <w:rPr>
                <w:rFonts w:ascii="Arial" w:hAnsi="Arial" w:cs="Arial"/>
                <w:sz w:val="22"/>
                <w:szCs w:val="22"/>
              </w:rPr>
              <w:t>Divisional structure supported by functional departments </w:t>
            </w:r>
          </w:p>
        </w:tc>
        <w:tc>
          <w:tcPr>
            <w:tcW w:w="4406" w:type="dxa"/>
            <w:tcBorders>
              <w:top w:val="single" w:sz="6" w:space="0" w:color="FFFFFF"/>
              <w:left w:val="single" w:sz="6" w:space="0" w:color="FFFFFF"/>
              <w:bottom w:val="single" w:sz="6" w:space="0" w:color="FFFFFF"/>
              <w:right w:val="single" w:sz="6" w:space="0" w:color="FFFFFF"/>
            </w:tcBorders>
            <w:shd w:val="clear" w:color="auto" w:fill="E59EDC"/>
            <w:hideMark/>
          </w:tcPr>
          <w:p w14:paraId="0DFCEBBA" w14:textId="77777777" w:rsidR="00EE1A5C" w:rsidRPr="00F72822" w:rsidRDefault="00EE1A5C" w:rsidP="00EE1A5C">
            <w:pPr>
              <w:rPr>
                <w:rFonts w:ascii="Arial" w:hAnsi="Arial" w:cs="Arial"/>
                <w:sz w:val="22"/>
                <w:szCs w:val="22"/>
              </w:rPr>
            </w:pPr>
            <w:r w:rsidRPr="00F72822">
              <w:rPr>
                <w:rFonts w:ascii="Arial" w:hAnsi="Arial" w:cs="Arial"/>
                <w:sz w:val="22"/>
                <w:szCs w:val="22"/>
              </w:rPr>
              <w:t>Business divisions serve different customer groups, while specialist functions provide expertise and organisational control. </w:t>
            </w:r>
          </w:p>
        </w:tc>
      </w:tr>
    </w:tbl>
    <w:p w14:paraId="4C5BFC47" w14:textId="77777777" w:rsidR="00470C4B" w:rsidRDefault="00470C4B" w:rsidP="00F72822">
      <w:pPr>
        <w:rPr>
          <w:rFonts w:ascii="Arial" w:hAnsi="Arial" w:cs="Arial"/>
          <w:b/>
          <w:bCs/>
        </w:rPr>
      </w:pPr>
    </w:p>
    <w:tbl>
      <w:tblPr>
        <w:tblStyle w:val="GridTable4-Accent5"/>
        <w:tblW w:w="0" w:type="auto"/>
        <w:tblLook w:val="04A0" w:firstRow="1" w:lastRow="0" w:firstColumn="1" w:lastColumn="0" w:noHBand="0" w:noVBand="1"/>
      </w:tblPr>
      <w:tblGrid>
        <w:gridCol w:w="1757"/>
        <w:gridCol w:w="3483"/>
        <w:gridCol w:w="3776"/>
      </w:tblGrid>
      <w:tr w:rsidR="00CA4241" w:rsidRPr="00B03523" w14:paraId="1600FC30" w14:textId="77777777" w:rsidTr="00AC6C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7" w:type="dxa"/>
            <w:hideMark/>
          </w:tcPr>
          <w:p w14:paraId="1334FDC3" w14:textId="77777777" w:rsidR="00CA4241" w:rsidRPr="00B03523" w:rsidRDefault="00CA4241" w:rsidP="00AC6C44">
            <w:pPr>
              <w:spacing w:after="160" w:line="278" w:lineRule="auto"/>
              <w:rPr>
                <w:rFonts w:ascii="Arial" w:hAnsi="Arial" w:cs="Arial"/>
                <w:color w:val="auto"/>
                <w:sz w:val="22"/>
                <w:szCs w:val="22"/>
              </w:rPr>
            </w:pPr>
            <w:r w:rsidRPr="00B03523">
              <w:rPr>
                <w:rFonts w:ascii="Arial" w:hAnsi="Arial" w:cs="Arial"/>
                <w:color w:val="auto"/>
                <w:sz w:val="22"/>
                <w:szCs w:val="22"/>
              </w:rPr>
              <w:t xml:space="preserve">Element </w:t>
            </w:r>
          </w:p>
        </w:tc>
        <w:tc>
          <w:tcPr>
            <w:tcW w:w="3483" w:type="dxa"/>
            <w:hideMark/>
          </w:tcPr>
          <w:p w14:paraId="72F7CAC0" w14:textId="77777777" w:rsidR="00CA4241" w:rsidRPr="00B03523" w:rsidRDefault="00CA4241" w:rsidP="00AC6C44">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B03523">
              <w:rPr>
                <w:rFonts w:ascii="Arial" w:hAnsi="Arial" w:cs="Arial"/>
                <w:color w:val="auto"/>
                <w:sz w:val="22"/>
                <w:szCs w:val="22"/>
              </w:rPr>
              <w:t>Examples at Lloyds Banking Group</w:t>
            </w:r>
          </w:p>
        </w:tc>
        <w:tc>
          <w:tcPr>
            <w:tcW w:w="3776" w:type="dxa"/>
            <w:hideMark/>
          </w:tcPr>
          <w:p w14:paraId="272A1F56" w14:textId="77777777" w:rsidR="00CA4241" w:rsidRPr="00B03523" w:rsidRDefault="00CA4241" w:rsidP="00AC6C44">
            <w:pPr>
              <w:spacing w:after="160" w:line="278"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B03523">
              <w:rPr>
                <w:rFonts w:ascii="Arial" w:hAnsi="Arial" w:cs="Arial"/>
                <w:color w:val="auto"/>
                <w:sz w:val="22"/>
                <w:szCs w:val="22"/>
              </w:rPr>
              <w:t xml:space="preserve">Impact on organisational culture </w:t>
            </w:r>
          </w:p>
        </w:tc>
      </w:tr>
      <w:tr w:rsidR="00CA4241" w:rsidRPr="00B03523" w14:paraId="2AA213A8" w14:textId="77777777" w:rsidTr="00AC6C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7"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3ED77E07" w14:textId="77777777" w:rsidR="00CA4241" w:rsidRPr="00B03523" w:rsidRDefault="00CA4241" w:rsidP="00AC6C44">
            <w:pPr>
              <w:spacing w:after="160" w:line="278" w:lineRule="auto"/>
              <w:rPr>
                <w:rFonts w:ascii="Arial" w:hAnsi="Arial" w:cs="Arial"/>
                <w:sz w:val="22"/>
                <w:szCs w:val="22"/>
              </w:rPr>
            </w:pPr>
            <w:r w:rsidRPr="00B03523">
              <w:rPr>
                <w:rFonts w:ascii="Arial" w:hAnsi="Arial" w:cs="Arial"/>
                <w:sz w:val="22"/>
                <w:szCs w:val="22"/>
              </w:rPr>
              <w:t>Paradigm</w:t>
            </w:r>
          </w:p>
        </w:tc>
        <w:tc>
          <w:tcPr>
            <w:tcW w:w="3483"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6C0A9C0C" w14:textId="77777777" w:rsidR="00CA4241" w:rsidRPr="00B03523" w:rsidRDefault="00CA4241" w:rsidP="00AC6C44">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03523">
              <w:rPr>
                <w:rFonts w:ascii="Arial" w:hAnsi="Arial" w:cs="Arial"/>
                <w:sz w:val="22"/>
                <w:szCs w:val="22"/>
              </w:rPr>
              <w:t>“Helping Britain Prosper” is Lloyds’ main purpose.</w:t>
            </w:r>
          </w:p>
        </w:tc>
        <w:tc>
          <w:tcPr>
            <w:tcW w:w="3776"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6E115977" w14:textId="77777777" w:rsidR="00CA4241" w:rsidRPr="00B03523" w:rsidRDefault="00CA4241" w:rsidP="00AC6C44">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03523">
              <w:rPr>
                <w:rFonts w:ascii="Arial" w:hAnsi="Arial" w:cs="Arial"/>
                <w:sz w:val="22"/>
                <w:szCs w:val="22"/>
              </w:rPr>
              <w:t xml:space="preserve">Encourages employees to focus on customers and responsible banking </w:t>
            </w:r>
          </w:p>
        </w:tc>
      </w:tr>
      <w:tr w:rsidR="00CA4241" w:rsidRPr="00B03523" w14:paraId="3F782C59" w14:textId="77777777" w:rsidTr="00AC6C44">
        <w:tc>
          <w:tcPr>
            <w:cnfStyle w:val="001000000000" w:firstRow="0" w:lastRow="0" w:firstColumn="1" w:lastColumn="0" w:oddVBand="0" w:evenVBand="0" w:oddHBand="0" w:evenHBand="0" w:firstRowFirstColumn="0" w:firstRowLastColumn="0" w:lastRowFirstColumn="0" w:lastRowLastColumn="0"/>
            <w:tcW w:w="1757"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26D8DD63" w14:textId="77777777" w:rsidR="00CA4241" w:rsidRPr="00B03523" w:rsidRDefault="00CA4241" w:rsidP="00AC6C44">
            <w:pPr>
              <w:spacing w:after="160" w:line="278" w:lineRule="auto"/>
              <w:rPr>
                <w:rFonts w:ascii="Arial" w:hAnsi="Arial" w:cs="Arial"/>
                <w:sz w:val="22"/>
                <w:szCs w:val="22"/>
              </w:rPr>
            </w:pPr>
            <w:r w:rsidRPr="00B03523">
              <w:rPr>
                <w:rFonts w:ascii="Arial" w:hAnsi="Arial" w:cs="Arial"/>
                <w:sz w:val="22"/>
                <w:szCs w:val="22"/>
              </w:rPr>
              <w:t>Stories</w:t>
            </w:r>
          </w:p>
        </w:tc>
        <w:tc>
          <w:tcPr>
            <w:tcW w:w="3483"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68B1F222" w14:textId="77777777" w:rsidR="00CA4241" w:rsidRPr="00B03523" w:rsidRDefault="00CA4241" w:rsidP="00AC6C44">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03523">
              <w:rPr>
                <w:rFonts w:ascii="Arial" w:hAnsi="Arial" w:cs="Arial"/>
                <w:sz w:val="22"/>
                <w:szCs w:val="22"/>
              </w:rPr>
              <w:t>Sharing stories of employees providing good customer service.</w:t>
            </w:r>
          </w:p>
        </w:tc>
        <w:tc>
          <w:tcPr>
            <w:tcW w:w="3776"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0DA2F405" w14:textId="77777777" w:rsidR="00CA4241" w:rsidRPr="00B03523" w:rsidRDefault="00CA4241" w:rsidP="00AC6C44">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03523">
              <w:rPr>
                <w:rFonts w:ascii="Arial" w:hAnsi="Arial" w:cs="Arial"/>
                <w:sz w:val="22"/>
                <w:szCs w:val="22"/>
              </w:rPr>
              <w:t>Encourages positive employee behaviour</w:t>
            </w:r>
          </w:p>
        </w:tc>
      </w:tr>
      <w:tr w:rsidR="00CA4241" w:rsidRPr="00B03523" w14:paraId="202AF501" w14:textId="77777777" w:rsidTr="00AC6C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7"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004A2595" w14:textId="77777777" w:rsidR="00CA4241" w:rsidRPr="00B03523" w:rsidRDefault="00CA4241" w:rsidP="00AC6C44">
            <w:pPr>
              <w:spacing w:after="160" w:line="278" w:lineRule="auto"/>
              <w:rPr>
                <w:rFonts w:ascii="Arial" w:hAnsi="Arial" w:cs="Arial"/>
                <w:sz w:val="22"/>
                <w:szCs w:val="22"/>
              </w:rPr>
            </w:pPr>
            <w:r w:rsidRPr="00B03523">
              <w:rPr>
                <w:rFonts w:ascii="Arial" w:hAnsi="Arial" w:cs="Arial"/>
                <w:sz w:val="22"/>
                <w:szCs w:val="22"/>
              </w:rPr>
              <w:t xml:space="preserve">Symbols </w:t>
            </w:r>
          </w:p>
        </w:tc>
        <w:tc>
          <w:tcPr>
            <w:tcW w:w="3483"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3790710A" w14:textId="77777777" w:rsidR="00CA4241" w:rsidRPr="00B03523" w:rsidRDefault="00CA4241" w:rsidP="00AC6C44">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03523">
              <w:rPr>
                <w:rFonts w:ascii="Arial" w:hAnsi="Arial" w:cs="Arial"/>
                <w:sz w:val="22"/>
                <w:szCs w:val="22"/>
              </w:rPr>
              <w:t>The Lloyds black horse logo and bank branding.</w:t>
            </w:r>
          </w:p>
        </w:tc>
        <w:tc>
          <w:tcPr>
            <w:tcW w:w="3776"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3B4D510B" w14:textId="77777777" w:rsidR="00CA4241" w:rsidRPr="00B03523" w:rsidRDefault="00CA4241" w:rsidP="00AC6C44">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03523">
              <w:rPr>
                <w:rFonts w:ascii="Arial" w:hAnsi="Arial" w:cs="Arial"/>
                <w:sz w:val="22"/>
                <w:szCs w:val="22"/>
              </w:rPr>
              <w:t xml:space="preserve">Creates brand recognition </w:t>
            </w:r>
          </w:p>
        </w:tc>
      </w:tr>
      <w:tr w:rsidR="00CA4241" w:rsidRPr="00B03523" w14:paraId="10E576A2" w14:textId="77777777" w:rsidTr="00AC6C44">
        <w:tc>
          <w:tcPr>
            <w:cnfStyle w:val="001000000000" w:firstRow="0" w:lastRow="0" w:firstColumn="1" w:lastColumn="0" w:oddVBand="0" w:evenVBand="0" w:oddHBand="0" w:evenHBand="0" w:firstRowFirstColumn="0" w:firstRowLastColumn="0" w:lastRowFirstColumn="0" w:lastRowLastColumn="0"/>
            <w:tcW w:w="1757"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2B05F152" w14:textId="77777777" w:rsidR="00CA4241" w:rsidRPr="00B03523" w:rsidRDefault="00CA4241" w:rsidP="00AC6C44">
            <w:pPr>
              <w:spacing w:after="160" w:line="278" w:lineRule="auto"/>
              <w:rPr>
                <w:rFonts w:ascii="Arial" w:hAnsi="Arial" w:cs="Arial"/>
                <w:sz w:val="22"/>
                <w:szCs w:val="22"/>
              </w:rPr>
            </w:pPr>
            <w:r w:rsidRPr="00B03523">
              <w:rPr>
                <w:rFonts w:ascii="Arial" w:hAnsi="Arial" w:cs="Arial"/>
                <w:sz w:val="22"/>
                <w:szCs w:val="22"/>
              </w:rPr>
              <w:t xml:space="preserve">Rituals and routines </w:t>
            </w:r>
          </w:p>
        </w:tc>
        <w:tc>
          <w:tcPr>
            <w:tcW w:w="3483"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1E0794FB" w14:textId="77777777" w:rsidR="00CA4241" w:rsidRPr="00B03523" w:rsidRDefault="00CA4241" w:rsidP="00AC6C44">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03523">
              <w:rPr>
                <w:rFonts w:ascii="Arial" w:hAnsi="Arial" w:cs="Arial"/>
                <w:sz w:val="22"/>
                <w:szCs w:val="22"/>
              </w:rPr>
              <w:t>Team meetings, staff training and daily customer service.</w:t>
            </w:r>
          </w:p>
        </w:tc>
        <w:tc>
          <w:tcPr>
            <w:tcW w:w="3776"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23EB31E2" w14:textId="77777777" w:rsidR="00CA4241" w:rsidRPr="00B03523" w:rsidRDefault="00CA4241" w:rsidP="00AC6C44">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03523">
              <w:rPr>
                <w:rFonts w:ascii="Arial" w:hAnsi="Arial" w:cs="Arial"/>
                <w:sz w:val="22"/>
                <w:szCs w:val="22"/>
              </w:rPr>
              <w:t>Encourages teamwork and consistent service</w:t>
            </w:r>
          </w:p>
        </w:tc>
      </w:tr>
      <w:tr w:rsidR="00CA4241" w:rsidRPr="00B03523" w14:paraId="00D21EFA" w14:textId="77777777" w:rsidTr="00AC6C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7"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4E04DBEC" w14:textId="77777777" w:rsidR="00CA4241" w:rsidRPr="00B03523" w:rsidRDefault="00CA4241" w:rsidP="00AC6C44">
            <w:pPr>
              <w:spacing w:after="160" w:line="278" w:lineRule="auto"/>
              <w:rPr>
                <w:rFonts w:ascii="Arial" w:hAnsi="Arial" w:cs="Arial"/>
                <w:sz w:val="22"/>
                <w:szCs w:val="22"/>
              </w:rPr>
            </w:pPr>
            <w:r w:rsidRPr="00B03523">
              <w:rPr>
                <w:rFonts w:ascii="Arial" w:hAnsi="Arial" w:cs="Arial"/>
                <w:sz w:val="22"/>
                <w:szCs w:val="22"/>
              </w:rPr>
              <w:t>Control systems</w:t>
            </w:r>
          </w:p>
        </w:tc>
        <w:tc>
          <w:tcPr>
            <w:tcW w:w="3483"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2B75D9FB" w14:textId="77777777" w:rsidR="00CA4241" w:rsidRPr="00B03523" w:rsidRDefault="00CA4241" w:rsidP="00AC6C44">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03523">
              <w:rPr>
                <w:rFonts w:ascii="Arial" w:hAnsi="Arial" w:cs="Arial"/>
                <w:sz w:val="22"/>
                <w:szCs w:val="22"/>
              </w:rPr>
              <w:t>Performance reviews, financial targets and compliance checks</w:t>
            </w:r>
          </w:p>
        </w:tc>
        <w:tc>
          <w:tcPr>
            <w:tcW w:w="3776"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63384594" w14:textId="77777777" w:rsidR="00CA4241" w:rsidRPr="00B03523" w:rsidRDefault="00CA4241" w:rsidP="00AC6C44">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03523">
              <w:rPr>
                <w:rFonts w:ascii="Arial" w:hAnsi="Arial" w:cs="Arial"/>
                <w:sz w:val="22"/>
                <w:szCs w:val="22"/>
              </w:rPr>
              <w:t>Helps employees meet target and follow banking rules</w:t>
            </w:r>
          </w:p>
        </w:tc>
      </w:tr>
      <w:tr w:rsidR="00CA4241" w:rsidRPr="00B03523" w14:paraId="71C180C0" w14:textId="77777777" w:rsidTr="00AC6C44">
        <w:tc>
          <w:tcPr>
            <w:cnfStyle w:val="001000000000" w:firstRow="0" w:lastRow="0" w:firstColumn="1" w:lastColumn="0" w:oddVBand="0" w:evenVBand="0" w:oddHBand="0" w:evenHBand="0" w:firstRowFirstColumn="0" w:firstRowLastColumn="0" w:lastRowFirstColumn="0" w:lastRowLastColumn="0"/>
            <w:tcW w:w="1757"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17FB18FE" w14:textId="77777777" w:rsidR="00CA4241" w:rsidRPr="00B03523" w:rsidRDefault="00CA4241" w:rsidP="00AC6C44">
            <w:pPr>
              <w:spacing w:after="160" w:line="278" w:lineRule="auto"/>
              <w:rPr>
                <w:rFonts w:ascii="Arial" w:hAnsi="Arial" w:cs="Arial"/>
                <w:sz w:val="22"/>
                <w:szCs w:val="22"/>
              </w:rPr>
            </w:pPr>
            <w:r w:rsidRPr="00B03523">
              <w:rPr>
                <w:rFonts w:ascii="Arial" w:hAnsi="Arial" w:cs="Arial"/>
                <w:sz w:val="22"/>
                <w:szCs w:val="22"/>
              </w:rPr>
              <w:t xml:space="preserve">Organisational structures </w:t>
            </w:r>
          </w:p>
        </w:tc>
        <w:tc>
          <w:tcPr>
            <w:tcW w:w="3483"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16FA7649" w14:textId="77777777" w:rsidR="00CA4241" w:rsidRPr="00B03523" w:rsidRDefault="00CA4241" w:rsidP="00AC6C44">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03523">
              <w:rPr>
                <w:rFonts w:ascii="Arial" w:hAnsi="Arial" w:cs="Arial"/>
                <w:sz w:val="22"/>
                <w:szCs w:val="22"/>
              </w:rPr>
              <w:t>Senior managers, branch managers and bank employees have different roles</w:t>
            </w:r>
          </w:p>
        </w:tc>
        <w:tc>
          <w:tcPr>
            <w:tcW w:w="3776"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21987B5E" w14:textId="77777777" w:rsidR="00CA4241" w:rsidRPr="00B03523" w:rsidRDefault="00CA4241" w:rsidP="00AC6C44">
            <w:pPr>
              <w:spacing w:after="160"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03523">
              <w:rPr>
                <w:rFonts w:ascii="Arial" w:hAnsi="Arial" w:cs="Arial"/>
                <w:sz w:val="22"/>
                <w:szCs w:val="22"/>
              </w:rPr>
              <w:t>Clarifies responsibilities and reporting relationships</w:t>
            </w:r>
          </w:p>
        </w:tc>
      </w:tr>
      <w:tr w:rsidR="00CA4241" w:rsidRPr="00B03523" w14:paraId="2F650FB2" w14:textId="77777777" w:rsidTr="00AC6C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7"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277545C4" w14:textId="77777777" w:rsidR="00CA4241" w:rsidRPr="00B03523" w:rsidRDefault="00CA4241" w:rsidP="00AC6C44">
            <w:pPr>
              <w:spacing w:after="160" w:line="278" w:lineRule="auto"/>
              <w:rPr>
                <w:rFonts w:ascii="Arial" w:hAnsi="Arial" w:cs="Arial"/>
                <w:sz w:val="22"/>
                <w:szCs w:val="22"/>
              </w:rPr>
            </w:pPr>
            <w:r w:rsidRPr="00B03523">
              <w:rPr>
                <w:rFonts w:ascii="Arial" w:hAnsi="Arial" w:cs="Arial"/>
                <w:sz w:val="22"/>
                <w:szCs w:val="22"/>
              </w:rPr>
              <w:t xml:space="preserve">Power relationships </w:t>
            </w:r>
          </w:p>
        </w:tc>
        <w:tc>
          <w:tcPr>
            <w:tcW w:w="3483"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590243BF" w14:textId="77777777" w:rsidR="00CA4241" w:rsidRPr="00B03523" w:rsidRDefault="00CA4241" w:rsidP="00AC6C44">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03523">
              <w:rPr>
                <w:rFonts w:ascii="Arial" w:hAnsi="Arial" w:cs="Arial"/>
                <w:sz w:val="22"/>
                <w:szCs w:val="22"/>
              </w:rPr>
              <w:t xml:space="preserve">Senior leaders make strategic decisions, while employees manage daily banking activities </w:t>
            </w:r>
          </w:p>
        </w:tc>
        <w:tc>
          <w:tcPr>
            <w:tcW w:w="3776" w:type="dxa"/>
            <w:tc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tcBorders>
            <w:hideMark/>
          </w:tcPr>
          <w:p w14:paraId="46EDE488" w14:textId="77777777" w:rsidR="00CA4241" w:rsidRPr="00B03523" w:rsidRDefault="00CA4241" w:rsidP="00AC6C44">
            <w:pPr>
              <w:spacing w:after="160"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03523">
              <w:rPr>
                <w:rFonts w:ascii="Arial" w:hAnsi="Arial" w:cs="Arial"/>
                <w:sz w:val="22"/>
                <w:szCs w:val="22"/>
              </w:rPr>
              <w:t>Shows how authority and decision-making are shared</w:t>
            </w:r>
          </w:p>
        </w:tc>
      </w:tr>
    </w:tbl>
    <w:p w14:paraId="1CD5685C" w14:textId="77777777" w:rsidR="00EE1A5C" w:rsidRDefault="00EE1A5C" w:rsidP="00F72822">
      <w:pPr>
        <w:rPr>
          <w:rFonts w:ascii="Arial" w:hAnsi="Arial" w:cs="Arial"/>
          <w:b/>
          <w:bCs/>
        </w:rPr>
      </w:pPr>
    </w:p>
    <w:p w14:paraId="2BFA3850" w14:textId="77777777" w:rsidR="00EE1A5C" w:rsidRDefault="00EE1A5C" w:rsidP="00F72822">
      <w:pPr>
        <w:rPr>
          <w:rFonts w:ascii="Arial" w:hAnsi="Arial" w:cs="Arial"/>
          <w:b/>
          <w:bCs/>
        </w:rPr>
      </w:pPr>
    </w:p>
    <w:p w14:paraId="2D3D2BCD" w14:textId="77777777" w:rsidR="00EE1A5C" w:rsidRDefault="00EE1A5C" w:rsidP="00F72822">
      <w:pPr>
        <w:rPr>
          <w:rFonts w:ascii="Arial" w:hAnsi="Arial" w:cs="Arial"/>
          <w:b/>
          <w:bCs/>
        </w:rPr>
      </w:pPr>
    </w:p>
    <w:p w14:paraId="2F739461" w14:textId="77777777" w:rsidR="00EE1A5C" w:rsidRDefault="00EE1A5C" w:rsidP="00F72822">
      <w:pPr>
        <w:rPr>
          <w:rFonts w:ascii="Arial" w:hAnsi="Arial" w:cs="Arial"/>
          <w:b/>
          <w:bCs/>
        </w:rPr>
      </w:pPr>
    </w:p>
    <w:tbl>
      <w:tblPr>
        <w:tblStyle w:val="GridTable5Dark-Accent5"/>
        <w:tblW w:w="0" w:type="auto"/>
        <w:tblLook w:val="04A0" w:firstRow="1" w:lastRow="0" w:firstColumn="1" w:lastColumn="0" w:noHBand="0" w:noVBand="1"/>
      </w:tblPr>
      <w:tblGrid>
        <w:gridCol w:w="1980"/>
        <w:gridCol w:w="3544"/>
        <w:gridCol w:w="3492"/>
      </w:tblGrid>
      <w:tr w:rsidR="0095192B" w:rsidRPr="0029569E" w14:paraId="3C71B2D4" w14:textId="77777777" w:rsidTr="00AC6C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bottom w:val="single" w:sz="4" w:space="0" w:color="FFFFFF" w:themeColor="background1"/>
            </w:tcBorders>
            <w:hideMark/>
          </w:tcPr>
          <w:p w14:paraId="77B1C981" w14:textId="77777777" w:rsidR="0095192B" w:rsidRPr="0029569E" w:rsidRDefault="0095192B" w:rsidP="00AC6C44">
            <w:pPr>
              <w:spacing w:after="160" w:line="278" w:lineRule="auto"/>
            </w:pPr>
            <w:r w:rsidRPr="0029569E">
              <w:t>Denison trait</w:t>
            </w:r>
          </w:p>
        </w:tc>
        <w:tc>
          <w:tcPr>
            <w:tcW w:w="3544" w:type="dxa"/>
            <w:tcBorders>
              <w:bottom w:val="single" w:sz="4" w:space="0" w:color="FFFFFF" w:themeColor="background1"/>
            </w:tcBorders>
            <w:hideMark/>
          </w:tcPr>
          <w:p w14:paraId="7A8C4C80" w14:textId="77777777" w:rsidR="0095192B" w:rsidRPr="0029569E" w:rsidRDefault="0095192B" w:rsidP="00AC6C44">
            <w:pPr>
              <w:spacing w:after="160" w:line="278" w:lineRule="auto"/>
              <w:cnfStyle w:val="100000000000" w:firstRow="1" w:lastRow="0" w:firstColumn="0" w:lastColumn="0" w:oddVBand="0" w:evenVBand="0" w:oddHBand="0" w:evenHBand="0" w:firstRowFirstColumn="0" w:firstRowLastColumn="0" w:lastRowFirstColumn="0" w:lastRowLastColumn="0"/>
            </w:pPr>
            <w:r w:rsidRPr="0029569E">
              <w:t xml:space="preserve">Lloyds application </w:t>
            </w:r>
          </w:p>
        </w:tc>
        <w:tc>
          <w:tcPr>
            <w:tcW w:w="3492" w:type="dxa"/>
            <w:tcBorders>
              <w:bottom w:val="single" w:sz="4" w:space="0" w:color="FFFFFF" w:themeColor="background1"/>
            </w:tcBorders>
            <w:hideMark/>
          </w:tcPr>
          <w:p w14:paraId="735FC767" w14:textId="77777777" w:rsidR="0095192B" w:rsidRPr="0029569E" w:rsidRDefault="0095192B" w:rsidP="00AC6C44">
            <w:pPr>
              <w:spacing w:after="160" w:line="278" w:lineRule="auto"/>
              <w:cnfStyle w:val="100000000000" w:firstRow="1" w:lastRow="0" w:firstColumn="0" w:lastColumn="0" w:oddVBand="0" w:evenVBand="0" w:oddHBand="0" w:evenHBand="0" w:firstRowFirstColumn="0" w:firstRowLastColumn="0" w:lastRowFirstColumn="0" w:lastRowLastColumn="0"/>
            </w:pPr>
            <w:r w:rsidRPr="0029569E">
              <w:t xml:space="preserve">Critical significance </w:t>
            </w:r>
          </w:p>
        </w:tc>
      </w:tr>
      <w:tr w:rsidR="0095192B" w:rsidRPr="0029569E" w14:paraId="189E3514" w14:textId="77777777" w:rsidTr="00AC6C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FFFFFF" w:themeColor="background1"/>
              <w:bottom w:val="single" w:sz="4" w:space="0" w:color="FFFFFF" w:themeColor="background1"/>
              <w:right w:val="single" w:sz="4" w:space="0" w:color="FFFFFF" w:themeColor="background1"/>
            </w:tcBorders>
            <w:hideMark/>
          </w:tcPr>
          <w:p w14:paraId="70E644F5" w14:textId="77777777" w:rsidR="0095192B" w:rsidRPr="0029569E" w:rsidRDefault="0095192B" w:rsidP="00AC6C44">
            <w:pPr>
              <w:spacing w:after="160" w:line="278" w:lineRule="auto"/>
            </w:pPr>
            <w:r w:rsidRPr="0029569E">
              <w:lastRenderedPageBreak/>
              <w:t>Mission</w:t>
            </w:r>
          </w:p>
        </w:tc>
        <w:tc>
          <w:tcPr>
            <w:tcW w:w="354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CF051F4" w14:textId="77777777" w:rsidR="0095192B" w:rsidRPr="0029569E" w:rsidRDefault="0095192B" w:rsidP="00AC6C44">
            <w:pPr>
              <w:spacing w:after="160" w:line="278" w:lineRule="auto"/>
              <w:cnfStyle w:val="000000100000" w:firstRow="0" w:lastRow="0" w:firstColumn="0" w:lastColumn="0" w:oddVBand="0" w:evenVBand="0" w:oddHBand="1" w:evenHBand="0" w:firstRowFirstColumn="0" w:firstRowLastColumn="0" w:lastRowFirstColumn="0" w:lastRowLastColumn="0"/>
            </w:pPr>
            <w:r w:rsidRPr="0029569E">
              <w:t>“Helping Britain Prosper” and purpose-driven strategy</w:t>
            </w:r>
          </w:p>
        </w:tc>
        <w:tc>
          <w:tcPr>
            <w:tcW w:w="349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A84EDA9" w14:textId="77777777" w:rsidR="0095192B" w:rsidRPr="0029569E" w:rsidRDefault="0095192B" w:rsidP="00AC6C44">
            <w:pPr>
              <w:spacing w:after="160" w:line="278" w:lineRule="auto"/>
              <w:cnfStyle w:val="000000100000" w:firstRow="0" w:lastRow="0" w:firstColumn="0" w:lastColumn="0" w:oddVBand="0" w:evenVBand="0" w:oddHBand="1" w:evenHBand="0" w:firstRowFirstColumn="0" w:firstRowLastColumn="0" w:lastRowFirstColumn="0" w:lastRowLastColumn="0"/>
            </w:pPr>
            <w:r w:rsidRPr="0029569E">
              <w:t>Creates strategic direction but must translate into everyday behaviour</w:t>
            </w:r>
          </w:p>
        </w:tc>
      </w:tr>
      <w:tr w:rsidR="0095192B" w:rsidRPr="0029569E" w14:paraId="7F6D2241" w14:textId="77777777" w:rsidTr="00AC6C44">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FFFFFF" w:themeColor="background1"/>
              <w:bottom w:val="single" w:sz="4" w:space="0" w:color="FFFFFF" w:themeColor="background1"/>
              <w:right w:val="single" w:sz="4" w:space="0" w:color="FFFFFF" w:themeColor="background1"/>
            </w:tcBorders>
            <w:hideMark/>
          </w:tcPr>
          <w:p w14:paraId="0866FB17" w14:textId="77777777" w:rsidR="0095192B" w:rsidRPr="0029569E" w:rsidRDefault="0095192B" w:rsidP="00AC6C44">
            <w:pPr>
              <w:spacing w:after="160" w:line="278" w:lineRule="auto"/>
            </w:pPr>
            <w:r w:rsidRPr="0029569E">
              <w:t xml:space="preserve">Adaptability </w:t>
            </w:r>
          </w:p>
        </w:tc>
        <w:tc>
          <w:tcPr>
            <w:tcW w:w="354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1BB4505" w14:textId="77777777" w:rsidR="0095192B" w:rsidRPr="0029569E" w:rsidRDefault="0095192B" w:rsidP="00AC6C44">
            <w:pPr>
              <w:spacing w:after="160" w:line="278" w:lineRule="auto"/>
              <w:cnfStyle w:val="000000000000" w:firstRow="0" w:lastRow="0" w:firstColumn="0" w:lastColumn="0" w:oddVBand="0" w:evenVBand="0" w:oddHBand="0" w:evenHBand="0" w:firstRowFirstColumn="0" w:firstRowLastColumn="0" w:lastRowFirstColumn="0" w:lastRowLastColumn="0"/>
            </w:pPr>
            <w:r w:rsidRPr="0029569E">
              <w:t>Digital transformation, AI and new customer propositions</w:t>
            </w:r>
          </w:p>
        </w:tc>
        <w:tc>
          <w:tcPr>
            <w:tcW w:w="349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853BC57" w14:textId="77777777" w:rsidR="0095192B" w:rsidRPr="0029569E" w:rsidRDefault="0095192B" w:rsidP="00AC6C44">
            <w:pPr>
              <w:spacing w:after="160" w:line="278" w:lineRule="auto"/>
              <w:cnfStyle w:val="000000000000" w:firstRow="0" w:lastRow="0" w:firstColumn="0" w:lastColumn="0" w:oddVBand="0" w:evenVBand="0" w:oddHBand="0" w:evenHBand="0" w:firstRowFirstColumn="0" w:firstRowLastColumn="0" w:lastRowFirstColumn="0" w:lastRowLastColumn="0"/>
            </w:pPr>
            <w:r w:rsidRPr="0029569E">
              <w:t xml:space="preserve">Support competitiveness and responsiveness </w:t>
            </w:r>
          </w:p>
        </w:tc>
      </w:tr>
      <w:tr w:rsidR="0095192B" w:rsidRPr="0029569E" w14:paraId="3BC7AB9B" w14:textId="77777777" w:rsidTr="00AC6C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FFFFFF" w:themeColor="background1"/>
              <w:bottom w:val="single" w:sz="4" w:space="0" w:color="FFFFFF" w:themeColor="background1"/>
              <w:right w:val="single" w:sz="4" w:space="0" w:color="FFFFFF" w:themeColor="background1"/>
            </w:tcBorders>
            <w:hideMark/>
          </w:tcPr>
          <w:p w14:paraId="18C810DA" w14:textId="77777777" w:rsidR="0095192B" w:rsidRPr="0029569E" w:rsidRDefault="0095192B" w:rsidP="00AC6C44">
            <w:pPr>
              <w:spacing w:after="160" w:line="278" w:lineRule="auto"/>
            </w:pPr>
            <w:r w:rsidRPr="0029569E">
              <w:t xml:space="preserve">Involvement </w:t>
            </w:r>
          </w:p>
        </w:tc>
        <w:tc>
          <w:tcPr>
            <w:tcW w:w="354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E3B2AC6" w14:textId="77777777" w:rsidR="0095192B" w:rsidRPr="0029569E" w:rsidRDefault="0095192B" w:rsidP="00AC6C44">
            <w:pPr>
              <w:spacing w:after="160" w:line="278" w:lineRule="auto"/>
              <w:cnfStyle w:val="000000100000" w:firstRow="0" w:lastRow="0" w:firstColumn="0" w:lastColumn="0" w:oddVBand="0" w:evenVBand="0" w:oddHBand="1" w:evenHBand="0" w:firstRowFirstColumn="0" w:firstRowLastColumn="0" w:lastRowFirstColumn="0" w:lastRowLastColumn="0"/>
            </w:pPr>
            <w:r w:rsidRPr="0029569E">
              <w:t>Inclusion, employee development and skills programmes</w:t>
            </w:r>
          </w:p>
        </w:tc>
        <w:tc>
          <w:tcPr>
            <w:tcW w:w="349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EE4D4E1" w14:textId="77777777" w:rsidR="0095192B" w:rsidRPr="0029569E" w:rsidRDefault="0095192B" w:rsidP="00AC6C44">
            <w:pPr>
              <w:spacing w:after="160" w:line="278" w:lineRule="auto"/>
              <w:cnfStyle w:val="000000100000" w:firstRow="0" w:lastRow="0" w:firstColumn="0" w:lastColumn="0" w:oddVBand="0" w:evenVBand="0" w:oddHBand="1" w:evenHBand="0" w:firstRowFirstColumn="0" w:firstRowLastColumn="0" w:lastRowFirstColumn="0" w:lastRowLastColumn="0"/>
            </w:pPr>
            <w:r w:rsidRPr="0029569E">
              <w:t>Builds capability for transformation</w:t>
            </w:r>
          </w:p>
        </w:tc>
      </w:tr>
      <w:tr w:rsidR="0095192B" w:rsidRPr="0029569E" w14:paraId="34AE2EE2" w14:textId="77777777" w:rsidTr="00AC6C44">
        <w:tc>
          <w:tcPr>
            <w:cnfStyle w:val="001000000000" w:firstRow="0" w:lastRow="0" w:firstColumn="1" w:lastColumn="0" w:oddVBand="0" w:evenVBand="0" w:oddHBand="0" w:evenHBand="0" w:firstRowFirstColumn="0" w:firstRowLastColumn="0" w:lastRowFirstColumn="0" w:lastRowLastColumn="0"/>
            <w:tcW w:w="1980" w:type="dxa"/>
            <w:tcBorders>
              <w:top w:val="single" w:sz="4" w:space="0" w:color="FFFFFF" w:themeColor="background1"/>
              <w:right w:val="single" w:sz="4" w:space="0" w:color="FFFFFF" w:themeColor="background1"/>
            </w:tcBorders>
            <w:hideMark/>
          </w:tcPr>
          <w:p w14:paraId="760F3A6A" w14:textId="77777777" w:rsidR="0095192B" w:rsidRPr="0029569E" w:rsidRDefault="0095192B" w:rsidP="00AC6C44">
            <w:pPr>
              <w:spacing w:after="160" w:line="278" w:lineRule="auto"/>
            </w:pPr>
            <w:r w:rsidRPr="0029569E">
              <w:t xml:space="preserve">Consistency </w:t>
            </w:r>
          </w:p>
        </w:tc>
        <w:tc>
          <w:tcPr>
            <w:tcW w:w="354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140DDEF" w14:textId="77777777" w:rsidR="0095192B" w:rsidRPr="0029569E" w:rsidRDefault="0095192B" w:rsidP="00AC6C44">
            <w:pPr>
              <w:spacing w:after="160" w:line="278" w:lineRule="auto"/>
              <w:cnfStyle w:val="000000000000" w:firstRow="0" w:lastRow="0" w:firstColumn="0" w:lastColumn="0" w:oddVBand="0" w:evenVBand="0" w:oddHBand="0" w:evenHBand="0" w:firstRowFirstColumn="0" w:firstRowLastColumn="0" w:lastRowFirstColumn="0" w:lastRowLastColumn="0"/>
            </w:pPr>
            <w:r w:rsidRPr="0029569E">
              <w:t>Risk management, governance and controls</w:t>
            </w:r>
          </w:p>
        </w:tc>
        <w:tc>
          <w:tcPr>
            <w:tcW w:w="3492"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08EE32D" w14:textId="77777777" w:rsidR="0095192B" w:rsidRPr="0029569E" w:rsidRDefault="0095192B" w:rsidP="00AC6C44">
            <w:pPr>
              <w:spacing w:after="160" w:line="278" w:lineRule="auto"/>
              <w:cnfStyle w:val="000000000000" w:firstRow="0" w:lastRow="0" w:firstColumn="0" w:lastColumn="0" w:oddVBand="0" w:evenVBand="0" w:oddHBand="0" w:evenHBand="0" w:firstRowFirstColumn="0" w:firstRowLastColumn="0" w:lastRowFirstColumn="0" w:lastRowLastColumn="0"/>
            </w:pPr>
            <w:r w:rsidRPr="0029569E">
              <w:t>Supports reliability and regulatory compliance.</w:t>
            </w:r>
          </w:p>
        </w:tc>
      </w:tr>
    </w:tbl>
    <w:p w14:paraId="06F1795B" w14:textId="77777777" w:rsidR="00EE1A5C" w:rsidRDefault="00EE1A5C" w:rsidP="00F72822">
      <w:pPr>
        <w:rPr>
          <w:rFonts w:ascii="Arial" w:hAnsi="Arial" w:cs="Arial"/>
          <w:b/>
          <w:bCs/>
        </w:rPr>
      </w:pPr>
    </w:p>
    <w:p w14:paraId="5C77F0B3" w14:textId="77777777" w:rsidR="00EE1A5C" w:rsidRDefault="00EE1A5C" w:rsidP="00F72822">
      <w:pPr>
        <w:rPr>
          <w:rFonts w:ascii="Arial" w:hAnsi="Arial" w:cs="Arial"/>
          <w:b/>
          <w:bCs/>
        </w:rPr>
      </w:pPr>
    </w:p>
    <w:p w14:paraId="163B1721" w14:textId="77777777" w:rsidR="00EE1A5C" w:rsidRDefault="00EE1A5C" w:rsidP="00F72822">
      <w:pPr>
        <w:rPr>
          <w:rFonts w:ascii="Arial" w:hAnsi="Arial" w:cs="Arial"/>
          <w:b/>
          <w:bCs/>
        </w:rPr>
      </w:pPr>
    </w:p>
    <w:p w14:paraId="4D06AE07" w14:textId="77777777" w:rsidR="00EE1A5C" w:rsidRPr="008F157E" w:rsidRDefault="00EE1A5C" w:rsidP="00F72822">
      <w:pPr>
        <w:rPr>
          <w:rFonts w:ascii="Arial" w:hAnsi="Arial" w:cs="Arial"/>
          <w:b/>
          <w:bCs/>
        </w:rPr>
      </w:pPr>
    </w:p>
    <w:p w14:paraId="79B79B4A" w14:textId="77777777" w:rsidR="00D56B39" w:rsidRDefault="00D56B39" w:rsidP="00F72822"/>
    <w:sectPr w:rsidR="00D56B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22"/>
    <w:rsid w:val="00041141"/>
    <w:rsid w:val="0006049F"/>
    <w:rsid w:val="000A29D3"/>
    <w:rsid w:val="00112CEB"/>
    <w:rsid w:val="00131E03"/>
    <w:rsid w:val="00170EC2"/>
    <w:rsid w:val="001B46B9"/>
    <w:rsid w:val="001D6A5E"/>
    <w:rsid w:val="001E23B8"/>
    <w:rsid w:val="0020034F"/>
    <w:rsid w:val="00203B3D"/>
    <w:rsid w:val="002169D3"/>
    <w:rsid w:val="00222BF1"/>
    <w:rsid w:val="00250A64"/>
    <w:rsid w:val="00267A35"/>
    <w:rsid w:val="0029569E"/>
    <w:rsid w:val="002A2FCB"/>
    <w:rsid w:val="002C1859"/>
    <w:rsid w:val="002C4CEB"/>
    <w:rsid w:val="002D789B"/>
    <w:rsid w:val="002F3EBA"/>
    <w:rsid w:val="002F7167"/>
    <w:rsid w:val="00310829"/>
    <w:rsid w:val="0034031F"/>
    <w:rsid w:val="003A451B"/>
    <w:rsid w:val="003A79C6"/>
    <w:rsid w:val="00414C0B"/>
    <w:rsid w:val="0044409C"/>
    <w:rsid w:val="00465801"/>
    <w:rsid w:val="0047024E"/>
    <w:rsid w:val="00470C4B"/>
    <w:rsid w:val="00495E81"/>
    <w:rsid w:val="004A35C3"/>
    <w:rsid w:val="004C23B1"/>
    <w:rsid w:val="004E4E7D"/>
    <w:rsid w:val="004E6311"/>
    <w:rsid w:val="00520CFB"/>
    <w:rsid w:val="00546F91"/>
    <w:rsid w:val="005560E0"/>
    <w:rsid w:val="00560C53"/>
    <w:rsid w:val="005C613B"/>
    <w:rsid w:val="005F63F7"/>
    <w:rsid w:val="00650510"/>
    <w:rsid w:val="0068025B"/>
    <w:rsid w:val="006848EB"/>
    <w:rsid w:val="00697988"/>
    <w:rsid w:val="006C5759"/>
    <w:rsid w:val="006F795D"/>
    <w:rsid w:val="00732DF6"/>
    <w:rsid w:val="00736483"/>
    <w:rsid w:val="00744BF1"/>
    <w:rsid w:val="007A5B59"/>
    <w:rsid w:val="00804165"/>
    <w:rsid w:val="00811867"/>
    <w:rsid w:val="0088518B"/>
    <w:rsid w:val="00892D14"/>
    <w:rsid w:val="008A6DBC"/>
    <w:rsid w:val="008D6905"/>
    <w:rsid w:val="008F157E"/>
    <w:rsid w:val="009014CA"/>
    <w:rsid w:val="0090472C"/>
    <w:rsid w:val="0095192B"/>
    <w:rsid w:val="009824B7"/>
    <w:rsid w:val="0098779E"/>
    <w:rsid w:val="009B4C09"/>
    <w:rsid w:val="009E5F81"/>
    <w:rsid w:val="00A0659A"/>
    <w:rsid w:val="00A079FB"/>
    <w:rsid w:val="00A23681"/>
    <w:rsid w:val="00A3021F"/>
    <w:rsid w:val="00A318A7"/>
    <w:rsid w:val="00A42590"/>
    <w:rsid w:val="00A472B6"/>
    <w:rsid w:val="00A82C30"/>
    <w:rsid w:val="00AA1041"/>
    <w:rsid w:val="00AA23B2"/>
    <w:rsid w:val="00AC1685"/>
    <w:rsid w:val="00AD3590"/>
    <w:rsid w:val="00B03523"/>
    <w:rsid w:val="00B10EF9"/>
    <w:rsid w:val="00B1772B"/>
    <w:rsid w:val="00B33BE4"/>
    <w:rsid w:val="00B60C59"/>
    <w:rsid w:val="00B656D7"/>
    <w:rsid w:val="00B71605"/>
    <w:rsid w:val="00BA3C4D"/>
    <w:rsid w:val="00BB611D"/>
    <w:rsid w:val="00BD55D6"/>
    <w:rsid w:val="00BD7678"/>
    <w:rsid w:val="00BE17DA"/>
    <w:rsid w:val="00BE30C8"/>
    <w:rsid w:val="00BE7507"/>
    <w:rsid w:val="00BF26DF"/>
    <w:rsid w:val="00C278BF"/>
    <w:rsid w:val="00C4470A"/>
    <w:rsid w:val="00CA4241"/>
    <w:rsid w:val="00CA6329"/>
    <w:rsid w:val="00CB3CB2"/>
    <w:rsid w:val="00CC2E77"/>
    <w:rsid w:val="00D10B66"/>
    <w:rsid w:val="00D41E67"/>
    <w:rsid w:val="00D46C92"/>
    <w:rsid w:val="00D56B39"/>
    <w:rsid w:val="00DA01DA"/>
    <w:rsid w:val="00DA7749"/>
    <w:rsid w:val="00DD03D8"/>
    <w:rsid w:val="00E44C86"/>
    <w:rsid w:val="00E667C1"/>
    <w:rsid w:val="00EC5071"/>
    <w:rsid w:val="00EE1A5C"/>
    <w:rsid w:val="00F05579"/>
    <w:rsid w:val="00F072E5"/>
    <w:rsid w:val="00F72822"/>
    <w:rsid w:val="00F84CA0"/>
    <w:rsid w:val="00F9158D"/>
    <w:rsid w:val="00FB17FF"/>
    <w:rsid w:val="00FD0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B8E09"/>
  <w15:chartTrackingRefBased/>
  <w15:docId w15:val="{6EEE05AC-A40A-4D8F-A8FC-E5CF21F7D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8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28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28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8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8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8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8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8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8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8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28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28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8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8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8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8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8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822"/>
    <w:rPr>
      <w:rFonts w:eastAsiaTheme="majorEastAsia" w:cstheme="majorBidi"/>
      <w:color w:val="272727" w:themeColor="text1" w:themeTint="D8"/>
    </w:rPr>
  </w:style>
  <w:style w:type="paragraph" w:styleId="Title">
    <w:name w:val="Title"/>
    <w:basedOn w:val="Normal"/>
    <w:next w:val="Normal"/>
    <w:link w:val="TitleChar"/>
    <w:uiPriority w:val="10"/>
    <w:qFormat/>
    <w:rsid w:val="00F728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8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8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8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822"/>
    <w:pPr>
      <w:spacing w:before="160"/>
      <w:jc w:val="center"/>
    </w:pPr>
    <w:rPr>
      <w:i/>
      <w:iCs/>
      <w:color w:val="404040" w:themeColor="text1" w:themeTint="BF"/>
    </w:rPr>
  </w:style>
  <w:style w:type="character" w:customStyle="1" w:styleId="QuoteChar">
    <w:name w:val="Quote Char"/>
    <w:basedOn w:val="DefaultParagraphFont"/>
    <w:link w:val="Quote"/>
    <w:uiPriority w:val="29"/>
    <w:rsid w:val="00F72822"/>
    <w:rPr>
      <w:i/>
      <w:iCs/>
      <w:color w:val="404040" w:themeColor="text1" w:themeTint="BF"/>
    </w:rPr>
  </w:style>
  <w:style w:type="paragraph" w:styleId="ListParagraph">
    <w:name w:val="List Paragraph"/>
    <w:basedOn w:val="Normal"/>
    <w:uiPriority w:val="34"/>
    <w:qFormat/>
    <w:rsid w:val="00F72822"/>
    <w:pPr>
      <w:ind w:left="720"/>
      <w:contextualSpacing/>
    </w:pPr>
  </w:style>
  <w:style w:type="character" w:styleId="IntenseEmphasis">
    <w:name w:val="Intense Emphasis"/>
    <w:basedOn w:val="DefaultParagraphFont"/>
    <w:uiPriority w:val="21"/>
    <w:qFormat/>
    <w:rsid w:val="00F72822"/>
    <w:rPr>
      <w:i/>
      <w:iCs/>
      <w:color w:val="0F4761" w:themeColor="accent1" w:themeShade="BF"/>
    </w:rPr>
  </w:style>
  <w:style w:type="paragraph" w:styleId="IntenseQuote">
    <w:name w:val="Intense Quote"/>
    <w:basedOn w:val="Normal"/>
    <w:next w:val="Normal"/>
    <w:link w:val="IntenseQuoteChar"/>
    <w:uiPriority w:val="30"/>
    <w:qFormat/>
    <w:rsid w:val="00F728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822"/>
    <w:rPr>
      <w:i/>
      <w:iCs/>
      <w:color w:val="0F4761" w:themeColor="accent1" w:themeShade="BF"/>
    </w:rPr>
  </w:style>
  <w:style w:type="character" w:styleId="IntenseReference">
    <w:name w:val="Intense Reference"/>
    <w:basedOn w:val="DefaultParagraphFont"/>
    <w:uiPriority w:val="32"/>
    <w:qFormat/>
    <w:rsid w:val="00F72822"/>
    <w:rPr>
      <w:b/>
      <w:bCs/>
      <w:smallCaps/>
      <w:color w:val="0F4761" w:themeColor="accent1" w:themeShade="BF"/>
      <w:spacing w:val="5"/>
    </w:rPr>
  </w:style>
  <w:style w:type="table" w:styleId="GridTable4-Accent5">
    <w:name w:val="Grid Table 4 Accent 5"/>
    <w:basedOn w:val="TableNormal"/>
    <w:uiPriority w:val="49"/>
    <w:rsid w:val="00B03523"/>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5Dark-Accent5">
    <w:name w:val="Grid Table 5 Dark Accent 5"/>
    <w:basedOn w:val="TableNormal"/>
    <w:uiPriority w:val="50"/>
    <w:rsid w:val="0029569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paragraph" w:styleId="TOCHeading">
    <w:name w:val="TOC Heading"/>
    <w:basedOn w:val="Heading1"/>
    <w:next w:val="Normal"/>
    <w:uiPriority w:val="39"/>
    <w:unhideWhenUsed/>
    <w:qFormat/>
    <w:rsid w:val="0006049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6049F"/>
    <w:pPr>
      <w:spacing w:after="100"/>
    </w:pPr>
  </w:style>
  <w:style w:type="paragraph" w:styleId="TOC2">
    <w:name w:val="toc 2"/>
    <w:basedOn w:val="Normal"/>
    <w:next w:val="Normal"/>
    <w:autoRedefine/>
    <w:uiPriority w:val="39"/>
    <w:unhideWhenUsed/>
    <w:rsid w:val="0006049F"/>
    <w:pPr>
      <w:spacing w:after="100"/>
      <w:ind w:left="240"/>
    </w:pPr>
  </w:style>
  <w:style w:type="character" w:styleId="Hyperlink">
    <w:name w:val="Hyperlink"/>
    <w:basedOn w:val="DefaultParagraphFont"/>
    <w:uiPriority w:val="99"/>
    <w:unhideWhenUsed/>
    <w:rsid w:val="0006049F"/>
    <w:rPr>
      <w:color w:val="467886" w:themeColor="hyperlink"/>
      <w:u w:val="single"/>
    </w:rPr>
  </w:style>
  <w:style w:type="character" w:styleId="UnresolvedMention">
    <w:name w:val="Unresolved Mention"/>
    <w:basedOn w:val="DefaultParagraphFont"/>
    <w:uiPriority w:val="99"/>
    <w:semiHidden/>
    <w:unhideWhenUsed/>
    <w:rsid w:val="00C4470A"/>
    <w:rPr>
      <w:color w:val="605E5C"/>
      <w:shd w:val="clear" w:color="auto" w:fill="E1DFDD"/>
    </w:rPr>
  </w:style>
  <w:style w:type="character" w:styleId="CommentReference">
    <w:name w:val="annotation reference"/>
    <w:basedOn w:val="DefaultParagraphFont"/>
    <w:uiPriority w:val="99"/>
    <w:semiHidden/>
    <w:unhideWhenUsed/>
    <w:rsid w:val="00B10EF9"/>
    <w:rPr>
      <w:sz w:val="16"/>
      <w:szCs w:val="16"/>
    </w:rPr>
  </w:style>
  <w:style w:type="paragraph" w:styleId="CommentText">
    <w:name w:val="annotation text"/>
    <w:basedOn w:val="Normal"/>
    <w:link w:val="CommentTextChar"/>
    <w:uiPriority w:val="99"/>
    <w:unhideWhenUsed/>
    <w:rsid w:val="00B10EF9"/>
    <w:pPr>
      <w:spacing w:line="240" w:lineRule="auto"/>
    </w:pPr>
    <w:rPr>
      <w:sz w:val="20"/>
      <w:szCs w:val="20"/>
    </w:rPr>
  </w:style>
  <w:style w:type="character" w:customStyle="1" w:styleId="CommentTextChar">
    <w:name w:val="Comment Text Char"/>
    <w:basedOn w:val="DefaultParagraphFont"/>
    <w:link w:val="CommentText"/>
    <w:uiPriority w:val="99"/>
    <w:rsid w:val="00B10EF9"/>
    <w:rPr>
      <w:sz w:val="20"/>
      <w:szCs w:val="20"/>
    </w:rPr>
  </w:style>
  <w:style w:type="paragraph" w:styleId="CommentSubject">
    <w:name w:val="annotation subject"/>
    <w:basedOn w:val="CommentText"/>
    <w:next w:val="CommentText"/>
    <w:link w:val="CommentSubjectChar"/>
    <w:uiPriority w:val="99"/>
    <w:semiHidden/>
    <w:unhideWhenUsed/>
    <w:rsid w:val="00B10EF9"/>
    <w:rPr>
      <w:b/>
      <w:bCs/>
    </w:rPr>
  </w:style>
  <w:style w:type="character" w:customStyle="1" w:styleId="CommentSubjectChar">
    <w:name w:val="Comment Subject Char"/>
    <w:basedOn w:val="CommentTextChar"/>
    <w:link w:val="CommentSubject"/>
    <w:uiPriority w:val="99"/>
    <w:semiHidden/>
    <w:rsid w:val="00B10EF9"/>
    <w:rPr>
      <w:b/>
      <w:bCs/>
      <w:sz w:val="20"/>
      <w:szCs w:val="20"/>
    </w:rPr>
  </w:style>
  <w:style w:type="character" w:styleId="FollowedHyperlink">
    <w:name w:val="FollowedHyperlink"/>
    <w:basedOn w:val="DefaultParagraphFont"/>
    <w:uiPriority w:val="99"/>
    <w:semiHidden/>
    <w:unhideWhenUsed/>
    <w:rsid w:val="00BE30C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ook/4968%20" TargetMode="External"/><Relationship Id="rId13" Type="http://schemas.openxmlformats.org/officeDocument/2006/relationships/hyperlink" Target="https://ideascale.com/blog/what-is-organizational-structure/%20%20" TargetMode="External"/><Relationship Id="rId18" Type="http://schemas.openxmlformats.org/officeDocument/2006/relationships/hyperlink" Target="https://www.lloydsbankinggroup.com/who-we-are/our-strategy.html%20" TargetMode="External"/><Relationship Id="rId3" Type="http://schemas.openxmlformats.org/officeDocument/2006/relationships/webSettings" Target="webSettings.xml"/><Relationship Id="rId21" Type="http://schemas.openxmlformats.org/officeDocument/2006/relationships/hyperlink" Target="https://www.lloydsbankinggroup.com/media/press-releases/2026/lloyds-banking-group/ai-driven-benefits-2026.html" TargetMode="External"/><Relationship Id="rId7" Type="http://schemas.openxmlformats.org/officeDocument/2006/relationships/hyperlink" Target="https://balancedscorecard.org/bsc-basics/%20%20" TargetMode="External"/><Relationship Id="rId12" Type="http://schemas.openxmlformats.org/officeDocument/2006/relationships/hyperlink" Target="https://www.britannica.com/topic/organizational-culture%20" TargetMode="External"/><Relationship Id="rId17" Type="http://schemas.openxmlformats.org/officeDocument/2006/relationships/hyperlink" Target="www.lloydsbankinggroup.com" TargetMode="External"/><Relationship Id="rId2" Type="http://schemas.openxmlformats.org/officeDocument/2006/relationships/settings" Target="settings.xml"/><Relationship Id="rId16" Type="http://schemas.openxmlformats.org/officeDocument/2006/relationships/hyperlink" Target="https://www.lloydsbankinggroup.com/assets/pdfs/who-we-are/responsible-business/downloads/group-codes-and-policies/2022-lbg-code-of-ethics-and-responsibility.pdf%20" TargetMode="External"/><Relationship Id="rId20" Type="http://schemas.openxmlformats.org/officeDocument/2006/relationships/hyperlink" Target="https://www.lloydsbankinggroup.com/sustainability/sustainability-report.html%20%20"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geeksforgeeks.org/business-studies/what-is-gantt-chart-in-project-management/.%20" TargetMode="External"/><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oxford-review.com/the-oxford-review-dei-diversity-equity-and-inclusion-dictionary/organisational-culture-definition-and-explanation%20" TargetMode="External"/><Relationship Id="rId23" Type="http://schemas.openxmlformats.org/officeDocument/2006/relationships/fontTable" Target="fontTable.xml"/><Relationship Id="rId10" Type="http://schemas.openxmlformats.org/officeDocument/2006/relationships/hyperlink" Target="https://journals.sagepub.com/doi/10.2307/2666999%20" TargetMode="External"/><Relationship Id="rId19" Type="http://schemas.openxmlformats.org/officeDocument/2006/relationships/hyperlink" Target="https://www.lloydsbankinggroup.com/assets/pdfs/sustainability/reports-and-presentations/2024/2024-lbg-sustainability-reporting-framework-index.pdf%20" TargetMode="External"/><Relationship Id="rId4" Type="http://schemas.openxmlformats.org/officeDocument/2006/relationships/image" Target="media/image1.png"/><Relationship Id="rId9" Type="http://schemas.openxmlformats.org/officeDocument/2006/relationships/hyperlink" Target="https://www.jstor.org/stable/2635122%20" TargetMode="External"/><Relationship Id="rId14" Type="http://schemas.openxmlformats.org/officeDocument/2006/relationships/hyperlink" Target="https://www.toolshero.com/management/cultural-web-analysis/%20" TargetMode="External"/><Relationship Id="rId22" Type="http://schemas.openxmlformats.org/officeDocument/2006/relationships/hyperlink" Target="https://www.aihr.com/blog/culture-metric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1583</TotalTime>
  <Pages>15</Pages>
  <Words>4715</Words>
  <Characters>26880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Raduta-Adriana Plesca (2420315)</dc:creator>
  <cp:keywords/>
  <dc:description/>
  <cp:lastModifiedBy>Raduta-Adriana Plesca (2420315)</cp:lastModifiedBy>
  <cp:revision>110</cp:revision>
  <dcterms:created xsi:type="dcterms:W3CDTF">2026-10-19T14:03:00Z</dcterms:created>
  <dcterms:modified xsi:type="dcterms:W3CDTF">2026-10-26T14:41:00Z</dcterms:modified>
</cp:coreProperties>
</file>