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6D74" w:rsidRDefault="00D626B8" w:rsidP="009513D3">
      <w:pPr>
        <w:spacing w:before="1540" w:after="240" w:line="360" w:lineRule="auto"/>
        <w:ind w:left="2160" w:firstLine="720"/>
        <w:rPr>
          <w:color w:val="5B9BD5"/>
          <w:sz w:val="36"/>
          <w:szCs w:val="36"/>
        </w:rPr>
      </w:pPr>
      <w:r>
        <w:rPr>
          <w:rFonts w:ascii="Calibri" w:eastAsia="Calibri" w:hAnsi="Calibri" w:cs="Calibri"/>
          <w:noProof/>
          <w:color w:val="5B9BD5"/>
        </w:rPr>
        <w:drawing>
          <wp:inline distT="0" distB="0" distL="0" distR="0">
            <wp:extent cx="1727622" cy="915987"/>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
                    <a:srcRect/>
                    <a:stretch>
                      <a:fillRect/>
                    </a:stretch>
                  </pic:blipFill>
                  <pic:spPr>
                    <a:xfrm>
                      <a:off x="0" y="0"/>
                      <a:ext cx="1727622" cy="915987"/>
                    </a:xfrm>
                    <a:prstGeom prst="rect">
                      <a:avLst/>
                    </a:prstGeom>
                    <a:ln/>
                  </pic:spPr>
                </pic:pic>
              </a:graphicData>
            </a:graphic>
          </wp:inline>
        </w:drawing>
      </w:r>
    </w:p>
    <w:p w:rsidR="00476D74" w:rsidRDefault="00D626B8" w:rsidP="009513D3">
      <w:pPr>
        <w:spacing w:before="240" w:after="240" w:line="360" w:lineRule="auto"/>
        <w:jc w:val="center"/>
        <w:rPr>
          <w:color w:val="5B9BD5"/>
          <w:sz w:val="36"/>
          <w:szCs w:val="36"/>
        </w:rPr>
      </w:pPr>
      <w:r>
        <w:rPr>
          <w:color w:val="5B9BD5"/>
          <w:sz w:val="36"/>
          <w:szCs w:val="36"/>
        </w:rPr>
        <w:t xml:space="preserve">Analysis of Financial Statements of </w:t>
      </w:r>
      <w:proofErr w:type="spellStart"/>
      <w:r>
        <w:rPr>
          <w:color w:val="5B9BD5"/>
          <w:sz w:val="36"/>
          <w:szCs w:val="36"/>
        </w:rPr>
        <w:t>Mariott</w:t>
      </w:r>
      <w:proofErr w:type="spellEnd"/>
      <w:r>
        <w:rPr>
          <w:color w:val="5B9BD5"/>
          <w:sz w:val="36"/>
          <w:szCs w:val="36"/>
        </w:rPr>
        <w:t xml:space="preserve"> International</w:t>
      </w:r>
    </w:p>
    <w:p w:rsidR="00476D74" w:rsidRDefault="00D626B8" w:rsidP="009513D3">
      <w:pPr>
        <w:spacing w:line="360" w:lineRule="auto"/>
        <w:jc w:val="both"/>
        <w:rPr>
          <w:color w:val="5B9BD5"/>
          <w:sz w:val="24"/>
          <w:szCs w:val="24"/>
        </w:rPr>
      </w:pPr>
      <w:r>
        <w:rPr>
          <w:color w:val="5B9BD5"/>
          <w:sz w:val="24"/>
          <w:szCs w:val="24"/>
        </w:rPr>
        <w:tab/>
      </w:r>
      <w:r>
        <w:rPr>
          <w:color w:val="5B9BD5"/>
          <w:sz w:val="24"/>
          <w:szCs w:val="24"/>
        </w:rPr>
        <w:tab/>
      </w:r>
      <w:r>
        <w:rPr>
          <w:color w:val="5B9BD5"/>
          <w:sz w:val="24"/>
          <w:szCs w:val="24"/>
        </w:rPr>
        <w:tab/>
      </w:r>
      <w:r>
        <w:rPr>
          <w:color w:val="5B9BD5"/>
          <w:sz w:val="24"/>
          <w:szCs w:val="24"/>
        </w:rPr>
        <w:tab/>
      </w:r>
      <w:r>
        <w:rPr>
          <w:color w:val="5B9BD5"/>
          <w:sz w:val="24"/>
          <w:szCs w:val="24"/>
        </w:rPr>
        <w:tab/>
      </w:r>
      <w:r>
        <w:rPr>
          <w:rFonts w:ascii="Calibri" w:eastAsia="Calibri" w:hAnsi="Calibri" w:cs="Calibri"/>
          <w:noProof/>
          <w:color w:val="5B9BD5"/>
        </w:rPr>
        <w:drawing>
          <wp:inline distT="0" distB="0" distL="0" distR="0">
            <wp:extent cx="1124258" cy="702661"/>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5"/>
                    <a:srcRect/>
                    <a:stretch>
                      <a:fillRect/>
                    </a:stretch>
                  </pic:blipFill>
                  <pic:spPr>
                    <a:xfrm>
                      <a:off x="0" y="0"/>
                      <a:ext cx="1124258" cy="702661"/>
                    </a:xfrm>
                    <a:prstGeom prst="rect">
                      <a:avLst/>
                    </a:prstGeom>
                    <a:ln/>
                  </pic:spPr>
                </pic:pic>
              </a:graphicData>
            </a:graphic>
          </wp:inline>
        </w:drawing>
      </w: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D626B8" w:rsidP="009513D3">
      <w:pPr>
        <w:spacing w:line="360" w:lineRule="auto"/>
        <w:jc w:val="both"/>
        <w:rPr>
          <w:color w:val="5B9BD5"/>
          <w:sz w:val="24"/>
          <w:szCs w:val="24"/>
        </w:rPr>
      </w:pPr>
      <w:r>
        <w:rPr>
          <w:color w:val="5B9BD5"/>
          <w:sz w:val="24"/>
          <w:szCs w:val="24"/>
        </w:rPr>
        <w:t xml:space="preserve">Student Name: </w:t>
      </w:r>
      <w:proofErr w:type="spellStart"/>
      <w:r>
        <w:rPr>
          <w:color w:val="5B9BD5"/>
          <w:sz w:val="24"/>
          <w:szCs w:val="24"/>
        </w:rPr>
        <w:t>Titu</w:t>
      </w:r>
      <w:proofErr w:type="spellEnd"/>
      <w:r>
        <w:rPr>
          <w:color w:val="5B9BD5"/>
          <w:sz w:val="24"/>
          <w:szCs w:val="24"/>
        </w:rPr>
        <w:t xml:space="preserve"> Mia</w:t>
      </w:r>
    </w:p>
    <w:p w:rsidR="00476D74" w:rsidRDefault="00D626B8" w:rsidP="009513D3">
      <w:pPr>
        <w:spacing w:line="360" w:lineRule="auto"/>
        <w:jc w:val="both"/>
        <w:rPr>
          <w:color w:val="5B9BD5"/>
          <w:sz w:val="24"/>
          <w:szCs w:val="24"/>
        </w:rPr>
      </w:pPr>
      <w:r>
        <w:rPr>
          <w:color w:val="5B9BD5"/>
          <w:sz w:val="24"/>
          <w:szCs w:val="24"/>
        </w:rPr>
        <w:t>Student ID</w:t>
      </w:r>
      <w:proofErr w:type="gramStart"/>
      <w:r>
        <w:rPr>
          <w:color w:val="5B9BD5"/>
          <w:sz w:val="24"/>
          <w:szCs w:val="24"/>
        </w:rPr>
        <w:t>:2020573</w:t>
      </w:r>
      <w:proofErr w:type="gramEnd"/>
    </w:p>
    <w:p w:rsidR="00476D74" w:rsidRDefault="00D626B8" w:rsidP="009513D3">
      <w:pPr>
        <w:spacing w:line="360" w:lineRule="auto"/>
        <w:jc w:val="both"/>
        <w:rPr>
          <w:color w:val="5B9BD5"/>
          <w:sz w:val="24"/>
          <w:szCs w:val="24"/>
        </w:rPr>
      </w:pPr>
      <w:r>
        <w:rPr>
          <w:color w:val="5B9BD5"/>
          <w:sz w:val="24"/>
          <w:szCs w:val="24"/>
        </w:rPr>
        <w:t xml:space="preserve">Module </w:t>
      </w:r>
      <w:proofErr w:type="gramStart"/>
      <w:r>
        <w:rPr>
          <w:color w:val="5B9BD5"/>
          <w:sz w:val="24"/>
          <w:szCs w:val="24"/>
        </w:rPr>
        <w:t>Name :</w:t>
      </w:r>
      <w:proofErr w:type="gramEnd"/>
      <w:r>
        <w:rPr>
          <w:color w:val="5B9BD5"/>
          <w:sz w:val="24"/>
          <w:szCs w:val="24"/>
        </w:rPr>
        <w:t xml:space="preserve"> Financial Management </w:t>
      </w:r>
    </w:p>
    <w:p w:rsidR="00476D74" w:rsidRDefault="00D626B8" w:rsidP="009513D3">
      <w:pPr>
        <w:spacing w:line="360" w:lineRule="auto"/>
        <w:jc w:val="both"/>
        <w:rPr>
          <w:color w:val="5B9BD5"/>
          <w:sz w:val="24"/>
          <w:szCs w:val="24"/>
        </w:rPr>
      </w:pPr>
      <w:r>
        <w:rPr>
          <w:color w:val="5B9BD5"/>
          <w:sz w:val="24"/>
          <w:szCs w:val="24"/>
        </w:rPr>
        <w:t xml:space="preserve">Module </w:t>
      </w:r>
      <w:proofErr w:type="gramStart"/>
      <w:r>
        <w:rPr>
          <w:color w:val="5B9BD5"/>
          <w:sz w:val="24"/>
          <w:szCs w:val="24"/>
        </w:rPr>
        <w:t>ID :</w:t>
      </w:r>
      <w:proofErr w:type="gramEnd"/>
      <w:r>
        <w:rPr>
          <w:color w:val="5B9BD5"/>
          <w:sz w:val="24"/>
          <w:szCs w:val="24"/>
        </w:rPr>
        <w:t xml:space="preserve"> BMIH500</w:t>
      </w:r>
      <w:r w:rsidR="00401EFE">
        <w:rPr>
          <w:color w:val="5B9BD5"/>
          <w:sz w:val="24"/>
          <w:szCs w:val="24"/>
        </w:rPr>
        <w:t>7</w:t>
      </w:r>
    </w:p>
    <w:p w:rsidR="00651ED0" w:rsidRDefault="00651ED0" w:rsidP="009513D3">
      <w:pPr>
        <w:spacing w:line="360" w:lineRule="auto"/>
        <w:jc w:val="both"/>
        <w:rPr>
          <w:color w:val="5B9BD5"/>
          <w:sz w:val="24"/>
          <w:szCs w:val="24"/>
        </w:rPr>
      </w:pPr>
      <w:r w:rsidRPr="00651ED0">
        <w:rPr>
          <w:color w:val="5B9BD5"/>
          <w:sz w:val="24"/>
          <w:szCs w:val="24"/>
        </w:rPr>
        <w:t xml:space="preserve">Module Tutor: </w:t>
      </w:r>
      <w:bookmarkStart w:id="0" w:name="_GoBack"/>
      <w:bookmarkEnd w:id="0"/>
      <w:r w:rsidR="00401EFE">
        <w:rPr>
          <w:color w:val="5B9BD5"/>
          <w:sz w:val="24"/>
          <w:szCs w:val="24"/>
        </w:rPr>
        <w:t>Dale Clarke</w:t>
      </w: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BB1B38" w:rsidP="009513D3">
      <w:pPr>
        <w:spacing w:line="360" w:lineRule="auto"/>
        <w:jc w:val="both"/>
        <w:rPr>
          <w:color w:val="5B9BD5"/>
          <w:sz w:val="24"/>
          <w:szCs w:val="24"/>
        </w:rPr>
      </w:pPr>
      <w:bookmarkStart w:id="1" w:name="_gjdgxs" w:colFirst="0" w:colLast="0"/>
      <w:bookmarkEnd w:id="1"/>
      <w:r>
        <w:rPr>
          <w:noProof/>
          <w:color w:val="5B9BD5"/>
          <w:sz w:val="24"/>
          <w:szCs w:val="24"/>
        </w:rPr>
        <w:pict>
          <v:rect id="Rectangle 1" o:spid="_x0000_s1026" style="position:absolute;left:0;text-align:left;margin-left:0;margin-top:688.85pt;width:452.05pt;height:53.15pt;z-index:251658240;visibility:visible;mso-position-horizontal-relative:margin;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" filled="f" stroked="f">
            <v:textbox inset="0,0,0,0">
              <w:txbxContent>
                <w:p w:rsidR="00476D74" w:rsidRDefault="00476D74">
                  <w:pPr>
                    <w:spacing w:after="40" w:line="240" w:lineRule="auto"/>
                    <w:jc w:val="center"/>
                    <w:textDirection w:val="btLr"/>
                  </w:pPr>
                </w:p>
                <w:p w:rsidR="00476D74" w:rsidRDefault="00D626B8">
                  <w:pPr>
                    <w:spacing w:line="240" w:lineRule="auto"/>
                    <w:jc w:val="center"/>
                    <w:textDirection w:val="btLr"/>
                  </w:pPr>
                  <w:r>
                    <w:rPr>
                      <w:smallCaps/>
                      <w:color w:val="5B9BD5"/>
                      <w:sz w:val="28"/>
                    </w:rPr>
                    <w:t>UNIVERSITY OF WALES TRINITY SAINT DAVID</w:t>
                  </w:r>
                </w:p>
                <w:p w:rsidR="00476D74" w:rsidRDefault="00476D74">
                  <w:pPr>
                    <w:spacing w:line="240" w:lineRule="auto"/>
                    <w:jc w:val="center"/>
                    <w:textDirection w:val="btLr"/>
                  </w:pPr>
                </w:p>
              </w:txbxContent>
            </v:textbox>
            <w10:wrap anchorx="margin" anchory="page"/>
          </v:rect>
        </w:pict>
      </w:r>
    </w:p>
    <w:p w:rsidR="00476D74" w:rsidRDefault="00476D74" w:rsidP="009513D3">
      <w:pPr>
        <w:spacing w:line="360" w:lineRule="auto"/>
        <w:jc w:val="both"/>
        <w:rPr>
          <w:color w:val="5B9BD5"/>
          <w:sz w:val="24"/>
          <w:szCs w:val="24"/>
        </w:rPr>
      </w:pPr>
    </w:p>
    <w:p w:rsidR="007F14C5" w:rsidRPr="00B4752E" w:rsidRDefault="007F14C5" w:rsidP="009513D3">
      <w:pPr>
        <w:pStyle w:val="TOCHeading"/>
        <w:spacing w:line="360" w:lineRule="auto"/>
        <w:jc w:val="both"/>
        <w:rPr>
          <w:rFonts w:asciiTheme="minorBidi" w:hAnsiTheme="minorBidi" w:cstheme="minorBidi"/>
          <w:sz w:val="24"/>
          <w:szCs w:val="24"/>
        </w:rPr>
      </w:pPr>
      <w:r>
        <w:rPr>
          <w:color w:val="5B9BD5"/>
          <w:sz w:val="24"/>
          <w:szCs w:val="24"/>
        </w:rPr>
        <w:br w:type="page"/>
      </w:r>
      <w:r w:rsidRPr="00B4752E">
        <w:rPr>
          <w:rFonts w:asciiTheme="minorBidi" w:hAnsiTheme="minorBidi" w:cstheme="minorBidi"/>
          <w:sz w:val="24"/>
          <w:szCs w:val="24"/>
        </w:rPr>
        <w:lastRenderedPageBreak/>
        <w:t>Table of Contents</w:t>
      </w:r>
    </w:p>
    <w:p w:rsidR="007F14C5" w:rsidRPr="00B4752E" w:rsidRDefault="00BB1B38" w:rsidP="009513D3">
      <w:pPr>
        <w:pStyle w:val="TOC1"/>
        <w:tabs>
          <w:tab w:val="right" w:leader="dot" w:pos="9016"/>
        </w:tabs>
        <w:spacing w:line="360" w:lineRule="auto"/>
        <w:jc w:val="both"/>
        <w:rPr>
          <w:rFonts w:asciiTheme="minorBidi" w:eastAsiaTheme="minorEastAsia" w:hAnsiTheme="minorBidi"/>
          <w:noProof/>
          <w:sz w:val="24"/>
          <w:szCs w:val="24"/>
          <w:lang w:eastAsia="en-GB"/>
        </w:rPr>
      </w:pPr>
      <w:r w:rsidRPr="00BB1B38">
        <w:rPr>
          <w:rFonts w:asciiTheme="minorBidi" w:hAnsiTheme="minorBidi"/>
          <w:sz w:val="24"/>
          <w:szCs w:val="24"/>
        </w:rPr>
        <w:fldChar w:fldCharType="begin"/>
      </w:r>
      <w:r w:rsidR="007F14C5" w:rsidRPr="00B4752E">
        <w:rPr>
          <w:rFonts w:asciiTheme="minorBidi" w:hAnsiTheme="minorBidi"/>
          <w:sz w:val="24"/>
          <w:szCs w:val="24"/>
        </w:rPr>
        <w:instrText xml:space="preserve"> TOC \o "1-3" \h \z \u </w:instrText>
      </w:r>
      <w:r w:rsidRPr="00BB1B38">
        <w:rPr>
          <w:rFonts w:asciiTheme="minorBidi" w:hAnsiTheme="minorBidi"/>
          <w:sz w:val="24"/>
          <w:szCs w:val="24"/>
        </w:rPr>
        <w:fldChar w:fldCharType="separate"/>
      </w:r>
      <w:hyperlink w:anchor="_Toc463944599" w:history="1">
        <w:r w:rsidR="007F14C5" w:rsidRPr="00B4752E">
          <w:rPr>
            <w:rStyle w:val="Hyperlink"/>
            <w:rFonts w:asciiTheme="minorBidi" w:hAnsiTheme="minorBidi"/>
            <w:noProof/>
            <w:sz w:val="24"/>
            <w:szCs w:val="24"/>
          </w:rPr>
          <w:t>Executive Summary</w:t>
        </w:r>
        <w:r w:rsidR="007F14C5" w:rsidRPr="00B4752E">
          <w:rPr>
            <w:rFonts w:asciiTheme="minorBidi" w:hAnsiTheme="minorBidi"/>
            <w:noProof/>
            <w:webHidden/>
            <w:sz w:val="24"/>
            <w:szCs w:val="24"/>
          </w:rPr>
          <w:tab/>
        </w:r>
        <w:r w:rsidR="007F14C5">
          <w:rPr>
            <w:rFonts w:asciiTheme="minorBidi" w:hAnsiTheme="minorBidi"/>
            <w:noProof/>
            <w:webHidden/>
            <w:sz w:val="24"/>
            <w:szCs w:val="24"/>
          </w:rPr>
          <w:t>3</w:t>
        </w:r>
      </w:hyperlink>
    </w:p>
    <w:p w:rsidR="007F14C5" w:rsidRPr="00B4752E" w:rsidRDefault="00BB1B38" w:rsidP="009513D3">
      <w:pPr>
        <w:pStyle w:val="TOC1"/>
        <w:tabs>
          <w:tab w:val="right" w:leader="dot" w:pos="9016"/>
        </w:tabs>
        <w:spacing w:line="360" w:lineRule="auto"/>
        <w:jc w:val="both"/>
        <w:rPr>
          <w:rFonts w:asciiTheme="minorBidi" w:eastAsiaTheme="minorEastAsia" w:hAnsiTheme="minorBidi"/>
          <w:noProof/>
          <w:sz w:val="24"/>
          <w:szCs w:val="24"/>
          <w:lang w:eastAsia="en-GB"/>
        </w:rPr>
      </w:pPr>
      <w:hyperlink w:anchor="_Toc463944600" w:history="1">
        <w:r w:rsidR="007F14C5" w:rsidRPr="00B4752E">
          <w:rPr>
            <w:rStyle w:val="Hyperlink"/>
            <w:rFonts w:asciiTheme="minorBidi" w:hAnsiTheme="minorBidi"/>
            <w:noProof/>
            <w:sz w:val="24"/>
            <w:szCs w:val="24"/>
          </w:rPr>
          <w:t>Introduction</w:t>
        </w:r>
        <w:r w:rsidR="007F14C5" w:rsidRPr="00B4752E">
          <w:rPr>
            <w:rFonts w:asciiTheme="minorBidi" w:hAnsiTheme="minorBidi"/>
            <w:noProof/>
            <w:webHidden/>
            <w:sz w:val="24"/>
            <w:szCs w:val="24"/>
          </w:rPr>
          <w:tab/>
        </w:r>
        <w:r w:rsidR="007F14C5">
          <w:rPr>
            <w:rFonts w:asciiTheme="minorBidi" w:hAnsiTheme="minorBidi"/>
            <w:noProof/>
            <w:webHidden/>
            <w:sz w:val="24"/>
            <w:szCs w:val="24"/>
          </w:rPr>
          <w:t>4</w:t>
        </w:r>
      </w:hyperlink>
    </w:p>
    <w:p w:rsidR="007F14C5" w:rsidRPr="00B4752E" w:rsidRDefault="00BB1B38" w:rsidP="009513D3">
      <w:pPr>
        <w:pStyle w:val="TOC1"/>
        <w:tabs>
          <w:tab w:val="right" w:leader="dot" w:pos="9016"/>
        </w:tabs>
        <w:spacing w:line="360" w:lineRule="auto"/>
        <w:jc w:val="both"/>
        <w:rPr>
          <w:rFonts w:asciiTheme="minorBidi" w:eastAsiaTheme="minorEastAsia" w:hAnsiTheme="minorBidi"/>
          <w:noProof/>
          <w:sz w:val="24"/>
          <w:szCs w:val="24"/>
          <w:lang w:eastAsia="en-GB"/>
        </w:rPr>
      </w:pPr>
      <w:hyperlink w:anchor="_Toc463944602" w:history="1">
        <w:r w:rsidR="007F14C5" w:rsidRPr="00B4752E">
          <w:rPr>
            <w:rStyle w:val="Hyperlink"/>
            <w:rFonts w:asciiTheme="minorBidi" w:hAnsiTheme="minorBidi"/>
            <w:noProof/>
            <w:sz w:val="24"/>
            <w:szCs w:val="24"/>
          </w:rPr>
          <w:t>Financial Analysis Trends</w:t>
        </w:r>
        <w:r w:rsidR="007F14C5" w:rsidRPr="00B4752E">
          <w:rPr>
            <w:rFonts w:asciiTheme="minorBidi" w:hAnsiTheme="minorBidi"/>
            <w:noProof/>
            <w:webHidden/>
            <w:sz w:val="24"/>
            <w:szCs w:val="24"/>
          </w:rPr>
          <w:tab/>
        </w:r>
        <w:r w:rsidR="007F14C5">
          <w:rPr>
            <w:rFonts w:asciiTheme="minorBidi" w:hAnsiTheme="minorBidi"/>
            <w:noProof/>
            <w:webHidden/>
            <w:sz w:val="24"/>
            <w:szCs w:val="24"/>
          </w:rPr>
          <w:t>5</w:t>
        </w:r>
      </w:hyperlink>
    </w:p>
    <w:p w:rsidR="007F14C5" w:rsidRPr="00B4752E" w:rsidRDefault="00BB1B38" w:rsidP="009513D3">
      <w:pPr>
        <w:pStyle w:val="TOC2"/>
        <w:tabs>
          <w:tab w:val="right" w:leader="dot" w:pos="9016"/>
        </w:tabs>
        <w:spacing w:line="360" w:lineRule="auto"/>
        <w:jc w:val="both"/>
        <w:rPr>
          <w:rFonts w:asciiTheme="minorBidi" w:hAnsiTheme="minorBidi"/>
          <w:noProof/>
          <w:sz w:val="24"/>
          <w:szCs w:val="24"/>
        </w:rPr>
      </w:pPr>
      <w:hyperlink w:anchor="_Toc463944603" w:history="1">
        <w:r w:rsidR="007F14C5" w:rsidRPr="00B4752E">
          <w:rPr>
            <w:rStyle w:val="Hyperlink"/>
            <w:rFonts w:asciiTheme="minorBidi" w:hAnsiTheme="minorBidi"/>
            <w:noProof/>
            <w:sz w:val="24"/>
            <w:szCs w:val="24"/>
          </w:rPr>
          <w:t>Profitability</w:t>
        </w:r>
        <w:r w:rsidR="007F14C5" w:rsidRPr="00B4752E">
          <w:rPr>
            <w:rFonts w:asciiTheme="minorBidi" w:hAnsiTheme="minorBidi"/>
            <w:noProof/>
            <w:webHidden/>
            <w:sz w:val="24"/>
            <w:szCs w:val="24"/>
          </w:rPr>
          <w:tab/>
          <w:t>5</w:t>
        </w:r>
      </w:hyperlink>
    </w:p>
    <w:p w:rsidR="007F14C5" w:rsidRPr="00B4752E" w:rsidRDefault="00BB1B38" w:rsidP="007D09AB">
      <w:pPr>
        <w:pStyle w:val="TOC2"/>
        <w:tabs>
          <w:tab w:val="right" w:leader="dot" w:pos="9016"/>
        </w:tabs>
        <w:spacing w:line="360" w:lineRule="auto"/>
        <w:jc w:val="both"/>
        <w:rPr>
          <w:rFonts w:asciiTheme="minorBidi" w:hAnsiTheme="minorBidi"/>
          <w:noProof/>
          <w:sz w:val="24"/>
          <w:szCs w:val="24"/>
        </w:rPr>
      </w:pPr>
      <w:hyperlink w:anchor="_Toc463944604" w:history="1">
        <w:r w:rsidR="007F14C5" w:rsidRPr="00B4752E">
          <w:rPr>
            <w:rStyle w:val="Hyperlink"/>
            <w:rFonts w:asciiTheme="minorBidi" w:hAnsiTheme="minorBidi"/>
            <w:noProof/>
            <w:sz w:val="24"/>
            <w:szCs w:val="24"/>
          </w:rPr>
          <w:t>Liquidity</w:t>
        </w:r>
        <w:r w:rsidR="007F14C5" w:rsidRPr="00B4752E">
          <w:rPr>
            <w:rFonts w:asciiTheme="minorBidi" w:hAnsiTheme="minorBidi"/>
            <w:noProof/>
            <w:webHidden/>
            <w:sz w:val="24"/>
            <w:szCs w:val="24"/>
          </w:rPr>
          <w:tab/>
        </w:r>
        <w:r w:rsidR="007F14C5">
          <w:rPr>
            <w:rFonts w:asciiTheme="minorBidi" w:hAnsiTheme="minorBidi"/>
            <w:noProof/>
            <w:webHidden/>
            <w:sz w:val="24"/>
            <w:szCs w:val="24"/>
          </w:rPr>
          <w:t>1</w:t>
        </w:r>
        <w:r w:rsidR="007D09AB">
          <w:rPr>
            <w:rFonts w:asciiTheme="minorBidi" w:hAnsiTheme="minorBidi"/>
            <w:noProof/>
            <w:webHidden/>
            <w:sz w:val="24"/>
            <w:szCs w:val="24"/>
          </w:rPr>
          <w:t>4</w:t>
        </w:r>
      </w:hyperlink>
    </w:p>
    <w:p w:rsidR="007F14C5" w:rsidRPr="00B4752E" w:rsidRDefault="00BB1B38" w:rsidP="00D626B8">
      <w:pPr>
        <w:pStyle w:val="TOC2"/>
        <w:tabs>
          <w:tab w:val="right" w:leader="dot" w:pos="9016"/>
        </w:tabs>
        <w:spacing w:line="360" w:lineRule="auto"/>
        <w:jc w:val="both"/>
        <w:rPr>
          <w:rFonts w:asciiTheme="minorBidi" w:hAnsiTheme="minorBidi"/>
          <w:noProof/>
          <w:sz w:val="24"/>
          <w:szCs w:val="24"/>
        </w:rPr>
      </w:pPr>
      <w:hyperlink w:anchor="_Toc463944605" w:history="1">
        <w:r w:rsidR="007F14C5" w:rsidRPr="00B4752E">
          <w:rPr>
            <w:rStyle w:val="Hyperlink"/>
            <w:rFonts w:asciiTheme="minorBidi" w:hAnsiTheme="minorBidi"/>
            <w:noProof/>
            <w:sz w:val="24"/>
            <w:szCs w:val="24"/>
          </w:rPr>
          <w:t>Gearing</w:t>
        </w:r>
        <w:r w:rsidR="007F14C5" w:rsidRPr="00B4752E">
          <w:rPr>
            <w:rFonts w:asciiTheme="minorBidi" w:hAnsiTheme="minorBidi"/>
            <w:noProof/>
            <w:webHidden/>
            <w:sz w:val="24"/>
            <w:szCs w:val="24"/>
          </w:rPr>
          <w:tab/>
          <w:t>1</w:t>
        </w:r>
        <w:r w:rsidR="00D626B8">
          <w:rPr>
            <w:rFonts w:asciiTheme="minorBidi" w:hAnsiTheme="minorBidi"/>
            <w:noProof/>
            <w:webHidden/>
            <w:sz w:val="24"/>
            <w:szCs w:val="24"/>
          </w:rPr>
          <w:t>6</w:t>
        </w:r>
      </w:hyperlink>
    </w:p>
    <w:p w:rsidR="007F14C5" w:rsidRPr="00B4752E" w:rsidRDefault="00BB1B38" w:rsidP="007D09AB">
      <w:pPr>
        <w:pStyle w:val="TOC1"/>
        <w:tabs>
          <w:tab w:val="right" w:leader="dot" w:pos="9016"/>
        </w:tabs>
        <w:spacing w:line="360" w:lineRule="auto"/>
        <w:jc w:val="both"/>
        <w:rPr>
          <w:rFonts w:asciiTheme="minorBidi" w:eastAsiaTheme="minorEastAsia" w:hAnsiTheme="minorBidi"/>
          <w:noProof/>
          <w:sz w:val="24"/>
          <w:szCs w:val="24"/>
          <w:lang w:eastAsia="en-GB"/>
        </w:rPr>
      </w:pPr>
      <w:hyperlink w:anchor="_Toc463944606" w:history="1">
        <w:r w:rsidR="007F14C5" w:rsidRPr="00B4752E">
          <w:rPr>
            <w:rStyle w:val="Hyperlink"/>
            <w:rFonts w:asciiTheme="minorBidi" w:hAnsiTheme="minorBidi"/>
            <w:noProof/>
            <w:sz w:val="24"/>
            <w:szCs w:val="24"/>
          </w:rPr>
          <w:t>Knowledge from Ratio Analysis</w:t>
        </w:r>
        <w:r w:rsidR="007F14C5" w:rsidRPr="00B4752E">
          <w:rPr>
            <w:rFonts w:asciiTheme="minorBidi" w:hAnsiTheme="minorBidi"/>
            <w:noProof/>
            <w:webHidden/>
            <w:sz w:val="24"/>
            <w:szCs w:val="24"/>
          </w:rPr>
          <w:tab/>
        </w:r>
        <w:r w:rsidR="007D09AB">
          <w:rPr>
            <w:rFonts w:asciiTheme="minorBidi" w:hAnsiTheme="minorBidi"/>
            <w:noProof/>
            <w:webHidden/>
            <w:sz w:val="24"/>
            <w:szCs w:val="24"/>
          </w:rPr>
          <w:t>18</w:t>
        </w:r>
      </w:hyperlink>
    </w:p>
    <w:p w:rsidR="007F14C5" w:rsidRPr="00B4752E" w:rsidRDefault="00BB1B38" w:rsidP="007D09AB">
      <w:pPr>
        <w:pStyle w:val="TOC1"/>
        <w:tabs>
          <w:tab w:val="right" w:leader="dot" w:pos="9016"/>
        </w:tabs>
        <w:spacing w:line="360" w:lineRule="auto"/>
        <w:jc w:val="both"/>
        <w:rPr>
          <w:rFonts w:asciiTheme="minorBidi" w:eastAsiaTheme="minorEastAsia" w:hAnsiTheme="minorBidi"/>
          <w:noProof/>
          <w:sz w:val="24"/>
          <w:szCs w:val="24"/>
          <w:lang w:eastAsia="en-GB"/>
        </w:rPr>
      </w:pPr>
      <w:hyperlink w:anchor="_Toc463944607" w:history="1">
        <w:r w:rsidR="007F14C5" w:rsidRPr="00B4752E">
          <w:rPr>
            <w:rStyle w:val="Hyperlink"/>
            <w:rFonts w:asciiTheme="minorBidi" w:hAnsiTheme="minorBidi"/>
            <w:noProof/>
            <w:sz w:val="24"/>
            <w:szCs w:val="24"/>
          </w:rPr>
          <w:t>Benefits and Limitations of Ratio Analysis</w:t>
        </w:r>
        <w:r w:rsidR="007F14C5" w:rsidRPr="00B4752E">
          <w:rPr>
            <w:rFonts w:asciiTheme="minorBidi" w:hAnsiTheme="minorBidi"/>
            <w:noProof/>
            <w:webHidden/>
            <w:sz w:val="24"/>
            <w:szCs w:val="24"/>
          </w:rPr>
          <w:tab/>
        </w:r>
        <w:r w:rsidR="007D09AB">
          <w:rPr>
            <w:rFonts w:asciiTheme="minorBidi" w:hAnsiTheme="minorBidi"/>
            <w:noProof/>
            <w:webHidden/>
            <w:sz w:val="24"/>
            <w:szCs w:val="24"/>
          </w:rPr>
          <w:t>19</w:t>
        </w:r>
      </w:hyperlink>
    </w:p>
    <w:p w:rsidR="007F14C5" w:rsidRPr="00B4752E" w:rsidRDefault="00BB1B38" w:rsidP="007D09AB">
      <w:pPr>
        <w:pStyle w:val="TOC1"/>
        <w:tabs>
          <w:tab w:val="right" w:leader="dot" w:pos="9016"/>
        </w:tabs>
        <w:spacing w:line="360" w:lineRule="auto"/>
        <w:jc w:val="both"/>
        <w:rPr>
          <w:rFonts w:asciiTheme="minorBidi" w:eastAsiaTheme="minorEastAsia" w:hAnsiTheme="minorBidi"/>
          <w:noProof/>
          <w:sz w:val="24"/>
          <w:szCs w:val="24"/>
          <w:lang w:eastAsia="en-GB"/>
        </w:rPr>
      </w:pPr>
      <w:hyperlink w:anchor="_Toc463944608" w:history="1">
        <w:r w:rsidR="007F14C5" w:rsidRPr="00B4752E">
          <w:rPr>
            <w:rStyle w:val="Hyperlink"/>
            <w:rFonts w:asciiTheme="minorBidi" w:hAnsiTheme="minorBidi"/>
            <w:noProof/>
            <w:sz w:val="24"/>
            <w:szCs w:val="24"/>
          </w:rPr>
          <w:t>Conclusion</w:t>
        </w:r>
        <w:r w:rsidR="007F14C5" w:rsidRPr="00B4752E">
          <w:rPr>
            <w:rFonts w:asciiTheme="minorBidi" w:hAnsiTheme="minorBidi"/>
            <w:noProof/>
            <w:webHidden/>
            <w:sz w:val="24"/>
            <w:szCs w:val="24"/>
          </w:rPr>
          <w:tab/>
        </w:r>
        <w:r w:rsidR="007F14C5">
          <w:rPr>
            <w:rFonts w:asciiTheme="minorBidi" w:hAnsiTheme="minorBidi"/>
            <w:noProof/>
            <w:webHidden/>
            <w:sz w:val="24"/>
            <w:szCs w:val="24"/>
          </w:rPr>
          <w:t>2</w:t>
        </w:r>
        <w:r w:rsidR="007D09AB">
          <w:rPr>
            <w:rFonts w:asciiTheme="minorBidi" w:hAnsiTheme="minorBidi"/>
            <w:noProof/>
            <w:webHidden/>
            <w:sz w:val="24"/>
            <w:szCs w:val="24"/>
          </w:rPr>
          <w:t>1</w:t>
        </w:r>
      </w:hyperlink>
    </w:p>
    <w:p w:rsidR="007F14C5" w:rsidRPr="00B4752E" w:rsidRDefault="00BB1B38" w:rsidP="007D09AB">
      <w:pPr>
        <w:pStyle w:val="TOC1"/>
        <w:tabs>
          <w:tab w:val="right" w:leader="dot" w:pos="9016"/>
        </w:tabs>
        <w:spacing w:line="360" w:lineRule="auto"/>
        <w:jc w:val="both"/>
        <w:rPr>
          <w:rFonts w:asciiTheme="minorBidi" w:eastAsiaTheme="minorEastAsia" w:hAnsiTheme="minorBidi"/>
          <w:noProof/>
          <w:sz w:val="24"/>
          <w:szCs w:val="24"/>
          <w:lang w:eastAsia="en-GB"/>
        </w:rPr>
      </w:pPr>
      <w:hyperlink w:anchor="_Toc463944609" w:history="1">
        <w:r w:rsidR="007F14C5" w:rsidRPr="00B4752E">
          <w:rPr>
            <w:rStyle w:val="Hyperlink"/>
            <w:rFonts w:asciiTheme="minorBidi" w:hAnsiTheme="minorBidi"/>
            <w:noProof/>
            <w:sz w:val="24"/>
            <w:szCs w:val="24"/>
          </w:rPr>
          <w:t>Bibliography</w:t>
        </w:r>
        <w:r w:rsidR="007F14C5" w:rsidRPr="00B4752E">
          <w:rPr>
            <w:rFonts w:asciiTheme="minorBidi" w:hAnsiTheme="minorBidi"/>
            <w:noProof/>
            <w:webHidden/>
            <w:sz w:val="24"/>
            <w:szCs w:val="24"/>
          </w:rPr>
          <w:tab/>
        </w:r>
        <w:r w:rsidR="007F14C5">
          <w:rPr>
            <w:rFonts w:asciiTheme="minorBidi" w:hAnsiTheme="minorBidi"/>
            <w:noProof/>
            <w:webHidden/>
            <w:sz w:val="24"/>
            <w:szCs w:val="24"/>
          </w:rPr>
          <w:t>2</w:t>
        </w:r>
        <w:r w:rsidR="007D09AB">
          <w:rPr>
            <w:rFonts w:asciiTheme="minorBidi" w:hAnsiTheme="minorBidi"/>
            <w:noProof/>
            <w:webHidden/>
            <w:sz w:val="24"/>
            <w:szCs w:val="24"/>
          </w:rPr>
          <w:t>2</w:t>
        </w:r>
      </w:hyperlink>
    </w:p>
    <w:p w:rsidR="007F14C5" w:rsidRDefault="00BB1B38" w:rsidP="009513D3">
      <w:pPr>
        <w:spacing w:line="360" w:lineRule="auto"/>
        <w:rPr>
          <w:color w:val="5B9BD5"/>
          <w:sz w:val="24"/>
          <w:szCs w:val="24"/>
        </w:rPr>
      </w:pPr>
      <w:r w:rsidRPr="00B4752E">
        <w:rPr>
          <w:rFonts w:asciiTheme="minorBidi" w:hAnsiTheme="minorBidi"/>
          <w:b/>
          <w:bCs/>
          <w:noProof/>
          <w:sz w:val="24"/>
          <w:szCs w:val="24"/>
        </w:rPr>
        <w:fldChar w:fldCharType="end"/>
      </w: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7F14C5" w:rsidRDefault="007F14C5" w:rsidP="009513D3">
      <w:pPr>
        <w:spacing w:line="360" w:lineRule="auto"/>
        <w:rPr>
          <w:color w:val="5B9BD5"/>
          <w:sz w:val="24"/>
          <w:szCs w:val="24"/>
        </w:rPr>
      </w:pPr>
      <w:r>
        <w:rPr>
          <w:color w:val="5B9BD5"/>
          <w:sz w:val="24"/>
          <w:szCs w:val="24"/>
        </w:rPr>
        <w:br w:type="page"/>
      </w: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476D74" w:rsidP="009513D3">
      <w:pPr>
        <w:spacing w:line="360" w:lineRule="auto"/>
        <w:jc w:val="both"/>
        <w:rPr>
          <w:color w:val="5B9BD5"/>
          <w:sz w:val="24"/>
          <w:szCs w:val="24"/>
        </w:rPr>
      </w:pPr>
    </w:p>
    <w:p w:rsidR="00476D74" w:rsidRDefault="00D626B8" w:rsidP="009513D3">
      <w:pPr>
        <w:pStyle w:val="Heading1"/>
        <w:keepNext w:val="0"/>
        <w:keepLines w:val="0"/>
        <w:spacing w:before="480" w:line="360" w:lineRule="auto"/>
        <w:jc w:val="both"/>
        <w:rPr>
          <w:b/>
          <w:sz w:val="24"/>
          <w:szCs w:val="24"/>
        </w:rPr>
      </w:pPr>
      <w:bookmarkStart w:id="2" w:name="_lc05po5owiuf" w:colFirst="0" w:colLast="0"/>
      <w:bookmarkEnd w:id="2"/>
      <w:r>
        <w:rPr>
          <w:b/>
          <w:sz w:val="24"/>
          <w:szCs w:val="24"/>
        </w:rPr>
        <w:t>Executive Summary</w:t>
      </w:r>
    </w:p>
    <w:p w:rsidR="00476D74" w:rsidRDefault="00D626B8" w:rsidP="009513D3">
      <w:pPr>
        <w:spacing w:before="240" w:after="240" w:line="360" w:lineRule="auto"/>
        <w:jc w:val="both"/>
        <w:rPr>
          <w:sz w:val="24"/>
          <w:szCs w:val="24"/>
        </w:rPr>
      </w:pPr>
      <w:r>
        <w:rPr>
          <w:sz w:val="24"/>
          <w:szCs w:val="24"/>
        </w:rPr>
        <w:t>Ratio analysis is a popularly used statistical tool that can assess a company’s profitability, efficiency and liquidity. It compares the key figures from the company’s income and balance sheet to determine the financial condition. This report will focus on a financial statement of Marriott International Inc. a company established in 1927 operating across 139 countries with its 8,000 assets. The business has seen a significant amount of increase in profitability and liquidity in one year between 2020 and 2021. The company has strengthened in its liquidity department by decreasing its debt and increasing asset management. They have improved their receivables manage and payable control which resulted in a better debt-equity ratio. Despite the limitations of the ratio analysis, it is a very useful tool in most applications. If used with considerations to the whole conditions of a company, it can help in taking vital decisions.</w:t>
      </w: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D626B8" w:rsidP="009513D3">
      <w:pPr>
        <w:spacing w:before="240" w:after="240" w:line="360" w:lineRule="auto"/>
        <w:jc w:val="both"/>
        <w:rPr>
          <w:b/>
          <w:sz w:val="26"/>
          <w:szCs w:val="26"/>
        </w:rPr>
      </w:pPr>
      <w:r>
        <w:rPr>
          <w:b/>
          <w:sz w:val="26"/>
          <w:szCs w:val="26"/>
        </w:rPr>
        <w:lastRenderedPageBreak/>
        <w:t>Introduction</w:t>
      </w:r>
    </w:p>
    <w:p w:rsidR="00476D74" w:rsidRDefault="00D626B8" w:rsidP="009513D3">
      <w:pPr>
        <w:spacing w:before="240" w:after="240" w:line="360" w:lineRule="auto"/>
        <w:jc w:val="both"/>
        <w:rPr>
          <w:sz w:val="24"/>
          <w:szCs w:val="24"/>
        </w:rPr>
      </w:pPr>
      <w:r>
        <w:rPr>
          <w:sz w:val="24"/>
          <w:szCs w:val="24"/>
        </w:rPr>
        <w:t xml:space="preserve">Using ratio analysis, the profitability, efficiency, and liquidity of a company can easily be deduced from its income state and the balance sheet. This is a statistical method that is discussed heavily among economists. The purpose of this article is to look at the financial statements of Marriott International Inc., a hotel established in 1927, and analyze the ratios. This company operates currently in 139 countries spreading over 30 brands (Marriot, 2019). To assess the financial performance of the company, this report will provide insights into the ratio analysis of the years 2021 and 2020. The comments on the ratio analysis will be followed by a discussion on its benefits and limitations that the company’s analysts should keep in consideration. </w:t>
      </w:r>
    </w:p>
    <w:p w:rsidR="007F14C5" w:rsidRDefault="007F14C5" w:rsidP="009513D3">
      <w:pPr>
        <w:spacing w:line="360" w:lineRule="auto"/>
        <w:rPr>
          <w:b/>
          <w:sz w:val="26"/>
          <w:szCs w:val="26"/>
        </w:rPr>
      </w:pPr>
      <w:bookmarkStart w:id="3" w:name="_xw7lfpy0oidj" w:colFirst="0" w:colLast="0"/>
      <w:bookmarkEnd w:id="3"/>
      <w:r>
        <w:rPr>
          <w:b/>
          <w:sz w:val="26"/>
          <w:szCs w:val="26"/>
        </w:rPr>
        <w:br w:type="page"/>
      </w:r>
    </w:p>
    <w:p w:rsidR="00476D74" w:rsidRDefault="00D626B8" w:rsidP="009513D3">
      <w:pPr>
        <w:pStyle w:val="Heading1"/>
        <w:keepNext w:val="0"/>
        <w:keepLines w:val="0"/>
        <w:spacing w:before="480" w:line="360" w:lineRule="auto"/>
        <w:jc w:val="both"/>
        <w:rPr>
          <w:b/>
          <w:sz w:val="26"/>
          <w:szCs w:val="26"/>
        </w:rPr>
      </w:pPr>
      <w:r>
        <w:rPr>
          <w:b/>
          <w:sz w:val="26"/>
          <w:szCs w:val="26"/>
        </w:rPr>
        <w:lastRenderedPageBreak/>
        <w:t>Financial Analysis Trends</w:t>
      </w:r>
    </w:p>
    <w:p w:rsidR="00476D74" w:rsidRPr="007F14C5" w:rsidRDefault="00D626B8" w:rsidP="009513D3">
      <w:pPr>
        <w:spacing w:before="240" w:after="240" w:line="360" w:lineRule="auto"/>
        <w:jc w:val="both"/>
        <w:rPr>
          <w:sz w:val="24"/>
          <w:szCs w:val="24"/>
        </w:rPr>
      </w:pPr>
      <w:r>
        <w:rPr>
          <w:sz w:val="24"/>
          <w:szCs w:val="24"/>
        </w:rPr>
        <w:t>The financial trend of Marriot International Inc. from its financial statements of 2021 and 2020 is shown and compared down below.</w:t>
      </w:r>
      <w:bookmarkStart w:id="4" w:name="_g8t1y9xb147x" w:colFirst="0" w:colLast="0"/>
      <w:bookmarkStart w:id="5" w:name="_ntsbpjkfydhe" w:colFirst="0" w:colLast="0"/>
      <w:bookmarkEnd w:id="4"/>
      <w:bookmarkEnd w:id="5"/>
    </w:p>
    <w:p w:rsidR="00476D74" w:rsidRDefault="00D626B8" w:rsidP="009513D3">
      <w:pPr>
        <w:pStyle w:val="Heading2"/>
        <w:keepNext w:val="0"/>
        <w:keepLines w:val="0"/>
        <w:spacing w:after="80" w:line="360" w:lineRule="auto"/>
        <w:jc w:val="both"/>
        <w:rPr>
          <w:b/>
          <w:sz w:val="28"/>
          <w:szCs w:val="28"/>
        </w:rPr>
      </w:pPr>
      <w:bookmarkStart w:id="6" w:name="_87sapn2dri1" w:colFirst="0" w:colLast="0"/>
      <w:bookmarkStart w:id="7" w:name="_gbvb7qitucor" w:colFirst="0" w:colLast="0"/>
      <w:bookmarkStart w:id="8" w:name="_qm7nfu2ipgsx" w:colFirst="0" w:colLast="0"/>
      <w:bookmarkStart w:id="9" w:name="_pk2qz9u3pav4" w:colFirst="0" w:colLast="0"/>
      <w:bookmarkStart w:id="10" w:name="_731sehw246xi" w:colFirst="0" w:colLast="0"/>
      <w:bookmarkStart w:id="11" w:name="_nnk11jd5wmvg" w:colFirst="0" w:colLast="0"/>
      <w:bookmarkEnd w:id="6"/>
      <w:bookmarkEnd w:id="7"/>
      <w:bookmarkEnd w:id="8"/>
      <w:bookmarkEnd w:id="9"/>
      <w:bookmarkEnd w:id="10"/>
      <w:bookmarkEnd w:id="11"/>
      <w:r>
        <w:rPr>
          <w:b/>
          <w:sz w:val="28"/>
          <w:szCs w:val="28"/>
        </w:rPr>
        <w:t>Profitability</w:t>
      </w:r>
    </w:p>
    <w:p w:rsidR="00476D74" w:rsidRDefault="00D626B8" w:rsidP="009513D3">
      <w:pPr>
        <w:spacing w:before="240" w:after="240" w:line="360" w:lineRule="auto"/>
        <w:jc w:val="both"/>
        <w:rPr>
          <w:sz w:val="24"/>
          <w:szCs w:val="24"/>
        </w:rPr>
      </w:pPr>
      <w:r>
        <w:rPr>
          <w:sz w:val="24"/>
          <w:szCs w:val="24"/>
        </w:rPr>
        <w:t>The profitability ratios from the financial statement of Marriott International in 2021 and 2020 are as follows.</w:t>
      </w:r>
    </w:p>
    <w:p w:rsidR="00476D74" w:rsidRDefault="00D626B8" w:rsidP="009513D3">
      <w:pPr>
        <w:spacing w:before="240" w:after="240" w:line="360" w:lineRule="auto"/>
        <w:jc w:val="both"/>
        <w:rPr>
          <w:b/>
          <w:i/>
          <w:sz w:val="26"/>
          <w:szCs w:val="26"/>
        </w:rPr>
      </w:pPr>
      <w:r>
        <w:rPr>
          <w:b/>
          <w:i/>
          <w:sz w:val="26"/>
          <w:szCs w:val="26"/>
        </w:rPr>
        <w:t>1. Net Profit Margin</w:t>
      </w:r>
    </w:p>
    <w:p w:rsidR="00476D74" w:rsidRDefault="00D626B8" w:rsidP="009513D3">
      <w:pPr>
        <w:spacing w:before="240" w:after="240" w:line="360" w:lineRule="auto"/>
        <w:jc w:val="both"/>
        <w:rPr>
          <w:sz w:val="24"/>
          <w:szCs w:val="24"/>
        </w:rPr>
      </w:pPr>
      <w:r>
        <w:rPr>
          <w:sz w:val="24"/>
          <w:szCs w:val="24"/>
        </w:rPr>
        <w:t xml:space="preserve">Net profit margin is measured as net income divided by total sales revenue. The net profit margin is another name for the net profit ratio it provides an insight into the profitability of a company (Brigham &amp; </w:t>
      </w:r>
      <w:proofErr w:type="spellStart"/>
      <w:r>
        <w:rPr>
          <w:sz w:val="24"/>
          <w:szCs w:val="24"/>
        </w:rPr>
        <w:t>Ehrhardt</w:t>
      </w:r>
      <w:proofErr w:type="spellEnd"/>
      <w:r>
        <w:rPr>
          <w:sz w:val="24"/>
          <w:szCs w:val="24"/>
        </w:rPr>
        <w:t>, 2020).</w:t>
      </w:r>
    </w:p>
    <w:tbl>
      <w:tblPr>
        <w:tblStyle w:val="a1"/>
        <w:tblW w:w="9025" w:type="dxa"/>
        <w:tblBorders>
          <w:top w:val="nil"/>
          <w:left w:val="nil"/>
          <w:bottom w:val="nil"/>
          <w:right w:val="nil"/>
          <w:insideH w:val="nil"/>
          <w:insideV w:val="nil"/>
        </w:tblBorders>
        <w:tblLayout w:type="fixed"/>
        <w:tblLook w:val="0600"/>
      </w:tblPr>
      <w:tblGrid>
        <w:gridCol w:w="3570"/>
        <w:gridCol w:w="2655"/>
        <w:gridCol w:w="2800"/>
      </w:tblGrid>
      <w:tr w:rsidR="00476D74">
        <w:trPr>
          <w:trHeight w:val="650"/>
        </w:trPr>
        <w:tc>
          <w:tcPr>
            <w:tcW w:w="3569" w:type="dxa"/>
            <w:tcBorders>
              <w:top w:val="single" w:sz="8" w:space="0" w:color="000000"/>
              <w:left w:val="single" w:sz="8" w:space="0" w:color="000000"/>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Year</w:t>
            </w:r>
          </w:p>
        </w:tc>
        <w:tc>
          <w:tcPr>
            <w:tcW w:w="2655"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2021</w:t>
            </w:r>
          </w:p>
        </w:tc>
        <w:tc>
          <w:tcPr>
            <w:tcW w:w="2800"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2020</w:t>
            </w:r>
          </w:p>
        </w:tc>
      </w:tr>
      <w:tr w:rsidR="00476D74">
        <w:trPr>
          <w:trHeight w:val="575"/>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Net Profit Margin Ratio = (Net Profit / Revenue)*100</w:t>
            </w:r>
          </w:p>
        </w:tc>
        <w:tc>
          <w:tcPr>
            <w:tcW w:w="265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(1099/13857)*100</w:t>
            </w:r>
          </w:p>
        </w:tc>
        <w:tc>
          <w:tcPr>
            <w:tcW w:w="2800"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(-267/10571)*100</w:t>
            </w:r>
          </w:p>
        </w:tc>
      </w:tr>
      <w:tr w:rsidR="00476D74">
        <w:trPr>
          <w:trHeight w:val="575"/>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476D74" w:rsidP="009513D3">
            <w:pPr>
              <w:spacing w:before="240" w:line="360" w:lineRule="auto"/>
              <w:jc w:val="both"/>
              <w:rPr>
                <w:sz w:val="24"/>
                <w:szCs w:val="24"/>
              </w:rPr>
            </w:pPr>
          </w:p>
        </w:tc>
        <w:tc>
          <w:tcPr>
            <w:tcW w:w="265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7.93</w:t>
            </w:r>
          </w:p>
        </w:tc>
        <w:tc>
          <w:tcPr>
            <w:tcW w:w="2800"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-2.58</w:t>
            </w:r>
          </w:p>
        </w:tc>
      </w:tr>
    </w:tbl>
    <w:p w:rsidR="00476D74" w:rsidRDefault="00D626B8" w:rsidP="009513D3">
      <w:pPr>
        <w:spacing w:before="240" w:after="240" w:line="360" w:lineRule="auto"/>
        <w:ind w:left="1440" w:firstLine="720"/>
        <w:rPr>
          <w:sz w:val="24"/>
          <w:szCs w:val="24"/>
        </w:rPr>
      </w:pPr>
      <w:r>
        <w:rPr>
          <w:sz w:val="24"/>
          <w:szCs w:val="24"/>
        </w:rPr>
        <w:t>Figure 03: Net Margin (Source: Author)</w:t>
      </w:r>
    </w:p>
    <w:p w:rsidR="00476D74" w:rsidRDefault="00D626B8" w:rsidP="009513D3">
      <w:pPr>
        <w:spacing w:before="240" w:after="240" w:line="360" w:lineRule="auto"/>
        <w:jc w:val="both"/>
        <w:rPr>
          <w:sz w:val="24"/>
          <w:szCs w:val="24"/>
        </w:rPr>
      </w:pPr>
      <w:r>
        <w:rPr>
          <w:sz w:val="24"/>
          <w:szCs w:val="24"/>
        </w:rPr>
        <w:t>As we can see from the table in Fig-01, the Net profit margin for Marriott International has increased in 2021 compared to 2020. After taking all the costs into account, the net profit margin of the company has increased significantly from -2.58 to 7.93.</w:t>
      </w:r>
    </w:p>
    <w:p w:rsidR="00476D74" w:rsidRDefault="00D626B8" w:rsidP="009513D3">
      <w:pPr>
        <w:spacing w:before="240" w:after="240" w:line="360" w:lineRule="auto"/>
        <w:jc w:val="both"/>
        <w:rPr>
          <w:sz w:val="24"/>
          <w:szCs w:val="24"/>
        </w:rPr>
      </w:pPr>
      <w:r>
        <w:rPr>
          <w:noProof/>
          <w:sz w:val="24"/>
          <w:szCs w:val="24"/>
        </w:rPr>
        <w:lastRenderedPageBreak/>
        <w:drawing>
          <wp:inline distT="114300" distB="114300" distL="114300" distR="114300">
            <wp:extent cx="5731200" cy="4660900"/>
            <wp:effectExtent l="0" t="0" r="0" b="0"/>
            <wp:docPr id="10"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6"/>
                    <a:srcRect/>
                    <a:stretch>
                      <a:fillRect/>
                    </a:stretch>
                  </pic:blipFill>
                  <pic:spPr>
                    <a:xfrm>
                      <a:off x="0" y="0"/>
                      <a:ext cx="5731200" cy="4660900"/>
                    </a:xfrm>
                    <a:prstGeom prst="rect">
                      <a:avLst/>
                    </a:prstGeom>
                    <a:ln/>
                  </pic:spPr>
                </pic:pic>
              </a:graphicData>
            </a:graphic>
          </wp:inline>
        </w:drawing>
      </w:r>
    </w:p>
    <w:p w:rsidR="00476D74" w:rsidRDefault="00D626B8" w:rsidP="009513D3">
      <w:pPr>
        <w:spacing w:before="240" w:after="240" w:line="360" w:lineRule="auto"/>
        <w:ind w:firstLine="720"/>
        <w:jc w:val="center"/>
        <w:rPr>
          <w:sz w:val="24"/>
          <w:szCs w:val="24"/>
        </w:rPr>
      </w:pPr>
      <w:r>
        <w:rPr>
          <w:sz w:val="24"/>
          <w:szCs w:val="24"/>
        </w:rPr>
        <w:t xml:space="preserve">Figure 04: Revenue, Net Income, Net Margin graphs on monthly </w:t>
      </w:r>
      <w:proofErr w:type="gramStart"/>
      <w:r>
        <w:rPr>
          <w:sz w:val="24"/>
          <w:szCs w:val="24"/>
        </w:rPr>
        <w:t>basis  (</w:t>
      </w:r>
      <w:proofErr w:type="gramEnd"/>
      <w:r>
        <w:rPr>
          <w:sz w:val="24"/>
          <w:szCs w:val="24"/>
        </w:rPr>
        <w:t>Source: Author)</w:t>
      </w:r>
    </w:p>
    <w:p w:rsidR="009513D3" w:rsidRDefault="00D626B8" w:rsidP="009513D3">
      <w:pPr>
        <w:spacing w:before="240" w:after="240" w:line="360" w:lineRule="auto"/>
        <w:jc w:val="both"/>
        <w:rPr>
          <w:sz w:val="24"/>
          <w:szCs w:val="24"/>
        </w:rPr>
      </w:pPr>
      <w:r>
        <w:rPr>
          <w:sz w:val="24"/>
          <w:szCs w:val="24"/>
        </w:rPr>
        <w:t>Again, if we look deep into the monthly trends, we’ll notice that in this tenure net profit margin was decreasing till Mar’21 and after hitting the bottle neck it started to rise again.</w:t>
      </w:r>
    </w:p>
    <w:p w:rsidR="009513D3" w:rsidRDefault="009513D3" w:rsidP="009513D3">
      <w:pPr>
        <w:spacing w:line="360" w:lineRule="auto"/>
        <w:rPr>
          <w:sz w:val="24"/>
          <w:szCs w:val="24"/>
        </w:rPr>
      </w:pPr>
      <w:r>
        <w:rPr>
          <w:sz w:val="24"/>
          <w:szCs w:val="24"/>
        </w:rPr>
        <w:br w:type="page"/>
      </w:r>
    </w:p>
    <w:p w:rsidR="00476D74" w:rsidRDefault="00476D74" w:rsidP="009513D3">
      <w:pPr>
        <w:spacing w:before="240" w:after="240" w:line="360" w:lineRule="auto"/>
        <w:jc w:val="both"/>
        <w:rPr>
          <w:sz w:val="24"/>
          <w:szCs w:val="24"/>
        </w:rPr>
      </w:pPr>
    </w:p>
    <w:p w:rsidR="00476D74" w:rsidRDefault="00D626B8" w:rsidP="009513D3">
      <w:pPr>
        <w:spacing w:before="240" w:after="240" w:line="360" w:lineRule="auto"/>
        <w:jc w:val="both"/>
        <w:rPr>
          <w:b/>
          <w:i/>
          <w:sz w:val="26"/>
          <w:szCs w:val="26"/>
        </w:rPr>
      </w:pPr>
      <w:r>
        <w:rPr>
          <w:b/>
          <w:i/>
          <w:sz w:val="26"/>
          <w:szCs w:val="26"/>
        </w:rPr>
        <w:t>2. Gross Margin</w:t>
      </w:r>
    </w:p>
    <w:p w:rsidR="00476D74" w:rsidRDefault="00D626B8" w:rsidP="009513D3">
      <w:pPr>
        <w:spacing w:before="240" w:after="240" w:line="360" w:lineRule="auto"/>
        <w:jc w:val="both"/>
        <w:rPr>
          <w:sz w:val="24"/>
          <w:szCs w:val="24"/>
        </w:rPr>
      </w:pPr>
      <w:r>
        <w:rPr>
          <w:sz w:val="24"/>
          <w:szCs w:val="24"/>
        </w:rPr>
        <w:t xml:space="preserve">Gross margin is the ration between gross profit and revenue. Gross margin is a profitability ratio that helps to determine whether or not one can from </w:t>
      </w:r>
      <w:proofErr w:type="spellStart"/>
      <w:r>
        <w:rPr>
          <w:sz w:val="24"/>
          <w:szCs w:val="24"/>
        </w:rPr>
        <w:t>from</w:t>
      </w:r>
      <w:proofErr w:type="spellEnd"/>
      <w:r>
        <w:rPr>
          <w:sz w:val="24"/>
          <w:szCs w:val="24"/>
        </w:rPr>
        <w:t xml:space="preserve"> the sales a</w:t>
      </w:r>
      <w:r w:rsidR="009513D3">
        <w:rPr>
          <w:sz w:val="24"/>
          <w:szCs w:val="24"/>
        </w:rPr>
        <w:t>nd revenue of a company. (</w:t>
      </w:r>
      <w:proofErr w:type="spellStart"/>
      <w:r w:rsidR="009513D3">
        <w:rPr>
          <w:sz w:val="24"/>
          <w:szCs w:val="24"/>
        </w:rPr>
        <w:t>Titmanet</w:t>
      </w:r>
      <w:proofErr w:type="spellEnd"/>
      <w:r w:rsidR="009513D3">
        <w:rPr>
          <w:sz w:val="24"/>
          <w:szCs w:val="24"/>
        </w:rPr>
        <w:t xml:space="preserve"> al, 2018)</w:t>
      </w:r>
    </w:p>
    <w:tbl>
      <w:tblPr>
        <w:tblStyle w:val="a2"/>
        <w:tblW w:w="8977" w:type="dxa"/>
        <w:tblBorders>
          <w:top w:val="nil"/>
          <w:left w:val="nil"/>
          <w:bottom w:val="nil"/>
          <w:right w:val="nil"/>
          <w:insideH w:val="nil"/>
          <w:insideV w:val="nil"/>
        </w:tblBorders>
        <w:tblLayout w:type="fixed"/>
        <w:tblLook w:val="0600"/>
      </w:tblPr>
      <w:tblGrid>
        <w:gridCol w:w="3551"/>
        <w:gridCol w:w="2641"/>
        <w:gridCol w:w="2785"/>
      </w:tblGrid>
      <w:tr w:rsidR="00476D74" w:rsidTr="009513D3">
        <w:trPr>
          <w:trHeight w:val="556"/>
        </w:trPr>
        <w:tc>
          <w:tcPr>
            <w:tcW w:w="3551" w:type="dxa"/>
            <w:tcBorders>
              <w:top w:val="single" w:sz="8" w:space="0" w:color="000000"/>
              <w:left w:val="single" w:sz="8" w:space="0" w:color="000000"/>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Year</w:t>
            </w:r>
          </w:p>
        </w:tc>
        <w:tc>
          <w:tcPr>
            <w:tcW w:w="2641"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2021</w:t>
            </w:r>
          </w:p>
        </w:tc>
        <w:tc>
          <w:tcPr>
            <w:tcW w:w="2785"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2020</w:t>
            </w:r>
          </w:p>
        </w:tc>
      </w:tr>
      <w:tr w:rsidR="00476D74" w:rsidTr="009513D3">
        <w:trPr>
          <w:trHeight w:val="951"/>
        </w:trPr>
        <w:tc>
          <w:tcPr>
            <w:tcW w:w="3551"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Gross Margin = (Gross Profit/Revenue)*100</w:t>
            </w:r>
          </w:p>
        </w:tc>
        <w:tc>
          <w:tcPr>
            <w:tcW w:w="26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(2793/13857)×100</w:t>
            </w:r>
          </w:p>
        </w:tc>
        <w:tc>
          <w:tcPr>
            <w:tcW w:w="27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(1192/10571)×100</w:t>
            </w:r>
          </w:p>
        </w:tc>
      </w:tr>
      <w:tr w:rsidR="00476D74" w:rsidTr="009513D3">
        <w:trPr>
          <w:trHeight w:val="575"/>
        </w:trPr>
        <w:tc>
          <w:tcPr>
            <w:tcW w:w="3551"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476D74" w:rsidP="009513D3">
            <w:pPr>
              <w:spacing w:before="240" w:line="360" w:lineRule="auto"/>
              <w:jc w:val="both"/>
              <w:rPr>
                <w:sz w:val="24"/>
                <w:szCs w:val="24"/>
              </w:rPr>
            </w:pPr>
          </w:p>
        </w:tc>
        <w:tc>
          <w:tcPr>
            <w:tcW w:w="2641"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20.21</w:t>
            </w:r>
          </w:p>
        </w:tc>
        <w:tc>
          <w:tcPr>
            <w:tcW w:w="278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13.80</w:t>
            </w:r>
          </w:p>
        </w:tc>
      </w:tr>
    </w:tbl>
    <w:p w:rsidR="00476D74" w:rsidRDefault="00D626B8" w:rsidP="009513D3">
      <w:pPr>
        <w:spacing w:before="240" w:after="240" w:line="360" w:lineRule="auto"/>
        <w:jc w:val="center"/>
        <w:rPr>
          <w:sz w:val="24"/>
          <w:szCs w:val="24"/>
        </w:rPr>
      </w:pPr>
      <w:r>
        <w:rPr>
          <w:sz w:val="24"/>
          <w:szCs w:val="24"/>
        </w:rPr>
        <w:t>Figure 05: Gross Margin</w:t>
      </w:r>
    </w:p>
    <w:p w:rsidR="00476D74" w:rsidRDefault="00D626B8" w:rsidP="009513D3">
      <w:pPr>
        <w:spacing w:before="240" w:after="240" w:line="360" w:lineRule="auto"/>
        <w:jc w:val="both"/>
        <w:rPr>
          <w:sz w:val="24"/>
          <w:szCs w:val="24"/>
        </w:rPr>
      </w:pPr>
      <w:r>
        <w:rPr>
          <w:sz w:val="24"/>
          <w:szCs w:val="24"/>
        </w:rPr>
        <w:t xml:space="preserve">Figure 02 shows the Marriott International's increasing profitability in the year 2021. As the gross margin in 2021 is 20.21, going up from 13.28 of 2020, it is </w:t>
      </w:r>
      <w:r w:rsidR="007F14C5">
        <w:rPr>
          <w:sz w:val="24"/>
          <w:szCs w:val="24"/>
        </w:rPr>
        <w:t>evidence</w:t>
      </w:r>
      <w:r>
        <w:rPr>
          <w:sz w:val="24"/>
          <w:szCs w:val="24"/>
        </w:rPr>
        <w:t xml:space="preserve"> that the company is making more profit after subtracting the production cost.</w:t>
      </w:r>
    </w:p>
    <w:p w:rsidR="00476D74" w:rsidRDefault="00D626B8" w:rsidP="009513D3">
      <w:pPr>
        <w:spacing w:before="240" w:after="240" w:line="360" w:lineRule="auto"/>
        <w:jc w:val="both"/>
        <w:rPr>
          <w:sz w:val="24"/>
          <w:szCs w:val="24"/>
        </w:rPr>
      </w:pPr>
      <w:r>
        <w:rPr>
          <w:noProof/>
          <w:sz w:val="24"/>
          <w:szCs w:val="24"/>
        </w:rPr>
        <w:drawing>
          <wp:inline distT="114300" distB="114300" distL="114300" distR="114300">
            <wp:extent cx="5737860" cy="3116580"/>
            <wp:effectExtent l="0" t="0" r="0" b="7620"/>
            <wp:docPr id="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738823" cy="3117103"/>
                    </a:xfrm>
                    <a:prstGeom prst="rect">
                      <a:avLst/>
                    </a:prstGeom>
                    <a:ln/>
                  </pic:spPr>
                </pic:pic>
              </a:graphicData>
            </a:graphic>
          </wp:inline>
        </w:drawing>
      </w:r>
    </w:p>
    <w:p w:rsidR="00476D74" w:rsidRDefault="00D626B8" w:rsidP="009513D3">
      <w:pPr>
        <w:spacing w:before="240" w:after="240" w:line="360" w:lineRule="auto"/>
        <w:jc w:val="both"/>
        <w:rPr>
          <w:sz w:val="24"/>
          <w:szCs w:val="24"/>
        </w:rPr>
      </w:pPr>
      <w:r>
        <w:rPr>
          <w:sz w:val="24"/>
          <w:szCs w:val="24"/>
        </w:rPr>
        <w:tab/>
      </w:r>
      <w:r>
        <w:rPr>
          <w:sz w:val="24"/>
          <w:szCs w:val="24"/>
        </w:rPr>
        <w:tab/>
      </w:r>
      <w:r>
        <w:rPr>
          <w:sz w:val="24"/>
          <w:szCs w:val="24"/>
        </w:rPr>
        <w:tab/>
        <w:t>Fig 06: Gross margin monthly trends</w:t>
      </w:r>
    </w:p>
    <w:p w:rsidR="007F14C5" w:rsidRDefault="007F14C5" w:rsidP="009513D3">
      <w:pPr>
        <w:spacing w:before="240" w:after="240" w:line="360" w:lineRule="auto"/>
        <w:jc w:val="both"/>
        <w:rPr>
          <w:sz w:val="24"/>
          <w:szCs w:val="24"/>
        </w:rPr>
      </w:pPr>
      <w:r>
        <w:rPr>
          <w:sz w:val="24"/>
          <w:szCs w:val="24"/>
        </w:rPr>
        <w:lastRenderedPageBreak/>
        <w:t>The graph shows how the company barely managed to keep its operation profitable until the start of 2021. After March, the company even surpassed its gross margin ratio from 2019.</w:t>
      </w:r>
    </w:p>
    <w:p w:rsidR="00476D74" w:rsidRDefault="00D626B8" w:rsidP="009513D3">
      <w:pPr>
        <w:spacing w:before="240" w:after="240" w:line="360" w:lineRule="auto"/>
        <w:jc w:val="both"/>
        <w:rPr>
          <w:b/>
          <w:i/>
          <w:sz w:val="26"/>
          <w:szCs w:val="26"/>
        </w:rPr>
      </w:pPr>
      <w:r>
        <w:rPr>
          <w:b/>
          <w:i/>
          <w:sz w:val="26"/>
          <w:szCs w:val="26"/>
        </w:rPr>
        <w:t>3. Return on Equity</w:t>
      </w:r>
    </w:p>
    <w:p w:rsidR="00476D74" w:rsidRDefault="00D626B8" w:rsidP="009513D3">
      <w:pPr>
        <w:spacing w:before="240" w:after="240" w:line="360" w:lineRule="auto"/>
        <w:jc w:val="both"/>
        <w:rPr>
          <w:sz w:val="24"/>
          <w:szCs w:val="24"/>
        </w:rPr>
      </w:pPr>
      <w:r>
        <w:rPr>
          <w:sz w:val="24"/>
          <w:szCs w:val="24"/>
        </w:rPr>
        <w:t xml:space="preserve">ROE indicates ratio between net income and total equity. Return on Equity means the amount of money a business is making compared to the investments of its shareholders. It is one of the </w:t>
      </w:r>
      <w:proofErr w:type="spellStart"/>
      <w:r>
        <w:rPr>
          <w:sz w:val="24"/>
          <w:szCs w:val="24"/>
        </w:rPr>
        <w:t>factos</w:t>
      </w:r>
      <w:proofErr w:type="spellEnd"/>
      <w:r>
        <w:rPr>
          <w:sz w:val="24"/>
          <w:szCs w:val="24"/>
        </w:rPr>
        <w:t xml:space="preserve"> that determines the profitability of a company. </w:t>
      </w:r>
      <w:proofErr w:type="gramStart"/>
      <w:r>
        <w:rPr>
          <w:sz w:val="24"/>
          <w:szCs w:val="24"/>
        </w:rPr>
        <w:t>(</w:t>
      </w:r>
      <w:proofErr w:type="spellStart"/>
      <w:r>
        <w:rPr>
          <w:sz w:val="24"/>
          <w:szCs w:val="24"/>
        </w:rPr>
        <w:t>Vaidya</w:t>
      </w:r>
      <w:proofErr w:type="spellEnd"/>
      <w:r>
        <w:rPr>
          <w:sz w:val="24"/>
          <w:szCs w:val="24"/>
        </w:rPr>
        <w:t>, 2019).</w:t>
      </w:r>
      <w:proofErr w:type="gramEnd"/>
    </w:p>
    <w:tbl>
      <w:tblPr>
        <w:tblStyle w:val="a3"/>
        <w:tblW w:w="9025" w:type="dxa"/>
        <w:tblBorders>
          <w:top w:val="nil"/>
          <w:left w:val="nil"/>
          <w:bottom w:val="nil"/>
          <w:right w:val="nil"/>
          <w:insideH w:val="nil"/>
          <w:insideV w:val="nil"/>
        </w:tblBorders>
        <w:tblLayout w:type="fixed"/>
        <w:tblLook w:val="0600"/>
      </w:tblPr>
      <w:tblGrid>
        <w:gridCol w:w="3570"/>
        <w:gridCol w:w="2640"/>
        <w:gridCol w:w="2815"/>
      </w:tblGrid>
      <w:tr w:rsidR="00476D74">
        <w:trPr>
          <w:trHeight w:val="650"/>
        </w:trPr>
        <w:tc>
          <w:tcPr>
            <w:tcW w:w="3569" w:type="dxa"/>
            <w:tcBorders>
              <w:top w:val="single" w:sz="8" w:space="0" w:color="000000"/>
              <w:left w:val="single" w:sz="8" w:space="0" w:color="000000"/>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Year</w:t>
            </w:r>
          </w:p>
        </w:tc>
        <w:tc>
          <w:tcPr>
            <w:tcW w:w="2640"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2021</w:t>
            </w:r>
          </w:p>
        </w:tc>
        <w:tc>
          <w:tcPr>
            <w:tcW w:w="2815"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2020</w:t>
            </w:r>
          </w:p>
        </w:tc>
      </w:tr>
      <w:tr w:rsidR="00476D74">
        <w:trPr>
          <w:trHeight w:val="575"/>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ROE=(Net Income / Total Equity) * 100</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(1099/660.9)*100</w:t>
            </w:r>
          </w:p>
        </w:tc>
        <w:tc>
          <w:tcPr>
            <w:tcW w:w="28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(-267/441.5)×100</w:t>
            </w:r>
          </w:p>
        </w:tc>
      </w:tr>
      <w:tr w:rsidR="00476D74">
        <w:trPr>
          <w:trHeight w:val="575"/>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476D74" w:rsidP="009513D3">
            <w:pPr>
              <w:spacing w:before="240" w:line="360" w:lineRule="auto"/>
              <w:jc w:val="both"/>
              <w:rPr>
                <w:sz w:val="24"/>
                <w:szCs w:val="24"/>
              </w:rPr>
            </w:pPr>
          </w:p>
        </w:tc>
        <w:tc>
          <w:tcPr>
            <w:tcW w:w="2640"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77.72</w:t>
            </w:r>
          </w:p>
        </w:tc>
        <w:tc>
          <w:tcPr>
            <w:tcW w:w="281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-62.093</w:t>
            </w:r>
          </w:p>
        </w:tc>
      </w:tr>
    </w:tbl>
    <w:p w:rsidR="00476D74" w:rsidRDefault="00D626B8" w:rsidP="009513D3">
      <w:pPr>
        <w:spacing w:before="240" w:after="240" w:line="360" w:lineRule="auto"/>
        <w:jc w:val="center"/>
        <w:rPr>
          <w:sz w:val="24"/>
          <w:szCs w:val="24"/>
        </w:rPr>
      </w:pPr>
      <w:r>
        <w:rPr>
          <w:sz w:val="24"/>
          <w:szCs w:val="24"/>
        </w:rPr>
        <w:t>Figure 07: ROE Margin</w:t>
      </w:r>
    </w:p>
    <w:p w:rsidR="007F14C5" w:rsidRDefault="007F14C5" w:rsidP="009513D3">
      <w:pPr>
        <w:spacing w:before="240" w:after="240" w:line="360" w:lineRule="auto"/>
        <w:jc w:val="both"/>
        <w:rPr>
          <w:sz w:val="24"/>
          <w:szCs w:val="24"/>
        </w:rPr>
      </w:pPr>
      <w:r>
        <w:rPr>
          <w:sz w:val="24"/>
          <w:szCs w:val="24"/>
        </w:rPr>
        <w:t>The company was losing its equity value back in 2020. In 2021, it recovered well from that loss and multiplied the return on equity.</w:t>
      </w:r>
    </w:p>
    <w:p w:rsidR="00476D74" w:rsidRDefault="00D626B8" w:rsidP="009513D3">
      <w:pPr>
        <w:spacing w:before="240" w:after="240" w:line="360" w:lineRule="auto"/>
        <w:jc w:val="both"/>
        <w:rPr>
          <w:sz w:val="24"/>
          <w:szCs w:val="24"/>
        </w:rPr>
      </w:pPr>
      <w:r>
        <w:rPr>
          <w:noProof/>
          <w:sz w:val="24"/>
          <w:szCs w:val="24"/>
        </w:rPr>
        <w:lastRenderedPageBreak/>
        <w:drawing>
          <wp:inline distT="114300" distB="114300" distL="114300" distR="114300">
            <wp:extent cx="5730240" cy="4015740"/>
            <wp:effectExtent l="0" t="0" r="3810" b="3810"/>
            <wp:docPr id="6"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8"/>
                    <a:srcRect/>
                    <a:stretch>
                      <a:fillRect/>
                    </a:stretch>
                  </pic:blipFill>
                  <pic:spPr>
                    <a:xfrm>
                      <a:off x="0" y="0"/>
                      <a:ext cx="5731203" cy="4016415"/>
                    </a:xfrm>
                    <a:prstGeom prst="rect">
                      <a:avLst/>
                    </a:prstGeom>
                    <a:ln/>
                  </pic:spPr>
                </pic:pic>
              </a:graphicData>
            </a:graphic>
          </wp:inline>
        </w:drawing>
      </w:r>
    </w:p>
    <w:p w:rsidR="00476D74" w:rsidRDefault="00D626B8" w:rsidP="009513D3">
      <w:pPr>
        <w:spacing w:before="240" w:after="240" w:line="360" w:lineRule="auto"/>
        <w:jc w:val="both"/>
        <w:rPr>
          <w:sz w:val="24"/>
          <w:szCs w:val="24"/>
        </w:rPr>
      </w:pPr>
      <w:r>
        <w:rPr>
          <w:sz w:val="24"/>
          <w:szCs w:val="24"/>
        </w:rPr>
        <w:tab/>
      </w:r>
      <w:r>
        <w:rPr>
          <w:sz w:val="24"/>
          <w:szCs w:val="24"/>
        </w:rPr>
        <w:tab/>
      </w:r>
      <w:r>
        <w:rPr>
          <w:sz w:val="24"/>
          <w:szCs w:val="24"/>
        </w:rPr>
        <w:tab/>
      </w:r>
      <w:r>
        <w:rPr>
          <w:sz w:val="24"/>
          <w:szCs w:val="24"/>
        </w:rPr>
        <w:tab/>
        <w:t xml:space="preserve">Fig 08: ROE monthly trends </w:t>
      </w:r>
    </w:p>
    <w:p w:rsidR="00476D74" w:rsidRDefault="00D626B8" w:rsidP="009513D3">
      <w:pPr>
        <w:spacing w:before="240" w:after="240" w:line="360" w:lineRule="auto"/>
        <w:jc w:val="both"/>
        <w:rPr>
          <w:sz w:val="24"/>
          <w:szCs w:val="24"/>
        </w:rPr>
      </w:pPr>
      <w:r>
        <w:rPr>
          <w:sz w:val="24"/>
          <w:szCs w:val="24"/>
        </w:rPr>
        <w:t>From the graph, we can see that ROE was performing well till Sep’22. Then, it started to deplet</w:t>
      </w:r>
      <w:r w:rsidR="007F14C5">
        <w:rPr>
          <w:sz w:val="24"/>
          <w:szCs w:val="24"/>
        </w:rPr>
        <w:t>e</w:t>
      </w:r>
      <w:r>
        <w:rPr>
          <w:sz w:val="24"/>
          <w:szCs w:val="24"/>
        </w:rPr>
        <w:t xml:space="preserve"> till Dec’22 and started rising abruptly till Jun’22 and then continued to follow the set trend.</w:t>
      </w:r>
    </w:p>
    <w:p w:rsidR="00476D74" w:rsidRDefault="00D626B8" w:rsidP="009513D3">
      <w:pPr>
        <w:spacing w:before="240" w:after="240" w:line="360" w:lineRule="auto"/>
        <w:jc w:val="both"/>
        <w:rPr>
          <w:b/>
          <w:i/>
          <w:sz w:val="24"/>
          <w:szCs w:val="24"/>
        </w:rPr>
      </w:pPr>
      <w:r>
        <w:rPr>
          <w:b/>
          <w:i/>
          <w:sz w:val="24"/>
          <w:szCs w:val="24"/>
        </w:rPr>
        <w:t>4. Return on Investment</w:t>
      </w:r>
    </w:p>
    <w:p w:rsidR="00476D74" w:rsidRDefault="00D626B8" w:rsidP="009513D3">
      <w:pPr>
        <w:spacing w:before="240" w:after="240" w:line="360" w:lineRule="auto"/>
        <w:jc w:val="both"/>
        <w:rPr>
          <w:sz w:val="24"/>
          <w:szCs w:val="24"/>
        </w:rPr>
      </w:pPr>
      <w:r>
        <w:rPr>
          <w:sz w:val="24"/>
          <w:szCs w:val="24"/>
        </w:rPr>
        <w:t xml:space="preserve">The return of investment is a profitability measurement of a company in relation to the investment amount. </w:t>
      </w:r>
      <w:proofErr w:type="gramStart"/>
      <w:r>
        <w:rPr>
          <w:sz w:val="24"/>
          <w:szCs w:val="24"/>
        </w:rPr>
        <w:t>(</w:t>
      </w:r>
      <w:proofErr w:type="spellStart"/>
      <w:r>
        <w:rPr>
          <w:sz w:val="24"/>
          <w:szCs w:val="24"/>
        </w:rPr>
        <w:t>Vaidya</w:t>
      </w:r>
      <w:proofErr w:type="spellEnd"/>
      <w:r>
        <w:rPr>
          <w:sz w:val="24"/>
          <w:szCs w:val="24"/>
        </w:rPr>
        <w:t>, 2019).</w:t>
      </w:r>
      <w:proofErr w:type="gramEnd"/>
    </w:p>
    <w:p w:rsidR="00476D74" w:rsidRDefault="00476D74" w:rsidP="009513D3">
      <w:pPr>
        <w:spacing w:before="240" w:after="240" w:line="360" w:lineRule="auto"/>
        <w:jc w:val="both"/>
        <w:rPr>
          <w:sz w:val="24"/>
          <w:szCs w:val="24"/>
        </w:rPr>
      </w:pPr>
    </w:p>
    <w:tbl>
      <w:tblPr>
        <w:tblStyle w:val="a4"/>
        <w:tblW w:w="9025" w:type="dxa"/>
        <w:tblBorders>
          <w:top w:val="nil"/>
          <w:left w:val="nil"/>
          <w:bottom w:val="nil"/>
          <w:right w:val="nil"/>
          <w:insideH w:val="nil"/>
          <w:insideV w:val="nil"/>
        </w:tblBorders>
        <w:tblLayout w:type="fixed"/>
        <w:tblLook w:val="0600"/>
      </w:tblPr>
      <w:tblGrid>
        <w:gridCol w:w="3570"/>
        <w:gridCol w:w="2655"/>
        <w:gridCol w:w="2800"/>
      </w:tblGrid>
      <w:tr w:rsidR="00476D74">
        <w:trPr>
          <w:trHeight w:val="650"/>
        </w:trPr>
        <w:tc>
          <w:tcPr>
            <w:tcW w:w="3569" w:type="dxa"/>
            <w:tcBorders>
              <w:top w:val="single" w:sz="8" w:space="0" w:color="000000"/>
              <w:left w:val="single" w:sz="8" w:space="0" w:color="000000"/>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Year</w:t>
            </w:r>
          </w:p>
        </w:tc>
        <w:tc>
          <w:tcPr>
            <w:tcW w:w="2655"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2021</w:t>
            </w:r>
          </w:p>
        </w:tc>
        <w:tc>
          <w:tcPr>
            <w:tcW w:w="2800"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2020</w:t>
            </w:r>
          </w:p>
        </w:tc>
      </w:tr>
      <w:tr w:rsidR="00476D74">
        <w:trPr>
          <w:trHeight w:val="575"/>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Ratio</w:t>
            </w:r>
          </w:p>
        </w:tc>
        <w:tc>
          <w:tcPr>
            <w:tcW w:w="265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10.23</w:t>
            </w:r>
          </w:p>
        </w:tc>
        <w:tc>
          <w:tcPr>
            <w:tcW w:w="2800"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-2.77</w:t>
            </w:r>
          </w:p>
        </w:tc>
      </w:tr>
    </w:tbl>
    <w:p w:rsidR="00476D74" w:rsidRDefault="00D626B8" w:rsidP="009513D3">
      <w:pPr>
        <w:spacing w:before="240" w:after="240" w:line="360" w:lineRule="auto"/>
        <w:ind w:left="2160" w:firstLine="720"/>
        <w:rPr>
          <w:sz w:val="24"/>
          <w:szCs w:val="24"/>
        </w:rPr>
      </w:pPr>
      <w:r>
        <w:rPr>
          <w:sz w:val="24"/>
          <w:szCs w:val="24"/>
        </w:rPr>
        <w:t>Figure 09: ROI Margin</w:t>
      </w:r>
    </w:p>
    <w:p w:rsidR="007F14C5" w:rsidRDefault="007F14C5" w:rsidP="009513D3">
      <w:pPr>
        <w:spacing w:before="240" w:after="240" w:line="360" w:lineRule="auto"/>
        <w:jc w:val="both"/>
        <w:rPr>
          <w:sz w:val="24"/>
          <w:szCs w:val="24"/>
        </w:rPr>
      </w:pPr>
      <w:r w:rsidRPr="007F14C5">
        <w:rPr>
          <w:sz w:val="24"/>
          <w:szCs w:val="24"/>
        </w:rPr>
        <w:lastRenderedPageBreak/>
        <w:t xml:space="preserve">In 2021, the return on investment was 10.23%, where in 2020, it was -2.77%, showing that the business </w:t>
      </w:r>
      <w:r>
        <w:rPr>
          <w:sz w:val="24"/>
          <w:szCs w:val="24"/>
        </w:rPr>
        <w:t>is starting to cover the losses in endured in 2020.</w:t>
      </w:r>
    </w:p>
    <w:p w:rsidR="00476D74" w:rsidRDefault="00D626B8" w:rsidP="009513D3">
      <w:pPr>
        <w:spacing w:before="240" w:after="240" w:line="360" w:lineRule="auto"/>
        <w:jc w:val="both"/>
        <w:rPr>
          <w:sz w:val="24"/>
          <w:szCs w:val="24"/>
        </w:rPr>
      </w:pPr>
      <w:r>
        <w:rPr>
          <w:noProof/>
          <w:sz w:val="24"/>
          <w:szCs w:val="24"/>
        </w:rPr>
        <w:drawing>
          <wp:inline distT="114300" distB="114300" distL="114300" distR="114300">
            <wp:extent cx="5731200" cy="4559300"/>
            <wp:effectExtent l="0" t="0" r="0" b="0"/>
            <wp:docPr id="9"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a:stretch>
                      <a:fillRect/>
                    </a:stretch>
                  </pic:blipFill>
                  <pic:spPr>
                    <a:xfrm>
                      <a:off x="0" y="0"/>
                      <a:ext cx="5731200" cy="4559300"/>
                    </a:xfrm>
                    <a:prstGeom prst="rect">
                      <a:avLst/>
                    </a:prstGeom>
                    <a:ln/>
                  </pic:spPr>
                </pic:pic>
              </a:graphicData>
            </a:graphic>
          </wp:inline>
        </w:drawing>
      </w:r>
    </w:p>
    <w:p w:rsidR="00476D74" w:rsidRDefault="00D626B8" w:rsidP="009513D3">
      <w:pPr>
        <w:spacing w:before="240" w:after="240" w:line="360" w:lineRule="auto"/>
        <w:jc w:val="center"/>
        <w:rPr>
          <w:sz w:val="24"/>
          <w:szCs w:val="24"/>
        </w:rPr>
      </w:pPr>
      <w:r>
        <w:rPr>
          <w:sz w:val="24"/>
          <w:szCs w:val="24"/>
        </w:rPr>
        <w:t xml:space="preserve">Fig 10: ROI monthly trends </w:t>
      </w:r>
    </w:p>
    <w:p w:rsidR="007F14C5" w:rsidRDefault="007F14C5" w:rsidP="009513D3">
      <w:pPr>
        <w:spacing w:before="240" w:after="240" w:line="360" w:lineRule="auto"/>
        <w:rPr>
          <w:sz w:val="24"/>
          <w:szCs w:val="24"/>
        </w:rPr>
      </w:pPr>
      <w:r>
        <w:rPr>
          <w:sz w:val="24"/>
          <w:szCs w:val="24"/>
        </w:rPr>
        <w:t xml:space="preserve">Figure 09 shows that Marriott International's profitability has increased over time as measured by Return on Investment. In Figure 10, we can see that ROI </w:t>
      </w:r>
      <w:proofErr w:type="spellStart"/>
      <w:r>
        <w:rPr>
          <w:sz w:val="24"/>
          <w:szCs w:val="24"/>
        </w:rPr>
        <w:t>deplets</w:t>
      </w:r>
      <w:proofErr w:type="spellEnd"/>
      <w:r>
        <w:rPr>
          <w:sz w:val="24"/>
          <w:szCs w:val="24"/>
        </w:rPr>
        <w:t xml:space="preserve"> till Mar’21 than it started to rise again.</w:t>
      </w:r>
    </w:p>
    <w:p w:rsidR="007F14C5" w:rsidRDefault="007F14C5"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476D74" w:rsidRDefault="00D626B8" w:rsidP="009513D3">
      <w:pPr>
        <w:spacing w:before="240" w:after="240" w:line="360" w:lineRule="auto"/>
        <w:jc w:val="both"/>
        <w:rPr>
          <w:b/>
          <w:i/>
          <w:sz w:val="24"/>
          <w:szCs w:val="24"/>
        </w:rPr>
      </w:pPr>
      <w:r>
        <w:rPr>
          <w:b/>
          <w:i/>
          <w:sz w:val="24"/>
          <w:szCs w:val="24"/>
        </w:rPr>
        <w:t>5. Operating Margin</w:t>
      </w:r>
    </w:p>
    <w:p w:rsidR="00476D74" w:rsidRDefault="00D626B8" w:rsidP="009513D3">
      <w:pPr>
        <w:spacing w:before="240" w:after="240" w:line="360" w:lineRule="auto"/>
        <w:jc w:val="both"/>
        <w:rPr>
          <w:sz w:val="24"/>
          <w:szCs w:val="24"/>
        </w:rPr>
      </w:pPr>
      <w:r>
        <w:rPr>
          <w:sz w:val="24"/>
          <w:szCs w:val="24"/>
        </w:rPr>
        <w:t xml:space="preserve">Operational margin indicates operating profit and revenue ratio. The operating </w:t>
      </w:r>
      <w:r w:rsidR="007F14C5">
        <w:rPr>
          <w:sz w:val="24"/>
          <w:szCs w:val="24"/>
        </w:rPr>
        <w:t xml:space="preserve">margin of a company removes non-operating costs and taxes from the equation and </w:t>
      </w:r>
      <w:r w:rsidR="007F14C5">
        <w:rPr>
          <w:sz w:val="24"/>
          <w:szCs w:val="24"/>
        </w:rPr>
        <w:lastRenderedPageBreak/>
        <w:t>provides</w:t>
      </w:r>
      <w:r>
        <w:rPr>
          <w:sz w:val="24"/>
          <w:szCs w:val="24"/>
        </w:rPr>
        <w:t xml:space="preserve"> a more accurate picture of the company’s profitability to the investors and</w:t>
      </w:r>
      <w:r w:rsidR="007F14C5">
        <w:rPr>
          <w:sz w:val="24"/>
          <w:szCs w:val="24"/>
        </w:rPr>
        <w:t xml:space="preserve"> owners. (</w:t>
      </w:r>
      <w:proofErr w:type="spellStart"/>
      <w:r w:rsidR="007F14C5">
        <w:rPr>
          <w:sz w:val="24"/>
          <w:szCs w:val="24"/>
        </w:rPr>
        <w:t>Berk</w:t>
      </w:r>
      <w:proofErr w:type="spellEnd"/>
      <w:r w:rsidR="007F14C5">
        <w:rPr>
          <w:sz w:val="24"/>
          <w:szCs w:val="24"/>
        </w:rPr>
        <w:t xml:space="preserve"> &amp; </w:t>
      </w:r>
      <w:proofErr w:type="spellStart"/>
      <w:r w:rsidR="007F14C5">
        <w:rPr>
          <w:sz w:val="24"/>
          <w:szCs w:val="24"/>
        </w:rPr>
        <w:t>Demarzo</w:t>
      </w:r>
      <w:proofErr w:type="spellEnd"/>
      <w:r w:rsidR="007F14C5">
        <w:rPr>
          <w:sz w:val="24"/>
          <w:szCs w:val="24"/>
        </w:rPr>
        <w:t>, 2020)</w:t>
      </w:r>
    </w:p>
    <w:tbl>
      <w:tblPr>
        <w:tblStyle w:val="a5"/>
        <w:tblW w:w="9025" w:type="dxa"/>
        <w:tblBorders>
          <w:top w:val="nil"/>
          <w:left w:val="nil"/>
          <w:bottom w:val="nil"/>
          <w:right w:val="nil"/>
          <w:insideH w:val="nil"/>
          <w:insideV w:val="nil"/>
        </w:tblBorders>
        <w:tblLayout w:type="fixed"/>
        <w:tblLook w:val="0600"/>
      </w:tblPr>
      <w:tblGrid>
        <w:gridCol w:w="3570"/>
        <w:gridCol w:w="2655"/>
        <w:gridCol w:w="2800"/>
      </w:tblGrid>
      <w:tr w:rsidR="00476D74">
        <w:trPr>
          <w:trHeight w:val="650"/>
        </w:trPr>
        <w:tc>
          <w:tcPr>
            <w:tcW w:w="3569" w:type="dxa"/>
            <w:tcBorders>
              <w:top w:val="single" w:sz="8" w:space="0" w:color="000000"/>
              <w:left w:val="single" w:sz="8" w:space="0" w:color="000000"/>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Year</w:t>
            </w:r>
          </w:p>
        </w:tc>
        <w:tc>
          <w:tcPr>
            <w:tcW w:w="2655"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2021</w:t>
            </w:r>
          </w:p>
        </w:tc>
        <w:tc>
          <w:tcPr>
            <w:tcW w:w="2800"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2020</w:t>
            </w:r>
          </w:p>
        </w:tc>
      </w:tr>
      <w:tr w:rsidR="00476D74" w:rsidTr="007F14C5">
        <w:trPr>
          <w:trHeight w:val="1086"/>
        </w:trPr>
        <w:tc>
          <w:tcPr>
            <w:tcW w:w="3569"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7F14C5" w:rsidRDefault="00D626B8" w:rsidP="009513D3">
            <w:pPr>
              <w:spacing w:before="240" w:line="360" w:lineRule="auto"/>
              <w:jc w:val="both"/>
              <w:rPr>
                <w:sz w:val="24"/>
                <w:szCs w:val="24"/>
              </w:rPr>
            </w:pPr>
            <w:r>
              <w:rPr>
                <w:sz w:val="24"/>
                <w:szCs w:val="24"/>
              </w:rPr>
              <w:t>Operational Margin=(Operating Profit/Revenue)*100</w:t>
            </w:r>
          </w:p>
        </w:tc>
        <w:tc>
          <w:tcPr>
            <w:tcW w:w="26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(1750/13857)*100</w:t>
            </w:r>
          </w:p>
        </w:tc>
        <w:tc>
          <w:tcPr>
            <w:tcW w:w="28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(84/10571)*100</w:t>
            </w:r>
          </w:p>
        </w:tc>
      </w:tr>
      <w:tr w:rsidR="00476D74">
        <w:trPr>
          <w:trHeight w:val="575"/>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476D74" w:rsidP="009513D3">
            <w:pPr>
              <w:spacing w:before="240" w:line="360" w:lineRule="auto"/>
              <w:jc w:val="both"/>
              <w:rPr>
                <w:sz w:val="24"/>
                <w:szCs w:val="24"/>
              </w:rPr>
            </w:pPr>
          </w:p>
        </w:tc>
        <w:tc>
          <w:tcPr>
            <w:tcW w:w="265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12.62</w:t>
            </w:r>
          </w:p>
        </w:tc>
        <w:tc>
          <w:tcPr>
            <w:tcW w:w="2800"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.79</w:t>
            </w:r>
          </w:p>
        </w:tc>
      </w:tr>
    </w:tbl>
    <w:p w:rsidR="00476D74" w:rsidRDefault="00D626B8" w:rsidP="009513D3">
      <w:pPr>
        <w:spacing w:before="240" w:after="240" w:line="360" w:lineRule="auto"/>
        <w:ind w:left="2160"/>
        <w:jc w:val="both"/>
        <w:rPr>
          <w:sz w:val="24"/>
          <w:szCs w:val="24"/>
        </w:rPr>
      </w:pPr>
      <w:r>
        <w:rPr>
          <w:sz w:val="24"/>
          <w:szCs w:val="24"/>
        </w:rPr>
        <w:t>Figure 05: Operating Margin</w:t>
      </w:r>
    </w:p>
    <w:p w:rsidR="00476D74" w:rsidRDefault="00D626B8" w:rsidP="009513D3">
      <w:pPr>
        <w:spacing w:before="240" w:after="240" w:line="360" w:lineRule="auto"/>
        <w:jc w:val="both"/>
        <w:rPr>
          <w:sz w:val="24"/>
          <w:szCs w:val="24"/>
        </w:rPr>
      </w:pPr>
      <w:r>
        <w:rPr>
          <w:sz w:val="24"/>
          <w:szCs w:val="24"/>
        </w:rPr>
        <w:t>Figure 5 shows that Marriott International has a projection of increasing profit in 2021 compared to 2020.</w:t>
      </w:r>
    </w:p>
    <w:p w:rsidR="00476D74" w:rsidRDefault="00D626B8" w:rsidP="009513D3">
      <w:pPr>
        <w:spacing w:before="240" w:after="240" w:line="360" w:lineRule="auto"/>
        <w:jc w:val="both"/>
        <w:rPr>
          <w:sz w:val="24"/>
          <w:szCs w:val="24"/>
        </w:rPr>
      </w:pPr>
      <w:r>
        <w:rPr>
          <w:noProof/>
          <w:sz w:val="24"/>
          <w:szCs w:val="24"/>
        </w:rPr>
        <w:drawing>
          <wp:inline distT="114300" distB="114300" distL="114300" distR="114300">
            <wp:extent cx="5731200" cy="4508500"/>
            <wp:effectExtent l="0" t="0" r="0" b="0"/>
            <wp:docPr id="3"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0"/>
                    <a:srcRect/>
                    <a:stretch>
                      <a:fillRect/>
                    </a:stretch>
                  </pic:blipFill>
                  <pic:spPr>
                    <a:xfrm>
                      <a:off x="0" y="0"/>
                      <a:ext cx="5731200" cy="4508500"/>
                    </a:xfrm>
                    <a:prstGeom prst="rect">
                      <a:avLst/>
                    </a:prstGeom>
                    <a:ln/>
                  </pic:spPr>
                </pic:pic>
              </a:graphicData>
            </a:graphic>
          </wp:inline>
        </w:drawing>
      </w:r>
    </w:p>
    <w:p w:rsidR="00476D74" w:rsidRDefault="00D626B8" w:rsidP="009513D3">
      <w:pPr>
        <w:spacing w:before="240" w:after="240" w:line="360" w:lineRule="auto"/>
        <w:jc w:val="both"/>
        <w:rPr>
          <w:sz w:val="24"/>
          <w:szCs w:val="24"/>
        </w:rPr>
      </w:pPr>
      <w:r>
        <w:rPr>
          <w:sz w:val="24"/>
          <w:szCs w:val="24"/>
        </w:rPr>
        <w:tab/>
      </w:r>
      <w:r>
        <w:rPr>
          <w:sz w:val="24"/>
          <w:szCs w:val="24"/>
        </w:rPr>
        <w:tab/>
      </w:r>
      <w:r>
        <w:rPr>
          <w:sz w:val="24"/>
          <w:szCs w:val="24"/>
        </w:rPr>
        <w:tab/>
      </w:r>
      <w:r>
        <w:rPr>
          <w:sz w:val="24"/>
          <w:szCs w:val="24"/>
        </w:rPr>
        <w:tab/>
        <w:t>Fig 11: Operational Margin monthly trend</w:t>
      </w:r>
    </w:p>
    <w:p w:rsidR="00476D74" w:rsidRDefault="00D626B8" w:rsidP="009513D3">
      <w:pPr>
        <w:spacing w:before="240" w:after="240" w:line="360" w:lineRule="auto"/>
        <w:jc w:val="both"/>
        <w:rPr>
          <w:sz w:val="24"/>
          <w:szCs w:val="24"/>
        </w:rPr>
      </w:pPr>
      <w:r>
        <w:rPr>
          <w:sz w:val="24"/>
          <w:szCs w:val="24"/>
        </w:rPr>
        <w:lastRenderedPageBreak/>
        <w:t>From the graph, we can see that operational margin was constantly decreasing till March’21 then it started to increase again almost on a constant basis.</w:t>
      </w:r>
      <w:r w:rsidR="00EF35A0">
        <w:rPr>
          <w:sz w:val="24"/>
          <w:szCs w:val="24"/>
        </w:rPr>
        <w:t xml:space="preserve"> It’s because the business wasn’t making any profit. The operating margin is almost negligent after removing the non-operating costs.</w:t>
      </w:r>
    </w:p>
    <w:p w:rsidR="00476D74" w:rsidRDefault="00D626B8" w:rsidP="009513D3">
      <w:pPr>
        <w:spacing w:before="240" w:after="240" w:line="360" w:lineRule="auto"/>
        <w:jc w:val="both"/>
        <w:rPr>
          <w:b/>
          <w:i/>
          <w:sz w:val="24"/>
          <w:szCs w:val="24"/>
        </w:rPr>
      </w:pPr>
      <w:r>
        <w:rPr>
          <w:b/>
          <w:i/>
          <w:sz w:val="24"/>
          <w:szCs w:val="24"/>
        </w:rPr>
        <w:t xml:space="preserve">6. Return </w:t>
      </w:r>
      <w:proofErr w:type="gramStart"/>
      <w:r>
        <w:rPr>
          <w:b/>
          <w:i/>
          <w:sz w:val="24"/>
          <w:szCs w:val="24"/>
        </w:rPr>
        <w:t>On</w:t>
      </w:r>
      <w:proofErr w:type="gramEnd"/>
      <w:r>
        <w:rPr>
          <w:b/>
          <w:i/>
          <w:sz w:val="24"/>
          <w:szCs w:val="24"/>
        </w:rPr>
        <w:t xml:space="preserve"> Assets</w:t>
      </w:r>
    </w:p>
    <w:p w:rsidR="00476D74" w:rsidRDefault="00D626B8" w:rsidP="009513D3">
      <w:pPr>
        <w:spacing w:before="240" w:after="240" w:line="360" w:lineRule="auto"/>
        <w:jc w:val="both"/>
        <w:rPr>
          <w:sz w:val="24"/>
          <w:szCs w:val="24"/>
        </w:rPr>
      </w:pPr>
      <w:r>
        <w:rPr>
          <w:sz w:val="24"/>
          <w:szCs w:val="24"/>
        </w:rPr>
        <w:t xml:space="preserve">The term return on assets or ROA is a measurement of the company’s profitability. It is a financial ratio that shows how the company is profitable in comparison to the total asset of the said company (Brigham &amp; </w:t>
      </w:r>
      <w:proofErr w:type="spellStart"/>
      <w:r>
        <w:rPr>
          <w:sz w:val="24"/>
          <w:szCs w:val="24"/>
        </w:rPr>
        <w:t>Ehrhardt</w:t>
      </w:r>
      <w:proofErr w:type="spellEnd"/>
      <w:r>
        <w:rPr>
          <w:sz w:val="24"/>
          <w:szCs w:val="24"/>
        </w:rPr>
        <w:t>, 2020).</w:t>
      </w:r>
    </w:p>
    <w:tbl>
      <w:tblPr>
        <w:tblStyle w:val="a6"/>
        <w:tblW w:w="9025" w:type="dxa"/>
        <w:tblBorders>
          <w:top w:val="nil"/>
          <w:left w:val="nil"/>
          <w:bottom w:val="nil"/>
          <w:right w:val="nil"/>
          <w:insideH w:val="nil"/>
          <w:insideV w:val="nil"/>
        </w:tblBorders>
        <w:tblLayout w:type="fixed"/>
        <w:tblLook w:val="0600"/>
      </w:tblPr>
      <w:tblGrid>
        <w:gridCol w:w="3570"/>
        <w:gridCol w:w="2655"/>
        <w:gridCol w:w="2800"/>
      </w:tblGrid>
      <w:tr w:rsidR="00476D74">
        <w:trPr>
          <w:trHeight w:val="650"/>
        </w:trPr>
        <w:tc>
          <w:tcPr>
            <w:tcW w:w="3569" w:type="dxa"/>
            <w:tcBorders>
              <w:top w:val="single" w:sz="8" w:space="0" w:color="000000"/>
              <w:left w:val="single" w:sz="8" w:space="0" w:color="000000"/>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Year</w:t>
            </w:r>
          </w:p>
        </w:tc>
        <w:tc>
          <w:tcPr>
            <w:tcW w:w="2655"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2021</w:t>
            </w:r>
          </w:p>
        </w:tc>
        <w:tc>
          <w:tcPr>
            <w:tcW w:w="2800"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2020</w:t>
            </w:r>
          </w:p>
        </w:tc>
      </w:tr>
      <w:tr w:rsidR="00476D74">
        <w:trPr>
          <w:trHeight w:val="575"/>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Ratio</w:t>
            </w:r>
          </w:p>
        </w:tc>
        <w:tc>
          <w:tcPr>
            <w:tcW w:w="265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4.3</w:t>
            </w:r>
          </w:p>
        </w:tc>
        <w:tc>
          <w:tcPr>
            <w:tcW w:w="2800"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-1.1</w:t>
            </w:r>
          </w:p>
        </w:tc>
      </w:tr>
    </w:tbl>
    <w:p w:rsidR="00476D74" w:rsidRDefault="00D626B8" w:rsidP="009513D3">
      <w:pPr>
        <w:spacing w:before="240" w:after="240" w:line="360" w:lineRule="auto"/>
        <w:jc w:val="both"/>
        <w:rPr>
          <w:sz w:val="24"/>
          <w:szCs w:val="24"/>
        </w:rPr>
      </w:pPr>
      <w:r>
        <w:rPr>
          <w:sz w:val="24"/>
          <w:szCs w:val="24"/>
        </w:rPr>
        <w:tab/>
        <w:t>Fig 12: Return on assets</w:t>
      </w:r>
    </w:p>
    <w:p w:rsidR="00476D74" w:rsidRDefault="00D626B8" w:rsidP="009513D3">
      <w:pPr>
        <w:spacing w:before="240" w:after="240" w:line="360" w:lineRule="auto"/>
        <w:jc w:val="both"/>
        <w:rPr>
          <w:sz w:val="24"/>
          <w:szCs w:val="24"/>
        </w:rPr>
      </w:pPr>
      <w:r>
        <w:rPr>
          <w:sz w:val="24"/>
          <w:szCs w:val="24"/>
        </w:rPr>
        <w:t>As the above table shows, the Marriott International Inc. saw improvements in its ROA sector. Going from a minus standpoint to a positive standpoint in one year is evidence to its proper asset management. The ratio currently stands at 4.3 in 2021.</w:t>
      </w:r>
    </w:p>
    <w:p w:rsidR="00476D74" w:rsidRDefault="00D626B8" w:rsidP="009513D3">
      <w:pPr>
        <w:spacing w:before="240" w:after="240" w:line="360" w:lineRule="auto"/>
        <w:jc w:val="both"/>
        <w:rPr>
          <w:sz w:val="24"/>
          <w:szCs w:val="24"/>
        </w:rPr>
      </w:pPr>
      <w:r>
        <w:rPr>
          <w:noProof/>
          <w:sz w:val="24"/>
          <w:szCs w:val="24"/>
        </w:rPr>
        <w:lastRenderedPageBreak/>
        <w:drawing>
          <wp:inline distT="114300" distB="114300" distL="114300" distR="114300">
            <wp:extent cx="5731200" cy="4597400"/>
            <wp:effectExtent l="0" t="0" r="0" b="0"/>
            <wp:docPr id="11"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1"/>
                    <a:srcRect/>
                    <a:stretch>
                      <a:fillRect/>
                    </a:stretch>
                  </pic:blipFill>
                  <pic:spPr>
                    <a:xfrm>
                      <a:off x="0" y="0"/>
                      <a:ext cx="5731200" cy="4597400"/>
                    </a:xfrm>
                    <a:prstGeom prst="rect">
                      <a:avLst/>
                    </a:prstGeom>
                    <a:ln/>
                  </pic:spPr>
                </pic:pic>
              </a:graphicData>
            </a:graphic>
          </wp:inline>
        </w:drawing>
      </w:r>
    </w:p>
    <w:p w:rsidR="00476D74" w:rsidRDefault="00D626B8" w:rsidP="009513D3">
      <w:pPr>
        <w:spacing w:before="240" w:after="240" w:line="360" w:lineRule="auto"/>
        <w:jc w:val="both"/>
        <w:rPr>
          <w:sz w:val="24"/>
          <w:szCs w:val="24"/>
        </w:rPr>
      </w:pPr>
      <w:r>
        <w:rPr>
          <w:sz w:val="24"/>
          <w:szCs w:val="24"/>
        </w:rPr>
        <w:tab/>
      </w:r>
      <w:r>
        <w:rPr>
          <w:sz w:val="24"/>
          <w:szCs w:val="24"/>
        </w:rPr>
        <w:tab/>
      </w:r>
      <w:r>
        <w:rPr>
          <w:sz w:val="24"/>
          <w:szCs w:val="24"/>
        </w:rPr>
        <w:tab/>
      </w:r>
      <w:r>
        <w:rPr>
          <w:sz w:val="24"/>
          <w:szCs w:val="24"/>
        </w:rPr>
        <w:tab/>
        <w:t>Fig 13: Return on Assets monthly trend</w:t>
      </w:r>
    </w:p>
    <w:p w:rsidR="00476D74" w:rsidRDefault="00D626B8" w:rsidP="009513D3">
      <w:pPr>
        <w:pStyle w:val="Heading2"/>
        <w:keepNext w:val="0"/>
        <w:keepLines w:val="0"/>
        <w:spacing w:after="80" w:line="360" w:lineRule="auto"/>
        <w:jc w:val="both"/>
        <w:rPr>
          <w:sz w:val="24"/>
          <w:szCs w:val="24"/>
        </w:rPr>
      </w:pPr>
      <w:bookmarkStart w:id="12" w:name="_993xqq87cqpl" w:colFirst="0" w:colLast="0"/>
      <w:bookmarkEnd w:id="12"/>
      <w:r>
        <w:rPr>
          <w:sz w:val="24"/>
          <w:szCs w:val="24"/>
        </w:rPr>
        <w:t>From the graph, we can see that return on assets was constantly decreasing till Mar’21 and started to increase afterwards.</w:t>
      </w:r>
    </w:p>
    <w:p w:rsidR="007D09AB" w:rsidRDefault="007D09AB">
      <w:pPr>
        <w:rPr>
          <w:b/>
          <w:sz w:val="26"/>
          <w:szCs w:val="26"/>
        </w:rPr>
      </w:pPr>
      <w:bookmarkStart w:id="13" w:name="_p8xbrrekiv4u" w:colFirst="0" w:colLast="0"/>
      <w:bookmarkEnd w:id="13"/>
      <w:r>
        <w:rPr>
          <w:b/>
          <w:sz w:val="26"/>
          <w:szCs w:val="26"/>
        </w:rPr>
        <w:br w:type="page"/>
      </w:r>
    </w:p>
    <w:p w:rsidR="00476D74" w:rsidRPr="009513D3" w:rsidRDefault="00D626B8" w:rsidP="009513D3">
      <w:pPr>
        <w:pStyle w:val="Heading2"/>
        <w:keepNext w:val="0"/>
        <w:keepLines w:val="0"/>
        <w:spacing w:after="80" w:line="360" w:lineRule="auto"/>
        <w:jc w:val="both"/>
        <w:rPr>
          <w:b/>
          <w:sz w:val="26"/>
          <w:szCs w:val="26"/>
        </w:rPr>
      </w:pPr>
      <w:r>
        <w:rPr>
          <w:b/>
          <w:sz w:val="26"/>
          <w:szCs w:val="26"/>
        </w:rPr>
        <w:lastRenderedPageBreak/>
        <w:t>Liquidity</w:t>
      </w:r>
    </w:p>
    <w:p w:rsidR="00476D74" w:rsidRDefault="009513D3" w:rsidP="009513D3">
      <w:pPr>
        <w:spacing w:before="240" w:after="240" w:line="360" w:lineRule="auto"/>
        <w:jc w:val="both"/>
        <w:rPr>
          <w:b/>
          <w:i/>
          <w:sz w:val="24"/>
          <w:szCs w:val="24"/>
        </w:rPr>
      </w:pPr>
      <w:r>
        <w:rPr>
          <w:b/>
          <w:i/>
          <w:sz w:val="24"/>
          <w:szCs w:val="24"/>
        </w:rPr>
        <w:t>1</w:t>
      </w:r>
      <w:r w:rsidR="00D626B8">
        <w:rPr>
          <w:b/>
          <w:i/>
          <w:sz w:val="24"/>
          <w:szCs w:val="24"/>
        </w:rPr>
        <w:t>. Current Ratio</w:t>
      </w:r>
    </w:p>
    <w:p w:rsidR="00476D74" w:rsidRDefault="00D626B8" w:rsidP="009513D3">
      <w:pPr>
        <w:spacing w:before="240" w:after="240" w:line="360" w:lineRule="auto"/>
        <w:jc w:val="both"/>
        <w:rPr>
          <w:sz w:val="24"/>
          <w:szCs w:val="24"/>
        </w:rPr>
      </w:pPr>
      <w:r>
        <w:rPr>
          <w:sz w:val="24"/>
          <w:szCs w:val="24"/>
        </w:rPr>
        <w:t>Current ratio is basically the ratio between current assets and current liabilities. As one of the indicator of a company’s liquidity, the current ratio indicates whether or not the company has enough short-term assets to cover the short-term debts.</w:t>
      </w:r>
      <w:r w:rsidR="007D09AB">
        <w:rPr>
          <w:sz w:val="24"/>
          <w:szCs w:val="24"/>
        </w:rPr>
        <w:t xml:space="preserve"> (</w:t>
      </w:r>
      <w:proofErr w:type="spellStart"/>
      <w:r w:rsidR="007D09AB">
        <w:rPr>
          <w:sz w:val="24"/>
          <w:szCs w:val="24"/>
        </w:rPr>
        <w:t>Valaskova</w:t>
      </w:r>
      <w:proofErr w:type="spellEnd"/>
      <w:r w:rsidR="007D09AB">
        <w:rPr>
          <w:sz w:val="24"/>
          <w:szCs w:val="24"/>
        </w:rPr>
        <w:t xml:space="preserve"> et al., 2018)</w:t>
      </w:r>
    </w:p>
    <w:tbl>
      <w:tblPr>
        <w:tblStyle w:val="a8"/>
        <w:tblW w:w="9025" w:type="dxa"/>
        <w:tblBorders>
          <w:top w:val="nil"/>
          <w:left w:val="nil"/>
          <w:bottom w:val="nil"/>
          <w:right w:val="nil"/>
          <w:insideH w:val="nil"/>
          <w:insideV w:val="nil"/>
        </w:tblBorders>
        <w:tblLayout w:type="fixed"/>
        <w:tblLook w:val="0600"/>
      </w:tblPr>
      <w:tblGrid>
        <w:gridCol w:w="3570"/>
        <w:gridCol w:w="2655"/>
        <w:gridCol w:w="2800"/>
      </w:tblGrid>
      <w:tr w:rsidR="00476D74">
        <w:trPr>
          <w:trHeight w:val="650"/>
        </w:trPr>
        <w:tc>
          <w:tcPr>
            <w:tcW w:w="3569" w:type="dxa"/>
            <w:tcBorders>
              <w:top w:val="single" w:sz="8" w:space="0" w:color="000000"/>
              <w:left w:val="single" w:sz="8" w:space="0" w:color="000000"/>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Year</w:t>
            </w:r>
          </w:p>
        </w:tc>
        <w:tc>
          <w:tcPr>
            <w:tcW w:w="2655"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2021</w:t>
            </w:r>
          </w:p>
        </w:tc>
        <w:tc>
          <w:tcPr>
            <w:tcW w:w="2800"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2020</w:t>
            </w:r>
          </w:p>
        </w:tc>
      </w:tr>
      <w:tr w:rsidR="00476D74">
        <w:trPr>
          <w:trHeight w:val="575"/>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Current Ratio = (Current Assets / Current Liabilities)</w:t>
            </w:r>
          </w:p>
        </w:tc>
        <w:tc>
          <w:tcPr>
            <w:tcW w:w="265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3626/6407</w:t>
            </w:r>
          </w:p>
        </w:tc>
        <w:tc>
          <w:tcPr>
            <w:tcW w:w="2800"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2825/5752</w:t>
            </w:r>
          </w:p>
        </w:tc>
      </w:tr>
      <w:tr w:rsidR="00476D74">
        <w:trPr>
          <w:trHeight w:val="575"/>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476D74" w:rsidP="009513D3">
            <w:pPr>
              <w:spacing w:before="240" w:line="360" w:lineRule="auto"/>
              <w:jc w:val="both"/>
              <w:rPr>
                <w:sz w:val="24"/>
                <w:szCs w:val="24"/>
              </w:rPr>
            </w:pPr>
          </w:p>
        </w:tc>
        <w:tc>
          <w:tcPr>
            <w:tcW w:w="265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.57</w:t>
            </w:r>
          </w:p>
        </w:tc>
        <w:tc>
          <w:tcPr>
            <w:tcW w:w="2800"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.49</w:t>
            </w:r>
          </w:p>
        </w:tc>
      </w:tr>
    </w:tbl>
    <w:p w:rsidR="00476D74" w:rsidRDefault="00D626B8" w:rsidP="009513D3">
      <w:pPr>
        <w:spacing w:before="240" w:after="240" w:line="360" w:lineRule="auto"/>
        <w:ind w:left="2160" w:firstLine="720"/>
        <w:jc w:val="both"/>
        <w:rPr>
          <w:sz w:val="24"/>
          <w:szCs w:val="24"/>
        </w:rPr>
      </w:pPr>
      <w:r>
        <w:rPr>
          <w:sz w:val="24"/>
          <w:szCs w:val="24"/>
        </w:rPr>
        <w:t>Figure 1</w:t>
      </w:r>
      <w:r w:rsidR="009513D3">
        <w:rPr>
          <w:sz w:val="24"/>
          <w:szCs w:val="24"/>
        </w:rPr>
        <w:t>4</w:t>
      </w:r>
      <w:r>
        <w:rPr>
          <w:sz w:val="24"/>
          <w:szCs w:val="24"/>
        </w:rPr>
        <w:t>: Current Ratio</w:t>
      </w:r>
    </w:p>
    <w:p w:rsidR="00476D74" w:rsidRDefault="00476D74" w:rsidP="009513D3">
      <w:pPr>
        <w:spacing w:before="240" w:after="240" w:line="360" w:lineRule="auto"/>
        <w:jc w:val="both"/>
        <w:rPr>
          <w:sz w:val="24"/>
          <w:szCs w:val="24"/>
        </w:rPr>
      </w:pPr>
    </w:p>
    <w:p w:rsidR="00476D74" w:rsidRDefault="00D626B8" w:rsidP="009513D3">
      <w:pPr>
        <w:spacing w:before="240" w:after="240" w:line="360" w:lineRule="auto"/>
        <w:jc w:val="both"/>
        <w:rPr>
          <w:sz w:val="24"/>
          <w:szCs w:val="24"/>
        </w:rPr>
      </w:pPr>
      <w:r>
        <w:rPr>
          <w:sz w:val="24"/>
          <w:szCs w:val="24"/>
        </w:rPr>
        <w:t>Figure 7 shows that Marriott International's has increased in which will allow it to pay its short-term debts.</w:t>
      </w:r>
    </w:p>
    <w:p w:rsidR="00476D74" w:rsidRDefault="00D626B8" w:rsidP="009513D3">
      <w:pPr>
        <w:spacing w:before="240" w:after="240" w:line="360" w:lineRule="auto"/>
        <w:jc w:val="both"/>
        <w:rPr>
          <w:sz w:val="24"/>
          <w:szCs w:val="24"/>
        </w:rPr>
      </w:pPr>
      <w:r>
        <w:rPr>
          <w:sz w:val="24"/>
          <w:szCs w:val="24"/>
        </w:rPr>
        <w:t>Again if we see the trends by months in this period we’ll find this below:</w:t>
      </w:r>
    </w:p>
    <w:p w:rsidR="00476D74" w:rsidRDefault="00D626B8" w:rsidP="009513D3">
      <w:pPr>
        <w:spacing w:before="240" w:after="240" w:line="360" w:lineRule="auto"/>
        <w:jc w:val="both"/>
        <w:rPr>
          <w:sz w:val="24"/>
          <w:szCs w:val="24"/>
        </w:rPr>
      </w:pPr>
      <w:r>
        <w:rPr>
          <w:noProof/>
          <w:sz w:val="24"/>
          <w:szCs w:val="24"/>
        </w:rPr>
        <w:lastRenderedPageBreak/>
        <w:drawing>
          <wp:inline distT="114300" distB="114300" distL="114300" distR="114300">
            <wp:extent cx="5731200" cy="438150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2"/>
                    <a:srcRect/>
                    <a:stretch>
                      <a:fillRect/>
                    </a:stretch>
                  </pic:blipFill>
                  <pic:spPr>
                    <a:xfrm>
                      <a:off x="0" y="0"/>
                      <a:ext cx="5731200" cy="4381500"/>
                    </a:xfrm>
                    <a:prstGeom prst="rect">
                      <a:avLst/>
                    </a:prstGeom>
                    <a:ln/>
                  </pic:spPr>
                </pic:pic>
              </a:graphicData>
            </a:graphic>
          </wp:inline>
        </w:drawing>
      </w:r>
    </w:p>
    <w:p w:rsidR="00476D74" w:rsidRDefault="00D626B8" w:rsidP="009513D3">
      <w:pPr>
        <w:spacing w:before="240" w:after="240" w:line="360" w:lineRule="auto"/>
        <w:jc w:val="both"/>
        <w:rPr>
          <w:sz w:val="24"/>
          <w:szCs w:val="24"/>
        </w:rPr>
      </w:pPr>
      <w:r>
        <w:rPr>
          <w:sz w:val="24"/>
          <w:szCs w:val="24"/>
        </w:rPr>
        <w:tab/>
      </w:r>
      <w:r>
        <w:rPr>
          <w:sz w:val="24"/>
          <w:szCs w:val="24"/>
        </w:rPr>
        <w:tab/>
      </w:r>
      <w:r>
        <w:rPr>
          <w:sz w:val="24"/>
          <w:szCs w:val="24"/>
        </w:rPr>
        <w:tab/>
        <w:t>Fig 1</w:t>
      </w:r>
      <w:r w:rsidR="009513D3">
        <w:rPr>
          <w:sz w:val="24"/>
          <w:szCs w:val="24"/>
        </w:rPr>
        <w:t>5</w:t>
      </w:r>
      <w:r>
        <w:rPr>
          <w:sz w:val="24"/>
          <w:szCs w:val="24"/>
        </w:rPr>
        <w:t>: Inventory Turnover Ratio monthly trends</w:t>
      </w:r>
    </w:p>
    <w:p w:rsidR="00476D74" w:rsidRDefault="00D626B8" w:rsidP="009513D3">
      <w:pPr>
        <w:spacing w:before="240" w:after="240" w:line="360" w:lineRule="auto"/>
        <w:jc w:val="both"/>
        <w:rPr>
          <w:sz w:val="24"/>
          <w:szCs w:val="24"/>
        </w:rPr>
      </w:pPr>
      <w:r>
        <w:rPr>
          <w:sz w:val="24"/>
          <w:szCs w:val="24"/>
        </w:rPr>
        <w:t>So, from this chart we see that from the month March’20 to July’20 this ratio was high indicating better liquidity and then between Dec’21 to July’21 ratio was low indicating higher liabilities than assets.</w:t>
      </w:r>
    </w:p>
    <w:p w:rsidR="007D09AB" w:rsidRDefault="007D09AB">
      <w:pPr>
        <w:rPr>
          <w:sz w:val="24"/>
          <w:szCs w:val="24"/>
        </w:rPr>
      </w:pPr>
      <w:r>
        <w:rPr>
          <w:sz w:val="24"/>
          <w:szCs w:val="24"/>
        </w:rPr>
        <w:br w:type="page"/>
      </w:r>
    </w:p>
    <w:p w:rsidR="007D09AB" w:rsidRPr="007D09AB" w:rsidRDefault="007D09AB" w:rsidP="009513D3">
      <w:pPr>
        <w:spacing w:before="240" w:after="240" w:line="360" w:lineRule="auto"/>
        <w:jc w:val="both"/>
        <w:rPr>
          <w:b/>
          <w:bCs/>
          <w:sz w:val="24"/>
          <w:szCs w:val="24"/>
        </w:rPr>
      </w:pPr>
      <w:r w:rsidRPr="007D09AB">
        <w:rPr>
          <w:b/>
          <w:bCs/>
          <w:sz w:val="24"/>
          <w:szCs w:val="24"/>
        </w:rPr>
        <w:lastRenderedPageBreak/>
        <w:t>Gearing</w:t>
      </w:r>
    </w:p>
    <w:p w:rsidR="00476D74" w:rsidRDefault="007D09AB" w:rsidP="009513D3">
      <w:pPr>
        <w:spacing w:before="240" w:after="240" w:line="360" w:lineRule="auto"/>
        <w:jc w:val="both"/>
        <w:rPr>
          <w:b/>
          <w:i/>
          <w:sz w:val="24"/>
          <w:szCs w:val="24"/>
        </w:rPr>
      </w:pPr>
      <w:r>
        <w:rPr>
          <w:b/>
          <w:i/>
          <w:sz w:val="24"/>
          <w:szCs w:val="24"/>
        </w:rPr>
        <w:t>1</w:t>
      </w:r>
      <w:r w:rsidR="00D626B8">
        <w:rPr>
          <w:b/>
          <w:i/>
          <w:sz w:val="24"/>
          <w:szCs w:val="24"/>
        </w:rPr>
        <w:t>.     Debt to Equity Ratio</w:t>
      </w:r>
    </w:p>
    <w:p w:rsidR="00476D74" w:rsidRDefault="00D626B8" w:rsidP="009513D3">
      <w:pPr>
        <w:spacing w:before="240" w:after="240" w:line="360" w:lineRule="auto"/>
        <w:jc w:val="both"/>
        <w:rPr>
          <w:sz w:val="24"/>
          <w:szCs w:val="24"/>
        </w:rPr>
      </w:pPr>
      <w:r>
        <w:rPr>
          <w:sz w:val="24"/>
          <w:szCs w:val="24"/>
        </w:rPr>
        <w:t>Debt to Equity ratio indicates total debt to total equity ratio over a certain period of time. A business’s debt to equity ratio measures the company’s ability to pay its long-term debt (Brigham and Houston, 2012).</w:t>
      </w:r>
    </w:p>
    <w:tbl>
      <w:tblPr>
        <w:tblStyle w:val="a9"/>
        <w:tblW w:w="9025" w:type="dxa"/>
        <w:tblBorders>
          <w:top w:val="nil"/>
          <w:left w:val="nil"/>
          <w:bottom w:val="nil"/>
          <w:right w:val="nil"/>
          <w:insideH w:val="nil"/>
          <w:insideV w:val="nil"/>
        </w:tblBorders>
        <w:tblLayout w:type="fixed"/>
        <w:tblLook w:val="0600"/>
      </w:tblPr>
      <w:tblGrid>
        <w:gridCol w:w="3570"/>
        <w:gridCol w:w="2655"/>
        <w:gridCol w:w="2800"/>
      </w:tblGrid>
      <w:tr w:rsidR="00476D74">
        <w:trPr>
          <w:trHeight w:val="740"/>
        </w:trPr>
        <w:tc>
          <w:tcPr>
            <w:tcW w:w="3569" w:type="dxa"/>
            <w:tcBorders>
              <w:top w:val="single" w:sz="8" w:space="0" w:color="000000"/>
              <w:left w:val="single" w:sz="8" w:space="0" w:color="000000"/>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after="160" w:line="360" w:lineRule="auto"/>
              <w:jc w:val="both"/>
              <w:rPr>
                <w:sz w:val="24"/>
                <w:szCs w:val="24"/>
              </w:rPr>
            </w:pPr>
            <w:r>
              <w:rPr>
                <w:sz w:val="24"/>
                <w:szCs w:val="24"/>
              </w:rPr>
              <w:t>Year</w:t>
            </w:r>
          </w:p>
        </w:tc>
        <w:tc>
          <w:tcPr>
            <w:tcW w:w="2655"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after="160" w:line="360" w:lineRule="auto"/>
              <w:jc w:val="both"/>
              <w:rPr>
                <w:sz w:val="24"/>
                <w:szCs w:val="24"/>
              </w:rPr>
            </w:pPr>
            <w:r>
              <w:rPr>
                <w:sz w:val="24"/>
                <w:szCs w:val="24"/>
              </w:rPr>
              <w:t>2021</w:t>
            </w:r>
          </w:p>
        </w:tc>
        <w:tc>
          <w:tcPr>
            <w:tcW w:w="2800" w:type="dxa"/>
            <w:tcBorders>
              <w:top w:val="single" w:sz="8" w:space="0" w:color="000000"/>
              <w:left w:val="nil"/>
              <w:bottom w:val="single" w:sz="8" w:space="0" w:color="000000"/>
              <w:right w:val="single" w:sz="8" w:space="0" w:color="000000"/>
            </w:tcBorders>
            <w:shd w:val="clear" w:color="auto" w:fill="DEEAF6"/>
            <w:tcMar>
              <w:top w:w="100" w:type="dxa"/>
              <w:left w:w="100" w:type="dxa"/>
              <w:bottom w:w="100" w:type="dxa"/>
              <w:right w:w="100" w:type="dxa"/>
            </w:tcMar>
          </w:tcPr>
          <w:p w:rsidR="00476D74" w:rsidRDefault="00D626B8" w:rsidP="009513D3">
            <w:pPr>
              <w:spacing w:before="240" w:after="160" w:line="360" w:lineRule="auto"/>
              <w:jc w:val="both"/>
              <w:rPr>
                <w:sz w:val="24"/>
                <w:szCs w:val="24"/>
              </w:rPr>
            </w:pPr>
            <w:r>
              <w:rPr>
                <w:sz w:val="24"/>
                <w:szCs w:val="24"/>
              </w:rPr>
              <w:t>2020</w:t>
            </w:r>
          </w:p>
        </w:tc>
      </w:tr>
      <w:tr w:rsidR="00476D74">
        <w:trPr>
          <w:trHeight w:val="740"/>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D626B8" w:rsidP="009513D3">
            <w:pPr>
              <w:spacing w:before="240" w:after="160" w:line="360" w:lineRule="auto"/>
              <w:jc w:val="both"/>
              <w:rPr>
                <w:sz w:val="24"/>
                <w:szCs w:val="24"/>
              </w:rPr>
            </w:pPr>
            <w:r>
              <w:rPr>
                <w:sz w:val="24"/>
                <w:szCs w:val="24"/>
              </w:rPr>
              <w:t>Total Debt / Total Equity</w:t>
            </w:r>
          </w:p>
        </w:tc>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(24139/1414)</w:t>
            </w:r>
          </w:p>
        </w:tc>
        <w:tc>
          <w:tcPr>
            <w:tcW w:w="28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line="360" w:lineRule="auto"/>
              <w:jc w:val="both"/>
              <w:rPr>
                <w:sz w:val="24"/>
                <w:szCs w:val="24"/>
              </w:rPr>
            </w:pPr>
            <w:r>
              <w:rPr>
                <w:sz w:val="24"/>
                <w:szCs w:val="24"/>
              </w:rPr>
              <w:t>(24271/430)</w:t>
            </w:r>
          </w:p>
        </w:tc>
      </w:tr>
      <w:tr w:rsidR="00476D74">
        <w:trPr>
          <w:trHeight w:val="740"/>
        </w:trPr>
        <w:tc>
          <w:tcPr>
            <w:tcW w:w="356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476D74" w:rsidRDefault="00D626B8" w:rsidP="009513D3">
            <w:pPr>
              <w:spacing w:before="240" w:after="160" w:line="360" w:lineRule="auto"/>
              <w:jc w:val="both"/>
              <w:rPr>
                <w:sz w:val="24"/>
                <w:szCs w:val="24"/>
              </w:rPr>
            </w:pPr>
            <w:r>
              <w:rPr>
                <w:sz w:val="24"/>
                <w:szCs w:val="24"/>
              </w:rPr>
              <w:t>Ratio</w:t>
            </w:r>
          </w:p>
        </w:tc>
        <w:tc>
          <w:tcPr>
            <w:tcW w:w="2655"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after="160" w:line="360" w:lineRule="auto"/>
              <w:jc w:val="both"/>
              <w:rPr>
                <w:sz w:val="24"/>
                <w:szCs w:val="24"/>
              </w:rPr>
            </w:pPr>
            <w:r>
              <w:rPr>
                <w:sz w:val="24"/>
                <w:szCs w:val="24"/>
              </w:rPr>
              <w:t>7.17</w:t>
            </w:r>
          </w:p>
        </w:tc>
        <w:tc>
          <w:tcPr>
            <w:tcW w:w="2800" w:type="dxa"/>
            <w:tcBorders>
              <w:top w:val="nil"/>
              <w:left w:val="nil"/>
              <w:bottom w:val="single" w:sz="8" w:space="0" w:color="000000"/>
              <w:right w:val="single" w:sz="8" w:space="0" w:color="000000"/>
            </w:tcBorders>
            <w:tcMar>
              <w:top w:w="100" w:type="dxa"/>
              <w:left w:w="100" w:type="dxa"/>
              <w:bottom w:w="100" w:type="dxa"/>
              <w:right w:w="100" w:type="dxa"/>
            </w:tcMar>
          </w:tcPr>
          <w:p w:rsidR="00476D74" w:rsidRDefault="00D626B8" w:rsidP="009513D3">
            <w:pPr>
              <w:spacing w:before="240" w:after="160" w:line="360" w:lineRule="auto"/>
              <w:jc w:val="both"/>
              <w:rPr>
                <w:sz w:val="24"/>
                <w:szCs w:val="24"/>
              </w:rPr>
            </w:pPr>
            <w:r>
              <w:rPr>
                <w:sz w:val="24"/>
                <w:szCs w:val="24"/>
              </w:rPr>
              <w:t>24.13</w:t>
            </w:r>
          </w:p>
        </w:tc>
      </w:tr>
    </w:tbl>
    <w:p w:rsidR="00476D74" w:rsidRDefault="00D626B8" w:rsidP="009513D3">
      <w:pPr>
        <w:spacing w:before="240" w:after="240" w:line="360" w:lineRule="auto"/>
        <w:jc w:val="both"/>
        <w:rPr>
          <w:sz w:val="24"/>
          <w:szCs w:val="24"/>
        </w:rPr>
      </w:pPr>
      <w:r>
        <w:rPr>
          <w:sz w:val="24"/>
          <w:szCs w:val="24"/>
        </w:rPr>
        <w:tab/>
        <w:t>Figure 1</w:t>
      </w:r>
      <w:r w:rsidR="009513D3">
        <w:rPr>
          <w:sz w:val="24"/>
          <w:szCs w:val="24"/>
        </w:rPr>
        <w:t>6</w:t>
      </w:r>
      <w:r>
        <w:rPr>
          <w:sz w:val="24"/>
          <w:szCs w:val="24"/>
        </w:rPr>
        <w:t>: Debt/Equity Ratio</w:t>
      </w:r>
    </w:p>
    <w:p w:rsidR="00476D74" w:rsidRDefault="00D626B8" w:rsidP="009513D3">
      <w:pPr>
        <w:spacing w:before="240" w:after="240" w:line="360" w:lineRule="auto"/>
        <w:jc w:val="both"/>
        <w:rPr>
          <w:sz w:val="24"/>
          <w:szCs w:val="24"/>
        </w:rPr>
      </w:pPr>
      <w:r>
        <w:rPr>
          <w:sz w:val="24"/>
          <w:szCs w:val="24"/>
        </w:rPr>
        <w:t xml:space="preserve">As we can see from figure 8, the Marriott International has seen a huge improvement in its debt payment area. With a significant reduction in debt to equity going from a 24.13 ratio in 2020 to a </w:t>
      </w:r>
      <w:proofErr w:type="spellStart"/>
      <w:r>
        <w:rPr>
          <w:sz w:val="24"/>
          <w:szCs w:val="24"/>
        </w:rPr>
        <w:t>meagre</w:t>
      </w:r>
      <w:proofErr w:type="spellEnd"/>
      <w:r>
        <w:rPr>
          <w:sz w:val="24"/>
          <w:szCs w:val="24"/>
        </w:rPr>
        <w:t xml:space="preserve"> 7.17 in 2021, the company is at a good standing.</w:t>
      </w:r>
    </w:p>
    <w:p w:rsidR="00476D74" w:rsidRDefault="00D626B8" w:rsidP="009513D3">
      <w:pPr>
        <w:spacing w:before="240" w:after="240" w:line="360" w:lineRule="auto"/>
        <w:jc w:val="both"/>
        <w:rPr>
          <w:sz w:val="24"/>
          <w:szCs w:val="24"/>
        </w:rPr>
      </w:pPr>
      <w:r>
        <w:rPr>
          <w:noProof/>
          <w:sz w:val="24"/>
          <w:szCs w:val="24"/>
        </w:rPr>
        <w:lastRenderedPageBreak/>
        <w:drawing>
          <wp:inline distT="114300" distB="114300" distL="114300" distR="114300">
            <wp:extent cx="5731200" cy="4572000"/>
            <wp:effectExtent l="0" t="0" r="0" b="0"/>
            <wp:docPr id="7"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3"/>
                    <a:srcRect/>
                    <a:stretch>
                      <a:fillRect/>
                    </a:stretch>
                  </pic:blipFill>
                  <pic:spPr>
                    <a:xfrm>
                      <a:off x="0" y="0"/>
                      <a:ext cx="5731200" cy="4572000"/>
                    </a:xfrm>
                    <a:prstGeom prst="rect">
                      <a:avLst/>
                    </a:prstGeom>
                    <a:ln/>
                  </pic:spPr>
                </pic:pic>
              </a:graphicData>
            </a:graphic>
          </wp:inline>
        </w:drawing>
      </w:r>
    </w:p>
    <w:p w:rsidR="00476D74" w:rsidRDefault="00D626B8" w:rsidP="009513D3">
      <w:pPr>
        <w:spacing w:before="240" w:after="240" w:line="360" w:lineRule="auto"/>
        <w:jc w:val="both"/>
        <w:rPr>
          <w:sz w:val="24"/>
          <w:szCs w:val="24"/>
        </w:rPr>
      </w:pPr>
      <w:r>
        <w:rPr>
          <w:sz w:val="24"/>
          <w:szCs w:val="24"/>
        </w:rPr>
        <w:tab/>
      </w:r>
      <w:r>
        <w:rPr>
          <w:sz w:val="24"/>
          <w:szCs w:val="24"/>
        </w:rPr>
        <w:tab/>
      </w:r>
      <w:r>
        <w:rPr>
          <w:sz w:val="24"/>
          <w:szCs w:val="24"/>
        </w:rPr>
        <w:tab/>
        <w:t>Fig 1</w:t>
      </w:r>
      <w:r w:rsidR="009513D3">
        <w:rPr>
          <w:sz w:val="24"/>
          <w:szCs w:val="24"/>
        </w:rPr>
        <w:t>7</w:t>
      </w:r>
      <w:r>
        <w:rPr>
          <w:sz w:val="24"/>
          <w:szCs w:val="24"/>
        </w:rPr>
        <w:t>: Debt to Equity Ratio monthly trends</w:t>
      </w:r>
    </w:p>
    <w:p w:rsidR="00476D74" w:rsidRDefault="00D626B8" w:rsidP="009513D3">
      <w:pPr>
        <w:spacing w:before="240" w:after="240" w:line="360" w:lineRule="auto"/>
        <w:jc w:val="both"/>
        <w:rPr>
          <w:sz w:val="24"/>
          <w:szCs w:val="24"/>
        </w:rPr>
      </w:pPr>
      <w:r>
        <w:rPr>
          <w:sz w:val="24"/>
          <w:szCs w:val="24"/>
        </w:rPr>
        <w:t>Here from the monthly trends we can see that the ratio was lower from Jan’20 till Mar’20 indicating company had more debt than equity on this time. Then the ratio started to rise indicating less difference between debt and equity.</w:t>
      </w:r>
    </w:p>
    <w:p w:rsidR="00476D74" w:rsidRDefault="00476D74" w:rsidP="009513D3">
      <w:pPr>
        <w:spacing w:before="240" w:after="240" w:line="360" w:lineRule="auto"/>
        <w:jc w:val="both"/>
        <w:rPr>
          <w:sz w:val="24"/>
          <w:szCs w:val="24"/>
        </w:rPr>
      </w:pPr>
    </w:p>
    <w:p w:rsidR="00476D74" w:rsidRDefault="00476D74" w:rsidP="009513D3">
      <w:pPr>
        <w:spacing w:before="240" w:after="240" w:line="360" w:lineRule="auto"/>
        <w:jc w:val="both"/>
        <w:rPr>
          <w:sz w:val="24"/>
          <w:szCs w:val="24"/>
        </w:rPr>
      </w:pPr>
    </w:p>
    <w:p w:rsidR="007D09AB" w:rsidRDefault="007D09AB">
      <w:pPr>
        <w:rPr>
          <w:b/>
          <w:sz w:val="26"/>
          <w:szCs w:val="26"/>
        </w:rPr>
      </w:pPr>
      <w:bookmarkStart w:id="14" w:name="_w3h0675u6un" w:colFirst="0" w:colLast="0"/>
      <w:bookmarkEnd w:id="14"/>
      <w:r>
        <w:rPr>
          <w:b/>
          <w:sz w:val="26"/>
          <w:szCs w:val="26"/>
        </w:rPr>
        <w:br w:type="page"/>
      </w:r>
    </w:p>
    <w:p w:rsidR="00476D74" w:rsidRDefault="00D626B8" w:rsidP="009513D3">
      <w:pPr>
        <w:pStyle w:val="Heading1"/>
        <w:keepNext w:val="0"/>
        <w:keepLines w:val="0"/>
        <w:spacing w:before="480" w:line="360" w:lineRule="auto"/>
        <w:jc w:val="both"/>
        <w:rPr>
          <w:b/>
          <w:sz w:val="26"/>
          <w:szCs w:val="26"/>
        </w:rPr>
      </w:pPr>
      <w:r>
        <w:rPr>
          <w:b/>
          <w:sz w:val="26"/>
          <w:szCs w:val="26"/>
        </w:rPr>
        <w:lastRenderedPageBreak/>
        <w:t>Knowledge from Ratio Analysis</w:t>
      </w:r>
    </w:p>
    <w:p w:rsidR="00476D74" w:rsidRDefault="00D626B8" w:rsidP="009513D3">
      <w:pPr>
        <w:spacing w:before="240" w:after="240" w:line="360" w:lineRule="auto"/>
        <w:jc w:val="both"/>
        <w:rPr>
          <w:sz w:val="24"/>
          <w:szCs w:val="24"/>
        </w:rPr>
      </w:pPr>
      <w:r>
        <w:rPr>
          <w:sz w:val="24"/>
          <w:szCs w:val="24"/>
        </w:rPr>
        <w:t xml:space="preserve">While ratio analysis is a vital tool to </w:t>
      </w:r>
      <w:proofErr w:type="spellStart"/>
      <w:r>
        <w:rPr>
          <w:sz w:val="24"/>
          <w:szCs w:val="24"/>
        </w:rPr>
        <w:t>analyse</w:t>
      </w:r>
      <w:proofErr w:type="spellEnd"/>
      <w:r>
        <w:rPr>
          <w:sz w:val="24"/>
          <w:szCs w:val="24"/>
        </w:rPr>
        <w:t xml:space="preserve"> the financial picture of a company it is not a perfect tool. It will help the company to be mindful of the fluctuations in ratio analysis over the monthly ratio calculations as it can impact the observation of how the company is changing over time.</w:t>
      </w:r>
    </w:p>
    <w:p w:rsidR="00476D74" w:rsidRDefault="00D626B8" w:rsidP="009513D3">
      <w:pPr>
        <w:spacing w:before="240" w:after="240" w:line="360" w:lineRule="auto"/>
        <w:jc w:val="both"/>
        <w:rPr>
          <w:sz w:val="24"/>
          <w:szCs w:val="24"/>
        </w:rPr>
      </w:pPr>
      <w:r>
        <w:rPr>
          <w:sz w:val="24"/>
          <w:szCs w:val="24"/>
        </w:rPr>
        <w:t>It can show the minute changes in the company’s profile and help the analysts of the company to determine the changes needed for the company to turn in profit.</w:t>
      </w:r>
    </w:p>
    <w:p w:rsidR="00476D74" w:rsidRDefault="00D626B8" w:rsidP="009513D3">
      <w:pPr>
        <w:spacing w:before="240" w:after="240" w:line="360" w:lineRule="auto"/>
        <w:jc w:val="both"/>
        <w:rPr>
          <w:sz w:val="24"/>
          <w:szCs w:val="24"/>
        </w:rPr>
      </w:pPr>
      <w:r>
        <w:rPr>
          <w:sz w:val="24"/>
          <w:szCs w:val="24"/>
        </w:rPr>
        <w:t>In the financial statements of Marriot International, we can see a trend of increase in all of the financial ratios we discussed early in the report. Marriot prioritizes their equity and they have the made decision to increase their equity funding from the previous year.</w:t>
      </w:r>
    </w:p>
    <w:p w:rsidR="00476D74" w:rsidRDefault="00D626B8" w:rsidP="009513D3">
      <w:pPr>
        <w:spacing w:before="240" w:after="240" w:line="360" w:lineRule="auto"/>
        <w:jc w:val="both"/>
        <w:rPr>
          <w:sz w:val="24"/>
          <w:szCs w:val="24"/>
        </w:rPr>
      </w:pPr>
      <w:r>
        <w:rPr>
          <w:sz w:val="24"/>
          <w:szCs w:val="24"/>
        </w:rPr>
        <w:t>All of that resulted in an overall increase in its profitability, liquidity and efficacy of the company.</w:t>
      </w:r>
    </w:p>
    <w:p w:rsidR="007D09AB" w:rsidRDefault="007D09AB">
      <w:pPr>
        <w:rPr>
          <w:b/>
          <w:sz w:val="26"/>
          <w:szCs w:val="26"/>
        </w:rPr>
      </w:pPr>
      <w:bookmarkStart w:id="15" w:name="_9vi8tjxqr503" w:colFirst="0" w:colLast="0"/>
      <w:bookmarkEnd w:id="15"/>
      <w:r>
        <w:rPr>
          <w:b/>
          <w:sz w:val="26"/>
          <w:szCs w:val="26"/>
        </w:rPr>
        <w:br w:type="page"/>
      </w:r>
    </w:p>
    <w:p w:rsidR="00476D74" w:rsidRDefault="00D626B8" w:rsidP="009513D3">
      <w:pPr>
        <w:pStyle w:val="Heading1"/>
        <w:keepNext w:val="0"/>
        <w:keepLines w:val="0"/>
        <w:spacing w:before="480" w:line="360" w:lineRule="auto"/>
        <w:jc w:val="both"/>
        <w:rPr>
          <w:b/>
          <w:sz w:val="26"/>
          <w:szCs w:val="26"/>
        </w:rPr>
      </w:pPr>
      <w:r>
        <w:rPr>
          <w:b/>
          <w:sz w:val="26"/>
          <w:szCs w:val="26"/>
        </w:rPr>
        <w:lastRenderedPageBreak/>
        <w:t>Benefits and Limitations of Ratio Analysis</w:t>
      </w:r>
    </w:p>
    <w:p w:rsidR="00476D74" w:rsidRDefault="00D626B8" w:rsidP="009513D3">
      <w:pPr>
        <w:spacing w:before="240" w:after="240" w:line="360" w:lineRule="auto"/>
        <w:jc w:val="both"/>
        <w:rPr>
          <w:sz w:val="24"/>
          <w:szCs w:val="24"/>
        </w:rPr>
      </w:pPr>
      <w:r>
        <w:rPr>
          <w:sz w:val="24"/>
          <w:szCs w:val="24"/>
        </w:rPr>
        <w:t>The significance of ratio analysis can be seen when compared the financial statements of large corporations such as the Marriott International. It can tell us how efficiently a company is running and it can also give us insights on what areas to improve upon to start making or increasing the profit margin.</w:t>
      </w:r>
    </w:p>
    <w:p w:rsidR="00476D74" w:rsidRDefault="00D626B8" w:rsidP="009513D3">
      <w:pPr>
        <w:spacing w:before="240" w:after="240" w:line="360" w:lineRule="auto"/>
        <w:jc w:val="both"/>
        <w:rPr>
          <w:sz w:val="24"/>
          <w:szCs w:val="24"/>
        </w:rPr>
      </w:pPr>
      <w:r>
        <w:rPr>
          <w:sz w:val="24"/>
          <w:szCs w:val="24"/>
        </w:rPr>
        <w:t>It can also give us an understanding of the company’s asset control and debt management ability. You can map the liquidity and the solvency of a company and present it to the shareholders as well as the potential investors.</w:t>
      </w:r>
    </w:p>
    <w:p w:rsidR="00476D74" w:rsidRDefault="00D626B8" w:rsidP="009513D3">
      <w:pPr>
        <w:spacing w:before="240" w:after="240" w:line="360" w:lineRule="auto"/>
        <w:jc w:val="both"/>
        <w:rPr>
          <w:sz w:val="24"/>
          <w:szCs w:val="24"/>
        </w:rPr>
      </w:pPr>
      <w:r>
        <w:rPr>
          <w:sz w:val="24"/>
          <w:szCs w:val="24"/>
        </w:rPr>
        <w:t xml:space="preserve">However, there are limits to ratio analysis. While it doesn’t take away the need to </w:t>
      </w:r>
      <w:proofErr w:type="spellStart"/>
      <w:r>
        <w:rPr>
          <w:sz w:val="24"/>
          <w:szCs w:val="24"/>
        </w:rPr>
        <w:t>analyse</w:t>
      </w:r>
      <w:proofErr w:type="spellEnd"/>
      <w:r>
        <w:rPr>
          <w:sz w:val="24"/>
          <w:szCs w:val="24"/>
        </w:rPr>
        <w:t xml:space="preserve"> the financial ratios, it is essential to keep some reservations in place.</w:t>
      </w:r>
    </w:p>
    <w:p w:rsidR="00476D74" w:rsidRDefault="00D626B8" w:rsidP="009513D3">
      <w:pPr>
        <w:spacing w:before="240" w:after="240" w:line="360" w:lineRule="auto"/>
        <w:jc w:val="both"/>
        <w:rPr>
          <w:sz w:val="24"/>
          <w:szCs w:val="24"/>
        </w:rPr>
      </w:pPr>
      <w:r>
        <w:rPr>
          <w:sz w:val="24"/>
          <w:szCs w:val="24"/>
        </w:rPr>
        <w:t>The hotel industry is a highly competitive market. The success of a hotel depends heavily on the economic, social, cultural and environmental factors as they influence the current business trends as well.</w:t>
      </w:r>
    </w:p>
    <w:p w:rsidR="00476D74" w:rsidRDefault="00D626B8" w:rsidP="009513D3">
      <w:pPr>
        <w:spacing w:before="240" w:after="240" w:line="360" w:lineRule="auto"/>
        <w:jc w:val="both"/>
        <w:rPr>
          <w:sz w:val="24"/>
          <w:szCs w:val="24"/>
        </w:rPr>
      </w:pPr>
      <w:r>
        <w:rPr>
          <w:sz w:val="24"/>
          <w:szCs w:val="24"/>
        </w:rPr>
        <w:t xml:space="preserve">Ratio analysis can help us get a quick insight into the company’s current condition and a future projected report as well. However, the ratio analysis also comes with a few limitations that </w:t>
      </w:r>
      <w:proofErr w:type="gramStart"/>
      <w:r>
        <w:rPr>
          <w:sz w:val="24"/>
          <w:szCs w:val="24"/>
        </w:rPr>
        <w:t>needs</w:t>
      </w:r>
      <w:proofErr w:type="gramEnd"/>
      <w:r>
        <w:rPr>
          <w:sz w:val="24"/>
          <w:szCs w:val="24"/>
        </w:rPr>
        <w:t xml:space="preserve"> to be considered before making decisions based on the model.</w:t>
      </w:r>
    </w:p>
    <w:p w:rsidR="00476D74" w:rsidRDefault="00D626B8" w:rsidP="009513D3">
      <w:pPr>
        <w:spacing w:before="240" w:after="240" w:line="360" w:lineRule="auto"/>
        <w:jc w:val="both"/>
        <w:rPr>
          <w:sz w:val="24"/>
          <w:szCs w:val="24"/>
        </w:rPr>
      </w:pPr>
      <w:r>
        <w:rPr>
          <w:sz w:val="24"/>
          <w:szCs w:val="24"/>
        </w:rPr>
        <w:t>Analyzing the ratios of company’s financial statements needs a lot of background knowledge of the company and the economy as a whole. The factors in the economy, society and the variations of the country the company is located in has an impact on the ratio analysis and the decisions to be taken from the result (</w:t>
      </w:r>
      <w:proofErr w:type="spellStart"/>
      <w:r>
        <w:rPr>
          <w:sz w:val="24"/>
          <w:szCs w:val="24"/>
        </w:rPr>
        <w:t>Valaskova</w:t>
      </w:r>
      <w:proofErr w:type="spellEnd"/>
      <w:r>
        <w:rPr>
          <w:sz w:val="24"/>
          <w:szCs w:val="24"/>
        </w:rPr>
        <w:t xml:space="preserve"> et Al., 2018).</w:t>
      </w:r>
    </w:p>
    <w:p w:rsidR="00476D74" w:rsidRDefault="00D626B8" w:rsidP="009513D3">
      <w:pPr>
        <w:spacing w:before="240" w:after="240" w:line="360" w:lineRule="auto"/>
        <w:jc w:val="both"/>
        <w:rPr>
          <w:sz w:val="24"/>
          <w:szCs w:val="24"/>
        </w:rPr>
      </w:pPr>
      <w:r>
        <w:rPr>
          <w:sz w:val="24"/>
          <w:szCs w:val="24"/>
        </w:rPr>
        <w:t>This means that the ratio analysis cannot be taken as an absolute measure of the company’s condition as well as the company’s future prospects. It cannot give you the accurate picture that you can follow blindly. Following inaccurate measurements and taking decisions can lead to false conclusions and result in a loss of the company.</w:t>
      </w:r>
    </w:p>
    <w:p w:rsidR="00476D74" w:rsidRDefault="00D626B8" w:rsidP="009513D3">
      <w:pPr>
        <w:spacing w:before="240" w:after="240" w:line="360" w:lineRule="auto"/>
        <w:jc w:val="both"/>
        <w:rPr>
          <w:sz w:val="24"/>
          <w:szCs w:val="24"/>
        </w:rPr>
      </w:pPr>
      <w:r>
        <w:rPr>
          <w:sz w:val="24"/>
          <w:szCs w:val="24"/>
        </w:rPr>
        <w:t xml:space="preserve">The analysts of the company would do very well to take the difference styles of bookkeeping into account. Different entities approach their bookkeeping differently </w:t>
      </w:r>
      <w:r>
        <w:rPr>
          <w:sz w:val="24"/>
          <w:szCs w:val="24"/>
        </w:rPr>
        <w:lastRenderedPageBreak/>
        <w:t>so it is far from the ideal scenario to draw a parallel comparison between them and analyze from there. It takes a lot of knowledge behind the bookkeeping approach of each entity to come to an accurate conclusion.</w:t>
      </w:r>
    </w:p>
    <w:p w:rsidR="007D09AB" w:rsidRDefault="007D09AB">
      <w:pPr>
        <w:rPr>
          <w:b/>
          <w:sz w:val="24"/>
          <w:szCs w:val="24"/>
        </w:rPr>
      </w:pPr>
      <w:bookmarkStart w:id="16" w:name="_j52rmwer5nks" w:colFirst="0" w:colLast="0"/>
      <w:bookmarkEnd w:id="16"/>
      <w:r>
        <w:rPr>
          <w:b/>
          <w:sz w:val="24"/>
          <w:szCs w:val="24"/>
        </w:rPr>
        <w:br w:type="page"/>
      </w:r>
    </w:p>
    <w:p w:rsidR="00476D74" w:rsidRDefault="00D626B8" w:rsidP="009513D3">
      <w:pPr>
        <w:pStyle w:val="Heading1"/>
        <w:keepNext w:val="0"/>
        <w:keepLines w:val="0"/>
        <w:spacing w:before="480" w:line="360" w:lineRule="auto"/>
        <w:jc w:val="both"/>
        <w:rPr>
          <w:b/>
          <w:sz w:val="24"/>
          <w:szCs w:val="24"/>
        </w:rPr>
      </w:pPr>
      <w:r>
        <w:rPr>
          <w:b/>
          <w:sz w:val="24"/>
          <w:szCs w:val="24"/>
        </w:rPr>
        <w:lastRenderedPageBreak/>
        <w:t>Conclusion</w:t>
      </w:r>
    </w:p>
    <w:p w:rsidR="00476D74" w:rsidRDefault="00D626B8" w:rsidP="009513D3">
      <w:pPr>
        <w:spacing w:before="240" w:after="240" w:line="360" w:lineRule="auto"/>
        <w:jc w:val="both"/>
        <w:rPr>
          <w:sz w:val="24"/>
          <w:szCs w:val="24"/>
        </w:rPr>
      </w:pPr>
      <w:r>
        <w:rPr>
          <w:sz w:val="24"/>
          <w:szCs w:val="24"/>
        </w:rPr>
        <w:t xml:space="preserve">As it is evident from the company’s recent reports, it has seen an increase in profit in the year 2021 compared to the year of 2020. The statistics show a rise in profitability, liquidity and the gearing of the company. With increased current and Investment turnover ratios, the company is set well to cover its short-term debts. And with increased debt and debt to equity ratios, the company is in a good place to take care of its long-term debts with enough to long-term assets. It is evident that the management at the Marriot International Inc. has seen an improvement in the sections of asset management, asset utilizations, </w:t>
      </w:r>
      <w:proofErr w:type="spellStart"/>
      <w:r>
        <w:rPr>
          <w:sz w:val="24"/>
          <w:szCs w:val="24"/>
        </w:rPr>
        <w:t>recievables</w:t>
      </w:r>
      <w:proofErr w:type="spellEnd"/>
      <w:r>
        <w:rPr>
          <w:sz w:val="24"/>
          <w:szCs w:val="24"/>
        </w:rPr>
        <w:t xml:space="preserve"> management and payables management. The short-term debt has been taken care of and the company is well poised to take care of the long-term commitments as well. With the profits coming, the company has enough internal funding and with good projected reports, there will be sufficient new and external funding. It is clear that with proper ratio analysis, Marriott International Inc. will see great results in the future as well.</w:t>
      </w:r>
    </w:p>
    <w:p w:rsidR="007D09AB" w:rsidRDefault="007D09AB">
      <w:pPr>
        <w:rPr>
          <w:sz w:val="24"/>
          <w:szCs w:val="24"/>
        </w:rPr>
      </w:pPr>
      <w:bookmarkStart w:id="17" w:name="_wztbh7pfvkqe" w:colFirst="0" w:colLast="0"/>
      <w:bookmarkEnd w:id="17"/>
      <w:r>
        <w:rPr>
          <w:sz w:val="24"/>
          <w:szCs w:val="24"/>
        </w:rPr>
        <w:br w:type="page"/>
      </w:r>
    </w:p>
    <w:p w:rsidR="00476D74" w:rsidRPr="007D09AB" w:rsidRDefault="00D626B8" w:rsidP="009513D3">
      <w:pPr>
        <w:pStyle w:val="Heading1"/>
        <w:keepNext w:val="0"/>
        <w:keepLines w:val="0"/>
        <w:spacing w:before="480" w:line="360" w:lineRule="auto"/>
        <w:jc w:val="both"/>
        <w:rPr>
          <w:b/>
          <w:bCs/>
          <w:sz w:val="24"/>
          <w:szCs w:val="24"/>
        </w:rPr>
      </w:pPr>
      <w:r w:rsidRPr="007D09AB">
        <w:rPr>
          <w:b/>
          <w:bCs/>
          <w:sz w:val="24"/>
          <w:szCs w:val="24"/>
        </w:rPr>
        <w:lastRenderedPageBreak/>
        <w:t>Bibliography</w:t>
      </w:r>
    </w:p>
    <w:p w:rsidR="00476D74" w:rsidRDefault="00D626B8" w:rsidP="009513D3">
      <w:pPr>
        <w:spacing w:before="240" w:after="240" w:line="360" w:lineRule="auto"/>
        <w:jc w:val="both"/>
        <w:rPr>
          <w:sz w:val="24"/>
          <w:szCs w:val="24"/>
        </w:rPr>
      </w:pPr>
      <w:r>
        <w:rPr>
          <w:sz w:val="24"/>
          <w:szCs w:val="24"/>
        </w:rPr>
        <w:t xml:space="preserve"> </w:t>
      </w:r>
      <w:proofErr w:type="gramStart"/>
      <w:r>
        <w:rPr>
          <w:sz w:val="24"/>
          <w:szCs w:val="24"/>
        </w:rPr>
        <w:t>Al-</w:t>
      </w:r>
      <w:proofErr w:type="spellStart"/>
      <w:r>
        <w:rPr>
          <w:sz w:val="24"/>
          <w:szCs w:val="24"/>
        </w:rPr>
        <w:t>Wattar</w:t>
      </w:r>
      <w:proofErr w:type="spellEnd"/>
      <w:r>
        <w:rPr>
          <w:sz w:val="24"/>
          <w:szCs w:val="24"/>
        </w:rPr>
        <w:t xml:space="preserve">, Y.M.A., </w:t>
      </w:r>
      <w:proofErr w:type="spellStart"/>
      <w:r>
        <w:rPr>
          <w:sz w:val="24"/>
          <w:szCs w:val="24"/>
        </w:rPr>
        <w:t>Almagtome</w:t>
      </w:r>
      <w:proofErr w:type="spellEnd"/>
      <w:r>
        <w:rPr>
          <w:sz w:val="24"/>
          <w:szCs w:val="24"/>
        </w:rPr>
        <w:t>, A.H. and Al-</w:t>
      </w:r>
      <w:proofErr w:type="spellStart"/>
      <w:r>
        <w:rPr>
          <w:sz w:val="24"/>
          <w:szCs w:val="24"/>
        </w:rPr>
        <w:t>Shafeay</w:t>
      </w:r>
      <w:proofErr w:type="spellEnd"/>
      <w:r>
        <w:rPr>
          <w:sz w:val="24"/>
          <w:szCs w:val="24"/>
        </w:rPr>
        <w:t>, K.M. (2019).</w:t>
      </w:r>
      <w:proofErr w:type="gramEnd"/>
      <w:r>
        <w:rPr>
          <w:sz w:val="24"/>
          <w:szCs w:val="24"/>
        </w:rPr>
        <w:t xml:space="preserve"> The role of integrating hotel sustainability reporting practices into an Accounting Information System to enhance Hotel Financial Performance: Evidence from Iraq. African Journal of Hospitality, Tourism and Leisure, 8(5), 1-16.</w:t>
      </w:r>
    </w:p>
    <w:p w:rsidR="00476D74" w:rsidRDefault="00D626B8" w:rsidP="009513D3">
      <w:pPr>
        <w:spacing w:before="240" w:after="240" w:line="360" w:lineRule="auto"/>
        <w:jc w:val="both"/>
        <w:rPr>
          <w:sz w:val="24"/>
          <w:szCs w:val="24"/>
        </w:rPr>
      </w:pPr>
      <w:proofErr w:type="spellStart"/>
      <w:proofErr w:type="gramStart"/>
      <w:r>
        <w:rPr>
          <w:sz w:val="24"/>
          <w:szCs w:val="24"/>
        </w:rPr>
        <w:t>Berk</w:t>
      </w:r>
      <w:proofErr w:type="spellEnd"/>
      <w:r>
        <w:rPr>
          <w:sz w:val="24"/>
          <w:szCs w:val="24"/>
        </w:rPr>
        <w:t xml:space="preserve">, J., &amp; </w:t>
      </w:r>
      <w:proofErr w:type="spellStart"/>
      <w:r>
        <w:rPr>
          <w:sz w:val="24"/>
          <w:szCs w:val="24"/>
        </w:rPr>
        <w:t>Demarzo</w:t>
      </w:r>
      <w:proofErr w:type="spellEnd"/>
      <w:r>
        <w:rPr>
          <w:sz w:val="24"/>
          <w:szCs w:val="24"/>
        </w:rPr>
        <w:t>, P. (2020).</w:t>
      </w:r>
      <w:proofErr w:type="gramEnd"/>
      <w:r>
        <w:rPr>
          <w:sz w:val="24"/>
          <w:szCs w:val="24"/>
        </w:rPr>
        <w:t xml:space="preserve"> Corporate finance (5th </w:t>
      </w:r>
      <w:proofErr w:type="gramStart"/>
      <w:r>
        <w:rPr>
          <w:sz w:val="24"/>
          <w:szCs w:val="24"/>
        </w:rPr>
        <w:t>ed</w:t>
      </w:r>
      <w:proofErr w:type="gramEnd"/>
      <w:r>
        <w:rPr>
          <w:sz w:val="24"/>
          <w:szCs w:val="24"/>
        </w:rPr>
        <w:t>.). Harlow: Pearson Education Limited.</w:t>
      </w:r>
    </w:p>
    <w:p w:rsidR="00476D74" w:rsidRDefault="00D626B8" w:rsidP="009513D3">
      <w:pPr>
        <w:spacing w:before="240" w:after="240" w:line="360" w:lineRule="auto"/>
        <w:jc w:val="both"/>
        <w:rPr>
          <w:sz w:val="24"/>
          <w:szCs w:val="24"/>
        </w:rPr>
      </w:pPr>
      <w:r>
        <w:rPr>
          <w:sz w:val="24"/>
          <w:szCs w:val="24"/>
        </w:rPr>
        <w:t xml:space="preserve">Robinson, T.R. (2020). </w:t>
      </w:r>
      <w:proofErr w:type="gramStart"/>
      <w:r>
        <w:rPr>
          <w:sz w:val="24"/>
          <w:szCs w:val="24"/>
        </w:rPr>
        <w:t>International financial statement analysis.</w:t>
      </w:r>
      <w:proofErr w:type="gramEnd"/>
      <w:r>
        <w:rPr>
          <w:sz w:val="24"/>
          <w:szCs w:val="24"/>
        </w:rPr>
        <w:t xml:space="preserve"> </w:t>
      </w:r>
      <w:proofErr w:type="gramStart"/>
      <w:r>
        <w:rPr>
          <w:sz w:val="24"/>
          <w:szCs w:val="24"/>
        </w:rPr>
        <w:t>John Wiley &amp; Sons.</w:t>
      </w:r>
      <w:proofErr w:type="gramEnd"/>
    </w:p>
    <w:p w:rsidR="00476D74" w:rsidRDefault="00D626B8" w:rsidP="009513D3">
      <w:pPr>
        <w:spacing w:before="240" w:after="240" w:line="360" w:lineRule="auto"/>
        <w:jc w:val="both"/>
        <w:rPr>
          <w:sz w:val="24"/>
          <w:szCs w:val="24"/>
        </w:rPr>
      </w:pPr>
      <w:proofErr w:type="gramStart"/>
      <w:r>
        <w:rPr>
          <w:sz w:val="24"/>
          <w:szCs w:val="24"/>
        </w:rPr>
        <w:t>Marriott.</w:t>
      </w:r>
      <w:proofErr w:type="gramEnd"/>
      <w:r>
        <w:rPr>
          <w:sz w:val="24"/>
          <w:szCs w:val="24"/>
        </w:rPr>
        <w:t xml:space="preserve"> </w:t>
      </w:r>
      <w:proofErr w:type="gramStart"/>
      <w:r>
        <w:rPr>
          <w:sz w:val="24"/>
          <w:szCs w:val="24"/>
        </w:rPr>
        <w:t>(2019). About Marriott International | Corporate Information.</w:t>
      </w:r>
      <w:proofErr w:type="gramEnd"/>
      <w:r>
        <w:rPr>
          <w:sz w:val="24"/>
          <w:szCs w:val="24"/>
        </w:rPr>
        <w:t xml:space="preserve"> Retrieved from Marriott.com website: https://www.marriott.com/marriott/aboutmarriott.mi</w:t>
      </w:r>
    </w:p>
    <w:p w:rsidR="00476D74" w:rsidRDefault="00D626B8" w:rsidP="009513D3">
      <w:pPr>
        <w:spacing w:before="240" w:after="240" w:line="360" w:lineRule="auto"/>
        <w:jc w:val="both"/>
        <w:rPr>
          <w:sz w:val="24"/>
          <w:szCs w:val="24"/>
        </w:rPr>
      </w:pPr>
      <w:proofErr w:type="gramStart"/>
      <w:r>
        <w:rPr>
          <w:sz w:val="24"/>
          <w:szCs w:val="24"/>
        </w:rPr>
        <w:t>Brigham, E. F., &amp; Houston, J. F. (2012).</w:t>
      </w:r>
      <w:proofErr w:type="gramEnd"/>
      <w:r>
        <w:rPr>
          <w:sz w:val="24"/>
          <w:szCs w:val="24"/>
        </w:rPr>
        <w:t xml:space="preserve"> Fundamentals of financial management: study guide. Mason, Ohio: South-Western </w:t>
      </w:r>
      <w:proofErr w:type="spellStart"/>
      <w:r>
        <w:rPr>
          <w:sz w:val="24"/>
          <w:szCs w:val="24"/>
        </w:rPr>
        <w:t>Cengage</w:t>
      </w:r>
      <w:proofErr w:type="spellEnd"/>
      <w:r>
        <w:rPr>
          <w:sz w:val="24"/>
          <w:szCs w:val="24"/>
        </w:rPr>
        <w:t xml:space="preserve"> Learning.</w:t>
      </w:r>
    </w:p>
    <w:p w:rsidR="00476D74" w:rsidRDefault="00D626B8" w:rsidP="009513D3">
      <w:pPr>
        <w:spacing w:before="240" w:after="240" w:line="360" w:lineRule="auto"/>
        <w:jc w:val="both"/>
        <w:rPr>
          <w:sz w:val="24"/>
          <w:szCs w:val="24"/>
        </w:rPr>
      </w:pPr>
      <w:proofErr w:type="gramStart"/>
      <w:r>
        <w:rPr>
          <w:sz w:val="24"/>
          <w:szCs w:val="24"/>
        </w:rPr>
        <w:t xml:space="preserve">Brigham, E. F., &amp; </w:t>
      </w:r>
      <w:proofErr w:type="spellStart"/>
      <w:r>
        <w:rPr>
          <w:sz w:val="24"/>
          <w:szCs w:val="24"/>
        </w:rPr>
        <w:t>Ehrhardt</w:t>
      </w:r>
      <w:proofErr w:type="spellEnd"/>
      <w:r>
        <w:rPr>
          <w:sz w:val="24"/>
          <w:szCs w:val="24"/>
        </w:rPr>
        <w:t>, M. C. (2020).</w:t>
      </w:r>
      <w:proofErr w:type="gramEnd"/>
      <w:r>
        <w:rPr>
          <w:sz w:val="24"/>
          <w:szCs w:val="24"/>
        </w:rPr>
        <w:t xml:space="preserve"> Financial Management: Theory &amp; Practice. Boston, MA: </w:t>
      </w:r>
      <w:proofErr w:type="spellStart"/>
      <w:r>
        <w:rPr>
          <w:sz w:val="24"/>
          <w:szCs w:val="24"/>
        </w:rPr>
        <w:t>Cengage</w:t>
      </w:r>
      <w:proofErr w:type="spellEnd"/>
      <w:r>
        <w:rPr>
          <w:sz w:val="24"/>
          <w:szCs w:val="24"/>
        </w:rPr>
        <w:t>.</w:t>
      </w:r>
    </w:p>
    <w:p w:rsidR="00476D74" w:rsidRDefault="00D626B8" w:rsidP="009513D3">
      <w:pPr>
        <w:spacing w:before="240" w:after="240" w:line="360" w:lineRule="auto"/>
        <w:jc w:val="both"/>
        <w:rPr>
          <w:sz w:val="24"/>
          <w:szCs w:val="24"/>
        </w:rPr>
      </w:pPr>
      <w:r>
        <w:rPr>
          <w:sz w:val="24"/>
          <w:szCs w:val="24"/>
        </w:rPr>
        <w:t xml:space="preserve">Beers, B. (2019). How Is Asset Turnover Calculated? </w:t>
      </w:r>
      <w:proofErr w:type="gramStart"/>
      <w:r>
        <w:rPr>
          <w:sz w:val="24"/>
          <w:szCs w:val="24"/>
        </w:rPr>
        <w:t xml:space="preserve">Retrieved from </w:t>
      </w:r>
      <w:proofErr w:type="spellStart"/>
      <w:r>
        <w:rPr>
          <w:sz w:val="24"/>
          <w:szCs w:val="24"/>
        </w:rPr>
        <w:t>Investopedia</w:t>
      </w:r>
      <w:proofErr w:type="spellEnd"/>
      <w:r>
        <w:rPr>
          <w:sz w:val="24"/>
          <w:szCs w:val="24"/>
        </w:rPr>
        <w:t xml:space="preserve"> website: https://www.investopedia.com/ask/answers/032415/how-asset-turnover-calculated.asp.</w:t>
      </w:r>
      <w:proofErr w:type="gramEnd"/>
    </w:p>
    <w:p w:rsidR="00476D74" w:rsidRDefault="00D626B8" w:rsidP="009513D3">
      <w:pPr>
        <w:spacing w:before="240" w:after="240" w:line="360" w:lineRule="auto"/>
        <w:jc w:val="both"/>
        <w:rPr>
          <w:sz w:val="24"/>
          <w:szCs w:val="24"/>
        </w:rPr>
      </w:pPr>
      <w:r>
        <w:rPr>
          <w:sz w:val="24"/>
          <w:szCs w:val="24"/>
        </w:rPr>
        <w:t xml:space="preserve">Kim, S.Y. (2018). </w:t>
      </w:r>
      <w:proofErr w:type="gramStart"/>
      <w:r>
        <w:rPr>
          <w:sz w:val="24"/>
          <w:szCs w:val="24"/>
        </w:rPr>
        <w:t>Predicting hospitality financial distress with ensemble models: the case of US hotels, restaurants, and amusement and recreation.</w:t>
      </w:r>
      <w:proofErr w:type="gramEnd"/>
      <w:r>
        <w:rPr>
          <w:sz w:val="24"/>
          <w:szCs w:val="24"/>
        </w:rPr>
        <w:t xml:space="preserve"> Service Business, 12(3), 483-503.</w:t>
      </w:r>
    </w:p>
    <w:p w:rsidR="00476D74" w:rsidRDefault="00D626B8" w:rsidP="009513D3">
      <w:pPr>
        <w:spacing w:before="240" w:after="240" w:line="360" w:lineRule="auto"/>
        <w:jc w:val="both"/>
        <w:rPr>
          <w:sz w:val="24"/>
          <w:szCs w:val="24"/>
        </w:rPr>
      </w:pPr>
      <w:proofErr w:type="gramStart"/>
      <w:r>
        <w:rPr>
          <w:sz w:val="24"/>
          <w:szCs w:val="24"/>
        </w:rPr>
        <w:t xml:space="preserve">Titman, S., Martin, T., </w:t>
      </w:r>
      <w:proofErr w:type="spellStart"/>
      <w:r>
        <w:rPr>
          <w:sz w:val="24"/>
          <w:szCs w:val="24"/>
        </w:rPr>
        <w:t>Keown</w:t>
      </w:r>
      <w:proofErr w:type="spellEnd"/>
      <w:r>
        <w:rPr>
          <w:sz w:val="24"/>
          <w:szCs w:val="24"/>
        </w:rPr>
        <w:t>, A. J., &amp; Martin, J. D. (2018).</w:t>
      </w:r>
      <w:proofErr w:type="gramEnd"/>
      <w:r>
        <w:rPr>
          <w:sz w:val="24"/>
          <w:szCs w:val="24"/>
        </w:rPr>
        <w:t xml:space="preserve"> Financial </w:t>
      </w:r>
      <w:proofErr w:type="gramStart"/>
      <w:r>
        <w:rPr>
          <w:sz w:val="24"/>
          <w:szCs w:val="24"/>
        </w:rPr>
        <w:t>management :</w:t>
      </w:r>
      <w:proofErr w:type="gramEnd"/>
      <w:r>
        <w:rPr>
          <w:sz w:val="24"/>
          <w:szCs w:val="24"/>
        </w:rPr>
        <w:t xml:space="preserve"> principles and applications. Melbourne, Vic: Pearson Australia.</w:t>
      </w:r>
    </w:p>
    <w:p w:rsidR="00476D74" w:rsidRDefault="00D626B8" w:rsidP="009513D3">
      <w:pPr>
        <w:spacing w:before="240" w:after="240" w:line="360" w:lineRule="auto"/>
        <w:jc w:val="both"/>
        <w:rPr>
          <w:sz w:val="24"/>
          <w:szCs w:val="24"/>
        </w:rPr>
      </w:pPr>
      <w:proofErr w:type="spellStart"/>
      <w:r>
        <w:rPr>
          <w:sz w:val="24"/>
          <w:szCs w:val="24"/>
        </w:rPr>
        <w:t>Vaidya</w:t>
      </w:r>
      <w:proofErr w:type="spellEnd"/>
      <w:r>
        <w:rPr>
          <w:sz w:val="24"/>
          <w:szCs w:val="24"/>
        </w:rPr>
        <w:t>, D. (2019, August 12). Return on Capital Employed (ROCE) | Top Examples | Formula. Retrieved from Wallstreetmojo.com website: https://www.wallstreetmojo.com/return-on-capital-employed-roce/</w:t>
      </w:r>
    </w:p>
    <w:p w:rsidR="00476D74" w:rsidRDefault="00D626B8" w:rsidP="009513D3">
      <w:pPr>
        <w:spacing w:before="240" w:after="240" w:line="360" w:lineRule="auto"/>
        <w:jc w:val="both"/>
        <w:rPr>
          <w:sz w:val="24"/>
          <w:szCs w:val="24"/>
        </w:rPr>
      </w:pPr>
      <w:proofErr w:type="spellStart"/>
      <w:r>
        <w:rPr>
          <w:sz w:val="24"/>
          <w:szCs w:val="24"/>
        </w:rPr>
        <w:lastRenderedPageBreak/>
        <w:t>Vaidya</w:t>
      </w:r>
      <w:proofErr w:type="spellEnd"/>
      <w:r>
        <w:rPr>
          <w:sz w:val="24"/>
          <w:szCs w:val="24"/>
        </w:rPr>
        <w:t xml:space="preserve">, D. (2019). </w:t>
      </w:r>
      <w:proofErr w:type="spellStart"/>
      <w:r>
        <w:rPr>
          <w:sz w:val="24"/>
          <w:szCs w:val="24"/>
        </w:rPr>
        <w:t>Dheeraj</w:t>
      </w:r>
      <w:proofErr w:type="spellEnd"/>
      <w:r>
        <w:rPr>
          <w:sz w:val="24"/>
          <w:szCs w:val="24"/>
        </w:rPr>
        <w:t xml:space="preserve"> </w:t>
      </w:r>
      <w:proofErr w:type="spellStart"/>
      <w:r>
        <w:rPr>
          <w:sz w:val="24"/>
          <w:szCs w:val="24"/>
        </w:rPr>
        <w:t>Vaidya</w:t>
      </w:r>
      <w:proofErr w:type="spellEnd"/>
      <w:r>
        <w:rPr>
          <w:sz w:val="24"/>
          <w:szCs w:val="24"/>
        </w:rPr>
        <w:t>. [</w:t>
      </w:r>
      <w:proofErr w:type="gramStart"/>
      <w:r>
        <w:rPr>
          <w:sz w:val="24"/>
          <w:szCs w:val="24"/>
        </w:rPr>
        <w:t>online</w:t>
      </w:r>
      <w:proofErr w:type="gramEnd"/>
      <w:r>
        <w:rPr>
          <w:sz w:val="24"/>
          <w:szCs w:val="24"/>
        </w:rPr>
        <w:t>] Learn Investment Banking: Financial Modeling Training Courses Online. Available at: https://www.wallstreetmojo.com/ratio-analysis/.</w:t>
      </w:r>
    </w:p>
    <w:p w:rsidR="00476D74" w:rsidRDefault="00D626B8" w:rsidP="009513D3">
      <w:pPr>
        <w:spacing w:before="240" w:after="240" w:line="360" w:lineRule="auto"/>
        <w:jc w:val="both"/>
        <w:rPr>
          <w:sz w:val="24"/>
          <w:szCs w:val="24"/>
        </w:rPr>
      </w:pPr>
      <w:proofErr w:type="spellStart"/>
      <w:proofErr w:type="gramStart"/>
      <w:r>
        <w:rPr>
          <w:sz w:val="24"/>
          <w:szCs w:val="24"/>
        </w:rPr>
        <w:t>Valaskova</w:t>
      </w:r>
      <w:proofErr w:type="spellEnd"/>
      <w:r>
        <w:rPr>
          <w:sz w:val="24"/>
          <w:szCs w:val="24"/>
        </w:rPr>
        <w:t xml:space="preserve">, K., </w:t>
      </w:r>
      <w:proofErr w:type="spellStart"/>
      <w:r>
        <w:rPr>
          <w:sz w:val="24"/>
          <w:szCs w:val="24"/>
        </w:rPr>
        <w:t>Kliestik</w:t>
      </w:r>
      <w:proofErr w:type="spellEnd"/>
      <w:r>
        <w:rPr>
          <w:sz w:val="24"/>
          <w:szCs w:val="24"/>
        </w:rPr>
        <w:t xml:space="preserve">, T. and </w:t>
      </w:r>
      <w:proofErr w:type="spellStart"/>
      <w:r>
        <w:rPr>
          <w:sz w:val="24"/>
          <w:szCs w:val="24"/>
        </w:rPr>
        <w:t>Kovacova</w:t>
      </w:r>
      <w:proofErr w:type="spellEnd"/>
      <w:r>
        <w:rPr>
          <w:sz w:val="24"/>
          <w:szCs w:val="24"/>
        </w:rPr>
        <w:t>, M. (2018).</w:t>
      </w:r>
      <w:proofErr w:type="gramEnd"/>
      <w:r>
        <w:rPr>
          <w:sz w:val="24"/>
          <w:szCs w:val="24"/>
        </w:rPr>
        <w:t xml:space="preserve"> </w:t>
      </w:r>
      <w:proofErr w:type="gramStart"/>
      <w:r>
        <w:rPr>
          <w:sz w:val="24"/>
          <w:szCs w:val="24"/>
        </w:rPr>
        <w:t>Management of financial risks in Slovak enterprises using regression analysis.</w:t>
      </w:r>
      <w:proofErr w:type="gramEnd"/>
      <w:r>
        <w:rPr>
          <w:sz w:val="24"/>
          <w:szCs w:val="24"/>
        </w:rPr>
        <w:t xml:space="preserve"> </w:t>
      </w:r>
      <w:proofErr w:type="spellStart"/>
      <w:r>
        <w:rPr>
          <w:sz w:val="24"/>
          <w:szCs w:val="24"/>
        </w:rPr>
        <w:t>Oeconomia</w:t>
      </w:r>
      <w:proofErr w:type="spellEnd"/>
      <w:r>
        <w:rPr>
          <w:sz w:val="24"/>
          <w:szCs w:val="24"/>
        </w:rPr>
        <w:t xml:space="preserve"> </w:t>
      </w:r>
      <w:proofErr w:type="spellStart"/>
      <w:r>
        <w:rPr>
          <w:sz w:val="24"/>
          <w:szCs w:val="24"/>
        </w:rPr>
        <w:t>Copernicana</w:t>
      </w:r>
      <w:proofErr w:type="spellEnd"/>
      <w:r>
        <w:rPr>
          <w:sz w:val="24"/>
          <w:szCs w:val="24"/>
        </w:rPr>
        <w:t>, 9(1), 105-121.</w:t>
      </w:r>
    </w:p>
    <w:p w:rsidR="00476D74" w:rsidRDefault="00476D74" w:rsidP="009513D3">
      <w:pPr>
        <w:spacing w:before="240" w:after="240" w:line="360" w:lineRule="auto"/>
        <w:jc w:val="both"/>
        <w:rPr>
          <w:sz w:val="24"/>
          <w:szCs w:val="24"/>
        </w:rPr>
      </w:pPr>
    </w:p>
    <w:p w:rsidR="00476D74" w:rsidRDefault="00476D74" w:rsidP="009513D3">
      <w:pPr>
        <w:spacing w:line="360" w:lineRule="auto"/>
        <w:jc w:val="both"/>
        <w:rPr>
          <w:sz w:val="24"/>
          <w:szCs w:val="24"/>
        </w:rPr>
      </w:pPr>
    </w:p>
    <w:sectPr w:rsidR="00476D74" w:rsidSect="00BB1B38">
      <w:pgSz w:w="11909" w:h="16834"/>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2NDUwMDEzMTOyNDI2MbFQ0lEKTi0uzszPAykwrAUAll3C4CwAAAA="/>
  </w:docVars>
  <w:rsids>
    <w:rsidRoot w:val="00476D74"/>
    <w:rsid w:val="00184025"/>
    <w:rsid w:val="00401EFE"/>
    <w:rsid w:val="00476D74"/>
    <w:rsid w:val="00651ED0"/>
    <w:rsid w:val="007D09AB"/>
    <w:rsid w:val="007F14C5"/>
    <w:rsid w:val="009513D3"/>
    <w:rsid w:val="00BB1B38"/>
    <w:rsid w:val="00D626B8"/>
    <w:rsid w:val="00EF35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B1B38"/>
  </w:style>
  <w:style w:type="paragraph" w:styleId="Heading1">
    <w:name w:val="heading 1"/>
    <w:basedOn w:val="Normal"/>
    <w:next w:val="Normal"/>
    <w:rsid w:val="00BB1B38"/>
    <w:pPr>
      <w:keepNext/>
      <w:keepLines/>
      <w:spacing w:before="400" w:after="120"/>
      <w:outlineLvl w:val="0"/>
    </w:pPr>
    <w:rPr>
      <w:sz w:val="40"/>
      <w:szCs w:val="40"/>
    </w:rPr>
  </w:style>
  <w:style w:type="paragraph" w:styleId="Heading2">
    <w:name w:val="heading 2"/>
    <w:basedOn w:val="Normal"/>
    <w:next w:val="Normal"/>
    <w:rsid w:val="00BB1B38"/>
    <w:pPr>
      <w:keepNext/>
      <w:keepLines/>
      <w:spacing w:before="360" w:after="120"/>
      <w:outlineLvl w:val="1"/>
    </w:pPr>
    <w:rPr>
      <w:sz w:val="32"/>
      <w:szCs w:val="32"/>
    </w:rPr>
  </w:style>
  <w:style w:type="paragraph" w:styleId="Heading3">
    <w:name w:val="heading 3"/>
    <w:basedOn w:val="Normal"/>
    <w:next w:val="Normal"/>
    <w:rsid w:val="00BB1B38"/>
    <w:pPr>
      <w:keepNext/>
      <w:keepLines/>
      <w:spacing w:before="320" w:after="80"/>
      <w:outlineLvl w:val="2"/>
    </w:pPr>
    <w:rPr>
      <w:color w:val="434343"/>
      <w:sz w:val="28"/>
      <w:szCs w:val="28"/>
    </w:rPr>
  </w:style>
  <w:style w:type="paragraph" w:styleId="Heading4">
    <w:name w:val="heading 4"/>
    <w:basedOn w:val="Normal"/>
    <w:next w:val="Normal"/>
    <w:rsid w:val="00BB1B38"/>
    <w:pPr>
      <w:keepNext/>
      <w:keepLines/>
      <w:spacing w:before="280" w:after="80"/>
      <w:outlineLvl w:val="3"/>
    </w:pPr>
    <w:rPr>
      <w:color w:val="666666"/>
      <w:sz w:val="24"/>
      <w:szCs w:val="24"/>
    </w:rPr>
  </w:style>
  <w:style w:type="paragraph" w:styleId="Heading5">
    <w:name w:val="heading 5"/>
    <w:basedOn w:val="Normal"/>
    <w:next w:val="Normal"/>
    <w:rsid w:val="00BB1B38"/>
    <w:pPr>
      <w:keepNext/>
      <w:keepLines/>
      <w:spacing w:before="240" w:after="80"/>
      <w:outlineLvl w:val="4"/>
    </w:pPr>
    <w:rPr>
      <w:color w:val="666666"/>
    </w:rPr>
  </w:style>
  <w:style w:type="paragraph" w:styleId="Heading6">
    <w:name w:val="heading 6"/>
    <w:basedOn w:val="Normal"/>
    <w:next w:val="Normal"/>
    <w:rsid w:val="00BB1B3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B1B38"/>
    <w:pPr>
      <w:keepNext/>
      <w:keepLines/>
      <w:spacing w:after="60"/>
    </w:pPr>
    <w:rPr>
      <w:sz w:val="52"/>
      <w:szCs w:val="52"/>
    </w:rPr>
  </w:style>
  <w:style w:type="paragraph" w:styleId="Subtitle">
    <w:name w:val="Subtitle"/>
    <w:basedOn w:val="Normal"/>
    <w:next w:val="Normal"/>
    <w:rsid w:val="00BB1B38"/>
    <w:pPr>
      <w:keepNext/>
      <w:keepLines/>
      <w:spacing w:after="320"/>
    </w:pPr>
    <w:rPr>
      <w:color w:val="666666"/>
      <w:sz w:val="30"/>
      <w:szCs w:val="30"/>
    </w:rPr>
  </w:style>
  <w:style w:type="table" w:customStyle="1" w:styleId="a">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7">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8">
    <w:basedOn w:val="TableNormal"/>
    <w:rsid w:val="00BB1B38"/>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BB1B38"/>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F14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4C5"/>
    <w:rPr>
      <w:rFonts w:ascii="Tahoma" w:hAnsi="Tahoma" w:cs="Tahoma"/>
      <w:sz w:val="16"/>
      <w:szCs w:val="16"/>
    </w:rPr>
  </w:style>
  <w:style w:type="paragraph" w:styleId="TOCHeading">
    <w:name w:val="TOC Heading"/>
    <w:basedOn w:val="Heading1"/>
    <w:next w:val="Normal"/>
    <w:uiPriority w:val="39"/>
    <w:unhideWhenUsed/>
    <w:qFormat/>
    <w:rsid w:val="007F14C5"/>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7F14C5"/>
    <w:pPr>
      <w:spacing w:after="100" w:line="259" w:lineRule="auto"/>
    </w:pPr>
    <w:rPr>
      <w:rFonts w:asciiTheme="minorHAnsi" w:eastAsiaTheme="minorHAnsi" w:hAnsiTheme="minorHAnsi" w:cstheme="minorBidi"/>
      <w:lang w:val="en-GB"/>
    </w:rPr>
  </w:style>
  <w:style w:type="character" w:styleId="Hyperlink">
    <w:name w:val="Hyperlink"/>
    <w:basedOn w:val="DefaultParagraphFont"/>
    <w:uiPriority w:val="99"/>
    <w:unhideWhenUsed/>
    <w:rsid w:val="007F14C5"/>
    <w:rPr>
      <w:color w:val="0000FF" w:themeColor="hyperlink"/>
      <w:u w:val="single"/>
    </w:rPr>
  </w:style>
  <w:style w:type="paragraph" w:styleId="TOC2">
    <w:name w:val="toc 2"/>
    <w:basedOn w:val="Normal"/>
    <w:next w:val="Normal"/>
    <w:autoRedefine/>
    <w:uiPriority w:val="39"/>
    <w:unhideWhenUsed/>
    <w:rsid w:val="007F14C5"/>
    <w:pPr>
      <w:spacing w:after="100" w:line="259" w:lineRule="auto"/>
      <w:ind w:left="220"/>
    </w:pPr>
    <w:rPr>
      <w:rFonts w:asciiTheme="minorHAnsi" w:eastAsiaTheme="minorHAnsi" w:hAnsiTheme="minorHAnsi" w:cstheme="minorBidi"/>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tblPr>
      <w:tblStyleRowBandSize w:val="1"/>
      <w:tblStyleColBandSize w:val="1"/>
      <w:tblInd w:w="0" w:type="dxa"/>
      <w:tblCellMar>
        <w:top w:w="100" w:type="dxa"/>
        <w:left w:w="100" w:type="dxa"/>
        <w:bottom w:w="100" w:type="dxa"/>
        <w:right w:w="100" w:type="dxa"/>
      </w:tblCellMar>
    </w:tblPr>
  </w:style>
  <w:style w:type="table" w:customStyle="1" w:styleId="a5">
    <w:basedOn w:val="TableNormal"/>
    <w:tblPr>
      <w:tblStyleRowBandSize w:val="1"/>
      <w:tblStyleColBandSize w:val="1"/>
      <w:tblInd w:w="0" w:type="dxa"/>
      <w:tblCellMar>
        <w:top w:w="100" w:type="dxa"/>
        <w:left w:w="100" w:type="dxa"/>
        <w:bottom w:w="100" w:type="dxa"/>
        <w:right w:w="100" w:type="dxa"/>
      </w:tblCellMar>
    </w:tblPr>
  </w:style>
  <w:style w:type="table" w:customStyle="1" w:styleId="a6">
    <w:basedOn w:val="TableNormal"/>
    <w:tblPr>
      <w:tblStyleRowBandSize w:val="1"/>
      <w:tblStyleColBandSize w:val="1"/>
      <w:tblInd w:w="0" w:type="dxa"/>
      <w:tblCellMar>
        <w:top w:w="100" w:type="dxa"/>
        <w:left w:w="100" w:type="dxa"/>
        <w:bottom w:w="100" w:type="dxa"/>
        <w:right w:w="100" w:type="dxa"/>
      </w:tblCellMar>
    </w:tblPr>
  </w:style>
  <w:style w:type="table" w:customStyle="1" w:styleId="a7">
    <w:basedOn w:val="TableNormal"/>
    <w:tblPr>
      <w:tblStyleRowBandSize w:val="1"/>
      <w:tblStyleColBandSize w:val="1"/>
      <w:tblInd w:w="0" w:type="dxa"/>
      <w:tblCellMar>
        <w:top w:w="100" w:type="dxa"/>
        <w:left w:w="100" w:type="dxa"/>
        <w:bottom w:w="100" w:type="dxa"/>
        <w:right w:w="100" w:type="dxa"/>
      </w:tblCellMar>
    </w:tblPr>
  </w:style>
  <w:style w:type="table" w:customStyle="1" w:styleId="a8">
    <w:basedOn w:val="TableNormal"/>
    <w:tblPr>
      <w:tblStyleRowBandSize w:val="1"/>
      <w:tblStyleColBandSize w:val="1"/>
      <w:tblInd w:w="0" w:type="dxa"/>
      <w:tblCellMar>
        <w:top w:w="100" w:type="dxa"/>
        <w:left w:w="100" w:type="dxa"/>
        <w:bottom w:w="100" w:type="dxa"/>
        <w:right w:w="100" w:type="dxa"/>
      </w:tblCellMar>
    </w:tblPr>
  </w:style>
  <w:style w:type="table" w:customStyle="1" w:styleId="a9">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F14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4C5"/>
    <w:rPr>
      <w:rFonts w:ascii="Tahoma" w:hAnsi="Tahoma" w:cs="Tahoma"/>
      <w:sz w:val="16"/>
      <w:szCs w:val="16"/>
    </w:rPr>
  </w:style>
  <w:style w:type="paragraph" w:styleId="TOCHeading">
    <w:name w:val="TOC Heading"/>
    <w:basedOn w:val="Heading1"/>
    <w:next w:val="Normal"/>
    <w:uiPriority w:val="39"/>
    <w:unhideWhenUsed/>
    <w:qFormat/>
    <w:rsid w:val="007F14C5"/>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7F14C5"/>
    <w:pPr>
      <w:spacing w:after="100" w:line="259" w:lineRule="auto"/>
    </w:pPr>
    <w:rPr>
      <w:rFonts w:asciiTheme="minorHAnsi" w:eastAsiaTheme="minorHAnsi" w:hAnsiTheme="minorHAnsi" w:cstheme="minorBidi"/>
      <w:lang w:val="en-GB"/>
    </w:rPr>
  </w:style>
  <w:style w:type="character" w:styleId="Hyperlink">
    <w:name w:val="Hyperlink"/>
    <w:basedOn w:val="DefaultParagraphFont"/>
    <w:uiPriority w:val="99"/>
    <w:unhideWhenUsed/>
    <w:rsid w:val="007F14C5"/>
    <w:rPr>
      <w:color w:val="0000FF" w:themeColor="hyperlink"/>
      <w:u w:val="single"/>
    </w:rPr>
  </w:style>
  <w:style w:type="paragraph" w:styleId="TOC2">
    <w:name w:val="toc 2"/>
    <w:basedOn w:val="Normal"/>
    <w:next w:val="Normal"/>
    <w:autoRedefine/>
    <w:uiPriority w:val="39"/>
    <w:unhideWhenUsed/>
    <w:rsid w:val="007F14C5"/>
    <w:pPr>
      <w:spacing w:after="100" w:line="259" w:lineRule="auto"/>
      <w:ind w:left="220"/>
    </w:pPr>
    <w:rPr>
      <w:rFonts w:asciiTheme="minorHAnsi" w:eastAsiaTheme="minorHAnsi" w:hAnsiTheme="minorHAnsi" w:cstheme="minorBidi"/>
      <w:lang w:val="en-GB"/>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2" Type="http://schemas.openxmlformats.org/officeDocument/2006/relationships/settings" Target="settings.xml"/><Relationship Id="rId16"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24</Pages>
  <Words>2306</Words>
  <Characters>13146</Characters>
  <Application>Microsoft Office Word</Application>
  <DocSecurity>0</DocSecurity>
  <Lines>109</Lines>
  <Paragraphs>30</Paragraphs>
  <ScaleCrop>false</ScaleCrop>
  <Company/>
  <LinksUpToDate>false</LinksUpToDate>
  <CharactersWithSpaces>15422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HRIDOY-PC</cp:lastModifiedBy>
  <cp:revision>8</cp:revision>
  <dcterms:created xsi:type="dcterms:W3CDTF">2022-12-08T20:24:00Z</dcterms:created>
  <dcterms:modified xsi:type="dcterms:W3CDTF">2022-12-09T11:33:00Z</dcterms:modified>
</cp:coreProperties>
</file>