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1752375"/>
        <w:docPartObj>
          <w:docPartGallery w:val="Cover Pages"/>
          <w:docPartUnique/>
        </w:docPartObj>
      </w:sdtPr>
      <w:sdtContent>
        <w:p w14:paraId="02B63C8F" w14:textId="0694B883" w:rsidR="00374887" w:rsidRDefault="00374887">
          <w:r>
            <w:rPr>
              <w:noProof/>
            </w:rPr>
            <mc:AlternateContent>
              <mc:Choice Requires="wpg">
                <w:drawing>
                  <wp:anchor distT="0" distB="0" distL="114300" distR="114300" simplePos="0" relativeHeight="251662336" behindDoc="0" locked="0" layoutInCell="1" allowOverlap="1" wp14:anchorId="243DE51C" wp14:editId="758B2E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720D5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889D98" wp14:editId="4F12B8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6E2B0D" w14:textId="40070C05" w:rsidR="00374887" w:rsidRDefault="00374887">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6A767287" w14:textId="15DB9058" w:rsidR="00374887" w:rsidRDefault="003748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2214822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889D98"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6E2B0D" w14:textId="40070C05" w:rsidR="00374887" w:rsidRDefault="00374887">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6A767287" w14:textId="15DB9058" w:rsidR="00374887" w:rsidRDefault="0037488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2214822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DE771F" wp14:editId="127733B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4777C" w14:textId="05A05B25" w:rsidR="00374887" w:rsidRDefault="0037488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74887">
                                      <w:rPr>
                                        <w:caps/>
                                        <w:color w:val="4472C4" w:themeColor="accent1"/>
                                        <w:sz w:val="64"/>
                                        <w:szCs w:val="64"/>
                                      </w:rPr>
                                      <w:t>Scenario question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68C191" w14:textId="1362C1F5" w:rsidR="00374887" w:rsidRDefault="00374887">
                                    <w:pPr>
                                      <w:jc w:val="right"/>
                                      <w:rPr>
                                        <w:smallCaps/>
                                        <w:color w:val="404040" w:themeColor="text1" w:themeTint="BF"/>
                                        <w:sz w:val="36"/>
                                        <w:szCs w:val="36"/>
                                      </w:rPr>
                                    </w:pPr>
                                    <w:r>
                                      <w:rPr>
                                        <w:color w:val="404040" w:themeColor="text1" w:themeTint="BF"/>
                                        <w:sz w:val="36"/>
                                        <w:szCs w:val="36"/>
                                      </w:rPr>
                                      <w:t>Criminal Law – BMPL4009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DE771F"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D04777C" w14:textId="05A05B25" w:rsidR="00374887" w:rsidRDefault="0037488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74887">
                                <w:rPr>
                                  <w:caps/>
                                  <w:color w:val="4472C4" w:themeColor="accent1"/>
                                  <w:sz w:val="64"/>
                                  <w:szCs w:val="64"/>
                                </w:rPr>
                                <w:t>Scenario question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F68C191" w14:textId="1362C1F5" w:rsidR="00374887" w:rsidRDefault="00374887">
                              <w:pPr>
                                <w:jc w:val="right"/>
                                <w:rPr>
                                  <w:smallCaps/>
                                  <w:color w:val="404040" w:themeColor="text1" w:themeTint="BF"/>
                                  <w:sz w:val="36"/>
                                  <w:szCs w:val="36"/>
                                </w:rPr>
                              </w:pPr>
                              <w:r>
                                <w:rPr>
                                  <w:color w:val="404040" w:themeColor="text1" w:themeTint="BF"/>
                                  <w:sz w:val="36"/>
                                  <w:szCs w:val="36"/>
                                </w:rPr>
                                <w:t>Criminal Law – BMPL4009</w:t>
                              </w:r>
                            </w:p>
                          </w:sdtContent>
                        </w:sdt>
                      </w:txbxContent>
                    </v:textbox>
                    <w10:wrap type="square" anchorx="page" anchory="page"/>
                  </v:shape>
                </w:pict>
              </mc:Fallback>
            </mc:AlternateContent>
          </w:r>
        </w:p>
        <w:p w14:paraId="52235D9D" w14:textId="0FDAD3FC" w:rsidR="00374887" w:rsidRDefault="00374887">
          <w:r>
            <w:br w:type="page"/>
          </w:r>
        </w:p>
      </w:sdtContent>
    </w:sdt>
    <w:p w14:paraId="06E90DE6" w14:textId="3F2E7477" w:rsidR="00374887" w:rsidRDefault="00374887" w:rsidP="00374887">
      <w:r>
        <w:lastRenderedPageBreak/>
        <w:t xml:space="preserve">In the </w:t>
      </w:r>
      <w:r>
        <w:t>outcome</w:t>
      </w:r>
      <w:r>
        <w:t xml:space="preserve"> of a tense and chaotic situation at home, where Carla, overwhelmed by emotions, ended up stabbing her husband Jamie, it</w:t>
      </w:r>
      <w:r w:rsidR="004B312F">
        <w:t xml:space="preserve"> is</w:t>
      </w:r>
      <w:r>
        <w:t xml:space="preserve"> </w:t>
      </w:r>
      <w:r w:rsidR="004B312F">
        <w:t>important</w:t>
      </w:r>
      <w:r>
        <w:t xml:space="preserve"> to figure out what </w:t>
      </w:r>
      <w:r w:rsidR="004B312F">
        <w:t>type</w:t>
      </w:r>
      <w:r>
        <w:t xml:space="preserve"> of </w:t>
      </w:r>
      <w:r>
        <w:t>offense</w:t>
      </w:r>
      <w:r>
        <w:t xml:space="preserve"> occurred</w:t>
      </w:r>
      <w:r w:rsidR="004B312F">
        <w:t xml:space="preserve">, and what type of criminal offence was committed by Carla. </w:t>
      </w:r>
      <w:r>
        <w:t>The legal aspects must look</w:t>
      </w:r>
      <w:r>
        <w:t xml:space="preserve"> specifically at Carla's state of mind </w:t>
      </w:r>
      <w:r>
        <w:t xml:space="preserve">to understand </w:t>
      </w:r>
      <w:r>
        <w:t>what she was thinking</w:t>
      </w:r>
      <w:r w:rsidR="004B312F">
        <w:t>, as well as referring that to</w:t>
      </w:r>
      <w:r>
        <w:t xml:space="preserve"> her actual actions. The main focus </w:t>
      </w:r>
      <w:r w:rsidR="004B312F">
        <w:t xml:space="preserve">of the analysis </w:t>
      </w:r>
      <w:r>
        <w:t xml:space="preserve">will be on understanding whether Carla's mental state and what she physically did meet the criteria for a specific offense. This </w:t>
      </w:r>
      <w:r>
        <w:t>analysis</w:t>
      </w:r>
      <w:r>
        <w:t xml:space="preserve"> will be guided by laws in the United Kingdom. </w:t>
      </w:r>
      <w:r w:rsidR="004B312F">
        <w:t>With other words</w:t>
      </w:r>
      <w:r>
        <w:t xml:space="preserve">, </w:t>
      </w:r>
      <w:r>
        <w:t xml:space="preserve">the purpose of this </w:t>
      </w:r>
      <w:r w:rsidR="004B312F">
        <w:t>analysis</w:t>
      </w:r>
      <w:r>
        <w:t xml:space="preserve"> to find out if what Carla did and how she was feeling at the time fit into any particular legal category, and what the consequences might be based on </w:t>
      </w:r>
      <w:r w:rsidR="004B312F">
        <w:t>the laws from the United Kingdom</w:t>
      </w:r>
      <w:r>
        <w:t>.</w:t>
      </w:r>
      <w:r>
        <w:t xml:space="preserve"> </w:t>
      </w:r>
    </w:p>
    <w:p w14:paraId="589AFE11" w14:textId="543A3456" w:rsidR="00374887" w:rsidRDefault="00374887" w:rsidP="00374887">
      <w:r w:rsidRPr="00374887">
        <w:t xml:space="preserve">In the UK, the offenses of assault and </w:t>
      </w:r>
      <w:r w:rsidR="00CB5E74" w:rsidRPr="00374887">
        <w:t>significant</w:t>
      </w:r>
      <w:r w:rsidRPr="00374887">
        <w:t xml:space="preserve"> bodily harm are covered by the Offences Against the Person Act 1861. The severity of Jamie's injuries will determine the offense, ranging from assault to potentially attempted murder. The Actus Rea involves assessing the physical act, specifically Carla's use of a kitchen knife resulting in serious harm to Jamie.</w:t>
      </w:r>
    </w:p>
    <w:p w14:paraId="4339D459" w14:textId="163A595F" w:rsidR="00C2524B" w:rsidRDefault="00C2524B" w:rsidP="00C2524B">
      <w:r w:rsidRPr="00C2524B">
        <w:t xml:space="preserve">Mens Rea, a Latin term </w:t>
      </w:r>
      <w:r w:rsidR="00CB5E74">
        <w:t>which refer to a</w:t>
      </w:r>
      <w:r w:rsidRPr="00C2524B">
        <w:t xml:space="preserve"> guilty mind, is a fundamental concept in determining criminal liability, especially in the context of Carla's actions. </w:t>
      </w:r>
      <w:r w:rsidR="00CB5E74">
        <w:t>This term is used to examine</w:t>
      </w:r>
      <w:r w:rsidRPr="00C2524B">
        <w:t xml:space="preserve"> the mental state or intention of an individual when committing a crime. In the United Kingdom, this concept is </w:t>
      </w:r>
      <w:r w:rsidR="00CB5E74">
        <w:t>essential</w:t>
      </w:r>
      <w:r w:rsidRPr="00C2524B">
        <w:t xml:space="preserve"> in assessing whether Carla, by stabbing Jamie, possessed the </w:t>
      </w:r>
      <w:r w:rsidR="00CB5E74" w:rsidRPr="00C2524B">
        <w:t>necessary</w:t>
      </w:r>
      <w:r w:rsidRPr="00C2524B">
        <w:t xml:space="preserve"> guilty mind for a particular offense. Relevant case law, such as R v Martin [2002] EWCA Crim 381, establishes the principle of reasonable force in </w:t>
      </w:r>
      <w:r w:rsidRPr="00C2524B">
        <w:t>self-defence</w:t>
      </w:r>
      <w:r w:rsidRPr="00C2524B">
        <w:t xml:space="preserve">, </w:t>
      </w:r>
      <w:r w:rsidR="00CB5E74">
        <w:t>highlighting</w:t>
      </w:r>
      <w:r w:rsidRPr="00C2524B">
        <w:t xml:space="preserve"> that the use of force must be proportionate to the perceived threat. </w:t>
      </w:r>
      <w:r w:rsidR="00CB5E74">
        <w:t>In addition to this</w:t>
      </w:r>
      <w:r w:rsidRPr="00C2524B">
        <w:t xml:space="preserve">, the Homicide Act 1957 introduces the concept of provocation as a partial </w:t>
      </w:r>
      <w:r w:rsidRPr="00C2524B">
        <w:t>def</w:t>
      </w:r>
      <w:r>
        <w:t>ence</w:t>
      </w:r>
      <w:r w:rsidRPr="00C2524B">
        <w:t xml:space="preserve">, potentially reducing a murder charge to manslaughter. </w:t>
      </w:r>
      <w:r w:rsidR="00CB5E74">
        <w:t>At the same time, i</w:t>
      </w:r>
      <w:r w:rsidRPr="00C2524B">
        <w:t xml:space="preserve">n cases like R v Duffy (1949) 1 All ER 932, the court has considered the sudden and temporary loss of control as a result of provocation. </w:t>
      </w:r>
      <w:r w:rsidR="00CB5E74">
        <w:t xml:space="preserve">Given these previous existing cases, </w:t>
      </w:r>
      <w:r w:rsidRPr="00C2524B">
        <w:t xml:space="preserve">Carla's mental state during the altercation will be </w:t>
      </w:r>
      <w:r w:rsidR="00CB5E74">
        <w:t>evaluated</w:t>
      </w:r>
      <w:r w:rsidRPr="00C2524B">
        <w:t xml:space="preserve"> against these legal standards, determining whether her actions align with a recognized </w:t>
      </w:r>
      <w:r w:rsidRPr="00C2524B">
        <w:t>defence</w:t>
      </w:r>
      <w:r w:rsidRPr="00C2524B">
        <w:t xml:space="preserve"> or if she should be held criminally liable based on Mens Rea. The </w:t>
      </w:r>
      <w:r w:rsidR="00CB5E74">
        <w:t>combination</w:t>
      </w:r>
      <w:r w:rsidRPr="00C2524B">
        <w:t xml:space="preserve"> of case law and legislation, including the Offences Against the Person Act 1861 and the Homicide Act 1957, </w:t>
      </w:r>
      <w:r w:rsidR="00CB5E74">
        <w:t>are necessary to</w:t>
      </w:r>
      <w:r w:rsidRPr="00C2524B">
        <w:t xml:space="preserve"> guide the process of assessing her culpability within the U</w:t>
      </w:r>
      <w:r w:rsidR="00CB5E74">
        <w:t xml:space="preserve">nited </w:t>
      </w:r>
      <w:r w:rsidRPr="00C2524B">
        <w:t>K</w:t>
      </w:r>
      <w:r w:rsidR="00CB5E74">
        <w:t>ingdom</w:t>
      </w:r>
      <w:r w:rsidRPr="00C2524B">
        <w:t xml:space="preserve"> legal framework.</w:t>
      </w:r>
    </w:p>
    <w:p w14:paraId="5B1162D2" w14:textId="58E759A4" w:rsidR="00D6642A" w:rsidRDefault="00CB5E74" w:rsidP="00C2524B">
      <w:r>
        <w:t>Given this, i</w:t>
      </w:r>
      <w:r w:rsidR="00D6642A" w:rsidRPr="00D6642A">
        <w:t xml:space="preserve">n evaluating Carla's mental state, or Mens Rea, in the given scenario, a </w:t>
      </w:r>
      <w:r w:rsidRPr="00D6642A">
        <w:t>comprehensive</w:t>
      </w:r>
      <w:r w:rsidR="00D6642A" w:rsidRPr="00D6642A">
        <w:t xml:space="preserve"> </w:t>
      </w:r>
      <w:r>
        <w:t>evaluation</w:t>
      </w:r>
      <w:r w:rsidR="00D6642A" w:rsidRPr="00D6642A">
        <w:t xml:space="preserve"> is </w:t>
      </w:r>
      <w:r>
        <w:t>required</w:t>
      </w:r>
      <w:r w:rsidR="00D6642A" w:rsidRPr="00D6642A">
        <w:t xml:space="preserve">. The narrative </w:t>
      </w:r>
      <w:r w:rsidRPr="00D6642A">
        <w:t>reveals</w:t>
      </w:r>
      <w:r w:rsidR="00D6642A" w:rsidRPr="00D6642A">
        <w:t xml:space="preserve"> </w:t>
      </w:r>
      <w:r>
        <w:t>multiple</w:t>
      </w:r>
      <w:r w:rsidR="00D6642A" w:rsidRPr="00D6642A">
        <w:t xml:space="preserve"> </w:t>
      </w:r>
      <w:r w:rsidRPr="00D6642A">
        <w:t>circumstances</w:t>
      </w:r>
      <w:r w:rsidR="00D6642A" w:rsidRPr="00D6642A">
        <w:t xml:space="preserve"> of longstanding marital issues that have presumably </w:t>
      </w:r>
      <w:r w:rsidRPr="00D6642A">
        <w:t>caused</w:t>
      </w:r>
      <w:r w:rsidR="00D6642A" w:rsidRPr="00D6642A">
        <w:t xml:space="preserve"> emotional strain</w:t>
      </w:r>
      <w:r>
        <w:t xml:space="preserve"> to Carla</w:t>
      </w:r>
      <w:r w:rsidR="00D6642A" w:rsidRPr="00D6642A">
        <w:t xml:space="preserve">. </w:t>
      </w:r>
      <w:r>
        <w:t>Therefore, w</w:t>
      </w:r>
      <w:r w:rsidR="00D6642A" w:rsidRPr="00D6642A">
        <w:t>hen Jamie confesses to infidelity during a heated argument, th</w:t>
      </w:r>
      <w:r>
        <w:t>is</w:t>
      </w:r>
      <w:r w:rsidR="00D6642A" w:rsidRPr="00D6642A">
        <w:t xml:space="preserve"> revelation becomes a critical factor in understanding Carla's actions. The emotional distress induced by the admission of the affair may constitute provocation, as established in case law such as R v Duffy (1949) 1 All ER 932, </w:t>
      </w:r>
      <w:r w:rsidRPr="00D6642A">
        <w:t>where</w:t>
      </w:r>
      <w:r>
        <w:t xml:space="preserve"> the</w:t>
      </w:r>
      <w:r w:rsidR="00D6642A" w:rsidRPr="00D6642A">
        <w:t xml:space="preserve"> provocation is defined by a sudden and temporary loss of control due to extreme emotional distress. Carla's rush to the kitchen and the subsequent act of grabbing a kitchen knife reflect an intensified emotional response. The assessment of her intent and state of mind necessitates an exploration of whether her actions were purposeful, reckless, or negligent, particularly in the context of </w:t>
      </w:r>
      <w:r w:rsidRPr="00D6642A">
        <w:t>intensified</w:t>
      </w:r>
      <w:r w:rsidR="00D6642A" w:rsidRPr="00D6642A">
        <w:t xml:space="preserve"> emotions and the revelation of infidelity. If Carla were to invoke </w:t>
      </w:r>
      <w:r w:rsidR="00D6642A" w:rsidRPr="00D6642A">
        <w:t>self-defence</w:t>
      </w:r>
      <w:r w:rsidR="00D6642A" w:rsidRPr="00D6642A">
        <w:t xml:space="preserve">, the focus would shift to whether her belief in an imminent threat was reasonable, considering the circumstances surrounding the argument and the emotional </w:t>
      </w:r>
      <w:r w:rsidRPr="00D6642A">
        <w:t>disorder</w:t>
      </w:r>
      <w:r w:rsidR="00D6642A" w:rsidRPr="00D6642A">
        <w:t xml:space="preserve">. The </w:t>
      </w:r>
      <w:r w:rsidRPr="00D6642A">
        <w:t>interaction</w:t>
      </w:r>
      <w:r w:rsidR="00D6642A" w:rsidRPr="00D6642A">
        <w:t xml:space="preserve"> of these factors within the legal framework, incorporating case law and statutes relevant to offenses against the person, will be </w:t>
      </w:r>
      <w:r>
        <w:t>mandatory</w:t>
      </w:r>
      <w:r w:rsidR="00D6642A" w:rsidRPr="00D6642A">
        <w:t xml:space="preserve"> in determining the nature of Carla's Mens Rea and subsequently her culpability within the United Kingdom's legal system.</w:t>
      </w:r>
    </w:p>
    <w:p w14:paraId="77999859" w14:textId="1F74EEB1" w:rsidR="00D6642A" w:rsidRDefault="00850BBF" w:rsidP="00D6642A">
      <w:r>
        <w:t>Actus Rea</w:t>
      </w:r>
      <w:r w:rsidR="00C2524B">
        <w:t xml:space="preserve"> </w:t>
      </w:r>
      <w:r>
        <w:t xml:space="preserve">represents </w:t>
      </w:r>
      <w:r w:rsidR="00C2524B">
        <w:t xml:space="preserve">the Latin term for guilty act, </w:t>
      </w:r>
      <w:r>
        <w:t>and is a mandatory</w:t>
      </w:r>
      <w:r w:rsidR="00C2524B">
        <w:t xml:space="preserve"> aspect in understanding criminal responsibility, particularly in the context of Carla's situation. It refers to the physical actions or conduct that constitute a criminal offense. In the United Kingdom, examining Actus Rea involves a detailed exploration of Carla's actual </w:t>
      </w:r>
      <w:r w:rsidR="00C2524B">
        <w:t>behaviour</w:t>
      </w:r>
      <w:r w:rsidR="00C2524B">
        <w:t xml:space="preserve"> during the incident. Her use of a kitchen knife to stab Jamie will be </w:t>
      </w:r>
      <w:r w:rsidR="00C2524B">
        <w:t>analysed</w:t>
      </w:r>
      <w:r w:rsidR="00C2524B">
        <w:t xml:space="preserve"> to </w:t>
      </w:r>
      <w:r>
        <w:t>determine</w:t>
      </w:r>
      <w:r w:rsidR="00C2524B">
        <w:t xml:space="preserve"> the nature and severity of the offense, ranging from assault to potentially attempted murder. The specific details of Carla's actions will be examined </w:t>
      </w:r>
      <w:r>
        <w:t>carefully</w:t>
      </w:r>
      <w:r w:rsidR="00C2524B">
        <w:t xml:space="preserve"> to determine the Actus Rea, ensuring a thorough assessment of her culpability within the established legal parameters of the United Kingdom.</w:t>
      </w:r>
    </w:p>
    <w:p w14:paraId="3DAC82AD" w14:textId="43A093AE" w:rsidR="00C2524B" w:rsidRDefault="00D6642A" w:rsidP="00D6642A">
      <w:r>
        <w:t xml:space="preserve">In </w:t>
      </w:r>
      <w:r w:rsidR="00850BBF">
        <w:t>examining</w:t>
      </w:r>
      <w:r>
        <w:t xml:space="preserve"> the Actus Rea, or </w:t>
      </w:r>
      <w:r w:rsidR="00850BBF">
        <w:t xml:space="preserve">the </w:t>
      </w:r>
      <w:r>
        <w:t xml:space="preserve">guilty act of Carla's actions in the given scenario, a </w:t>
      </w:r>
      <w:r w:rsidR="00850BBF">
        <w:t>detailed</w:t>
      </w:r>
      <w:r>
        <w:t xml:space="preserve"> examination of the specific details is </w:t>
      </w:r>
      <w:r w:rsidR="00850BBF">
        <w:t>mandatory in order to clearly define her behaviour during the incident</w:t>
      </w:r>
      <w:r>
        <w:t xml:space="preserve">. Carla's physical conduct, </w:t>
      </w:r>
      <w:r w:rsidR="00850BBF">
        <w:t>especially</w:t>
      </w:r>
      <w:r>
        <w:t xml:space="preserve"> her decision to rush to the kitchen and retrieve a kitchen knife, forms the crux of the Actus Rea analysis. The immediacy and severity of her response raise questions about the nature of the offense committed. The use of a deadly weapon, the kitchen knife, to inflict serious injuries on Jamie further amplifies the significance of the Actus Rea. The legal framework within the United Kingdom, notably the Offences Against the Person Act 1861, provides the context for evaluating Carla's actions. This legislation </w:t>
      </w:r>
      <w:r w:rsidR="004B312F">
        <w:t>combines</w:t>
      </w:r>
      <w:r>
        <w:t xml:space="preserve"> offenses related to bodily harm and violence, and Carla's conduct may potentially fall </w:t>
      </w:r>
      <w:r w:rsidR="00850BBF">
        <w:t>under this legislation</w:t>
      </w:r>
      <w:r>
        <w:t xml:space="preserve">. Relevant case law, such as R v Martin [2002] EWCA Crim 381, establishes the importance of proportionality in the use of force, particularly in </w:t>
      </w:r>
      <w:r>
        <w:t>self-defence</w:t>
      </w:r>
      <w:r>
        <w:t xml:space="preserve"> situations. Applying these legal standards to Carla's specific actions, the assessment of Actus Rea involves determining the precise nature and severity of the offense committed, considering both the immediate circumstances and the broader legal context governing offenses against the person within the UK jurisdiction.</w:t>
      </w:r>
    </w:p>
    <w:p w14:paraId="631E15C5" w14:textId="3C98D9EF" w:rsidR="004B312F" w:rsidRDefault="004B312F" w:rsidP="004B312F">
      <w:r>
        <w:t xml:space="preserve">In evaluating Carla's potential criminal liability in the given scenario, various legal considerations come into play, </w:t>
      </w:r>
      <w:r w:rsidR="00850BBF">
        <w:t>combining</w:t>
      </w:r>
      <w:r>
        <w:t xml:space="preserve"> relevant case law and legislation within the United Kingdom. The elements of the offense primarily revolve around</w:t>
      </w:r>
      <w:r w:rsidR="00850BBF">
        <w:t xml:space="preserve"> both</w:t>
      </w:r>
      <w:r>
        <w:t xml:space="preserve"> Mens Rea and Actus Rea, exploring Carla's mental state and her physical actions during the altercation. </w:t>
      </w:r>
      <w:r w:rsidR="00850BBF">
        <w:t xml:space="preserve">Given this, it is clear that Carla’s mental state was not the best, and her emotional state became a decisive factor in what happened during the incident. Along with the longstanding marital issues, Carla has been also triggered by Jamie’s admission of infidelity. If Carla were to refer to the concept of provocation, </w:t>
      </w:r>
      <w:r w:rsidR="00850BBF">
        <w:t>as established in cases like R v Duffy (1949) 1 All ER 932</w:t>
      </w:r>
      <w:r w:rsidR="00850BBF">
        <w:t xml:space="preserve">, it can be established that her actions resulted from a sudden and temporary loss of control due to extreme emotional distress. However, </w:t>
      </w:r>
      <w:r w:rsidR="00D7108E">
        <w:t>if Carla decides to argue that she acted in self-defence,</w:t>
      </w:r>
      <w:r w:rsidR="00D7108E" w:rsidRPr="00D7108E">
        <w:t xml:space="preserve"> </w:t>
      </w:r>
      <w:r w:rsidR="00D7108E">
        <w:t>as highlighted in R v Martin [2002] EWCA Crim 381</w:t>
      </w:r>
      <w:r w:rsidR="00D7108E">
        <w:t>, this might not be applied to her. This is because usually, self-</w:t>
      </w:r>
      <w:r w:rsidR="00D7108E" w:rsidRPr="00D7108E">
        <w:t>defence</w:t>
      </w:r>
      <w:r w:rsidR="00D7108E" w:rsidRPr="00D7108E">
        <w:t xml:space="preserve"> typically requires an imminent threat of harm. If Jamie was visibly intoxicated and not posing an immediate threat, this </w:t>
      </w:r>
      <w:r w:rsidR="00D7108E" w:rsidRPr="00D7108E">
        <w:t>defence</w:t>
      </w:r>
      <w:r w:rsidR="00D7108E" w:rsidRPr="00D7108E">
        <w:t xml:space="preserve"> may be challenging.</w:t>
      </w:r>
      <w:r w:rsidR="00D7108E">
        <w:t xml:space="preserve"> At the same time, t</w:t>
      </w:r>
      <w:r w:rsidR="00D7108E">
        <w:t>he Actus Rea involves Carla's decision to stab Jamie with a kitchen knife, causing serious injuries, potentially falling under the ambit of offenses against the person as outlined in the Offences Against the Person Act 1861.</w:t>
      </w:r>
      <w:r w:rsidR="00D7108E">
        <w:t xml:space="preserve"> However, this</w:t>
      </w:r>
      <w:r>
        <w:t xml:space="preserve"> raises questions about the severity of the offense</w:t>
      </w:r>
      <w:r w:rsidR="00D7108E">
        <w:t>, as it is clear that she caused severe chest injuries, but she did not caused his death.</w:t>
      </w:r>
      <w:r>
        <w:t xml:space="preserve"> Carla's potential liability may hinge on whether her actions can be justified under recognized </w:t>
      </w:r>
      <w:r>
        <w:t>defences</w:t>
      </w:r>
      <w:r>
        <w:t>, and if not, the degree to which her emotional state influenced the commission of the offense.</w:t>
      </w:r>
    </w:p>
    <w:p w14:paraId="7686A9C7" w14:textId="112FBC89" w:rsidR="004B312F" w:rsidRDefault="00D7108E" w:rsidP="004B312F">
      <w:r>
        <w:t xml:space="preserve">Another aspect to be taken into consideration is </w:t>
      </w:r>
      <w:r w:rsidR="004B312F">
        <w:t>Jamie's confession during the argument</w:t>
      </w:r>
      <w:r>
        <w:t>.</w:t>
      </w:r>
      <w:r w:rsidR="004B312F">
        <w:t xml:space="preserve"> </w:t>
      </w:r>
      <w:r>
        <w:t>W</w:t>
      </w:r>
      <w:r w:rsidR="004B312F">
        <w:t xml:space="preserve">hile </w:t>
      </w:r>
      <w:r>
        <w:t xml:space="preserve">this has </w:t>
      </w:r>
      <w:r w:rsidR="004B312F">
        <w:t>significant</w:t>
      </w:r>
      <w:r>
        <w:t>ly</w:t>
      </w:r>
      <w:r w:rsidR="004B312F">
        <w:t xml:space="preserve"> contributing to Carla's emotional distress, might not directly justify her use of violence. Legally, the confession may be more pertinent to civil matters, such as divorce proceedings, than serving as a justification for criminal actions.</w:t>
      </w:r>
    </w:p>
    <w:p w14:paraId="305F6BF9" w14:textId="0DA37409" w:rsidR="00D6642A" w:rsidRDefault="00E2697E" w:rsidP="00E2697E">
      <w:r w:rsidRPr="00E2697E">
        <w:t xml:space="preserve">In conclusion, Carla's potential criminal liability </w:t>
      </w:r>
      <w:r w:rsidR="00260928">
        <w:t>depends</w:t>
      </w:r>
      <w:r w:rsidRPr="00E2697E">
        <w:t xml:space="preserve"> on a detailed examination of Mens Rea, Actus Rea, and the applicability of recognized </w:t>
      </w:r>
      <w:r w:rsidRPr="00E2697E">
        <w:t>defences</w:t>
      </w:r>
      <w:r w:rsidRPr="00E2697E">
        <w:t xml:space="preserve"> within the United Kingdom's legal framework. The </w:t>
      </w:r>
      <w:r w:rsidR="00260928">
        <w:t>reference</w:t>
      </w:r>
      <w:r w:rsidRPr="00E2697E">
        <w:t xml:space="preserve"> of relevant case law, particularly on </w:t>
      </w:r>
      <w:r w:rsidRPr="00E2697E">
        <w:t>self-defence</w:t>
      </w:r>
      <w:r w:rsidRPr="00E2697E">
        <w:t xml:space="preserve"> and provocation, guides the determination of charges and potential </w:t>
      </w:r>
      <w:r w:rsidRPr="00E2697E">
        <w:t>defences</w:t>
      </w:r>
      <w:r w:rsidRPr="00E2697E">
        <w:t xml:space="preserve">. Considering the nature of the offense, such as the use of a kitchen knife resulting in serious injuries, the assessment extends to whether Carla's actions can be justified under recognized </w:t>
      </w:r>
      <w:r w:rsidRPr="00E2697E">
        <w:t>defences</w:t>
      </w:r>
      <w:r w:rsidRPr="00E2697E">
        <w:t xml:space="preserve"> or if her emotional state played a significant role in the commission of the offense. The legislative context, notably the Offences Against the Person Act 1861, provides the foundation for evaluating the severity of the offense and potential charges. Specific sections of this legislation, addressing offenses related to bodily harm and violence, will be instrumental in determining the appropriate legal consequences for Carla. </w:t>
      </w:r>
    </w:p>
    <w:p w14:paraId="7678595A" w14:textId="16EE19BB" w:rsidR="00260928" w:rsidRDefault="00260928" w:rsidP="00E2697E">
      <w:r>
        <w:t>Reference List:</w:t>
      </w:r>
    </w:p>
    <w:p w14:paraId="4D50DB18" w14:textId="2DD43B39" w:rsidR="004B2E43" w:rsidRDefault="004B2E43" w:rsidP="004B2E43">
      <w:r>
        <w:t>Homicide Act 1957</w:t>
      </w:r>
      <w:r>
        <w:t xml:space="preserve">, c.11. Available at: </w:t>
      </w:r>
      <w:hyperlink r:id="rId7" w:history="1">
        <w:r w:rsidRPr="00351F0A">
          <w:rPr>
            <w:rStyle w:val="Hyperlink"/>
          </w:rPr>
          <w:t>https://www.legislation.gov.uk/ukpga/Eliz2/5-6/11/enacted</w:t>
        </w:r>
      </w:hyperlink>
      <w:r>
        <w:t xml:space="preserve"> (Accessed: 9</w:t>
      </w:r>
      <w:r>
        <w:rPr>
          <w:vertAlign w:val="superscript"/>
        </w:rPr>
        <w:t xml:space="preserve"> </w:t>
      </w:r>
      <w:r>
        <w:t xml:space="preserve">January 2024). </w:t>
      </w:r>
    </w:p>
    <w:p w14:paraId="31F1F98B" w14:textId="46057104" w:rsidR="004B2E43" w:rsidRDefault="004B2E43" w:rsidP="004B2E43">
      <w:r>
        <w:t>Offences Against the Person Act 1861</w:t>
      </w:r>
      <w:r>
        <w:t xml:space="preserve">, c. 100. Available at: </w:t>
      </w:r>
      <w:hyperlink r:id="rId8" w:history="1">
        <w:r w:rsidRPr="00351F0A">
          <w:rPr>
            <w:rStyle w:val="Hyperlink"/>
          </w:rPr>
          <w:t>https://www.legislation.gov.uk/ukpga/Vict/24-25/100/enacted/data.pdf</w:t>
        </w:r>
      </w:hyperlink>
      <w:r>
        <w:t xml:space="preserve"> (Accessed: 9</w:t>
      </w:r>
      <w:r>
        <w:rPr>
          <w:vertAlign w:val="superscript"/>
        </w:rPr>
        <w:t xml:space="preserve"> </w:t>
      </w:r>
      <w:r>
        <w:t>January 2024).</w:t>
      </w:r>
    </w:p>
    <w:p w14:paraId="2AFF0A76" w14:textId="77777777" w:rsidR="004B2E43" w:rsidRDefault="004B2E43" w:rsidP="004B2E43">
      <w:r>
        <w:t>R v Cunningham [1957] 2 QB 396</w:t>
      </w:r>
    </w:p>
    <w:p w14:paraId="154116DA" w14:textId="77777777" w:rsidR="004B2E43" w:rsidRDefault="004B2E43" w:rsidP="004B2E43">
      <w:r>
        <w:t>R v Duffy (1949) 1 All ER 932</w:t>
      </w:r>
    </w:p>
    <w:p w14:paraId="7D1675B2" w14:textId="77777777" w:rsidR="004B2E43" w:rsidRDefault="004B2E43" w:rsidP="004B2E43">
      <w:r>
        <w:t>R v Lipman [1970] 1 QB 152</w:t>
      </w:r>
    </w:p>
    <w:p w14:paraId="61AE18F6" w14:textId="77777777" w:rsidR="004B2E43" w:rsidRDefault="004B2E43" w:rsidP="004B2E43">
      <w:r>
        <w:t>R v Martin [2002] EWCA Crim 381</w:t>
      </w:r>
    </w:p>
    <w:p w14:paraId="6F007366" w14:textId="77777777" w:rsidR="004B2E43" w:rsidRDefault="004B2E43" w:rsidP="004B2E43">
      <w:r>
        <w:t>R v Venna [1975] QB 679</w:t>
      </w:r>
    </w:p>
    <w:sectPr w:rsidR="004B2E43" w:rsidSect="003748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887"/>
    <w:rsid w:val="00260928"/>
    <w:rsid w:val="0033169D"/>
    <w:rsid w:val="00374887"/>
    <w:rsid w:val="004B2E43"/>
    <w:rsid w:val="004B312F"/>
    <w:rsid w:val="00850BBF"/>
    <w:rsid w:val="00C2524B"/>
    <w:rsid w:val="00CB5E74"/>
    <w:rsid w:val="00D6642A"/>
    <w:rsid w:val="00D7108E"/>
    <w:rsid w:val="00E26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AC912"/>
  <w15:chartTrackingRefBased/>
  <w15:docId w15:val="{57E18BD9-26BF-4DAB-80AF-61BA72FA5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48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4887"/>
    <w:rPr>
      <w:rFonts w:eastAsiaTheme="minorEastAsia"/>
      <w:lang w:val="en-US"/>
    </w:rPr>
  </w:style>
  <w:style w:type="character" w:styleId="Hyperlink">
    <w:name w:val="Hyperlink"/>
    <w:basedOn w:val="DefaultParagraphFont"/>
    <w:uiPriority w:val="99"/>
    <w:unhideWhenUsed/>
    <w:rsid w:val="004B2E43"/>
    <w:rPr>
      <w:color w:val="0563C1" w:themeColor="hyperlink"/>
      <w:u w:val="single"/>
    </w:rPr>
  </w:style>
  <w:style w:type="character" w:styleId="UnresolvedMention">
    <w:name w:val="Unresolved Mention"/>
    <w:basedOn w:val="DefaultParagraphFont"/>
    <w:uiPriority w:val="99"/>
    <w:semiHidden/>
    <w:unhideWhenUsed/>
    <w:rsid w:val="004B2E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532680">
      <w:bodyDiv w:val="1"/>
      <w:marLeft w:val="0"/>
      <w:marRight w:val="0"/>
      <w:marTop w:val="0"/>
      <w:marBottom w:val="0"/>
      <w:divBdr>
        <w:top w:val="none" w:sz="0" w:space="0" w:color="auto"/>
        <w:left w:val="none" w:sz="0" w:space="0" w:color="auto"/>
        <w:bottom w:val="none" w:sz="0" w:space="0" w:color="auto"/>
        <w:right w:val="none" w:sz="0" w:space="0" w:color="auto"/>
      </w:divBdr>
    </w:div>
    <w:div w:id="993487605">
      <w:bodyDiv w:val="1"/>
      <w:marLeft w:val="0"/>
      <w:marRight w:val="0"/>
      <w:marTop w:val="0"/>
      <w:marBottom w:val="0"/>
      <w:divBdr>
        <w:top w:val="none" w:sz="0" w:space="0" w:color="auto"/>
        <w:left w:val="none" w:sz="0" w:space="0" w:color="auto"/>
        <w:bottom w:val="none" w:sz="0" w:space="0" w:color="auto"/>
        <w:right w:val="none" w:sz="0" w:space="0" w:color="auto"/>
      </w:divBdr>
    </w:div>
    <w:div w:id="146520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Vict/24-25/100/enacted/data.pdf" TargetMode="External"/><Relationship Id="rId3" Type="http://schemas.openxmlformats.org/officeDocument/2006/relationships/settings" Target="settings.xml"/><Relationship Id="rId7" Type="http://schemas.openxmlformats.org/officeDocument/2006/relationships/hyperlink" Target="https://www.legislation.gov.uk/ukpga/Eliz2/5-6/11/enacte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2214822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4</Pages>
  <Words>1487</Words>
  <Characters>8480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Criminal Law – BMPL4009</dc:subject>
  <dc:creator>Nicoleta Secara</dc:creator>
  <cp:keywords/>
  <dc:description/>
  <cp:lastModifiedBy>Alina Culea</cp:lastModifiedBy>
  <cp:revision>1</cp:revision>
  <dcterms:created xsi:type="dcterms:W3CDTF">2024-01-11T12:15:00Z</dcterms:created>
  <dcterms:modified xsi:type="dcterms:W3CDTF">2024-01-11T15:35:00Z</dcterms:modified>
</cp:coreProperties>
</file>