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4506016"/>
        <w:docPartObj>
          <w:docPartGallery w:val="Cover Pages"/>
          <w:docPartUnique/>
        </w:docPartObj>
      </w:sdtPr>
      <w:sdtEndPr>
        <w:rPr>
          <w:caps/>
          <w:color w:val="FFFFFF" w:themeColor="background1"/>
          <w:sz w:val="80"/>
          <w:szCs w:val="80"/>
        </w:rPr>
      </w:sdtEndPr>
      <w:sdtContent>
        <w:p w14:paraId="18F81E83" w14:textId="2099F805" w:rsidR="007C51E0" w:rsidRDefault="00E5446E">
          <w:r>
            <w:rPr>
              <w:noProof/>
            </w:rPr>
            <w:pict w14:anchorId="31256971">
              <v:group id="Group 193" o:spid="_x0000_s1044"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">
                <v:rect id="Rectangle 194" o:spid="_x0000_s1045"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46"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2FD9282E" w14:textId="766E5B65" w:rsidR="007C51E0" w:rsidRDefault="007C51E0" w:rsidP="000A2F85">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47"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0B00734" w14:textId="1BAF8A56" w:rsidR="007C51E0" w:rsidRPr="007C51E0" w:rsidRDefault="00E5446E" w:rsidP="007C51E0">
                        <w:pPr>
                          <w:pStyle w:val="NoSpacing"/>
                          <w:spacing w:line="360" w:lineRule="auto"/>
                          <w:rPr>
                            <w:rFonts w:ascii="Arial" w:eastAsiaTheme="majorEastAsia" w:hAnsi="Arial" w:cs="Arial"/>
                            <w:caps/>
                            <w:color w:val="0F243E" w:themeColor="text2" w:themeShade="80"/>
                            <w:sz w:val="32"/>
                            <w:szCs w:val="32"/>
                            <w:lang w:val="en-GB"/>
                          </w:rPr>
                        </w:pPr>
                        <w:sdt>
                          <w:sdtPr>
                            <w:rPr>
                              <w:rFonts w:ascii="Arial" w:eastAsiaTheme="majorEastAsia" w:hAnsi="Arial" w:cs="Arial"/>
                              <w:caps/>
                              <w:color w:val="0F243E" w:themeColor="text2" w:themeShade="80"/>
                              <w:sz w:val="32"/>
                              <w:szCs w:val="32"/>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9172F">
                              <w:rPr>
                                <w:rFonts w:ascii="Arial" w:eastAsiaTheme="majorEastAsia" w:hAnsi="Arial" w:cs="Arial"/>
                                <w:caps/>
                                <w:color w:val="0F243E" w:themeColor="text2" w:themeShade="80"/>
                                <w:sz w:val="32"/>
                                <w:szCs w:val="32"/>
                                <w:lang w:val="en-GB"/>
                              </w:rPr>
                              <w:t>MODULE NAME: MANAGING PEOPLE</w:t>
                            </w:r>
                            <w:r w:rsidR="0029172F">
                              <w:rPr>
                                <w:rFonts w:ascii="Arial" w:eastAsiaTheme="majorEastAsia" w:hAnsi="Arial" w:cs="Arial"/>
                                <w:caps/>
                                <w:color w:val="0F243E" w:themeColor="text2" w:themeShade="80"/>
                                <w:sz w:val="32"/>
                                <w:szCs w:val="32"/>
                                <w:lang w:val="en-GB"/>
                              </w:rPr>
                              <w:br/>
                              <w:t>MODULE CODE: LCBB5004</w:t>
                            </w:r>
                            <w:r w:rsidR="0029172F">
                              <w:rPr>
                                <w:rFonts w:ascii="Arial" w:eastAsiaTheme="majorEastAsia" w:hAnsi="Arial" w:cs="Arial"/>
                                <w:caps/>
                                <w:color w:val="0F243E" w:themeColor="text2" w:themeShade="80"/>
                                <w:sz w:val="32"/>
                                <w:szCs w:val="32"/>
                                <w:lang w:val="en-GB"/>
                              </w:rPr>
                              <w:br/>
                              <w:t>ASSIGNMENT TITLE: ASSESSMENT 2</w:t>
                            </w:r>
                            <w:r w:rsidR="0029172F">
                              <w:rPr>
                                <w:rFonts w:ascii="Arial" w:eastAsiaTheme="majorEastAsia" w:hAnsi="Arial" w:cs="Arial"/>
                                <w:caps/>
                                <w:color w:val="0F243E" w:themeColor="text2" w:themeShade="80"/>
                                <w:sz w:val="32"/>
                                <w:szCs w:val="32"/>
                                <w:lang w:val="en-GB"/>
                              </w:rPr>
                              <w:br/>
                              <w:t>STUDENT NAME: ANDREEA EMILIA GRIGORAS</w:t>
                            </w:r>
                            <w:r w:rsidR="0029172F">
                              <w:rPr>
                                <w:rFonts w:ascii="Arial" w:eastAsiaTheme="majorEastAsia" w:hAnsi="Arial" w:cs="Arial"/>
                                <w:caps/>
                                <w:color w:val="0F243E" w:themeColor="text2" w:themeShade="80"/>
                                <w:sz w:val="32"/>
                                <w:szCs w:val="32"/>
                                <w:lang w:val="en-GB"/>
                              </w:rPr>
                              <w:br/>
                              <w:t>STUDENT NUMBER: 1921553</w:t>
                            </w:r>
                            <w:r w:rsidR="0029172F">
                              <w:rPr>
                                <w:rFonts w:ascii="Arial" w:eastAsiaTheme="majorEastAsia" w:hAnsi="Arial" w:cs="Arial"/>
                                <w:caps/>
                                <w:color w:val="0F243E" w:themeColor="text2" w:themeShade="80"/>
                                <w:sz w:val="32"/>
                                <w:szCs w:val="32"/>
                                <w:lang w:val="en-GB"/>
                              </w:rPr>
                              <w:br/>
                              <w:t>SUBMISSION DATE: 05/01/2022</w:t>
                            </w:r>
                            <w:r w:rsidR="0029172F">
                              <w:rPr>
                                <w:rFonts w:ascii="Arial" w:eastAsiaTheme="majorEastAsia" w:hAnsi="Arial" w:cs="Arial"/>
                                <w:caps/>
                                <w:color w:val="0F243E" w:themeColor="text2" w:themeShade="80"/>
                                <w:sz w:val="32"/>
                                <w:szCs w:val="32"/>
                                <w:lang w:val="en-GB"/>
                              </w:rPr>
                              <w:br/>
                              <w:t>WORD COUNT:</w:t>
                            </w:r>
                          </w:sdtContent>
                        </w:sdt>
                        <w:r w:rsidR="007C51E0" w:rsidRPr="007C51E0">
                          <w:rPr>
                            <w:rFonts w:ascii="Arial" w:eastAsiaTheme="majorEastAsia" w:hAnsi="Arial" w:cs="Arial"/>
                            <w:caps/>
                            <w:color w:val="0F243E" w:themeColor="text2" w:themeShade="80"/>
                            <w:sz w:val="32"/>
                            <w:szCs w:val="32"/>
                            <w:lang w:val="en-GB"/>
                          </w:rPr>
                          <w:t xml:space="preserve"> </w:t>
                        </w:r>
                        <w:r w:rsidR="0029172F">
                          <w:rPr>
                            <w:rFonts w:ascii="Arial" w:eastAsiaTheme="majorEastAsia" w:hAnsi="Arial" w:cs="Arial"/>
                            <w:caps/>
                            <w:color w:val="0F243E" w:themeColor="text2" w:themeShade="80"/>
                            <w:sz w:val="32"/>
                            <w:szCs w:val="32"/>
                            <w:lang w:val="en-GB"/>
                          </w:rPr>
                          <w:t>2296</w:t>
                        </w:r>
                      </w:p>
                      <w:p w14:paraId="0C11477C" w14:textId="77777777" w:rsidR="007C51E0" w:rsidRPr="007C51E0" w:rsidRDefault="007C51E0" w:rsidP="007C51E0">
                        <w:pPr>
                          <w:pStyle w:val="NoSpacing"/>
                          <w:spacing w:line="360" w:lineRule="auto"/>
                          <w:rPr>
                            <w:rFonts w:ascii="Arial" w:eastAsiaTheme="majorEastAsia" w:hAnsi="Arial" w:cs="Arial"/>
                            <w:caps/>
                            <w:color w:val="0F243E" w:themeColor="text2" w:themeShade="80"/>
                            <w:sz w:val="32"/>
                            <w:szCs w:val="32"/>
                            <w:lang w:val="en-GB"/>
                          </w:rPr>
                        </w:pPr>
                      </w:p>
                      <w:p w14:paraId="38E73564" w14:textId="6F0E0D3D" w:rsidR="007C51E0" w:rsidRPr="00956CF6" w:rsidRDefault="007C51E0" w:rsidP="007C51E0">
                        <w:pPr>
                          <w:pStyle w:val="NoSpacing"/>
                          <w:spacing w:line="360" w:lineRule="auto"/>
                          <w:rPr>
                            <w:rFonts w:ascii="Arial" w:eastAsiaTheme="majorEastAsia" w:hAnsi="Arial" w:cs="Arial"/>
                            <w:caps/>
                            <w:color w:val="0F243E" w:themeColor="text2" w:themeShade="80"/>
                            <w:sz w:val="32"/>
                            <w:szCs w:val="32"/>
                          </w:rPr>
                        </w:pPr>
                      </w:p>
                    </w:txbxContent>
                  </v:textbox>
                </v:shape>
                <w10:wrap anchorx="page" anchory="page"/>
              </v:group>
            </w:pict>
          </w:r>
        </w:p>
        <w:p w14:paraId="3DD781AD" w14:textId="6CAC1477" w:rsidR="007C51E0" w:rsidRDefault="007C51E0">
          <w:pPr>
            <w:spacing w:line="276" w:lineRule="auto"/>
            <w:jc w:val="left"/>
            <w:rPr>
              <w:caps/>
              <w:color w:val="FFFFFF" w:themeColor="background1"/>
              <w:sz w:val="80"/>
              <w:szCs w:val="80"/>
            </w:rPr>
          </w:pPr>
          <w:r>
            <w:rPr>
              <w:caps/>
              <w:color w:val="FFFFFF" w:themeColor="background1"/>
              <w:sz w:val="80"/>
              <w:szCs w:val="80"/>
            </w:rPr>
            <w:br w:type="page"/>
          </w:r>
        </w:p>
      </w:sdtContent>
    </w:sdt>
    <w:p w14:paraId="267E6BB1" w14:textId="77777777" w:rsidR="006472B6" w:rsidRPr="00FF0C02" w:rsidRDefault="006472B6" w:rsidP="006472B6">
      <w:pPr>
        <w:jc w:val="center"/>
        <w:rPr>
          <w:sz w:val="36"/>
        </w:rPr>
      </w:pPr>
    </w:p>
    <w:p w14:paraId="053F1CED" w14:textId="77777777" w:rsidR="006472B6" w:rsidRPr="004110A6" w:rsidRDefault="006472B6" w:rsidP="004110A6">
      <w:pPr>
        <w:jc w:val="center"/>
      </w:pPr>
    </w:p>
    <w:p w14:paraId="6E9C9CD7" w14:textId="3944F238" w:rsidR="006472B6" w:rsidRPr="004110A6" w:rsidRDefault="006472B6" w:rsidP="004110A6">
      <w:pPr>
        <w:rPr>
          <w:b/>
        </w:rPr>
      </w:pPr>
    </w:p>
    <w:sdt>
      <w:sdtPr>
        <w:rPr>
          <w:rFonts w:ascii="Arial" w:eastAsia="Arial" w:hAnsi="Arial" w:cs="Arial"/>
          <w:b w:val="0"/>
          <w:bCs w:val="0"/>
          <w:color w:val="000000" w:themeColor="text1"/>
          <w:sz w:val="22"/>
          <w:szCs w:val="22"/>
          <w:lang w:val="en-GB"/>
        </w:rPr>
        <w:id w:val="38264815"/>
        <w:docPartObj>
          <w:docPartGallery w:val="Table of Contents"/>
          <w:docPartUnique/>
        </w:docPartObj>
      </w:sdtPr>
      <w:sdtEndPr/>
      <w:sdtContent>
        <w:p w14:paraId="0939E450" w14:textId="77777777" w:rsidR="006472B6" w:rsidRPr="003A5490" w:rsidRDefault="006472B6" w:rsidP="004110A6">
          <w:pPr>
            <w:pStyle w:val="TOCHeading"/>
            <w:spacing w:line="360" w:lineRule="auto"/>
            <w:jc w:val="center"/>
            <w:rPr>
              <w:rFonts w:ascii="Arial" w:hAnsi="Arial" w:cs="Arial"/>
              <w:color w:val="000000" w:themeColor="text1"/>
              <w:sz w:val="22"/>
              <w:szCs w:val="22"/>
              <w:lang w:val="en-GB"/>
            </w:rPr>
          </w:pPr>
          <w:r w:rsidRPr="003A5490">
            <w:rPr>
              <w:rFonts w:ascii="Arial" w:hAnsi="Arial" w:cs="Arial"/>
              <w:color w:val="000000" w:themeColor="text1"/>
              <w:sz w:val="22"/>
              <w:szCs w:val="22"/>
              <w:lang w:val="en-GB"/>
            </w:rPr>
            <w:t>Table of Contents</w:t>
          </w:r>
        </w:p>
        <w:p w14:paraId="0CF87C73" w14:textId="50CB0E9A" w:rsidR="006472B6" w:rsidRPr="003A5490" w:rsidRDefault="00372C1B" w:rsidP="004110A6">
          <w:pPr>
            <w:pStyle w:val="TOC1"/>
            <w:tabs>
              <w:tab w:val="right" w:leader="dot" w:pos="9350"/>
            </w:tabs>
            <w:rPr>
              <w:rFonts w:eastAsiaTheme="minorEastAsia"/>
              <w:noProof/>
              <w:lang w:eastAsia="en-IN"/>
            </w:rPr>
          </w:pPr>
          <w:r w:rsidRPr="003A5490">
            <w:fldChar w:fldCharType="begin"/>
          </w:r>
          <w:r w:rsidR="006472B6" w:rsidRPr="003A5490">
            <w:instrText xml:space="preserve"> TOC \o "1-3" \h \z \u </w:instrText>
          </w:r>
          <w:r w:rsidRPr="003A5490">
            <w:fldChar w:fldCharType="separate"/>
          </w:r>
          <w:hyperlink w:anchor="_Toc92222648" w:history="1">
            <w:r w:rsidR="006472B6" w:rsidRPr="003A5490">
              <w:rPr>
                <w:rStyle w:val="Hyperlink"/>
                <w:noProof/>
                <w:color w:val="000000" w:themeColor="text1"/>
              </w:rPr>
              <w:t>Introduction</w:t>
            </w:r>
            <w:r w:rsidR="006472B6" w:rsidRPr="003A5490">
              <w:rPr>
                <w:noProof/>
                <w:webHidden/>
              </w:rPr>
              <w:tab/>
            </w:r>
            <w:r w:rsidRPr="003A5490">
              <w:rPr>
                <w:noProof/>
                <w:webHidden/>
              </w:rPr>
              <w:fldChar w:fldCharType="begin"/>
            </w:r>
            <w:r w:rsidR="006472B6" w:rsidRPr="003A5490">
              <w:rPr>
                <w:noProof/>
                <w:webHidden/>
              </w:rPr>
              <w:instrText xml:space="preserve"> PAGEREF _Toc92222648 \h </w:instrText>
            </w:r>
            <w:r w:rsidRPr="003A5490">
              <w:rPr>
                <w:noProof/>
                <w:webHidden/>
              </w:rPr>
            </w:r>
            <w:r w:rsidRPr="003A5490">
              <w:rPr>
                <w:noProof/>
                <w:webHidden/>
              </w:rPr>
              <w:fldChar w:fldCharType="separate"/>
            </w:r>
            <w:r w:rsidR="003A5490">
              <w:rPr>
                <w:noProof/>
                <w:webHidden/>
              </w:rPr>
              <w:t>2</w:t>
            </w:r>
            <w:r w:rsidRPr="003A5490">
              <w:rPr>
                <w:noProof/>
                <w:webHidden/>
              </w:rPr>
              <w:fldChar w:fldCharType="end"/>
            </w:r>
          </w:hyperlink>
        </w:p>
        <w:p w14:paraId="33CB01C6" w14:textId="15A8D906" w:rsidR="006472B6" w:rsidRPr="003A5490" w:rsidRDefault="00E5446E" w:rsidP="004110A6">
          <w:pPr>
            <w:pStyle w:val="TOC1"/>
            <w:tabs>
              <w:tab w:val="right" w:leader="dot" w:pos="9350"/>
            </w:tabs>
            <w:rPr>
              <w:rFonts w:eastAsiaTheme="minorEastAsia"/>
              <w:noProof/>
              <w:lang w:eastAsia="en-IN"/>
            </w:rPr>
          </w:pPr>
          <w:hyperlink w:anchor="_Toc92222649" w:history="1">
            <w:r w:rsidR="006472B6" w:rsidRPr="003A5490">
              <w:rPr>
                <w:rStyle w:val="Hyperlink"/>
                <w:noProof/>
                <w:color w:val="000000" w:themeColor="text1"/>
              </w:rPr>
              <w:t>Reviews the concept and drivers of employee engagement</w:t>
            </w:r>
            <w:r w:rsidR="006472B6" w:rsidRPr="003A5490">
              <w:rPr>
                <w:noProof/>
                <w:webHidden/>
              </w:rPr>
              <w:tab/>
            </w:r>
            <w:r w:rsidR="00372C1B" w:rsidRPr="003A5490">
              <w:rPr>
                <w:noProof/>
                <w:webHidden/>
              </w:rPr>
              <w:fldChar w:fldCharType="begin"/>
            </w:r>
            <w:r w:rsidR="006472B6" w:rsidRPr="003A5490">
              <w:rPr>
                <w:noProof/>
                <w:webHidden/>
              </w:rPr>
              <w:instrText xml:space="preserve"> PAGEREF _Toc92222649 \h </w:instrText>
            </w:r>
            <w:r w:rsidR="00372C1B" w:rsidRPr="003A5490">
              <w:rPr>
                <w:noProof/>
                <w:webHidden/>
              </w:rPr>
            </w:r>
            <w:r w:rsidR="00372C1B" w:rsidRPr="003A5490">
              <w:rPr>
                <w:noProof/>
                <w:webHidden/>
              </w:rPr>
              <w:fldChar w:fldCharType="separate"/>
            </w:r>
            <w:r w:rsidR="003A5490">
              <w:rPr>
                <w:noProof/>
                <w:webHidden/>
              </w:rPr>
              <w:t>2</w:t>
            </w:r>
            <w:r w:rsidR="00372C1B" w:rsidRPr="003A5490">
              <w:rPr>
                <w:noProof/>
                <w:webHidden/>
              </w:rPr>
              <w:fldChar w:fldCharType="end"/>
            </w:r>
          </w:hyperlink>
        </w:p>
        <w:p w14:paraId="0E0FD30A" w14:textId="06C75B5C" w:rsidR="006472B6" w:rsidRPr="003A5490" w:rsidRDefault="00E5446E" w:rsidP="004110A6">
          <w:pPr>
            <w:pStyle w:val="TOC1"/>
            <w:tabs>
              <w:tab w:val="right" w:leader="dot" w:pos="9350"/>
            </w:tabs>
            <w:rPr>
              <w:rFonts w:eastAsiaTheme="minorEastAsia"/>
              <w:noProof/>
              <w:lang w:eastAsia="en-IN"/>
            </w:rPr>
          </w:pPr>
          <w:hyperlink w:anchor="_Toc92222650" w:history="1">
            <w:r w:rsidR="006472B6" w:rsidRPr="003A5490">
              <w:rPr>
                <w:rStyle w:val="Hyperlink"/>
                <w:noProof/>
                <w:color w:val="000000" w:themeColor="text1"/>
              </w:rPr>
              <w:t>Evaluate diagnostic tools to measure the engagement</w:t>
            </w:r>
            <w:r w:rsidR="006472B6" w:rsidRPr="003A5490">
              <w:rPr>
                <w:noProof/>
                <w:webHidden/>
              </w:rPr>
              <w:tab/>
            </w:r>
            <w:r w:rsidR="00372C1B" w:rsidRPr="003A5490">
              <w:rPr>
                <w:noProof/>
                <w:webHidden/>
              </w:rPr>
              <w:fldChar w:fldCharType="begin"/>
            </w:r>
            <w:r w:rsidR="006472B6" w:rsidRPr="003A5490">
              <w:rPr>
                <w:noProof/>
                <w:webHidden/>
              </w:rPr>
              <w:instrText xml:space="preserve"> PAGEREF _Toc92222650 \h </w:instrText>
            </w:r>
            <w:r w:rsidR="00372C1B" w:rsidRPr="003A5490">
              <w:rPr>
                <w:noProof/>
                <w:webHidden/>
              </w:rPr>
            </w:r>
            <w:r w:rsidR="00372C1B" w:rsidRPr="003A5490">
              <w:rPr>
                <w:noProof/>
                <w:webHidden/>
              </w:rPr>
              <w:fldChar w:fldCharType="separate"/>
            </w:r>
            <w:r w:rsidR="003A5490">
              <w:rPr>
                <w:noProof/>
                <w:webHidden/>
              </w:rPr>
              <w:t>3</w:t>
            </w:r>
            <w:r w:rsidR="00372C1B" w:rsidRPr="003A5490">
              <w:rPr>
                <w:noProof/>
                <w:webHidden/>
              </w:rPr>
              <w:fldChar w:fldCharType="end"/>
            </w:r>
          </w:hyperlink>
        </w:p>
        <w:p w14:paraId="101FCC66" w14:textId="478A0CA0" w:rsidR="006472B6" w:rsidRPr="003A5490" w:rsidRDefault="00E5446E" w:rsidP="004110A6">
          <w:pPr>
            <w:pStyle w:val="TOC1"/>
            <w:tabs>
              <w:tab w:val="right" w:leader="dot" w:pos="9350"/>
            </w:tabs>
            <w:rPr>
              <w:rFonts w:eastAsiaTheme="minorEastAsia"/>
              <w:noProof/>
              <w:lang w:eastAsia="en-IN"/>
            </w:rPr>
          </w:pPr>
          <w:hyperlink w:anchor="_Toc92222651" w:history="1">
            <w:r w:rsidR="006472B6" w:rsidRPr="003A5490">
              <w:rPr>
                <w:rStyle w:val="Hyperlink"/>
                <w:noProof/>
                <w:color w:val="000000" w:themeColor="text1"/>
              </w:rPr>
              <w:t>Constructs an employee value proposition from the ideas and analysis previously covered, including strategies to raise levels of engagement.</w:t>
            </w:r>
            <w:r w:rsidR="006472B6" w:rsidRPr="003A5490">
              <w:rPr>
                <w:noProof/>
                <w:webHidden/>
              </w:rPr>
              <w:tab/>
            </w:r>
            <w:r w:rsidR="00372C1B" w:rsidRPr="003A5490">
              <w:rPr>
                <w:noProof/>
                <w:webHidden/>
              </w:rPr>
              <w:fldChar w:fldCharType="begin"/>
            </w:r>
            <w:r w:rsidR="006472B6" w:rsidRPr="003A5490">
              <w:rPr>
                <w:noProof/>
                <w:webHidden/>
              </w:rPr>
              <w:instrText xml:space="preserve"> PAGEREF _Toc92222651 \h </w:instrText>
            </w:r>
            <w:r w:rsidR="00372C1B" w:rsidRPr="003A5490">
              <w:rPr>
                <w:noProof/>
                <w:webHidden/>
              </w:rPr>
            </w:r>
            <w:r w:rsidR="00372C1B" w:rsidRPr="003A5490">
              <w:rPr>
                <w:noProof/>
                <w:webHidden/>
              </w:rPr>
              <w:fldChar w:fldCharType="separate"/>
            </w:r>
            <w:r w:rsidR="003A5490">
              <w:rPr>
                <w:noProof/>
                <w:webHidden/>
              </w:rPr>
              <w:t>4</w:t>
            </w:r>
            <w:r w:rsidR="00372C1B" w:rsidRPr="003A5490">
              <w:rPr>
                <w:noProof/>
                <w:webHidden/>
              </w:rPr>
              <w:fldChar w:fldCharType="end"/>
            </w:r>
          </w:hyperlink>
        </w:p>
        <w:p w14:paraId="2EF12D83" w14:textId="77130032" w:rsidR="006472B6" w:rsidRPr="003A5490" w:rsidRDefault="00E5446E" w:rsidP="004110A6">
          <w:pPr>
            <w:pStyle w:val="TOC1"/>
            <w:tabs>
              <w:tab w:val="right" w:leader="dot" w:pos="9350"/>
            </w:tabs>
            <w:rPr>
              <w:rFonts w:eastAsiaTheme="minorEastAsia"/>
              <w:noProof/>
              <w:lang w:eastAsia="en-IN"/>
            </w:rPr>
          </w:pPr>
          <w:hyperlink w:anchor="_Toc92222652" w:history="1">
            <w:r w:rsidR="006472B6" w:rsidRPr="003A5490">
              <w:rPr>
                <w:rStyle w:val="Hyperlink"/>
                <w:noProof/>
                <w:color w:val="000000" w:themeColor="text1"/>
              </w:rPr>
              <w:t>Conclusion</w:t>
            </w:r>
            <w:r w:rsidR="006472B6" w:rsidRPr="003A5490">
              <w:rPr>
                <w:noProof/>
                <w:webHidden/>
              </w:rPr>
              <w:tab/>
            </w:r>
            <w:r w:rsidR="00372C1B" w:rsidRPr="003A5490">
              <w:rPr>
                <w:noProof/>
                <w:webHidden/>
              </w:rPr>
              <w:fldChar w:fldCharType="begin"/>
            </w:r>
            <w:r w:rsidR="006472B6" w:rsidRPr="003A5490">
              <w:rPr>
                <w:noProof/>
                <w:webHidden/>
              </w:rPr>
              <w:instrText xml:space="preserve"> PAGEREF _Toc92222652 \h </w:instrText>
            </w:r>
            <w:r w:rsidR="00372C1B" w:rsidRPr="003A5490">
              <w:rPr>
                <w:noProof/>
                <w:webHidden/>
              </w:rPr>
            </w:r>
            <w:r w:rsidR="00372C1B" w:rsidRPr="003A5490">
              <w:rPr>
                <w:noProof/>
                <w:webHidden/>
              </w:rPr>
              <w:fldChar w:fldCharType="separate"/>
            </w:r>
            <w:r w:rsidR="003A5490">
              <w:rPr>
                <w:noProof/>
                <w:webHidden/>
              </w:rPr>
              <w:t>7</w:t>
            </w:r>
            <w:r w:rsidR="00372C1B" w:rsidRPr="003A5490">
              <w:rPr>
                <w:noProof/>
                <w:webHidden/>
              </w:rPr>
              <w:fldChar w:fldCharType="end"/>
            </w:r>
          </w:hyperlink>
        </w:p>
        <w:p w14:paraId="756BC6DD" w14:textId="77777777" w:rsidR="006472B6" w:rsidRPr="003A5490" w:rsidRDefault="00372C1B" w:rsidP="004110A6">
          <w:r w:rsidRPr="003A5490">
            <w:fldChar w:fldCharType="end"/>
          </w:r>
        </w:p>
      </w:sdtContent>
    </w:sdt>
    <w:p w14:paraId="42B9090A" w14:textId="77777777" w:rsidR="006472B6" w:rsidRPr="003A5490" w:rsidRDefault="006472B6" w:rsidP="004110A6">
      <w:pPr>
        <w:rPr>
          <w:b/>
        </w:rPr>
      </w:pPr>
      <w:r w:rsidRPr="003A5490">
        <w:br w:type="page"/>
      </w:r>
    </w:p>
    <w:p w14:paraId="4F9CAF1B" w14:textId="77777777" w:rsidR="00C650BB" w:rsidRPr="003A5490" w:rsidRDefault="00772FC6" w:rsidP="004110A6">
      <w:pPr>
        <w:pStyle w:val="Heading1"/>
      </w:pPr>
      <w:bookmarkStart w:id="0" w:name="_Toc92222648"/>
      <w:r w:rsidRPr="003A5490">
        <w:lastRenderedPageBreak/>
        <w:t>Introduction</w:t>
      </w:r>
      <w:bookmarkEnd w:id="0"/>
    </w:p>
    <w:p w14:paraId="48F67CEB" w14:textId="2F6DFACC" w:rsidR="00C650BB" w:rsidRPr="003A5490" w:rsidRDefault="00772FC6" w:rsidP="004110A6">
      <w:pPr>
        <w:rPr>
          <w:rFonts w:eastAsia="Calibri"/>
        </w:rPr>
      </w:pPr>
      <w:r w:rsidRPr="003A5490">
        <w:t>Employee engagement can be defined as how the employees of a company feel empathetic about the company and its business objectives. It is also very critical in a time of challenging situations like pandemics. In this type of change, the staff of a company feels more sceptical as there has been a sense of uncertainty (</w:t>
      </w:r>
      <w:r w:rsidRPr="003A5490">
        <w:rPr>
          <w:highlight w:val="white"/>
        </w:rPr>
        <w:t xml:space="preserve">Loon </w:t>
      </w:r>
      <w:r w:rsidRPr="003A5490">
        <w:rPr>
          <w:i/>
          <w:highlight w:val="white"/>
        </w:rPr>
        <w:t>et al., 2019)</w:t>
      </w:r>
      <w:r w:rsidRPr="003A5490">
        <w:t>. In this time, the management of an organisation needs to measure the engagement of its staff to understand the level of morale of them and the better cohesion and understanding among the management and the employees also makes the company perform better in the marketplace among the challenges faced from its peers.</w:t>
      </w:r>
      <w:r w:rsidR="005162E4" w:rsidRPr="003A5490">
        <w:t xml:space="preserve"> </w:t>
      </w:r>
      <w:r w:rsidR="005162E4" w:rsidRPr="003A5490">
        <w:rPr>
          <w:rFonts w:eastAsia="Calibri"/>
        </w:rPr>
        <w:t>Organizing is the process of creating arrangements of responsibilities and relationships in order to enable people to accomplish a purpose. Organisations exist to serve a purpose through group efforts of its members where employee engagement plays a crucial role. People become engaged when they are passionate about their work and the organisation, and they are driven to reach high levels of performance. In addition, engagement is a phrase that describes specifically what happens when employees are motivated and engaged in their jobs, show discretionary behaviour and achieve performance in the organisation (Armstrong and Taylor, 2014, p.193).</w:t>
      </w:r>
    </w:p>
    <w:p w14:paraId="293B1F74" w14:textId="77777777" w:rsidR="005162E4" w:rsidRPr="003A5490" w:rsidRDefault="005162E4" w:rsidP="004110A6"/>
    <w:p w14:paraId="3323229B" w14:textId="77777777" w:rsidR="00C650BB" w:rsidRPr="003A5490" w:rsidRDefault="00772FC6" w:rsidP="004110A6">
      <w:pPr>
        <w:pStyle w:val="Heading1"/>
      </w:pPr>
      <w:bookmarkStart w:id="1" w:name="_sk0gd0mdc44u" w:colFirst="0" w:colLast="0"/>
      <w:bookmarkStart w:id="2" w:name="_Toc92222649"/>
      <w:bookmarkEnd w:id="1"/>
      <w:r w:rsidRPr="003A5490">
        <w:t>Reviews the concept and drivers of employee engagement</w:t>
      </w:r>
      <w:bookmarkEnd w:id="2"/>
      <w:r w:rsidRPr="003A5490">
        <w:t xml:space="preserve"> </w:t>
      </w:r>
    </w:p>
    <w:p w14:paraId="65F368FA" w14:textId="5FFDAA84" w:rsidR="00C650BB" w:rsidRPr="003A5490" w:rsidRDefault="00772FC6" w:rsidP="004110A6">
      <w:r w:rsidRPr="003A5490">
        <w:t xml:space="preserve">Employee engagement is an area of human resources that indicates the level of </w:t>
      </w:r>
      <w:r w:rsidR="00120FB0" w:rsidRPr="003A5490">
        <w:t>employee’s</w:t>
      </w:r>
      <w:r w:rsidRPr="003A5490">
        <w:t xml:space="preserve"> enthusiasm and dedication towards their job. The concept dictates that engagement of employees has a positive impact on the organisation as through the hard work the employees can manage any situation or job and can fulfil the requirements of the company within the required time. It means engaged employees care about the organisation and their performance. Also, the company considers that the efforts of the engaged employees make a huge difference in their overall business performance (</w:t>
      </w:r>
      <w:r w:rsidRPr="003A5490">
        <w:rPr>
          <w:highlight w:val="white"/>
        </w:rPr>
        <w:t>Khodakarami and Dirani, 2020</w:t>
      </w:r>
      <w:r w:rsidRPr="003A5490">
        <w:t xml:space="preserve">). There are many factors related to employee engagement. Motivation is one of the main factors to employee engagement. Also, the drivers of employee engagement are capacity, relationships between </w:t>
      </w:r>
      <w:r w:rsidR="004D1659" w:rsidRPr="003A5490">
        <w:t>co-workers</w:t>
      </w:r>
      <w:r w:rsidRPr="003A5490">
        <w:t>, fairness within the workplace, feedback of work or performance, goal support and integrity and availability of the leaders (</w:t>
      </w:r>
      <w:r w:rsidRPr="003A5490">
        <w:rPr>
          <w:highlight w:val="white"/>
        </w:rPr>
        <w:t>Nguyen, 2020</w:t>
      </w:r>
      <w:r w:rsidRPr="003A5490">
        <w:t xml:space="preserve">). </w:t>
      </w:r>
    </w:p>
    <w:p w14:paraId="460F2266" w14:textId="77777777" w:rsidR="00C650BB" w:rsidRPr="003A5490" w:rsidRDefault="00772FC6" w:rsidP="004110A6">
      <w:r w:rsidRPr="003A5490">
        <w:rPr>
          <w:b/>
          <w:i/>
        </w:rPr>
        <w:t xml:space="preserve">Capacity: </w:t>
      </w:r>
      <w:r w:rsidRPr="003A5490">
        <w:t xml:space="preserve">For increasing the engagement rate of employees, capacity is one of the important factors so the organisations always try to increase the capacity of employees through training or education in terms of adding value to their performance. </w:t>
      </w:r>
    </w:p>
    <w:p w14:paraId="4DA78C41" w14:textId="4F26530F" w:rsidR="00C650BB" w:rsidRPr="003A5490" w:rsidRDefault="00772FC6" w:rsidP="004110A6">
      <w:r w:rsidRPr="003A5490">
        <w:rPr>
          <w:b/>
          <w:i/>
        </w:rPr>
        <w:lastRenderedPageBreak/>
        <w:t xml:space="preserve">Relationship: </w:t>
      </w:r>
      <w:r w:rsidRPr="003A5490">
        <w:t xml:space="preserve">Relation is a factor that always provides work flexibility to the employees and </w:t>
      </w:r>
      <w:r w:rsidR="004D1659" w:rsidRPr="003A5490">
        <w:t>also,</w:t>
      </w:r>
      <w:r w:rsidRPr="003A5490">
        <w:t xml:space="preserve"> they start to feel safe and comfortable within their workplace. So, HR always tries to keep a healthy relationship among the workplace through a specific work culture thereby the employee engages themselves more actively (</w:t>
      </w:r>
      <w:r w:rsidRPr="003A5490">
        <w:rPr>
          <w:highlight w:val="white"/>
        </w:rPr>
        <w:t xml:space="preserve">Albrecht </w:t>
      </w:r>
      <w:r w:rsidRPr="003A5490">
        <w:rPr>
          <w:i/>
          <w:highlight w:val="white"/>
        </w:rPr>
        <w:t xml:space="preserve">et al., </w:t>
      </w:r>
      <w:r w:rsidRPr="003A5490">
        <w:rPr>
          <w:highlight w:val="white"/>
        </w:rPr>
        <w:t>2018</w:t>
      </w:r>
      <w:r w:rsidRPr="003A5490">
        <w:t xml:space="preserve">). </w:t>
      </w:r>
    </w:p>
    <w:p w14:paraId="2FBC745A" w14:textId="5CA74BE8" w:rsidR="00C650BB" w:rsidRPr="003A5490" w:rsidRDefault="00772FC6" w:rsidP="004110A6">
      <w:r w:rsidRPr="003A5490">
        <w:rPr>
          <w:b/>
          <w:i/>
        </w:rPr>
        <w:t xml:space="preserve">Fairness: </w:t>
      </w:r>
      <w:r w:rsidRPr="003A5490">
        <w:t xml:space="preserve">Not only the relationships of </w:t>
      </w:r>
      <w:r w:rsidR="004D1659" w:rsidRPr="003A5490">
        <w:t>co-workers</w:t>
      </w:r>
      <w:r w:rsidRPr="003A5490">
        <w:t xml:space="preserve"> but also fairness is a factor driving employee engagement. It is about how fair the employees are treated by their employer within the organisation. It means a fair behaviour and attitude towards all the employees can increase the employee engagement rate.</w:t>
      </w:r>
    </w:p>
    <w:p w14:paraId="6BC87942" w14:textId="77777777" w:rsidR="00C650BB" w:rsidRPr="003A5490" w:rsidRDefault="00772FC6" w:rsidP="004110A6">
      <w:r w:rsidRPr="003A5490">
        <w:rPr>
          <w:b/>
          <w:i/>
        </w:rPr>
        <w:t>Feedback:</w:t>
      </w:r>
      <w:r w:rsidRPr="003A5490">
        <w:t xml:space="preserve"> Receiving helpful feedback helps the company to increase their employee engagement rate. It also helps the employees to understand whether they are meeting the expectations, where they have flaws and how they can improve their performance. </w:t>
      </w:r>
    </w:p>
    <w:p w14:paraId="04E0CDA5" w14:textId="6DFDB4A7" w:rsidR="00C650BB" w:rsidRPr="003A5490" w:rsidRDefault="00772FC6" w:rsidP="004110A6">
      <w:r w:rsidRPr="003A5490">
        <w:rPr>
          <w:b/>
          <w:i/>
        </w:rPr>
        <w:t>Supporting goal:</w:t>
      </w:r>
      <w:r w:rsidRPr="003A5490">
        <w:t xml:space="preserve"> The company must support the employees in achieving their goals related to a specific job so that they can always be encouraged to accomplish the task and achieve a goal within or before the required time</w:t>
      </w:r>
      <w:r w:rsidR="00300C8C" w:rsidRPr="003A5490">
        <w:t xml:space="preserve"> </w:t>
      </w:r>
      <w:r w:rsidR="00300C8C" w:rsidRPr="003A5490">
        <w:rPr>
          <w:shd w:val="clear" w:color="auto" w:fill="FFFFFF"/>
        </w:rPr>
        <w:t>(Popli and Rizvi, 2016).</w:t>
      </w:r>
    </w:p>
    <w:p w14:paraId="3F3DDF60" w14:textId="77777777" w:rsidR="00C650BB" w:rsidRPr="003A5490" w:rsidRDefault="00772FC6" w:rsidP="004110A6">
      <w:r w:rsidRPr="003A5490">
        <w:rPr>
          <w:b/>
          <w:i/>
        </w:rPr>
        <w:t xml:space="preserve">Integrity and availability of the leaders: </w:t>
      </w:r>
      <w:r w:rsidRPr="003A5490">
        <w:t xml:space="preserve">When the employees feel that the leaders are successfully connected to them, they start to gain inspiration and feel motivated to work. In the context of integrity, the employees should feel that the leadership is dependable, then it will help the employee to do work and always be active. </w:t>
      </w:r>
    </w:p>
    <w:p w14:paraId="43AF34B3" w14:textId="77777777" w:rsidR="00C650BB" w:rsidRPr="003A5490" w:rsidRDefault="00772FC6" w:rsidP="004110A6">
      <w:pPr>
        <w:pStyle w:val="Heading1"/>
      </w:pPr>
      <w:bookmarkStart w:id="3" w:name="_y552ohq2qsi5" w:colFirst="0" w:colLast="0"/>
      <w:bookmarkStart w:id="4" w:name="_Toc92222650"/>
      <w:bookmarkEnd w:id="3"/>
      <w:r w:rsidRPr="003A5490">
        <w:t>Evaluate diagnostic tools to measure the engagement</w:t>
      </w:r>
      <w:bookmarkEnd w:id="4"/>
    </w:p>
    <w:p w14:paraId="3385942A" w14:textId="77777777" w:rsidR="00C650BB" w:rsidRPr="003A5490" w:rsidRDefault="00772FC6" w:rsidP="004110A6">
      <w:pPr>
        <w:rPr>
          <w:highlight w:val="white"/>
        </w:rPr>
      </w:pPr>
      <w:r w:rsidRPr="003A5490">
        <w:rPr>
          <w:b/>
          <w:i/>
          <w:highlight w:val="white"/>
        </w:rPr>
        <w:t>Employee engagement</w:t>
      </w:r>
      <w:r w:rsidRPr="003A5490">
        <w:rPr>
          <w:highlight w:val="white"/>
        </w:rPr>
        <w:t xml:space="preserve"> is known as the concept that illustrates the level of dedication as well as enthusiasm employees feel towards their jobs. During the pandemic situation employee engagement within an organisation leads to improvement and enhancement in the overall performance (Sun and Bunchapattanasakda, 2019). For measuring employee engagement some diagnostic tools can be used by the HR manager of organisations. The following part is going to discuss the advantages and disadvantages of various tools along with their applications required to measure the engagement of employees. These tools are as follows:</w:t>
      </w:r>
    </w:p>
    <w:p w14:paraId="2691E0A2" w14:textId="77777777" w:rsidR="00C650BB" w:rsidRPr="003A5490" w:rsidRDefault="00772FC6" w:rsidP="004110A6">
      <w:pPr>
        <w:numPr>
          <w:ilvl w:val="0"/>
          <w:numId w:val="1"/>
        </w:numPr>
        <w:rPr>
          <w:b/>
          <w:i/>
          <w:highlight w:val="white"/>
        </w:rPr>
      </w:pPr>
      <w:r w:rsidRPr="003A5490">
        <w:rPr>
          <w:b/>
          <w:i/>
          <w:highlight w:val="white"/>
        </w:rPr>
        <w:t xml:space="preserve">Employee survey: </w:t>
      </w:r>
      <w:r w:rsidRPr="003A5490">
        <w:rPr>
          <w:highlight w:val="white"/>
        </w:rPr>
        <w:t xml:space="preserve">Survey is considered the important tool in measuring the engagement of employees for getting feedback on their feelings along with attitudes. A good survey result helps to understand the motivation of employees, their satisfaction level and quality of work and relationship with organisations as well (Pandita and Ray 2018). During the pandemic situation, online surveys can work as an effective tool to understand employee engagement of Morrisons while they are working from home. Moreover, it is also helpful to motivate the </w:t>
      </w:r>
      <w:r w:rsidRPr="003A5490">
        <w:rPr>
          <w:highlight w:val="white"/>
        </w:rPr>
        <w:lastRenderedPageBreak/>
        <w:t xml:space="preserve">employees towards work and help them in maintaining work-life balance. However, it has some disadvantages as some employees can refuse to participate in the online survey process and share their feelings as well. Therefore, organisations cannot measure employee engagement. </w:t>
      </w:r>
    </w:p>
    <w:p w14:paraId="4563645E" w14:textId="3070AEDF" w:rsidR="00C650BB" w:rsidRPr="003A5490" w:rsidRDefault="00772FC6" w:rsidP="004110A6">
      <w:pPr>
        <w:numPr>
          <w:ilvl w:val="0"/>
          <w:numId w:val="1"/>
        </w:numPr>
        <w:rPr>
          <w:b/>
          <w:i/>
          <w:highlight w:val="white"/>
        </w:rPr>
      </w:pPr>
      <w:r w:rsidRPr="003A5490">
        <w:rPr>
          <w:b/>
          <w:i/>
          <w:highlight w:val="white"/>
        </w:rPr>
        <w:t xml:space="preserve">Social media platform: </w:t>
      </w:r>
      <w:r w:rsidRPr="003A5490">
        <w:rPr>
          <w:highlight w:val="white"/>
        </w:rPr>
        <w:t xml:space="preserve">Organisations can also use social media as the employee engagement tool as employees use social media platforms such as </w:t>
      </w:r>
      <w:r w:rsidR="004D1659" w:rsidRPr="003A5490">
        <w:rPr>
          <w:highlight w:val="white"/>
        </w:rPr>
        <w:t>glass door</w:t>
      </w:r>
      <w:r w:rsidRPr="003A5490">
        <w:rPr>
          <w:highlight w:val="white"/>
        </w:rPr>
        <w:t xml:space="preserve">, the company's official websites, Facebook and others to share their opinions, feedback and level of satisfaction. The main </w:t>
      </w:r>
      <w:r w:rsidRPr="003A5490">
        <w:rPr>
          <w:b/>
          <w:i/>
          <w:highlight w:val="white"/>
        </w:rPr>
        <w:t xml:space="preserve">advantage </w:t>
      </w:r>
      <w:r w:rsidRPr="003A5490">
        <w:rPr>
          <w:highlight w:val="white"/>
        </w:rPr>
        <w:t>of this tool is that it allows organisations to maintain an internal network on which employees can post their ideas, engage in conversation that can be also helpful during the pandemic situation. It also gives opportunities to HR managers of Morrisons in understanding their teams and the overall teamwork of the organisation.</w:t>
      </w:r>
    </w:p>
    <w:p w14:paraId="110E48DC" w14:textId="77777777" w:rsidR="00C650BB" w:rsidRPr="003A5490" w:rsidRDefault="00772FC6" w:rsidP="004110A6">
      <w:pPr>
        <w:numPr>
          <w:ilvl w:val="0"/>
          <w:numId w:val="1"/>
        </w:numPr>
        <w:rPr>
          <w:b/>
          <w:i/>
          <w:highlight w:val="white"/>
        </w:rPr>
      </w:pPr>
      <w:r w:rsidRPr="003A5490">
        <w:rPr>
          <w:b/>
          <w:i/>
          <w:highlight w:val="white"/>
        </w:rPr>
        <w:t xml:space="preserve">HR tools: </w:t>
      </w:r>
      <w:r w:rsidRPr="003A5490">
        <w:rPr>
          <w:highlight w:val="white"/>
        </w:rPr>
        <w:t xml:space="preserve">Modern HR platforms and their related tools can work as effective ones for the organisation in measuring employee engagement. HR tools allow managers to store the feedback of employees on a monthly or yearly basis. Moreover, the analysis of this feedback can understand the present conditions and satisfaction level of employees working at Morrisons. However, it completely depends on the perception of employees that can be changed frequently over time. During the Covid-19 situation and work from facilities, the employees cannot share their opinions and the HR manager of Morrisons can keep track of each comment over time that would ensure how they accept the situation and feel comfortable working like this (Khodakarami </w:t>
      </w:r>
      <w:r w:rsidRPr="003A5490">
        <w:rPr>
          <w:i/>
          <w:highlight w:val="white"/>
        </w:rPr>
        <w:t xml:space="preserve">et al., </w:t>
      </w:r>
      <w:r w:rsidRPr="003A5490">
        <w:rPr>
          <w:highlight w:val="white"/>
        </w:rPr>
        <w:t xml:space="preserve">2018).  </w:t>
      </w:r>
    </w:p>
    <w:p w14:paraId="6C0DEA2C" w14:textId="77777777" w:rsidR="00C650BB" w:rsidRPr="003A5490" w:rsidRDefault="00772FC6" w:rsidP="004110A6">
      <w:pPr>
        <w:numPr>
          <w:ilvl w:val="0"/>
          <w:numId w:val="1"/>
        </w:numPr>
        <w:rPr>
          <w:b/>
          <w:i/>
          <w:highlight w:val="white"/>
        </w:rPr>
      </w:pPr>
      <w:r w:rsidRPr="003A5490">
        <w:rPr>
          <w:b/>
          <w:i/>
          <w:highlight w:val="white"/>
        </w:rPr>
        <w:t xml:space="preserve">Exit interviews: </w:t>
      </w:r>
      <w:r w:rsidRPr="003A5490">
        <w:rPr>
          <w:highlight w:val="white"/>
        </w:rPr>
        <w:t xml:space="preserve">By asking some specific questions to the particular department can lead to an effective tool while measuring employee engagement. Moreover, HR managers of Morrisons can select one department and then identify their strengths, weaknesses and area of interest so that managers can further analyse the same and improve engagement and productivity as well. However, the limitations of the tool are that written interview questions can demotivate employees and they feel bored to participate in the same without focusing on their performance during work from the situation. </w:t>
      </w:r>
    </w:p>
    <w:p w14:paraId="6CDD9A69" w14:textId="77777777" w:rsidR="00C650BB" w:rsidRPr="003A5490" w:rsidRDefault="00772FC6" w:rsidP="004110A6">
      <w:pPr>
        <w:pStyle w:val="Heading1"/>
      </w:pPr>
      <w:bookmarkStart w:id="5" w:name="_yoi327q9i838" w:colFirst="0" w:colLast="0"/>
      <w:bookmarkStart w:id="6" w:name="_Toc92222651"/>
      <w:bookmarkEnd w:id="5"/>
      <w:r w:rsidRPr="003A5490">
        <w:t>Constructs an employee value proposition from the ideas and analysis previously covered, including strategies to raise levels of engagement</w:t>
      </w:r>
      <w:bookmarkEnd w:id="6"/>
      <w:r w:rsidRPr="003A5490">
        <w:t xml:space="preserve"> </w:t>
      </w:r>
    </w:p>
    <w:p w14:paraId="0C7994E0" w14:textId="77777777" w:rsidR="00C650BB" w:rsidRPr="003A5490" w:rsidRDefault="00772FC6" w:rsidP="004110A6">
      <w:r w:rsidRPr="003A5490">
        <w:t xml:space="preserve">The value proposition is a very important task for the management of an organisation to deliver its customers quality products or services. Any company irrespective of the </w:t>
      </w:r>
      <w:r w:rsidRPr="003A5490">
        <w:lastRenderedPageBreak/>
        <w:t>industry it operates in should measure their capabilities that in turn help the management of the company to understand better its strengths and weaknesses (</w:t>
      </w:r>
      <w:r w:rsidRPr="003A5490">
        <w:rPr>
          <w:highlight w:val="white"/>
        </w:rPr>
        <w:t>Sheth, 2019)</w:t>
      </w:r>
      <w:r w:rsidRPr="003A5490">
        <w:t>. To build an effective and efficient value proposition, some of the key concepts should be understood such as identification of the needs of the customers, advantages of the products that a company offers to its customers, the key specifications that make the worth of these products and how they are beneficial to the company. The management tends to apply this to create vibrant and effective marketing strategies. In case of identifying the values of employees and their engagement with the company and its operations, this model can also be employed effectively. Some of the key steps are as follows:</w:t>
      </w:r>
    </w:p>
    <w:p w14:paraId="2F510A0D" w14:textId="244EDF2F" w:rsidR="00C650BB" w:rsidRPr="003A5490" w:rsidRDefault="00772FC6" w:rsidP="004110A6">
      <w:r w:rsidRPr="003A5490">
        <w:rPr>
          <w:b/>
          <w:i/>
        </w:rPr>
        <w:t xml:space="preserve">Effective communications with the employees: </w:t>
      </w:r>
      <w:r w:rsidRPr="003A5490">
        <w:t>The management of the company needs to communicate with the employees regarding the core values of the organisations so that they can understand them more clearly. In the time of pandemic ridden challenges, effective communications among the general workforce and the managerial staff become more crucial. This practice in turn promotes transparent and trustworthy relationships that motivates the staff to perform better.</w:t>
      </w:r>
    </w:p>
    <w:p w14:paraId="52FB62CC" w14:textId="174D3853" w:rsidR="00C650BB" w:rsidRPr="003A5490" w:rsidRDefault="00772FC6" w:rsidP="004110A6">
      <w:r w:rsidRPr="003A5490">
        <w:rPr>
          <w:b/>
          <w:i/>
        </w:rPr>
        <w:t xml:space="preserve">Effective leadership styles: </w:t>
      </w:r>
      <w:r w:rsidRPr="003A5490">
        <w:t xml:space="preserve">Leaders and managers are two of the most critical pillars in an organisation to effectively guide the company and motivate its staff properly. To the general staff, the leaders are the </w:t>
      </w:r>
      <w:r w:rsidR="004D1659" w:rsidRPr="003A5490">
        <w:t>front-line</w:t>
      </w:r>
      <w:r w:rsidRPr="003A5490">
        <w:t xml:space="preserve"> management staff who play as the bridge between them. They are also responsible to select and nominating employees for promotions. In challenging </w:t>
      </w:r>
      <w:r w:rsidR="004D1659" w:rsidRPr="003A5490">
        <w:t>times,</w:t>
      </w:r>
      <w:r w:rsidRPr="003A5490">
        <w:t xml:space="preserve"> the collaborative or democratic leadership approaches motivates the general staff as a sense of contribution can be developed (</w:t>
      </w:r>
      <w:r w:rsidRPr="003A5490">
        <w:rPr>
          <w:highlight w:val="white"/>
        </w:rPr>
        <w:t xml:space="preserve">Wuryani </w:t>
      </w:r>
      <w:r w:rsidRPr="003A5490">
        <w:rPr>
          <w:i/>
          <w:highlight w:val="white"/>
        </w:rPr>
        <w:t>et al.</w:t>
      </w:r>
      <w:r w:rsidRPr="003A5490">
        <w:rPr>
          <w:highlight w:val="white"/>
        </w:rPr>
        <w:t>, 2021)</w:t>
      </w:r>
      <w:r w:rsidRPr="003A5490">
        <w:t>. This in turn encourages them to perform better and it eventually optimises the profitability of the company.</w:t>
      </w:r>
    </w:p>
    <w:p w14:paraId="110A104B" w14:textId="77777777" w:rsidR="00C650BB" w:rsidRPr="003A5490" w:rsidRDefault="00772FC6" w:rsidP="004110A6">
      <w:r w:rsidRPr="003A5490">
        <w:rPr>
          <w:b/>
          <w:i/>
        </w:rPr>
        <w:t xml:space="preserve">Organisational culture: </w:t>
      </w:r>
      <w:r w:rsidRPr="003A5490">
        <w:t>Organisational culture is another factor that predicts the motivations of the employees of an organisation. In challenging times like COVID 19 pandemic, some flexibility should be offered to the employees of the company. Getting flexible working conditions, most of the employees can perform to their best as they can reenergize themselves by diverting their concentration for some time (</w:t>
      </w:r>
      <w:r w:rsidRPr="003A5490">
        <w:rPr>
          <w:highlight w:val="white"/>
        </w:rPr>
        <w:t xml:space="preserve">Ogbeibu </w:t>
      </w:r>
      <w:r w:rsidRPr="003A5490">
        <w:rPr>
          <w:i/>
          <w:highlight w:val="white"/>
        </w:rPr>
        <w:t>et al.</w:t>
      </w:r>
      <w:r w:rsidRPr="003A5490">
        <w:rPr>
          <w:highlight w:val="white"/>
        </w:rPr>
        <w:t>, 2018)</w:t>
      </w:r>
      <w:r w:rsidRPr="003A5490">
        <w:t>. This, in turn, promotes a healthy and collaborative working environment in the company and hence increasing the retention rate of the employees.</w:t>
      </w:r>
    </w:p>
    <w:p w14:paraId="4A1FBB1A" w14:textId="77777777" w:rsidR="00C650BB" w:rsidRPr="003A5490" w:rsidRDefault="00772FC6" w:rsidP="004110A6">
      <w:pPr>
        <w:rPr>
          <w:rFonts w:eastAsia="Times New Roman"/>
        </w:rPr>
      </w:pPr>
      <w:r w:rsidRPr="003A5490">
        <w:t xml:space="preserve">Employee engagement plays an important role within organisations because it helps to complete the activities effectively. The employees need to be engaged as per their skills and efficiency so that different activities can be completed at the right time. On the </w:t>
      </w:r>
      <w:r w:rsidRPr="003A5490">
        <w:lastRenderedPageBreak/>
        <w:t>contrary, at times, the employees fail to give their effectiveness towards the organisation. Thus, its competitive position is also gets affected. The strategies that can be used to enhance the level of engagement have been furnished.</w:t>
      </w:r>
    </w:p>
    <w:p w14:paraId="3E59B494" w14:textId="77777777" w:rsidR="00C650BB" w:rsidRPr="003A5490" w:rsidRDefault="00772FC6" w:rsidP="004110A6">
      <w:pPr>
        <w:rPr>
          <w:rFonts w:eastAsia="Times New Roman"/>
        </w:rPr>
      </w:pPr>
      <w:r w:rsidRPr="003A5490">
        <w:rPr>
          <w:b/>
          <w:i/>
        </w:rPr>
        <w:t>Provision of training</w:t>
      </w:r>
    </w:p>
    <w:p w14:paraId="12716D55" w14:textId="2F112ADF" w:rsidR="00C650BB" w:rsidRPr="003A5490" w:rsidRDefault="00772FC6" w:rsidP="004110A6">
      <w:pPr>
        <w:rPr>
          <w:rFonts w:eastAsia="Times New Roman"/>
        </w:rPr>
      </w:pPr>
      <w:r w:rsidRPr="003A5490">
        <w:t xml:space="preserve">The level of engagement among the employees can be enhanced if proper training is being provided to them. Further, at the time of providing the training, the skills of employees also need to be examined by the management. For pointing the skills of employees, a survey can also be launched within the employees so that the management can predict their needs effectively. For instance, </w:t>
      </w:r>
      <w:r w:rsidR="004D1659" w:rsidRPr="003A5490">
        <w:t>c</w:t>
      </w:r>
      <w:r w:rsidRPr="003A5490">
        <w:t>ompanies like Morrisons, launch leadership programmes so that training can be provided to the members of the workforce. Two days leadership course has also been launched in Morrisons so that the employees can get a chance to enhance their skills (Morrisons.jobs, 2021).</w:t>
      </w:r>
    </w:p>
    <w:p w14:paraId="247C0802" w14:textId="77777777" w:rsidR="00C650BB" w:rsidRPr="003A5490" w:rsidRDefault="00772FC6" w:rsidP="004110A6">
      <w:pPr>
        <w:rPr>
          <w:rFonts w:eastAsia="Times New Roman"/>
        </w:rPr>
      </w:pPr>
      <w:r w:rsidRPr="003A5490">
        <w:t> Management of Morrisons has also launched another programme such as Make Morrisons so that the colleagues can get provision to receive proper training so that in future, their skills can be upgraded and they can perform different activities. </w:t>
      </w:r>
    </w:p>
    <w:p w14:paraId="454BFC0F" w14:textId="77777777" w:rsidR="00C650BB" w:rsidRPr="003A5490" w:rsidRDefault="00772FC6" w:rsidP="004110A6">
      <w:pPr>
        <w:rPr>
          <w:rFonts w:eastAsia="Times New Roman"/>
        </w:rPr>
      </w:pPr>
      <w:r w:rsidRPr="003A5490">
        <w:rPr>
          <w:b/>
        </w:rPr>
        <w:t>Effective communication</w:t>
      </w:r>
    </w:p>
    <w:p w14:paraId="0F11A24B" w14:textId="77777777" w:rsidR="00C650BB" w:rsidRPr="003A5490" w:rsidRDefault="00772FC6" w:rsidP="004110A6">
      <w:pPr>
        <w:rPr>
          <w:rFonts w:eastAsia="Times New Roman"/>
        </w:rPr>
      </w:pPr>
      <w:r w:rsidRPr="003A5490">
        <w:t>The employee engagement of employees can also be i9mproved if effective communication is being set between the employees and the management. Communication can be implemented if the management launches different sorts of communication techniques such as group discussions and individual meetings. Effective communication not only enhances employees' engagement but also at the same increases the self-confidence of the members of the workforce.</w:t>
      </w:r>
    </w:p>
    <w:p w14:paraId="328BDEBB" w14:textId="0FC320CD" w:rsidR="00C650BB" w:rsidRPr="003A5490" w:rsidRDefault="00772FC6" w:rsidP="004110A6">
      <w:pPr>
        <w:rPr>
          <w:rFonts w:eastAsia="Times New Roman"/>
        </w:rPr>
      </w:pPr>
      <w:r w:rsidRPr="003A5490">
        <w:t xml:space="preserve">For instance, in Tesco, the employees are invited to send different emails and texts to their colleagues so that continuous interaction can be maintained within different teams. The members of the organisation are also respondents to </w:t>
      </w:r>
      <w:r w:rsidR="00300C8C" w:rsidRPr="003A5490">
        <w:t>employees’</w:t>
      </w:r>
      <w:r w:rsidRPr="003A5490">
        <w:t xml:space="preserve"> texts through emails, intranet, voice mails, blogs and in-store communication processes </w:t>
      </w:r>
      <w:r w:rsidR="00F4424F" w:rsidRPr="003A5490">
        <w:t>(Nelson, 2012)</w:t>
      </w:r>
      <w:r w:rsidRPr="003A5490">
        <w:t>.</w:t>
      </w:r>
    </w:p>
    <w:p w14:paraId="3AEC6A59" w14:textId="77777777" w:rsidR="00C650BB" w:rsidRPr="003A5490" w:rsidRDefault="00772FC6" w:rsidP="004110A6">
      <w:pPr>
        <w:rPr>
          <w:rFonts w:eastAsia="Times New Roman"/>
        </w:rPr>
      </w:pPr>
      <w:r w:rsidRPr="003A5490">
        <w:t> The policies of the organisation</w:t>
      </w:r>
    </w:p>
    <w:p w14:paraId="1AB8BDF0" w14:textId="77777777" w:rsidR="00C650BB" w:rsidRPr="003A5490" w:rsidRDefault="00772FC6" w:rsidP="004110A6">
      <w:pPr>
        <w:rPr>
          <w:rFonts w:eastAsia="Times New Roman"/>
        </w:rPr>
      </w:pPr>
      <w:r w:rsidRPr="003A5490">
        <w:t>To enhance the engagement of employees, the management needs to improve their policies after regular intervals. This also helps to uplift the transparency of the workforce. For instance, in Tesco, the management includes employees from different strata while taking any sort of decisions. This helps to enhance the importance and engagement of employees. These activities also help to enhance employee retention rate and motivation.</w:t>
      </w:r>
    </w:p>
    <w:p w14:paraId="3C5B5F5A" w14:textId="36AD6AB2" w:rsidR="00C650BB" w:rsidRPr="003A5490" w:rsidRDefault="005162E4" w:rsidP="004110A6">
      <w:pPr>
        <w:rPr>
          <w:rFonts w:eastAsia="Times New Roman"/>
        </w:rPr>
      </w:pPr>
      <w:r w:rsidRPr="003A5490">
        <w:lastRenderedPageBreak/>
        <w:t xml:space="preserve"> </w:t>
      </w:r>
      <w:r w:rsidR="00772FC6" w:rsidRPr="003A5490">
        <w:t>Investing in the well-being of the employees</w:t>
      </w:r>
    </w:p>
    <w:p w14:paraId="1865DE42" w14:textId="4B61AE49" w:rsidR="00C650BB" w:rsidRPr="003A5490" w:rsidRDefault="00772FC6" w:rsidP="004110A6">
      <w:r w:rsidRPr="003A5490">
        <w:t xml:space="preserve">To enhance employee engagement within the workforce, the management needs to invest capital in their well-being. For instance, in both Tesco and Morrisons, the management provides discounts to employees so that they can, also avail themselves of services from their respective stores. Further, loyalty cards are also being provided to them. Lastly, in Morrisons, health insurance is provided to employees to enhance their wellbeing. In Morrisons, after retirement pension is also being provided to employees for their security after retirement </w:t>
      </w:r>
      <w:r w:rsidR="00F4424F" w:rsidRPr="003A5490">
        <w:rPr>
          <w:shd w:val="clear" w:color="auto" w:fill="FFFFFF"/>
        </w:rPr>
        <w:t>(</w:t>
      </w:r>
      <w:r w:rsidR="00F4424F" w:rsidRPr="003A5490">
        <w:rPr>
          <w:i/>
          <w:iCs/>
        </w:rPr>
        <w:t>Benefits | Morrisons Careers</w:t>
      </w:r>
      <w:r w:rsidR="00F4424F" w:rsidRPr="003A5490">
        <w:rPr>
          <w:shd w:val="clear" w:color="auto" w:fill="FFFFFF"/>
        </w:rPr>
        <w:t>, 2021).</w:t>
      </w:r>
    </w:p>
    <w:p w14:paraId="6237499E" w14:textId="77777777" w:rsidR="005162E4" w:rsidRPr="003A5490" w:rsidRDefault="005162E4" w:rsidP="004110A6"/>
    <w:p w14:paraId="170C464C" w14:textId="77777777" w:rsidR="00C650BB" w:rsidRPr="003A5490" w:rsidRDefault="00772FC6" w:rsidP="004110A6">
      <w:pPr>
        <w:pStyle w:val="Heading1"/>
      </w:pPr>
      <w:bookmarkStart w:id="7" w:name="_3wfi8jf1wk0k" w:colFirst="0" w:colLast="0"/>
      <w:bookmarkStart w:id="8" w:name="_Toc92222652"/>
      <w:bookmarkEnd w:id="7"/>
      <w:r w:rsidRPr="003A5490">
        <w:t>Conclusion</w:t>
      </w:r>
      <w:bookmarkEnd w:id="8"/>
      <w:r w:rsidRPr="003A5490">
        <w:t xml:space="preserve"> </w:t>
      </w:r>
    </w:p>
    <w:p w14:paraId="4BCE8937" w14:textId="5F6D9503" w:rsidR="004110A6" w:rsidRPr="003A5490" w:rsidRDefault="00772FC6" w:rsidP="004110A6">
      <w:r w:rsidRPr="003A5490">
        <w:t xml:space="preserve">From this </w:t>
      </w:r>
      <w:r w:rsidR="004D1659" w:rsidRPr="003A5490">
        <w:t>report</w:t>
      </w:r>
      <w:r w:rsidRPr="003A5490">
        <w:t>, it has been observed that employee engagement is an important aspect of any organisation and some key drivers increase the employee engagement rate such as relationship, goal support, integrity and availability of the leaders, feedback of employees work and so on. The diagnostic tools to measure engagement rate are survey, social media platform, HR tools and exit interview. On the other hand, the value proposition is another important task for the organisation to deliver good quality products or services to the customers. To identify the values of employees and their engagement there are some key steps like effective communication with employees, effective leadership styles and a suitable organisational culture.</w:t>
      </w:r>
      <w:r w:rsidR="004110A6" w:rsidRPr="003A5490">
        <w:t xml:space="preserve"> </w:t>
      </w:r>
      <w:r w:rsidR="004110A6" w:rsidRPr="003A5490">
        <w:rPr>
          <w:rFonts w:eastAsia="Calibri"/>
        </w:rPr>
        <w:t>Moreover, the effectiveness of line managers' guidance has been identified as a key driver in an organisation exercised by the following aspects such as having clear expectations, rightness, honesty, making sure employees feel valued, appreciated and by recognising performance (</w:t>
      </w:r>
      <w:r w:rsidR="004110A6" w:rsidRPr="003A5490">
        <w:rPr>
          <w:rFonts w:eastAsia="Calibri"/>
          <w:i/>
          <w:iCs/>
        </w:rPr>
        <w:t>Armstrongs_Handbook_of_Human_Resource_Ma.doc</w:t>
      </w:r>
      <w:r w:rsidR="004110A6" w:rsidRPr="003A5490">
        <w:rPr>
          <w:rFonts w:eastAsia="Calibri"/>
        </w:rPr>
        <w:t>, 2020). The correlation between the managers’ impact and the employee’s involvement and engagement in the organisation have a tremendous influence on what it means to work in that organisation, as well as for the viability of the organisation especially during Covid-19 pandemic</w:t>
      </w:r>
      <w:r w:rsidR="004110A6" w:rsidRPr="003A5490">
        <w:rPr>
          <w:rFonts w:ascii="Calibri" w:eastAsia="Calibri" w:hAnsi="Calibri" w:cs="Times New Roman"/>
          <w:shd w:val="clear" w:color="auto" w:fill="FFFFFF"/>
        </w:rPr>
        <w:t xml:space="preserve"> </w:t>
      </w:r>
      <w:r w:rsidR="004110A6" w:rsidRPr="003A5490">
        <w:rPr>
          <w:rFonts w:eastAsia="Calibri"/>
        </w:rPr>
        <w:t>(Harel, 2021).</w:t>
      </w:r>
      <w:r w:rsidR="00FA651A" w:rsidRPr="003A5490">
        <w:t xml:space="preserve"> </w:t>
      </w:r>
      <w:r w:rsidR="004110A6" w:rsidRPr="003A5490">
        <w:t>In some ways, performance and engagement interact, with more engaged workers influencing better performance, but more engaged workers also contributing to better performance.</w:t>
      </w:r>
    </w:p>
    <w:p w14:paraId="4CF18D8D" w14:textId="18104347" w:rsidR="00C650BB" w:rsidRPr="003A5490" w:rsidRDefault="00772FC6" w:rsidP="004110A6">
      <w:r w:rsidRPr="003A5490">
        <w:br w:type="page"/>
      </w:r>
    </w:p>
    <w:p w14:paraId="69D0400C" w14:textId="77777777" w:rsidR="00C650BB" w:rsidRPr="003A5490" w:rsidRDefault="00772FC6" w:rsidP="004110A6">
      <w:pPr>
        <w:rPr>
          <w:b/>
        </w:rPr>
      </w:pPr>
      <w:r w:rsidRPr="003A5490">
        <w:rPr>
          <w:b/>
        </w:rPr>
        <w:lastRenderedPageBreak/>
        <w:t>Reference list</w:t>
      </w:r>
    </w:p>
    <w:p w14:paraId="6ADD2A56" w14:textId="77777777" w:rsidR="003A5490" w:rsidRPr="003A5490" w:rsidRDefault="003A5490" w:rsidP="00B752F7">
      <w:pPr>
        <w:pStyle w:val="ListParagraph"/>
        <w:spacing w:before="100" w:beforeAutospacing="1" w:after="100" w:afterAutospacing="1" w:line="240" w:lineRule="auto"/>
        <w:jc w:val="left"/>
        <w:rPr>
          <w:rFonts w:ascii="Times New Roman" w:eastAsia="Times New Roman" w:hAnsi="Times New Roman" w:cs="Times New Roman"/>
          <w:sz w:val="24"/>
          <w:szCs w:val="24"/>
          <w:lang w:eastAsia="en-GB"/>
        </w:rPr>
      </w:pPr>
    </w:p>
    <w:p w14:paraId="41AE0B85" w14:textId="77777777" w:rsidR="003A5490" w:rsidRPr="003A5490" w:rsidRDefault="003A5490" w:rsidP="00F4424F">
      <w:pPr>
        <w:pStyle w:val="ListParagraph"/>
        <w:spacing w:before="100" w:beforeAutospacing="1" w:after="100" w:afterAutospacing="1" w:line="240" w:lineRule="auto"/>
        <w:jc w:val="left"/>
        <w:rPr>
          <w:rFonts w:ascii="Times New Roman" w:eastAsia="Times New Roman" w:hAnsi="Times New Roman" w:cs="Times New Roman"/>
          <w:sz w:val="24"/>
          <w:szCs w:val="24"/>
          <w:lang w:eastAsia="en-GB"/>
        </w:rPr>
      </w:pPr>
    </w:p>
    <w:p w14:paraId="4CFCC4E8" w14:textId="77777777" w:rsidR="003A5490" w:rsidRPr="003A5490" w:rsidRDefault="003A5490" w:rsidP="005162E4">
      <w:pPr>
        <w:pStyle w:val="ListParagraph"/>
        <w:numPr>
          <w:ilvl w:val="0"/>
          <w:numId w:val="2"/>
        </w:numPr>
        <w:rPr>
          <w:highlight w:val="white"/>
        </w:rPr>
      </w:pPr>
      <w:r w:rsidRPr="003A5490">
        <w:rPr>
          <w:highlight w:val="white"/>
        </w:rPr>
        <w:t xml:space="preserve">Albrecht, S., Breidahl, E. and Marty, A., (2018). Organizational resources, organizational engagement climate, and employee engagement. </w:t>
      </w:r>
      <w:r w:rsidRPr="003A5490">
        <w:rPr>
          <w:i/>
          <w:highlight w:val="white"/>
        </w:rPr>
        <w:t>Career Development International</w:t>
      </w:r>
      <w:r w:rsidRPr="003A5490">
        <w:rPr>
          <w:highlight w:val="white"/>
        </w:rPr>
        <w:t>.</w:t>
      </w:r>
    </w:p>
    <w:p w14:paraId="181ADF16" w14:textId="77777777" w:rsidR="003A5490" w:rsidRPr="003A5490" w:rsidRDefault="003A5490" w:rsidP="005162E4">
      <w:pPr>
        <w:pStyle w:val="ListParagraph"/>
        <w:numPr>
          <w:ilvl w:val="0"/>
          <w:numId w:val="2"/>
        </w:numPr>
        <w:spacing w:after="240"/>
        <w:jc w:val="left"/>
        <w:rPr>
          <w:rFonts w:eastAsia="Times New Roman"/>
          <w:lang w:eastAsia="en-GB"/>
        </w:rPr>
      </w:pPr>
      <w:r w:rsidRPr="003A5490">
        <w:rPr>
          <w:rFonts w:eastAsia="Times New Roman"/>
          <w:i/>
          <w:iCs/>
          <w:lang w:eastAsia="en-GB"/>
        </w:rPr>
        <w:t>Armstrongs_Handbook_of_Human_Resource_Ma.doc</w:t>
      </w:r>
      <w:r w:rsidRPr="003A5490">
        <w:rPr>
          <w:rFonts w:eastAsia="Times New Roman"/>
          <w:lang w:eastAsia="en-GB"/>
        </w:rPr>
        <w:t> (2020) </w:t>
      </w:r>
      <w:r w:rsidRPr="003A5490">
        <w:rPr>
          <w:rFonts w:eastAsia="Times New Roman"/>
          <w:i/>
          <w:iCs/>
          <w:lang w:eastAsia="en-GB"/>
        </w:rPr>
        <w:t>Scribd</w:t>
      </w:r>
      <w:r w:rsidRPr="003A5490">
        <w:rPr>
          <w:rFonts w:eastAsia="Times New Roman"/>
          <w:lang w:eastAsia="en-GB"/>
        </w:rPr>
        <w:t>. Available at: https://www.scribd.com/document/450418484/Armstrongs-Handbook-of-Human-Resource-Ma-doc (Accessed: 2 January 2022).</w:t>
      </w:r>
    </w:p>
    <w:p w14:paraId="59ED0A8F" w14:textId="77777777" w:rsidR="003A5490" w:rsidRPr="003A5490" w:rsidRDefault="003A5490" w:rsidP="00B752F7">
      <w:pPr>
        <w:pStyle w:val="ListParagraph"/>
        <w:numPr>
          <w:ilvl w:val="0"/>
          <w:numId w:val="2"/>
        </w:numPr>
        <w:spacing w:after="240" w:line="360" w:lineRule="atLeast"/>
        <w:jc w:val="left"/>
        <w:rPr>
          <w:rFonts w:ascii="Times New Roman" w:eastAsia="Times New Roman" w:hAnsi="Times New Roman" w:cs="Times New Roman"/>
          <w:sz w:val="24"/>
          <w:szCs w:val="24"/>
          <w:lang w:eastAsia="en-GB"/>
        </w:rPr>
      </w:pPr>
      <w:r w:rsidRPr="003A5490">
        <w:rPr>
          <w:rFonts w:ascii="Times New Roman" w:eastAsia="Times New Roman" w:hAnsi="Times New Roman" w:cs="Times New Roman"/>
          <w:i/>
          <w:iCs/>
          <w:sz w:val="24"/>
          <w:szCs w:val="24"/>
          <w:lang w:eastAsia="en-GB"/>
        </w:rPr>
        <w:t>Benefits | Morrisons Careers</w:t>
      </w:r>
      <w:r w:rsidRPr="003A5490">
        <w:rPr>
          <w:rFonts w:ascii="Times New Roman" w:eastAsia="Times New Roman" w:hAnsi="Times New Roman" w:cs="Times New Roman"/>
          <w:sz w:val="24"/>
          <w:szCs w:val="24"/>
          <w:lang w:eastAsia="en-GB"/>
        </w:rPr>
        <w:t> (2021) </w:t>
      </w:r>
      <w:r w:rsidRPr="003A5490">
        <w:rPr>
          <w:rFonts w:ascii="Times New Roman" w:eastAsia="Times New Roman" w:hAnsi="Times New Roman" w:cs="Times New Roman"/>
          <w:i/>
          <w:iCs/>
          <w:sz w:val="24"/>
          <w:szCs w:val="24"/>
          <w:lang w:eastAsia="en-GB"/>
        </w:rPr>
        <w:t>Morrisons.jobs</w:t>
      </w:r>
      <w:r w:rsidRPr="003A5490">
        <w:rPr>
          <w:rFonts w:ascii="Times New Roman" w:eastAsia="Times New Roman" w:hAnsi="Times New Roman" w:cs="Times New Roman"/>
          <w:sz w:val="24"/>
          <w:szCs w:val="24"/>
          <w:lang w:eastAsia="en-GB"/>
        </w:rPr>
        <w:t>. Available at: https://www.morrisons.jobs/early-careers/more/resources-benefits (Accessed: 4 January 2022).</w:t>
      </w:r>
    </w:p>
    <w:p w14:paraId="75BAF94C" w14:textId="77777777" w:rsidR="003A5490" w:rsidRPr="003A5490" w:rsidRDefault="003A5490" w:rsidP="005162E4">
      <w:pPr>
        <w:pStyle w:val="NormalWeb"/>
        <w:numPr>
          <w:ilvl w:val="0"/>
          <w:numId w:val="2"/>
        </w:numPr>
        <w:spacing w:before="0" w:beforeAutospacing="0" w:after="240" w:afterAutospacing="0" w:line="360" w:lineRule="auto"/>
        <w:rPr>
          <w:rFonts w:ascii="Arial" w:hAnsi="Arial" w:cs="Arial"/>
          <w:color w:val="000000" w:themeColor="text1"/>
          <w:sz w:val="22"/>
          <w:szCs w:val="22"/>
        </w:rPr>
      </w:pPr>
      <w:r w:rsidRPr="003A5490">
        <w:rPr>
          <w:rFonts w:ascii="Arial" w:hAnsi="Arial" w:cs="Arial"/>
          <w:color w:val="000000" w:themeColor="text1"/>
          <w:sz w:val="22"/>
          <w:szCs w:val="22"/>
        </w:rPr>
        <w:t>Employee Engagement &amp; Motivation | Factsheets | CIPD (2021) </w:t>
      </w:r>
      <w:r w:rsidRPr="003A5490">
        <w:rPr>
          <w:rFonts w:ascii="Arial" w:hAnsi="Arial" w:cs="Arial"/>
          <w:i/>
          <w:iCs/>
          <w:color w:val="000000" w:themeColor="text1"/>
          <w:sz w:val="22"/>
          <w:szCs w:val="22"/>
        </w:rPr>
        <w:t>Employee Engagement &amp; Motivation | Factsheets | CIPD</w:t>
      </w:r>
      <w:r w:rsidRPr="003A5490">
        <w:rPr>
          <w:rFonts w:ascii="Arial" w:hAnsi="Arial" w:cs="Arial"/>
          <w:color w:val="000000" w:themeColor="text1"/>
          <w:sz w:val="22"/>
          <w:szCs w:val="22"/>
        </w:rPr>
        <w:t>, </w:t>
      </w:r>
      <w:r w:rsidRPr="003A5490">
        <w:rPr>
          <w:rFonts w:ascii="Arial" w:hAnsi="Arial" w:cs="Arial"/>
          <w:i/>
          <w:iCs/>
          <w:color w:val="000000" w:themeColor="text1"/>
          <w:sz w:val="22"/>
          <w:szCs w:val="22"/>
        </w:rPr>
        <w:t>CIPD</w:t>
      </w:r>
      <w:r w:rsidRPr="003A5490">
        <w:rPr>
          <w:rFonts w:ascii="Arial" w:hAnsi="Arial" w:cs="Arial"/>
          <w:color w:val="000000" w:themeColor="text1"/>
          <w:sz w:val="22"/>
          <w:szCs w:val="22"/>
        </w:rPr>
        <w:t>. Available at: https://www.cipd.co.uk/knowledge/fundamentals/relations/engagement/factsheet#gref (Accessed: 15 December 2021).</w:t>
      </w:r>
    </w:p>
    <w:p w14:paraId="20FAC149" w14:textId="77777777" w:rsidR="003A5490" w:rsidRPr="003A5490" w:rsidRDefault="003A5490" w:rsidP="005162E4">
      <w:pPr>
        <w:pStyle w:val="ListParagraph"/>
        <w:numPr>
          <w:ilvl w:val="0"/>
          <w:numId w:val="2"/>
        </w:numPr>
        <w:spacing w:after="240"/>
        <w:jc w:val="left"/>
        <w:rPr>
          <w:rFonts w:eastAsia="Times New Roman"/>
          <w:lang w:eastAsia="en-GB"/>
        </w:rPr>
      </w:pPr>
      <w:r w:rsidRPr="003A5490">
        <w:t xml:space="preserve"> Harel, R. (2021) “The Impact of COVID-19 on Small Businesses’ Performance and Innovation,” </w:t>
      </w:r>
      <w:r w:rsidRPr="003A5490">
        <w:rPr>
          <w:i/>
          <w:iCs/>
        </w:rPr>
        <w:t>Global Business Review</w:t>
      </w:r>
      <w:r w:rsidRPr="003A5490">
        <w:t>, p. 097215092110391. doi: 10.1177/09721509211039145.</w:t>
      </w:r>
    </w:p>
    <w:p w14:paraId="4ED5DDEB" w14:textId="77777777" w:rsidR="003A5490" w:rsidRPr="003A5490" w:rsidRDefault="003A5490" w:rsidP="005162E4">
      <w:pPr>
        <w:pStyle w:val="ListParagraph"/>
        <w:numPr>
          <w:ilvl w:val="0"/>
          <w:numId w:val="2"/>
        </w:numPr>
        <w:spacing w:after="240"/>
        <w:jc w:val="left"/>
        <w:rPr>
          <w:rFonts w:eastAsia="Times New Roman"/>
          <w:lang w:eastAsia="en-GB"/>
        </w:rPr>
      </w:pPr>
      <w:r w:rsidRPr="003A5490">
        <w:rPr>
          <w:rFonts w:eastAsia="Times New Roman"/>
          <w:lang w:eastAsia="en-GB"/>
        </w:rPr>
        <w:t>in (2021) </w:t>
      </w:r>
      <w:r w:rsidRPr="003A5490">
        <w:rPr>
          <w:rFonts w:eastAsia="Times New Roman"/>
          <w:i/>
          <w:iCs/>
          <w:lang w:eastAsia="en-GB"/>
        </w:rPr>
        <w:t>Motivation: sustaining the energy in your workforce | Podcast | CIPD</w:t>
      </w:r>
      <w:r w:rsidRPr="003A5490">
        <w:rPr>
          <w:rFonts w:eastAsia="Times New Roman"/>
          <w:lang w:eastAsia="en-GB"/>
        </w:rPr>
        <w:t>, </w:t>
      </w:r>
      <w:r w:rsidRPr="003A5490">
        <w:rPr>
          <w:rFonts w:eastAsia="Times New Roman"/>
          <w:i/>
          <w:iCs/>
          <w:lang w:eastAsia="en-GB"/>
        </w:rPr>
        <w:t>CIPD</w:t>
      </w:r>
      <w:r w:rsidRPr="003A5490">
        <w:rPr>
          <w:rFonts w:eastAsia="Times New Roman"/>
          <w:lang w:eastAsia="en-GB"/>
        </w:rPr>
        <w:t>. Available at: https://www.cipd.co.uk/podcasts/sustaining-the-energy-in-your-workforce (Accessed: 3 January 2022).</w:t>
      </w:r>
    </w:p>
    <w:p w14:paraId="7DAF5663" w14:textId="77777777" w:rsidR="003A5490" w:rsidRPr="003A5490" w:rsidRDefault="003A5490" w:rsidP="005162E4">
      <w:pPr>
        <w:pStyle w:val="ListParagraph"/>
        <w:numPr>
          <w:ilvl w:val="0"/>
          <w:numId w:val="2"/>
        </w:numPr>
        <w:rPr>
          <w:highlight w:val="white"/>
        </w:rPr>
      </w:pPr>
      <w:r w:rsidRPr="003A5490">
        <w:rPr>
          <w:highlight w:val="white"/>
        </w:rPr>
        <w:t xml:space="preserve">Khodakarami, N. and Dirani, K., (2020). Drivers of employee engagement: Differences by work area and gender. </w:t>
      </w:r>
      <w:r w:rsidRPr="003A5490">
        <w:rPr>
          <w:i/>
          <w:highlight w:val="white"/>
        </w:rPr>
        <w:t>Industrial and Commercial Training</w:t>
      </w:r>
      <w:r w:rsidRPr="003A5490">
        <w:rPr>
          <w:highlight w:val="white"/>
        </w:rPr>
        <w:t>.</w:t>
      </w:r>
    </w:p>
    <w:p w14:paraId="4A9201E2" w14:textId="77777777" w:rsidR="003A5490" w:rsidRPr="003A5490" w:rsidRDefault="003A5490" w:rsidP="005162E4">
      <w:pPr>
        <w:pStyle w:val="ListParagraph"/>
        <w:numPr>
          <w:ilvl w:val="0"/>
          <w:numId w:val="2"/>
        </w:numPr>
        <w:rPr>
          <w:highlight w:val="white"/>
        </w:rPr>
      </w:pPr>
      <w:r w:rsidRPr="003A5490">
        <w:rPr>
          <w:highlight w:val="white"/>
        </w:rPr>
        <w:t xml:space="preserve">Khodakarami, N., Dirani, K. and Rezaei, F., (2018). Employee engagement: finding a generally accepted measurement scale. </w:t>
      </w:r>
      <w:r w:rsidRPr="003A5490">
        <w:rPr>
          <w:i/>
          <w:highlight w:val="white"/>
        </w:rPr>
        <w:t>Industrial and Commercial Training</w:t>
      </w:r>
      <w:r w:rsidRPr="003A5490">
        <w:rPr>
          <w:highlight w:val="white"/>
        </w:rPr>
        <w:t>.</w:t>
      </w:r>
    </w:p>
    <w:p w14:paraId="5E5F26EC" w14:textId="77777777" w:rsidR="003A5490" w:rsidRPr="003A5490" w:rsidRDefault="003A5490" w:rsidP="005162E4">
      <w:pPr>
        <w:pStyle w:val="ListParagraph"/>
        <w:numPr>
          <w:ilvl w:val="0"/>
          <w:numId w:val="2"/>
        </w:numPr>
        <w:rPr>
          <w:b/>
          <w:highlight w:val="white"/>
        </w:rPr>
      </w:pPr>
      <w:r w:rsidRPr="003A5490">
        <w:rPr>
          <w:highlight w:val="white"/>
        </w:rPr>
        <w:t>Loon, M., Otaye-Ebede, L. and Stewart, J., (2019). ‘The paradox of employee psychological well-being practices: an integrative literature review and new directions for research’</w:t>
      </w:r>
      <w:r w:rsidRPr="003A5490">
        <w:rPr>
          <w:i/>
          <w:iCs/>
          <w:highlight w:val="white"/>
        </w:rPr>
        <w:t>.</w:t>
      </w:r>
      <w:r w:rsidRPr="003A5490">
        <w:rPr>
          <w:highlight w:val="white"/>
        </w:rPr>
        <w:t xml:space="preserve"> </w:t>
      </w:r>
      <w:r w:rsidRPr="003A5490">
        <w:rPr>
          <w:i/>
          <w:highlight w:val="white"/>
        </w:rPr>
        <w:t>The International Journal of Human Resource Management</w:t>
      </w:r>
      <w:r w:rsidRPr="003A5490">
        <w:rPr>
          <w:highlight w:val="white"/>
        </w:rPr>
        <w:t xml:space="preserve">, </w:t>
      </w:r>
      <w:r w:rsidRPr="003A5490">
        <w:rPr>
          <w:i/>
          <w:highlight w:val="white"/>
        </w:rPr>
        <w:t>30</w:t>
      </w:r>
      <w:r w:rsidRPr="003A5490">
        <w:rPr>
          <w:highlight w:val="white"/>
        </w:rPr>
        <w:t>(1), pp.156-187.</w:t>
      </w:r>
    </w:p>
    <w:p w14:paraId="03651430" w14:textId="77777777" w:rsidR="003A5490" w:rsidRPr="003A5490" w:rsidRDefault="003A5490" w:rsidP="00F4424F">
      <w:pPr>
        <w:pStyle w:val="ListParagraph"/>
        <w:numPr>
          <w:ilvl w:val="0"/>
          <w:numId w:val="2"/>
        </w:numPr>
        <w:spacing w:after="240" w:line="360" w:lineRule="atLeast"/>
        <w:jc w:val="left"/>
        <w:rPr>
          <w:rFonts w:ascii="Times New Roman" w:eastAsia="Times New Roman" w:hAnsi="Times New Roman" w:cs="Times New Roman"/>
          <w:sz w:val="24"/>
          <w:szCs w:val="24"/>
          <w:lang w:eastAsia="en-GB"/>
        </w:rPr>
      </w:pPr>
      <w:r w:rsidRPr="003A5490">
        <w:rPr>
          <w:rFonts w:ascii="Times New Roman" w:eastAsia="Times New Roman" w:hAnsi="Times New Roman" w:cs="Times New Roman"/>
          <w:sz w:val="24"/>
          <w:szCs w:val="24"/>
          <w:lang w:eastAsia="en-GB"/>
        </w:rPr>
        <w:t>Nelson, J. (2012) </w:t>
      </w:r>
      <w:r w:rsidRPr="003A5490">
        <w:rPr>
          <w:rFonts w:ascii="Times New Roman" w:eastAsia="Times New Roman" w:hAnsi="Times New Roman" w:cs="Times New Roman"/>
          <w:i/>
          <w:iCs/>
          <w:sz w:val="24"/>
          <w:szCs w:val="24"/>
          <w:lang w:eastAsia="en-GB"/>
        </w:rPr>
        <w:t>Employee engagement at Tesco: optimising two-way communication</w:t>
      </w:r>
      <w:r w:rsidRPr="003A5490">
        <w:rPr>
          <w:rFonts w:ascii="Times New Roman" w:eastAsia="Times New Roman" w:hAnsi="Times New Roman" w:cs="Times New Roman"/>
          <w:sz w:val="24"/>
          <w:szCs w:val="24"/>
          <w:lang w:eastAsia="en-GB"/>
        </w:rPr>
        <w:t>, </w:t>
      </w:r>
      <w:r w:rsidRPr="003A5490">
        <w:rPr>
          <w:rFonts w:ascii="Times New Roman" w:eastAsia="Times New Roman" w:hAnsi="Times New Roman" w:cs="Times New Roman"/>
          <w:i/>
          <w:iCs/>
          <w:sz w:val="24"/>
          <w:szCs w:val="24"/>
          <w:lang w:eastAsia="en-GB"/>
        </w:rPr>
        <w:t>Personnel Today</w:t>
      </w:r>
      <w:r w:rsidRPr="003A5490">
        <w:rPr>
          <w:rFonts w:ascii="Times New Roman" w:eastAsia="Times New Roman" w:hAnsi="Times New Roman" w:cs="Times New Roman"/>
          <w:sz w:val="24"/>
          <w:szCs w:val="24"/>
          <w:lang w:eastAsia="en-GB"/>
        </w:rPr>
        <w:t xml:space="preserve">. Personnel Today. Available at: </w:t>
      </w:r>
      <w:r w:rsidRPr="003A5490">
        <w:rPr>
          <w:rFonts w:ascii="Times New Roman" w:eastAsia="Times New Roman" w:hAnsi="Times New Roman" w:cs="Times New Roman"/>
          <w:sz w:val="24"/>
          <w:szCs w:val="24"/>
          <w:lang w:eastAsia="en-GB"/>
        </w:rPr>
        <w:lastRenderedPageBreak/>
        <w:t>https://www.personneltoday.com/hr/employee-engagement-at-tesco-optimising-two-way-communication/ (Accessed: 4 January 2022).</w:t>
      </w:r>
    </w:p>
    <w:p w14:paraId="57C430DB" w14:textId="77777777" w:rsidR="003A5490" w:rsidRPr="003A5490" w:rsidRDefault="003A5490" w:rsidP="005162E4">
      <w:pPr>
        <w:pStyle w:val="ListParagraph"/>
        <w:numPr>
          <w:ilvl w:val="0"/>
          <w:numId w:val="2"/>
        </w:numPr>
        <w:rPr>
          <w:highlight w:val="white"/>
        </w:rPr>
      </w:pPr>
      <w:r w:rsidRPr="003A5490">
        <w:rPr>
          <w:highlight w:val="white"/>
        </w:rPr>
        <w:t>Nguyen, P.V., (2020). ‘Drivers of Employee Engagement and Job Performance’.</w:t>
      </w:r>
      <w:r w:rsidRPr="003A5490">
        <w:rPr>
          <w:i/>
          <w:highlight w:val="white"/>
        </w:rPr>
        <w:t xml:space="preserve"> Journal of Southwest Jiaotong University</w:t>
      </w:r>
      <w:r w:rsidRPr="003A5490">
        <w:rPr>
          <w:highlight w:val="white"/>
        </w:rPr>
        <w:t xml:space="preserve">, </w:t>
      </w:r>
      <w:r w:rsidRPr="003A5490">
        <w:rPr>
          <w:i/>
          <w:highlight w:val="white"/>
        </w:rPr>
        <w:t>55</w:t>
      </w:r>
      <w:r w:rsidRPr="003A5490">
        <w:rPr>
          <w:highlight w:val="white"/>
        </w:rPr>
        <w:t>(5).</w:t>
      </w:r>
    </w:p>
    <w:p w14:paraId="1C931CF9" w14:textId="77777777" w:rsidR="003A5490" w:rsidRPr="003A5490" w:rsidRDefault="003A5490" w:rsidP="005162E4">
      <w:pPr>
        <w:pStyle w:val="ListParagraph"/>
        <w:numPr>
          <w:ilvl w:val="0"/>
          <w:numId w:val="2"/>
        </w:numPr>
        <w:rPr>
          <w:highlight w:val="white"/>
        </w:rPr>
      </w:pPr>
      <w:r w:rsidRPr="003A5490">
        <w:rPr>
          <w:highlight w:val="white"/>
        </w:rPr>
        <w:t xml:space="preserve">Ogbeibu, S., Senadjki, A. and Gaskin, J., (2018). </w:t>
      </w:r>
      <w:r w:rsidRPr="003A5490">
        <w:rPr>
          <w:i/>
          <w:iCs/>
          <w:highlight w:val="white"/>
        </w:rPr>
        <w:t>The moderating effect of benevolence on the impact of organisational culture on employee creativity</w:t>
      </w:r>
      <w:r w:rsidRPr="003A5490">
        <w:rPr>
          <w:highlight w:val="white"/>
        </w:rPr>
        <w:t xml:space="preserve">. </w:t>
      </w:r>
      <w:r w:rsidRPr="003A5490">
        <w:rPr>
          <w:i/>
          <w:highlight w:val="white"/>
        </w:rPr>
        <w:t>Journal of Business Research</w:t>
      </w:r>
      <w:r w:rsidRPr="003A5490">
        <w:rPr>
          <w:highlight w:val="white"/>
        </w:rPr>
        <w:t xml:space="preserve">, </w:t>
      </w:r>
      <w:r w:rsidRPr="003A5490">
        <w:rPr>
          <w:i/>
          <w:highlight w:val="white"/>
        </w:rPr>
        <w:t>90</w:t>
      </w:r>
      <w:r w:rsidRPr="003A5490">
        <w:rPr>
          <w:highlight w:val="white"/>
        </w:rPr>
        <w:t>, pp.334-346.</w:t>
      </w:r>
    </w:p>
    <w:p w14:paraId="52CB4703" w14:textId="77777777" w:rsidR="003A5490" w:rsidRPr="003A5490" w:rsidRDefault="003A5490" w:rsidP="005162E4">
      <w:pPr>
        <w:pStyle w:val="ListParagraph"/>
        <w:numPr>
          <w:ilvl w:val="0"/>
          <w:numId w:val="2"/>
        </w:numPr>
        <w:rPr>
          <w:highlight w:val="white"/>
        </w:rPr>
      </w:pPr>
      <w:r w:rsidRPr="003A5490">
        <w:rPr>
          <w:highlight w:val="white"/>
        </w:rPr>
        <w:t xml:space="preserve">Pandita, D. and Ray, S., (2018). </w:t>
      </w:r>
      <w:r w:rsidRPr="003A5490">
        <w:rPr>
          <w:i/>
          <w:iCs/>
          <w:highlight w:val="white"/>
        </w:rPr>
        <w:t>Talent management and employee engagement–a meta-analysis of their impact on talent retention</w:t>
      </w:r>
      <w:r w:rsidRPr="003A5490">
        <w:rPr>
          <w:highlight w:val="white"/>
        </w:rPr>
        <w:t xml:space="preserve">. </w:t>
      </w:r>
      <w:r w:rsidRPr="003A5490">
        <w:rPr>
          <w:i/>
          <w:highlight w:val="white"/>
        </w:rPr>
        <w:t>Industrial and Commercial Training</w:t>
      </w:r>
      <w:r w:rsidRPr="003A5490">
        <w:rPr>
          <w:highlight w:val="white"/>
        </w:rPr>
        <w:t>.</w:t>
      </w:r>
    </w:p>
    <w:p w14:paraId="5B700DAA" w14:textId="77777777" w:rsidR="003A5490" w:rsidRPr="003A5490" w:rsidRDefault="003A5490" w:rsidP="005162E4">
      <w:pPr>
        <w:pStyle w:val="ListParagraph"/>
        <w:numPr>
          <w:ilvl w:val="0"/>
          <w:numId w:val="2"/>
        </w:numPr>
        <w:spacing w:after="240" w:line="360" w:lineRule="atLeast"/>
        <w:jc w:val="left"/>
        <w:rPr>
          <w:rFonts w:ascii="Times New Roman" w:eastAsia="Times New Roman" w:hAnsi="Times New Roman" w:cs="Times New Roman"/>
          <w:sz w:val="24"/>
          <w:szCs w:val="24"/>
          <w:lang w:eastAsia="en-GB"/>
        </w:rPr>
      </w:pPr>
      <w:r w:rsidRPr="003A5490">
        <w:rPr>
          <w:rFonts w:ascii="Times New Roman" w:eastAsia="Times New Roman" w:hAnsi="Times New Roman" w:cs="Times New Roman"/>
          <w:sz w:val="24"/>
          <w:szCs w:val="24"/>
          <w:lang w:eastAsia="en-GB"/>
        </w:rPr>
        <w:t>Popli, S. and Rizvi, I. A. (2016) “Drivers of Employee Engagement: The Role of Leadership Style,” </w:t>
      </w:r>
      <w:r w:rsidRPr="003A5490">
        <w:rPr>
          <w:rFonts w:ascii="Times New Roman" w:eastAsia="Times New Roman" w:hAnsi="Times New Roman" w:cs="Times New Roman"/>
          <w:i/>
          <w:iCs/>
          <w:sz w:val="24"/>
          <w:szCs w:val="24"/>
          <w:lang w:eastAsia="en-GB"/>
        </w:rPr>
        <w:t>Global Business Review</w:t>
      </w:r>
      <w:r w:rsidRPr="003A5490">
        <w:rPr>
          <w:rFonts w:ascii="Times New Roman" w:eastAsia="Times New Roman" w:hAnsi="Times New Roman" w:cs="Times New Roman"/>
          <w:sz w:val="24"/>
          <w:szCs w:val="24"/>
          <w:lang w:eastAsia="en-GB"/>
        </w:rPr>
        <w:t>, 17(4), pp. 965–979. doi: 10.1177/0972150916645701.</w:t>
      </w:r>
    </w:p>
    <w:p w14:paraId="74C908D9" w14:textId="77777777" w:rsidR="003A5490" w:rsidRPr="003A5490" w:rsidRDefault="003A5490" w:rsidP="005162E4">
      <w:pPr>
        <w:pStyle w:val="ListParagraph"/>
        <w:numPr>
          <w:ilvl w:val="0"/>
          <w:numId w:val="2"/>
        </w:numPr>
        <w:rPr>
          <w:highlight w:val="white"/>
        </w:rPr>
      </w:pPr>
      <w:r w:rsidRPr="003A5490">
        <w:rPr>
          <w:highlight w:val="white"/>
        </w:rPr>
        <w:t xml:space="preserve">Sheth, J.N., (2019). </w:t>
      </w:r>
      <w:r w:rsidRPr="003A5490">
        <w:rPr>
          <w:i/>
          <w:iCs/>
          <w:highlight w:val="white"/>
        </w:rPr>
        <w:t>Customer value propositions: Value co-creation</w:t>
      </w:r>
      <w:r w:rsidRPr="003A5490">
        <w:rPr>
          <w:highlight w:val="white"/>
        </w:rPr>
        <w:t xml:space="preserve">. </w:t>
      </w:r>
      <w:r w:rsidRPr="003A5490">
        <w:rPr>
          <w:i/>
          <w:highlight w:val="white"/>
        </w:rPr>
        <w:t>Industrial Marketing Management</w:t>
      </w:r>
      <w:r w:rsidRPr="003A5490">
        <w:rPr>
          <w:highlight w:val="white"/>
        </w:rPr>
        <w:t xml:space="preserve">, </w:t>
      </w:r>
      <w:r w:rsidRPr="003A5490">
        <w:rPr>
          <w:i/>
          <w:highlight w:val="white"/>
        </w:rPr>
        <w:t>87</w:t>
      </w:r>
      <w:r w:rsidRPr="003A5490">
        <w:rPr>
          <w:highlight w:val="white"/>
        </w:rPr>
        <w:t>, pp.312-315.</w:t>
      </w:r>
    </w:p>
    <w:p w14:paraId="5F6561B8" w14:textId="77777777" w:rsidR="003A5490" w:rsidRPr="003A5490" w:rsidRDefault="003A5490" w:rsidP="005162E4">
      <w:pPr>
        <w:pStyle w:val="ListParagraph"/>
        <w:numPr>
          <w:ilvl w:val="0"/>
          <w:numId w:val="2"/>
        </w:numPr>
        <w:rPr>
          <w:highlight w:val="white"/>
        </w:rPr>
      </w:pPr>
      <w:r w:rsidRPr="003A5490">
        <w:rPr>
          <w:highlight w:val="white"/>
        </w:rPr>
        <w:t xml:space="preserve">Sun, L. and Bunchapattanasakda, C., (2019). ‘Employee engagement: A literature review’. </w:t>
      </w:r>
      <w:r w:rsidRPr="003A5490">
        <w:rPr>
          <w:i/>
          <w:highlight w:val="white"/>
        </w:rPr>
        <w:t>International Journal of Human Resource Studies</w:t>
      </w:r>
      <w:r w:rsidRPr="003A5490">
        <w:rPr>
          <w:highlight w:val="white"/>
        </w:rPr>
        <w:t xml:space="preserve">, </w:t>
      </w:r>
      <w:r w:rsidRPr="003A5490">
        <w:rPr>
          <w:i/>
          <w:highlight w:val="white"/>
        </w:rPr>
        <w:t>9</w:t>
      </w:r>
      <w:r w:rsidRPr="003A5490">
        <w:rPr>
          <w:highlight w:val="white"/>
        </w:rPr>
        <w:t>(1), pp.63-80.</w:t>
      </w:r>
    </w:p>
    <w:p w14:paraId="4F62B778" w14:textId="77777777" w:rsidR="003A5490" w:rsidRPr="003A5490" w:rsidRDefault="003A5490" w:rsidP="00B752F7">
      <w:pPr>
        <w:pStyle w:val="ListParagraph"/>
        <w:numPr>
          <w:ilvl w:val="0"/>
          <w:numId w:val="2"/>
        </w:numPr>
        <w:spacing w:after="200"/>
      </w:pPr>
      <w:r w:rsidRPr="003A5490">
        <w:rPr>
          <w:i/>
          <w:iCs/>
        </w:rPr>
        <w:t>Talent Programmes | Morrisons Careers</w:t>
      </w:r>
      <w:r w:rsidRPr="003A5490">
        <w:t> (2021) </w:t>
      </w:r>
      <w:r w:rsidRPr="003A5490">
        <w:rPr>
          <w:i/>
          <w:iCs/>
        </w:rPr>
        <w:t>Morrisons.jobs</w:t>
      </w:r>
      <w:r w:rsidRPr="003A5490">
        <w:t>. Available at: https://www.morrisons.jobs/life-at-morrisons/talent-programmes (Accessed: 4 January 2022).</w:t>
      </w:r>
    </w:p>
    <w:p w14:paraId="19255874" w14:textId="77777777" w:rsidR="003A5490" w:rsidRPr="003A5490" w:rsidRDefault="003A5490" w:rsidP="005162E4">
      <w:pPr>
        <w:pStyle w:val="ListParagraph"/>
        <w:numPr>
          <w:ilvl w:val="0"/>
          <w:numId w:val="2"/>
        </w:numPr>
        <w:rPr>
          <w:highlight w:val="white"/>
        </w:rPr>
      </w:pPr>
      <w:r w:rsidRPr="003A5490">
        <w:rPr>
          <w:highlight w:val="white"/>
        </w:rPr>
        <w:t xml:space="preserve">Wuryani, E. et al (2021). Analysis of decision support system on situational leadership styles on work motivation and employee performance. </w:t>
      </w:r>
      <w:r w:rsidRPr="003A5490">
        <w:rPr>
          <w:i/>
          <w:highlight w:val="white"/>
        </w:rPr>
        <w:t>Management Science Letters</w:t>
      </w:r>
      <w:r w:rsidRPr="003A5490">
        <w:rPr>
          <w:highlight w:val="white"/>
        </w:rPr>
        <w:t xml:space="preserve">, </w:t>
      </w:r>
      <w:r w:rsidRPr="003A5490">
        <w:rPr>
          <w:i/>
          <w:highlight w:val="white"/>
        </w:rPr>
        <w:t>11</w:t>
      </w:r>
      <w:r w:rsidRPr="003A5490">
        <w:rPr>
          <w:highlight w:val="white"/>
        </w:rPr>
        <w:t>(2), pp.365-372.</w:t>
      </w:r>
    </w:p>
    <w:p w14:paraId="2AB123E3" w14:textId="77777777" w:rsidR="005162E4" w:rsidRPr="005162E4" w:rsidRDefault="005162E4" w:rsidP="005162E4">
      <w:pPr>
        <w:ind w:left="360"/>
        <w:rPr>
          <w:color w:val="222222"/>
          <w:highlight w:val="white"/>
        </w:rPr>
      </w:pPr>
    </w:p>
    <w:sectPr w:rsidR="005162E4" w:rsidRPr="005162E4" w:rsidSect="004D1659">
      <w:footerReference w:type="default" r:id="rId8"/>
      <w:pgSz w:w="12240" w:h="15840"/>
      <w:pgMar w:top="1418" w:right="1814" w:bottom="1418" w:left="1814"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B2EA6" w14:textId="77777777" w:rsidR="00E5446E" w:rsidRDefault="00E5446E" w:rsidP="006472B6">
      <w:pPr>
        <w:spacing w:line="240" w:lineRule="auto"/>
      </w:pPr>
      <w:r>
        <w:separator/>
      </w:r>
    </w:p>
  </w:endnote>
  <w:endnote w:type="continuationSeparator" w:id="0">
    <w:p w14:paraId="62E2600D" w14:textId="77777777" w:rsidR="00E5446E" w:rsidRDefault="00E5446E" w:rsidP="00647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64821"/>
      <w:docPartObj>
        <w:docPartGallery w:val="Page Numbers (Bottom of Page)"/>
        <w:docPartUnique/>
      </w:docPartObj>
    </w:sdtPr>
    <w:sdtEndPr/>
    <w:sdtContent>
      <w:p w14:paraId="6F9EA0E9" w14:textId="77777777" w:rsidR="006472B6" w:rsidRDefault="0060332C">
        <w:pPr>
          <w:pStyle w:val="Footer"/>
          <w:jc w:val="right"/>
        </w:pPr>
        <w:r>
          <w:fldChar w:fldCharType="begin"/>
        </w:r>
        <w:r>
          <w:instrText xml:space="preserve"> PAGE   \* MERGEFORMAT </w:instrText>
        </w:r>
        <w:r>
          <w:fldChar w:fldCharType="separate"/>
        </w:r>
        <w:r w:rsidR="00DE0229">
          <w:rPr>
            <w:noProof/>
          </w:rPr>
          <w:t>5</w:t>
        </w:r>
        <w:r>
          <w:rPr>
            <w:noProof/>
          </w:rPr>
          <w:fldChar w:fldCharType="end"/>
        </w:r>
      </w:p>
    </w:sdtContent>
  </w:sdt>
  <w:p w14:paraId="338FF9C4" w14:textId="77777777" w:rsidR="006472B6" w:rsidRDefault="00647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69ADD" w14:textId="77777777" w:rsidR="00E5446E" w:rsidRDefault="00E5446E" w:rsidP="006472B6">
      <w:pPr>
        <w:spacing w:line="240" w:lineRule="auto"/>
      </w:pPr>
      <w:r>
        <w:separator/>
      </w:r>
    </w:p>
  </w:footnote>
  <w:footnote w:type="continuationSeparator" w:id="0">
    <w:p w14:paraId="3F3E74D2" w14:textId="77777777" w:rsidR="00E5446E" w:rsidRDefault="00E5446E" w:rsidP="006472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2DE2F"/>
    <w:multiLevelType w:val="hybridMultilevel"/>
    <w:tmpl w:val="00000000"/>
    <w:lvl w:ilvl="0" w:tplc="DE2CDB5A">
      <w:start w:val="1"/>
      <w:numFmt w:val="bullet"/>
      <w:lvlText w:val="●"/>
      <w:lvlJc w:val="left"/>
      <w:pPr>
        <w:ind w:left="720" w:hanging="360"/>
      </w:pPr>
      <w:rPr>
        <w:u w:val="none"/>
      </w:rPr>
    </w:lvl>
    <w:lvl w:ilvl="1" w:tplc="C85604E4">
      <w:start w:val="1"/>
      <w:numFmt w:val="bullet"/>
      <w:lvlText w:val="○"/>
      <w:lvlJc w:val="left"/>
      <w:pPr>
        <w:ind w:left="1440" w:hanging="360"/>
      </w:pPr>
      <w:rPr>
        <w:u w:val="none"/>
      </w:rPr>
    </w:lvl>
    <w:lvl w:ilvl="2" w:tplc="0CCC694C">
      <w:start w:val="1"/>
      <w:numFmt w:val="bullet"/>
      <w:lvlText w:val="■"/>
      <w:lvlJc w:val="left"/>
      <w:pPr>
        <w:ind w:left="2160" w:hanging="360"/>
      </w:pPr>
      <w:rPr>
        <w:u w:val="none"/>
      </w:rPr>
    </w:lvl>
    <w:lvl w:ilvl="3" w:tplc="EC10A13E">
      <w:start w:val="1"/>
      <w:numFmt w:val="bullet"/>
      <w:lvlText w:val="●"/>
      <w:lvlJc w:val="left"/>
      <w:pPr>
        <w:ind w:left="2880" w:hanging="360"/>
      </w:pPr>
      <w:rPr>
        <w:u w:val="none"/>
      </w:rPr>
    </w:lvl>
    <w:lvl w:ilvl="4" w:tplc="336AB49A">
      <w:start w:val="1"/>
      <w:numFmt w:val="bullet"/>
      <w:lvlText w:val="○"/>
      <w:lvlJc w:val="left"/>
      <w:pPr>
        <w:ind w:left="3600" w:hanging="360"/>
      </w:pPr>
      <w:rPr>
        <w:u w:val="none"/>
      </w:rPr>
    </w:lvl>
    <w:lvl w:ilvl="5" w:tplc="1A6E6174">
      <w:start w:val="1"/>
      <w:numFmt w:val="bullet"/>
      <w:lvlText w:val="■"/>
      <w:lvlJc w:val="left"/>
      <w:pPr>
        <w:ind w:left="4320" w:hanging="360"/>
      </w:pPr>
      <w:rPr>
        <w:u w:val="none"/>
      </w:rPr>
    </w:lvl>
    <w:lvl w:ilvl="6" w:tplc="21DE82B6">
      <w:start w:val="1"/>
      <w:numFmt w:val="bullet"/>
      <w:lvlText w:val="●"/>
      <w:lvlJc w:val="left"/>
      <w:pPr>
        <w:ind w:left="5040" w:hanging="360"/>
      </w:pPr>
      <w:rPr>
        <w:u w:val="none"/>
      </w:rPr>
    </w:lvl>
    <w:lvl w:ilvl="7" w:tplc="07186144">
      <w:start w:val="1"/>
      <w:numFmt w:val="bullet"/>
      <w:lvlText w:val="○"/>
      <w:lvlJc w:val="left"/>
      <w:pPr>
        <w:ind w:left="5760" w:hanging="360"/>
      </w:pPr>
      <w:rPr>
        <w:u w:val="none"/>
      </w:rPr>
    </w:lvl>
    <w:lvl w:ilvl="8" w:tplc="EC0C43E0">
      <w:start w:val="1"/>
      <w:numFmt w:val="bullet"/>
      <w:lvlText w:val="■"/>
      <w:lvlJc w:val="left"/>
      <w:pPr>
        <w:ind w:left="6480" w:hanging="360"/>
      </w:pPr>
      <w:rPr>
        <w:u w:val="none"/>
      </w:rPr>
    </w:lvl>
  </w:abstractNum>
  <w:abstractNum w:abstractNumId="1" w15:restartNumberingAfterBreak="0">
    <w:nsid w:val="1FE425BD"/>
    <w:multiLevelType w:val="hybridMultilevel"/>
    <w:tmpl w:val="D3B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CE36BC"/>
    <w:multiLevelType w:val="hybridMultilevel"/>
    <w:tmpl w:val="6F384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50BB"/>
    <w:rsid w:val="000A2F85"/>
    <w:rsid w:val="00120FB0"/>
    <w:rsid w:val="0029172F"/>
    <w:rsid w:val="002D2E2E"/>
    <w:rsid w:val="00300C8C"/>
    <w:rsid w:val="0037065D"/>
    <w:rsid w:val="00372C1B"/>
    <w:rsid w:val="003A5490"/>
    <w:rsid w:val="004110A6"/>
    <w:rsid w:val="00467FA5"/>
    <w:rsid w:val="004C6511"/>
    <w:rsid w:val="004D1659"/>
    <w:rsid w:val="005162E4"/>
    <w:rsid w:val="00592745"/>
    <w:rsid w:val="005A16B5"/>
    <w:rsid w:val="0060332C"/>
    <w:rsid w:val="006472B6"/>
    <w:rsid w:val="00677569"/>
    <w:rsid w:val="00772FC6"/>
    <w:rsid w:val="007C51E0"/>
    <w:rsid w:val="0085401B"/>
    <w:rsid w:val="008A6BAE"/>
    <w:rsid w:val="00956CF6"/>
    <w:rsid w:val="00A632DC"/>
    <w:rsid w:val="00AD00E7"/>
    <w:rsid w:val="00B338F0"/>
    <w:rsid w:val="00B752F7"/>
    <w:rsid w:val="00C4226B"/>
    <w:rsid w:val="00C650BB"/>
    <w:rsid w:val="00DE0229"/>
    <w:rsid w:val="00E5446E"/>
    <w:rsid w:val="00F4424F"/>
    <w:rsid w:val="00F82645"/>
    <w:rsid w:val="00FA651A"/>
    <w:rsid w:val="00FF0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68F6F8ED"/>
  <w15:docId w15:val="{E31EAC79-21BF-4547-82A0-A7BD7D3A2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2B6"/>
    <w:pPr>
      <w:spacing w:line="360" w:lineRule="auto"/>
      <w:jc w:val="both"/>
    </w:pPr>
    <w:rPr>
      <w:color w:val="000000" w:themeColor="text1"/>
      <w:lang w:val="en-GB"/>
    </w:rPr>
  </w:style>
  <w:style w:type="paragraph" w:styleId="Heading1">
    <w:name w:val="heading 1"/>
    <w:basedOn w:val="Normal"/>
    <w:next w:val="Normal"/>
    <w:rsid w:val="00C650BB"/>
    <w:pPr>
      <w:keepNext/>
      <w:keepLines/>
      <w:outlineLvl w:val="0"/>
    </w:pPr>
    <w:rPr>
      <w:b/>
    </w:rPr>
  </w:style>
  <w:style w:type="paragraph" w:styleId="Heading2">
    <w:name w:val="heading 2"/>
    <w:basedOn w:val="Normal"/>
    <w:next w:val="Normal"/>
    <w:rsid w:val="00C650BB"/>
    <w:pPr>
      <w:keepNext/>
      <w:keepLines/>
      <w:spacing w:before="360" w:after="120"/>
      <w:outlineLvl w:val="1"/>
    </w:pPr>
    <w:rPr>
      <w:sz w:val="32"/>
      <w:szCs w:val="32"/>
    </w:rPr>
  </w:style>
  <w:style w:type="paragraph" w:styleId="Heading3">
    <w:name w:val="heading 3"/>
    <w:basedOn w:val="Normal"/>
    <w:next w:val="Normal"/>
    <w:rsid w:val="00C650BB"/>
    <w:pPr>
      <w:keepNext/>
      <w:keepLines/>
      <w:spacing w:before="320" w:after="80"/>
      <w:outlineLvl w:val="2"/>
    </w:pPr>
    <w:rPr>
      <w:color w:val="434343"/>
      <w:sz w:val="28"/>
      <w:szCs w:val="28"/>
    </w:rPr>
  </w:style>
  <w:style w:type="paragraph" w:styleId="Heading4">
    <w:name w:val="heading 4"/>
    <w:basedOn w:val="Normal"/>
    <w:next w:val="Normal"/>
    <w:rsid w:val="00C650BB"/>
    <w:pPr>
      <w:keepNext/>
      <w:keepLines/>
      <w:spacing w:before="280" w:after="80"/>
      <w:outlineLvl w:val="3"/>
    </w:pPr>
    <w:rPr>
      <w:color w:val="666666"/>
      <w:sz w:val="24"/>
      <w:szCs w:val="24"/>
    </w:rPr>
  </w:style>
  <w:style w:type="paragraph" w:styleId="Heading5">
    <w:name w:val="heading 5"/>
    <w:basedOn w:val="Normal"/>
    <w:next w:val="Normal"/>
    <w:rsid w:val="00C650BB"/>
    <w:pPr>
      <w:keepNext/>
      <w:keepLines/>
      <w:spacing w:before="240" w:after="80"/>
      <w:outlineLvl w:val="4"/>
    </w:pPr>
    <w:rPr>
      <w:color w:val="666666"/>
    </w:rPr>
  </w:style>
  <w:style w:type="paragraph" w:styleId="Heading6">
    <w:name w:val="heading 6"/>
    <w:basedOn w:val="Normal"/>
    <w:next w:val="Normal"/>
    <w:rsid w:val="00C650B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50BB"/>
    <w:pPr>
      <w:keepNext/>
      <w:keepLines/>
      <w:spacing w:after="60"/>
    </w:pPr>
    <w:rPr>
      <w:sz w:val="52"/>
      <w:szCs w:val="52"/>
    </w:rPr>
  </w:style>
  <w:style w:type="paragraph" w:styleId="Subtitle">
    <w:name w:val="Subtitle"/>
    <w:basedOn w:val="Normal"/>
    <w:next w:val="Normal"/>
    <w:link w:val="SubtitleChar"/>
    <w:uiPriority w:val="11"/>
    <w:qFormat/>
    <w:rsid w:val="00C650BB"/>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6472B6"/>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472B6"/>
    <w:pPr>
      <w:spacing w:after="100"/>
    </w:pPr>
  </w:style>
  <w:style w:type="character" w:styleId="Hyperlink">
    <w:name w:val="Hyperlink"/>
    <w:basedOn w:val="DefaultParagraphFont"/>
    <w:uiPriority w:val="99"/>
    <w:unhideWhenUsed/>
    <w:rsid w:val="006472B6"/>
    <w:rPr>
      <w:color w:val="0000FF" w:themeColor="hyperlink"/>
      <w:u w:val="single"/>
    </w:rPr>
  </w:style>
  <w:style w:type="paragraph" w:styleId="BalloonText">
    <w:name w:val="Balloon Text"/>
    <w:basedOn w:val="Normal"/>
    <w:link w:val="BalloonTextChar"/>
    <w:uiPriority w:val="99"/>
    <w:semiHidden/>
    <w:unhideWhenUsed/>
    <w:rsid w:val="006472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2B6"/>
    <w:rPr>
      <w:rFonts w:ascii="Tahoma" w:hAnsi="Tahoma" w:cs="Tahoma"/>
      <w:sz w:val="16"/>
      <w:szCs w:val="16"/>
    </w:rPr>
  </w:style>
  <w:style w:type="paragraph" w:styleId="Header">
    <w:name w:val="header"/>
    <w:basedOn w:val="Normal"/>
    <w:link w:val="HeaderChar"/>
    <w:uiPriority w:val="99"/>
    <w:semiHidden/>
    <w:unhideWhenUsed/>
    <w:rsid w:val="006472B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472B6"/>
    <w:rPr>
      <w:color w:val="000000" w:themeColor="text1"/>
    </w:rPr>
  </w:style>
  <w:style w:type="paragraph" w:styleId="Footer">
    <w:name w:val="footer"/>
    <w:basedOn w:val="Normal"/>
    <w:link w:val="FooterChar"/>
    <w:uiPriority w:val="99"/>
    <w:unhideWhenUsed/>
    <w:rsid w:val="006472B6"/>
    <w:pPr>
      <w:tabs>
        <w:tab w:val="center" w:pos="4513"/>
        <w:tab w:val="right" w:pos="9026"/>
      </w:tabs>
      <w:spacing w:line="240" w:lineRule="auto"/>
    </w:pPr>
  </w:style>
  <w:style w:type="character" w:customStyle="1" w:styleId="FooterChar">
    <w:name w:val="Footer Char"/>
    <w:basedOn w:val="DefaultParagraphFont"/>
    <w:link w:val="Footer"/>
    <w:uiPriority w:val="99"/>
    <w:rsid w:val="006472B6"/>
    <w:rPr>
      <w:color w:val="000000" w:themeColor="text1"/>
    </w:rPr>
  </w:style>
  <w:style w:type="paragraph" w:styleId="NoSpacing">
    <w:name w:val="No Spacing"/>
    <w:link w:val="NoSpacingChar"/>
    <w:uiPriority w:val="1"/>
    <w:qFormat/>
    <w:rsid w:val="007C51E0"/>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7C51E0"/>
    <w:rPr>
      <w:rFonts w:asciiTheme="minorHAnsi" w:eastAsiaTheme="minorEastAsia" w:hAnsiTheme="minorHAnsi" w:cstheme="minorBidi"/>
      <w:lang w:val="en-US"/>
    </w:rPr>
  </w:style>
  <w:style w:type="character" w:customStyle="1" w:styleId="TitleChar">
    <w:name w:val="Title Char"/>
    <w:basedOn w:val="DefaultParagraphFont"/>
    <w:link w:val="Title"/>
    <w:uiPriority w:val="10"/>
    <w:rsid w:val="007C51E0"/>
    <w:rPr>
      <w:color w:val="000000" w:themeColor="text1"/>
      <w:sz w:val="52"/>
      <w:szCs w:val="52"/>
      <w:lang w:val="en-GB"/>
    </w:rPr>
  </w:style>
  <w:style w:type="character" w:customStyle="1" w:styleId="SubtitleChar">
    <w:name w:val="Subtitle Char"/>
    <w:basedOn w:val="DefaultParagraphFont"/>
    <w:link w:val="Subtitle"/>
    <w:uiPriority w:val="11"/>
    <w:rsid w:val="007C51E0"/>
    <w:rPr>
      <w:color w:val="666666"/>
      <w:sz w:val="30"/>
      <w:szCs w:val="30"/>
      <w:lang w:val="en-GB"/>
    </w:rPr>
  </w:style>
  <w:style w:type="paragraph" w:styleId="ListParagraph">
    <w:name w:val="List Paragraph"/>
    <w:basedOn w:val="Normal"/>
    <w:uiPriority w:val="34"/>
    <w:qFormat/>
    <w:rsid w:val="005162E4"/>
    <w:pPr>
      <w:ind w:left="720"/>
      <w:contextualSpacing/>
    </w:pPr>
  </w:style>
  <w:style w:type="paragraph" w:styleId="NormalWeb">
    <w:name w:val="Normal (Web)"/>
    <w:basedOn w:val="Normal"/>
    <w:uiPriority w:val="99"/>
    <w:unhideWhenUsed/>
    <w:rsid w:val="005162E4"/>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61738">
      <w:bodyDiv w:val="1"/>
      <w:marLeft w:val="0"/>
      <w:marRight w:val="0"/>
      <w:marTop w:val="0"/>
      <w:marBottom w:val="0"/>
      <w:divBdr>
        <w:top w:val="none" w:sz="0" w:space="0" w:color="auto"/>
        <w:left w:val="none" w:sz="0" w:space="0" w:color="auto"/>
        <w:bottom w:val="none" w:sz="0" w:space="0" w:color="auto"/>
        <w:right w:val="none" w:sz="0" w:space="0" w:color="auto"/>
      </w:divBdr>
    </w:div>
    <w:div w:id="706418918">
      <w:bodyDiv w:val="1"/>
      <w:marLeft w:val="0"/>
      <w:marRight w:val="0"/>
      <w:marTop w:val="0"/>
      <w:marBottom w:val="0"/>
      <w:divBdr>
        <w:top w:val="none" w:sz="0" w:space="0" w:color="auto"/>
        <w:left w:val="none" w:sz="0" w:space="0" w:color="auto"/>
        <w:bottom w:val="none" w:sz="0" w:space="0" w:color="auto"/>
        <w:right w:val="none" w:sz="0" w:space="0" w:color="auto"/>
      </w:divBdr>
    </w:div>
    <w:div w:id="736827597">
      <w:bodyDiv w:val="1"/>
      <w:marLeft w:val="0"/>
      <w:marRight w:val="0"/>
      <w:marTop w:val="0"/>
      <w:marBottom w:val="0"/>
      <w:divBdr>
        <w:top w:val="none" w:sz="0" w:space="0" w:color="auto"/>
        <w:left w:val="none" w:sz="0" w:space="0" w:color="auto"/>
        <w:bottom w:val="none" w:sz="0" w:space="0" w:color="auto"/>
        <w:right w:val="none" w:sz="0" w:space="0" w:color="auto"/>
      </w:divBdr>
    </w:div>
    <w:div w:id="1171795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8DA91-DC43-4733-B06F-674F86627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MANAGING PEOPLE
MODULE CODE: LCBB5004
ASSIGNMENT TITLE: ASSESSMENT 2
STUDENT NAME: ANDREEA EMILIA GRIGORAS
STUDENT NUMBER: 1921553
SUBMISSION DATE: 05/01/2022
WORD COUNT:</dc:title>
  <cp:lastModifiedBy>Andreea</cp:lastModifiedBy>
  <cp:revision>15</cp:revision>
  <dcterms:created xsi:type="dcterms:W3CDTF">2022-01-04T15:32:00Z</dcterms:created>
  <dcterms:modified xsi:type="dcterms:W3CDTF">2022-01-04T16:57:00Z</dcterms:modified>
</cp:coreProperties>
</file>