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968666926"/>
        <w:docPartObj>
          <w:docPartGallery w:val="Cover Pages"/>
          <w:docPartUnique/>
        </w:docPartObj>
      </w:sdtPr>
      <w:sdtEndPr>
        <w:rPr>
          <w:rFonts w:ascii="Times New Roman" w:hAnsi="Times New Roman" w:cs="Times New Roman"/>
        </w:rPr>
      </w:sdtEndPr>
      <w:sdtContent>
        <w:p w14:paraId="7E24EA71" w14:textId="2497804E" w:rsidR="00D81B7B" w:rsidRDefault="00D81B7B"/>
        <w:p w14:paraId="4D473C79" w14:textId="486A63FD" w:rsidR="00D81B7B" w:rsidRPr="00D81B7B" w:rsidRDefault="00D81B7B" w:rsidP="00D81B7B">
          <w:pPr>
            <w:rPr>
              <w:rFonts w:ascii="Times New Roman" w:hAnsi="Times New Roman" w:cs="Times New Roman"/>
              <w:b/>
              <w:bCs/>
            </w:rPr>
          </w:pPr>
          <w:r w:rsidRPr="00D81B7B">
            <w:rPr>
              <w:rFonts w:ascii="Times New Roman" w:hAnsi="Times New Roman" w:cs="Times New Roman"/>
              <w:b/>
              <w:bCs/>
            </w:rPr>
            <w:t>Student name:</w:t>
          </w:r>
          <w:r>
            <w:rPr>
              <w:rFonts w:ascii="Times New Roman" w:hAnsi="Times New Roman" w:cs="Times New Roman"/>
              <w:b/>
              <w:bCs/>
            </w:rPr>
            <w:t xml:space="preserve"> </w:t>
          </w:r>
          <w:r w:rsidRPr="00D81B7B">
            <w:rPr>
              <w:rFonts w:ascii="Times New Roman" w:hAnsi="Times New Roman" w:cs="Times New Roman"/>
              <w:b/>
              <w:bCs/>
            </w:rPr>
            <w:t>Cristina Tecu</w:t>
          </w:r>
          <w:r w:rsidRPr="00D81B7B">
            <w:rPr>
              <w:rFonts w:ascii="Times New Roman" w:hAnsi="Times New Roman" w:cs="Times New Roman"/>
              <w:b/>
              <w:bCs/>
            </w:rPr>
            <w:t xml:space="preserve">    </w:t>
          </w:r>
        </w:p>
        <w:p w14:paraId="40E7CEC4" w14:textId="4B952D9E" w:rsidR="00D81B7B" w:rsidRPr="00D81B7B" w:rsidRDefault="00D81B7B" w:rsidP="00D81B7B">
          <w:pPr>
            <w:rPr>
              <w:rFonts w:ascii="Times New Roman" w:hAnsi="Times New Roman" w:cs="Times New Roman"/>
              <w:b/>
              <w:bCs/>
            </w:rPr>
          </w:pPr>
          <w:r w:rsidRPr="00D81B7B">
            <w:rPr>
              <w:rFonts w:ascii="Times New Roman" w:hAnsi="Times New Roman" w:cs="Times New Roman"/>
              <w:b/>
              <w:bCs/>
            </w:rPr>
            <w:t>Programme:</w:t>
          </w:r>
          <w:r>
            <w:rPr>
              <w:rFonts w:ascii="Times New Roman" w:hAnsi="Times New Roman" w:cs="Times New Roman"/>
              <w:b/>
              <w:bCs/>
            </w:rPr>
            <w:t xml:space="preserve"> </w:t>
          </w:r>
          <w:r w:rsidRPr="00D81B7B">
            <w:rPr>
              <w:rFonts w:ascii="Times New Roman" w:hAnsi="Times New Roman" w:cs="Times New Roman"/>
              <w:b/>
              <w:bCs/>
            </w:rPr>
            <w:t>CertHE Sustainable Enterprise (Rural)</w:t>
          </w:r>
        </w:p>
        <w:p w14:paraId="17F402C2" w14:textId="66E35E21" w:rsidR="00D81B7B" w:rsidRPr="00D81B7B" w:rsidRDefault="00D81B7B" w:rsidP="00D81B7B">
          <w:pPr>
            <w:rPr>
              <w:rFonts w:ascii="Times New Roman" w:hAnsi="Times New Roman" w:cs="Times New Roman"/>
              <w:b/>
              <w:bCs/>
            </w:rPr>
          </w:pPr>
          <w:r w:rsidRPr="00D81B7B">
            <w:rPr>
              <w:rFonts w:ascii="Times New Roman" w:hAnsi="Times New Roman" w:cs="Times New Roman"/>
              <w:b/>
              <w:bCs/>
            </w:rPr>
            <w:t>Module:</w:t>
          </w:r>
          <w:r w:rsidRPr="00D81B7B">
            <w:rPr>
              <w:rFonts w:ascii="Times New Roman" w:hAnsi="Times New Roman" w:cs="Times New Roman"/>
              <w:b/>
              <w:bCs/>
            </w:rPr>
            <w:t xml:space="preserve"> </w:t>
          </w:r>
          <w:r w:rsidRPr="00D81B7B">
            <w:rPr>
              <w:rFonts w:ascii="Times New Roman" w:hAnsi="Times New Roman" w:cs="Times New Roman"/>
              <w:b/>
              <w:bCs/>
            </w:rPr>
            <w:t>Digital Marketing</w:t>
          </w:r>
        </w:p>
        <w:p w14:paraId="071A7FE2" w14:textId="77777777" w:rsidR="00D81B7B" w:rsidRPr="00D81B7B" w:rsidRDefault="00D81B7B" w:rsidP="00D81B7B">
          <w:pPr>
            <w:rPr>
              <w:rFonts w:ascii="Times New Roman" w:hAnsi="Times New Roman" w:cs="Times New Roman"/>
              <w:b/>
              <w:bCs/>
            </w:rPr>
          </w:pPr>
          <w:r w:rsidRPr="00D81B7B">
            <w:rPr>
              <w:rFonts w:ascii="Times New Roman" w:hAnsi="Times New Roman" w:cs="Times New Roman"/>
              <w:b/>
              <w:bCs/>
            </w:rPr>
            <w:t>Module code:</w:t>
          </w:r>
          <w:r w:rsidRPr="00D81B7B">
            <w:rPr>
              <w:rFonts w:ascii="Times New Roman" w:hAnsi="Times New Roman" w:cs="Times New Roman"/>
              <w:b/>
              <w:bCs/>
            </w:rPr>
            <w:tab/>
            <w:t>BMSE4008D</w:t>
          </w:r>
        </w:p>
        <w:p w14:paraId="62EFB6E2" w14:textId="60E5E7AE" w:rsidR="00D81B7B" w:rsidRDefault="00D81B7B" w:rsidP="00D81B7B">
          <w:pPr>
            <w:rPr>
              <w:rFonts w:ascii="Times New Roman" w:hAnsi="Times New Roman" w:cs="Times New Roman"/>
            </w:rPr>
          </w:pPr>
          <w:r w:rsidRPr="00D81B7B">
            <w:rPr>
              <w:rFonts w:ascii="Times New Roman" w:hAnsi="Times New Roman" w:cs="Times New Roman"/>
              <w:b/>
              <w:bCs/>
            </w:rPr>
            <w:t>Lecturer:</w:t>
          </w:r>
          <w:r w:rsidRPr="00D81B7B">
            <w:rPr>
              <w:rFonts w:ascii="Times New Roman" w:hAnsi="Times New Roman" w:cs="Times New Roman"/>
              <w:b/>
              <w:bCs/>
            </w:rPr>
            <w:t xml:space="preserve"> </w:t>
          </w:r>
          <w:r w:rsidRPr="00D81B7B">
            <w:rPr>
              <w:rFonts w:ascii="Times New Roman" w:hAnsi="Times New Roman" w:cs="Times New Roman"/>
              <w:b/>
              <w:bCs/>
            </w:rPr>
            <w:t>Jessica Shore</w:t>
          </w:r>
          <w:r>
            <w:rPr>
              <w:noProof/>
            </w:rPr>
            <mc:AlternateContent>
              <mc:Choice Requires="wps">
                <w:drawing>
                  <wp:anchor distT="0" distB="0" distL="114300" distR="114300" simplePos="0" relativeHeight="251662336" behindDoc="0" locked="0" layoutInCell="1" allowOverlap="1" wp14:anchorId="48D1F4EA" wp14:editId="39AD89AD">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9100</wp14:pctPosVOffset>
                        </wp:positionV>
                      </mc:Choice>
                      <mc:Fallback>
                        <wp:positionV relativeFrom="page">
                          <wp:posOffset>972820</wp:posOffset>
                        </wp:positionV>
                      </mc:Fallback>
                    </mc:AlternateContent>
                    <wp:extent cx="3660775" cy="3651250"/>
                    <wp:effectExtent l="0" t="0" r="10160" b="7620"/>
                    <wp:wrapSquare wrapText="bothSides"/>
                    <wp:docPr id="111" name="Text Box 111"/>
                    <wp:cNvGraphicFramePr/>
                    <a:graphic xmlns:a="http://schemas.openxmlformats.org/drawingml/2006/main">
                      <a:graphicData uri="http://schemas.microsoft.com/office/word/2010/wordprocessingShape">
                        <wps:wsp>
                          <wps:cNvSpPr txBox="1"/>
                          <wps:spPr>
                            <a:xfrm>
                              <a:off x="0" y="0"/>
                              <a:ext cx="3660775" cy="36512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D4BC02F" w14:textId="0580C973" w:rsidR="00D81B7B" w:rsidRPr="00D81B7B" w:rsidRDefault="00D81B7B">
                                    <w:pPr>
                                      <w:pStyle w:val="NoSpacing"/>
                                      <w:jc w:val="right"/>
                                      <w:rPr>
                                        <w:rFonts w:ascii="Times New Roman" w:hAnsi="Times New Roman" w:cs="Times New Roman"/>
                                        <w:b/>
                                        <w:bCs/>
                                        <w:caps/>
                                        <w:color w:val="0A1D30" w:themeColor="text2" w:themeShade="BF"/>
                                        <w:sz w:val="40"/>
                                        <w:szCs w:val="40"/>
                                      </w:rPr>
                                    </w:pPr>
                                    <w:r w:rsidRPr="00D81B7B">
                                      <w:rPr>
                                        <w:rFonts w:ascii="Times New Roman" w:hAnsi="Times New Roman" w:cs="Times New Roman"/>
                                        <w:b/>
                                        <w:bCs/>
                                        <w:caps/>
                                        <w:color w:val="0A1D30" w:themeColor="text2" w:themeShade="BF"/>
                                        <w:sz w:val="40"/>
                                        <w:szCs w:val="40"/>
                                      </w:rPr>
                                      <w:t>December 12, 2025</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73400</wp14:pctWidth>
                    </wp14:sizeRelH>
                    <wp14:sizeRelV relativeFrom="page">
                      <wp14:pctHeight>36300</wp14:pctHeight>
                    </wp14:sizeRelV>
                  </wp:anchor>
                </w:drawing>
              </mc:Choice>
              <mc:Fallback>
                <w:pict>
                  <v:shapetype w14:anchorId="48D1F4EA" id="_x0000_t202" coordsize="21600,21600" o:spt="202" path="m,l,21600r21600,l21600,xe">
                    <v:stroke joinstyle="miter"/>
                    <v:path gradientshapeok="t" o:connecttype="rect"/>
                  </v:shapetype>
                  <v:shape id="Text Box 111" o:spid="_x0000_s1026" type="#_x0000_t202" style="position:absolute;margin-left:0;margin-top:0;width:288.25pt;height:287.5pt;z-index:251662336;visibility:visible;mso-wrap-style:square;mso-width-percent:734;mso-height-percent:363;mso-left-percent:150;mso-top-percent:91;mso-wrap-distance-left:9pt;mso-wrap-distance-top:0;mso-wrap-distance-right:9pt;mso-wrap-distance-bottom:0;mso-position-horizontal-relative:page;mso-position-vertical-relative:page;mso-width-percent:734;mso-height-percent:363;mso-left-percent:150;mso-top-percent:91;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" filled="f" stroked="f" strokeweight=".5pt">
                    <v:textbox style="mso-fit-shape-to-text:t" inset="0,0,0,0">
                      <w:txbxContent>
                        <w:sdt>
                          <w:sdtPr>
                            <w:rPr>
                              <w:rFonts w:ascii="Times New Roman" w:hAnsi="Times New Roman" w:cs="Times New Roman"/>
                              <w:b/>
                              <w:bCs/>
                              <w:caps/>
                              <w:color w:val="0A1D30" w:themeColor="text2" w:themeShade="BF"/>
                              <w:sz w:val="40"/>
                              <w:szCs w:val="40"/>
                            </w:rPr>
                            <w:alias w:val="Publish Date"/>
                            <w:tag w:val=""/>
                            <w:id w:val="400952559"/>
                            <w:dataBinding w:prefixMappings="xmlns:ns0='http://schemas.microsoft.com/office/2006/coverPageProps' " w:xpath="/ns0:CoverPageProperties[1]/ns0:PublishDate[1]" w:storeItemID="{55AF091B-3C7A-41E3-B477-F2FDAA23CFDA}"/>
                            <w:date w:fullDate="2025-12-12T00:00:00Z">
                              <w:dateFormat w:val="MMMM d, yyyy"/>
                              <w:lid w:val="en-US"/>
                              <w:storeMappedDataAs w:val="dateTime"/>
                              <w:calendar w:val="gregorian"/>
                            </w:date>
                          </w:sdtPr>
                          <w:sdtContent>
                            <w:p w14:paraId="5D4BC02F" w14:textId="0580C973" w:rsidR="00D81B7B" w:rsidRPr="00D81B7B" w:rsidRDefault="00D81B7B">
                              <w:pPr>
                                <w:pStyle w:val="NoSpacing"/>
                                <w:jc w:val="right"/>
                                <w:rPr>
                                  <w:rFonts w:ascii="Times New Roman" w:hAnsi="Times New Roman" w:cs="Times New Roman"/>
                                  <w:b/>
                                  <w:bCs/>
                                  <w:caps/>
                                  <w:color w:val="0A1D30" w:themeColor="text2" w:themeShade="BF"/>
                                  <w:sz w:val="40"/>
                                  <w:szCs w:val="40"/>
                                </w:rPr>
                              </w:pPr>
                              <w:r w:rsidRPr="00D81B7B">
                                <w:rPr>
                                  <w:rFonts w:ascii="Times New Roman" w:hAnsi="Times New Roman" w:cs="Times New Roman"/>
                                  <w:b/>
                                  <w:bCs/>
                                  <w:caps/>
                                  <w:color w:val="0A1D30" w:themeColor="text2" w:themeShade="BF"/>
                                  <w:sz w:val="40"/>
                                  <w:szCs w:val="40"/>
                                </w:rPr>
                                <w:t>December 12, 2025</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0288" behindDoc="0" locked="0" layoutInCell="1" allowOverlap="1" wp14:anchorId="1373EFDA" wp14:editId="5C73DB28">
                    <wp:simplePos x="0" y="0"/>
                    <mc:AlternateContent>
                      <mc:Choice Requires="wp14">
                        <wp:positionH relativeFrom="page">
                          <wp14:pctPosHOffset>15000</wp14:pctPosHOffset>
                        </wp:positionH>
                      </mc:Choice>
                      <mc:Fallback>
                        <wp:positionH relativeFrom="page">
                          <wp:posOffset>1133475</wp:posOffset>
                        </wp:positionH>
                      </mc:Fallback>
                    </mc:AlternateContent>
                    <mc:AlternateContent>
                      <mc:Choice Requires="wp14">
                        <wp:positionV relativeFrom="page">
                          <wp14:pctPosVOffset>45500</wp14:pctPosVOffset>
                        </wp:positionV>
                      </mc:Choice>
                      <mc:Fallback>
                        <wp:positionV relativeFrom="page">
                          <wp:posOffset>4864735</wp:posOffset>
                        </wp:positionV>
                      </mc:Fallback>
                    </mc:AlternateContent>
                    <wp:extent cx="5753100" cy="525780"/>
                    <wp:effectExtent l="0" t="0" r="10160" b="6350"/>
                    <wp:wrapSquare wrapText="bothSides"/>
                    <wp:docPr id="113" name="Text Box 113"/>
                    <wp:cNvGraphicFramePr/>
                    <a:graphic xmlns:a="http://schemas.openxmlformats.org/drawingml/2006/main">
                      <a:graphicData uri="http://schemas.microsoft.com/office/word/2010/wordprocessingShape">
                        <wps:wsp>
                          <wps:cNvSpPr txBox="1"/>
                          <wps:spPr>
                            <a:xfrm>
                              <a:off x="0" y="0"/>
                              <a:ext cx="5753100" cy="5257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CF1DBA4" w14:textId="10BCBBF5" w:rsidR="00D81B7B" w:rsidRPr="00D81B7B" w:rsidRDefault="00D81B7B">
                                <w:pPr>
                                  <w:pStyle w:val="NoSpacing"/>
                                  <w:jc w:val="right"/>
                                  <w:rPr>
                                    <w:rFonts w:ascii="Times New Roman" w:hAnsi="Times New Roman" w:cs="Times New Roman"/>
                                    <w:b/>
                                    <w:bCs/>
                                    <w:caps/>
                                    <w:color w:val="000000" w:themeColor="text1"/>
                                    <w:sz w:val="96"/>
                                    <w:szCs w:val="96"/>
                                  </w:rPr>
                                </w:pPr>
                                <w:sdt>
                                  <w:sdtPr>
                                    <w:rPr>
                                      <w:rFonts w:ascii="Times New Roman" w:hAnsi="Times New Roman" w:cs="Times New Roman"/>
                                      <w:b/>
                                      <w:bCs/>
                                      <w:caps/>
                                      <w:color w:val="000000" w:themeColor="text1"/>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81B7B">
                                      <w:rPr>
                                        <w:rFonts w:ascii="Times New Roman" w:hAnsi="Times New Roman" w:cs="Times New Roman"/>
                                        <w:b/>
                                        <w:bCs/>
                                        <w:caps/>
                                        <w:color w:val="000000" w:themeColor="text1"/>
                                        <w:sz w:val="96"/>
                                        <w:szCs w:val="96"/>
                                      </w:rPr>
                                      <w:t>Assignment 2: Report</w:t>
                                    </w:r>
                                  </w:sdtContent>
                                </w:sdt>
                              </w:p>
                              <w:p w14:paraId="5583F7EC" w14:textId="045059DA" w:rsidR="00D81B7B" w:rsidRDefault="00D81B7B" w:rsidP="00D81B7B">
                                <w:pPr>
                                  <w:pStyle w:val="NoSpacing"/>
                                  <w:rPr>
                                    <w:smallCaps/>
                                    <w:color w:val="0E2841" w:themeColor="text2"/>
                                    <w:sz w:val="36"/>
                                    <w:szCs w:val="36"/>
                                  </w:rPr>
                                </w:pP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page">
                      <wp14:pctWidth>73400</wp14:pctWidth>
                    </wp14:sizeRelH>
                    <wp14:sizeRelV relativeFrom="page">
                      <wp14:pctHeight>36300</wp14:pctHeight>
                    </wp14:sizeRelV>
                  </wp:anchor>
                </w:drawing>
              </mc:Choice>
              <mc:Fallback>
                <w:pict>
                  <v:shape w14:anchorId="1373EFDA" id="Text Box 113" o:spid="_x0000_s1027" type="#_x0000_t202" style="position:absolute;margin-left:0;margin-top:0;width:453pt;height:41.4pt;z-index:251660288;visibility:visible;mso-wrap-style:square;mso-width-percent:734;mso-height-percent:363;mso-left-percent:150;mso-top-percent:455;mso-wrap-distance-left:9pt;mso-wrap-distance-top:0;mso-wrap-distance-right:9pt;mso-wrap-distance-bottom:0;mso-position-horizontal-relative:page;mso-position-vertical-relative:page;mso-width-percent:734;mso-height-percent:363;mso-left-percent:150;mso-top-percent:45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" filled="f" stroked="f" strokeweight=".5pt">
                    <v:textbox inset="0,0,0,0">
                      <w:txbxContent>
                        <w:p w14:paraId="2CF1DBA4" w14:textId="10BCBBF5" w:rsidR="00D81B7B" w:rsidRPr="00D81B7B" w:rsidRDefault="00D81B7B">
                          <w:pPr>
                            <w:pStyle w:val="NoSpacing"/>
                            <w:jc w:val="right"/>
                            <w:rPr>
                              <w:rFonts w:ascii="Times New Roman" w:hAnsi="Times New Roman" w:cs="Times New Roman"/>
                              <w:b/>
                              <w:bCs/>
                              <w:caps/>
                              <w:color w:val="000000" w:themeColor="text1"/>
                              <w:sz w:val="96"/>
                              <w:szCs w:val="96"/>
                            </w:rPr>
                          </w:pPr>
                          <w:sdt>
                            <w:sdtPr>
                              <w:rPr>
                                <w:rFonts w:ascii="Times New Roman" w:hAnsi="Times New Roman" w:cs="Times New Roman"/>
                                <w:b/>
                                <w:bCs/>
                                <w:caps/>
                                <w:color w:val="000000" w:themeColor="text1"/>
                                <w:sz w:val="96"/>
                                <w:szCs w:val="96"/>
                              </w:rPr>
                              <w:alias w:val="Title"/>
                              <w:tag w:val=""/>
                              <w:id w:val="-1315561441"/>
                              <w:dataBinding w:prefixMappings="xmlns:ns0='http://purl.org/dc/elements/1.1/' xmlns:ns1='http://schemas.openxmlformats.org/package/2006/metadata/core-properties' " w:xpath="/ns1:coreProperties[1]/ns0:title[1]" w:storeItemID="{6C3C8BC8-F283-45AE-878A-BAB7291924A1}"/>
                              <w:text w:multiLine="1"/>
                            </w:sdtPr>
                            <w:sdtContent>
                              <w:r w:rsidRPr="00D81B7B">
                                <w:rPr>
                                  <w:rFonts w:ascii="Times New Roman" w:hAnsi="Times New Roman" w:cs="Times New Roman"/>
                                  <w:b/>
                                  <w:bCs/>
                                  <w:caps/>
                                  <w:color w:val="000000" w:themeColor="text1"/>
                                  <w:sz w:val="96"/>
                                  <w:szCs w:val="96"/>
                                </w:rPr>
                                <w:t>Assignment 2: Report</w:t>
                              </w:r>
                            </w:sdtContent>
                          </w:sdt>
                        </w:p>
                        <w:p w14:paraId="5583F7EC" w14:textId="045059DA" w:rsidR="00D81B7B" w:rsidRDefault="00D81B7B" w:rsidP="00D81B7B">
                          <w:pPr>
                            <w:pStyle w:val="NoSpacing"/>
                            <w:rPr>
                              <w:smallCaps/>
                              <w:color w:val="0E2841" w:themeColor="text2"/>
                              <w:sz w:val="36"/>
                              <w:szCs w:val="36"/>
                            </w:rPr>
                          </w:pPr>
                        </w:p>
                      </w:txbxContent>
                    </v:textbox>
                    <w10:wrap type="square" anchorx="page" anchory="page"/>
                  </v:shape>
                </w:pict>
              </mc:Fallback>
            </mc:AlternateContent>
          </w:r>
          <w:r>
            <w:rPr>
              <w:noProof/>
            </w:rPr>
            <mc:AlternateContent>
              <mc:Choice Requires="wpg">
                <w:drawing>
                  <wp:anchor distT="0" distB="0" distL="114300" distR="114300" simplePos="0" relativeHeight="251659264" behindDoc="0" locked="0" layoutInCell="1" allowOverlap="1" wp14:anchorId="64DE875A" wp14:editId="47FB80C7">
                    <wp:simplePos x="0" y="0"/>
                    <mc:AlternateContent>
                      <mc:Choice Requires="wp14">
                        <wp:positionH relativeFrom="page">
                          <wp14:pctPosHOffset>4500</wp14:pctPosHOffset>
                        </wp:positionH>
                      </mc:Choice>
                      <mc:Fallback>
                        <wp:positionH relativeFrom="page">
                          <wp:posOffset>339725</wp:posOffset>
                        </wp:positionH>
                      </mc:Fallback>
                    </mc:AlternateContent>
                    <wp:positionV relativeFrom="page">
                      <wp:align>center</wp:align>
                    </wp:positionV>
                    <wp:extent cx="228600" cy="9144000"/>
                    <wp:effectExtent l="0" t="0" r="3175" b="635"/>
                    <wp:wrapNone/>
                    <wp:docPr id="114" name="Group 115"/>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115" name="Rectangle 115"/>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16" name="Rectangle 116"/>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14CAE915" id="Group 115" o:spid="_x0000_s1026" style="position:absolute;margin-left:0;margin-top:0;width:18pt;height:10in;z-index:251659264;mso-width-percent:29;mso-height-percent:909;mso-left-percent:45;mso-position-horizontal-relative:page;mso-position-vertical:center;mso-position-vertical-relative:page;mso-width-percent:29;mso-height-percent:909;mso-left-percent:45" coordsize="2286,9144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">
                    <v:rect id="Rectangle 115" o:spid="_x0000_s1027" style="position:absolute;width:2286;height:87820;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" fillcolor="#e97132 [3205]" stroked="f" strokeweight="1.5pt"/>
                    <v:rect id="Rectangle 116" o:spid="_x0000_s1028" style="position:absolute;top:89154;width:2286;height:228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" fillcolor="#156082 [3204]" stroked="f" strokeweight="1.5pt">
                      <o:lock v:ext="edit" aspectratio="t"/>
                    </v:rect>
                    <w10:wrap anchorx="page" anchory="page"/>
                  </v:group>
                </w:pict>
              </mc:Fallback>
            </mc:AlternateContent>
          </w:r>
          <w:r>
            <w:rPr>
              <w:rFonts w:ascii="Times New Roman" w:hAnsi="Times New Roman" w:cs="Times New Roman"/>
            </w:rPr>
            <w:br w:type="page"/>
          </w:r>
        </w:p>
      </w:sdtContent>
    </w:sdt>
    <w:p w14:paraId="074FC34F" w14:textId="7DC75408" w:rsidR="00485B16" w:rsidRPr="00330155" w:rsidRDefault="00485B16" w:rsidP="00330155">
      <w:pPr>
        <w:pStyle w:val="ListParagraph"/>
        <w:numPr>
          <w:ilvl w:val="0"/>
          <w:numId w:val="1"/>
        </w:numPr>
        <w:spacing w:line="480" w:lineRule="auto"/>
        <w:jc w:val="both"/>
        <w:rPr>
          <w:rFonts w:ascii="Times New Roman" w:hAnsi="Times New Roman" w:cs="Times New Roman"/>
          <w:b/>
          <w:bCs/>
        </w:rPr>
      </w:pPr>
      <w:r w:rsidRPr="00330155">
        <w:rPr>
          <w:rFonts w:ascii="Times New Roman" w:hAnsi="Times New Roman" w:cs="Times New Roman"/>
          <w:b/>
          <w:bCs/>
        </w:rPr>
        <w:lastRenderedPageBreak/>
        <w:t>Introduction</w:t>
      </w:r>
    </w:p>
    <w:p w14:paraId="0AA71137" w14:textId="77777777" w:rsidR="00927FBF" w:rsidRDefault="00485B16" w:rsidP="00485B16">
      <w:pPr>
        <w:spacing w:line="480" w:lineRule="auto"/>
        <w:jc w:val="both"/>
        <w:rPr>
          <w:rFonts w:ascii="Times New Roman" w:hAnsi="Times New Roman" w:cs="Times New Roman"/>
        </w:rPr>
      </w:pPr>
      <w:r w:rsidRPr="00485B16">
        <w:rPr>
          <w:rFonts w:ascii="Times New Roman" w:hAnsi="Times New Roman" w:cs="Times New Roman"/>
        </w:rPr>
        <w:t>This marketing plan provides a fresh opportunity for Netflix to utilise a new digital marketing campaign to reach an untapped audience while continuing to highlight its current service of streaming existing films and television shows via subscription. Internationally, Netflix has been successful largely due to its ability to know exactly what its viewers want from a worldwide perspective using data analysis coupled with original content creation and, of course, its overall image as a digitally savvy brand. Unfortunately, because of all the platforms streaming content are now available, there is an increasing number of competitors in the market and nearly 90% of the audience under 35 years old has become saturated. As a result, the cost of acquiring a new subscriber continues to rise and the need for Netflix to develop an alternative revenue stream exists.</w:t>
      </w:r>
    </w:p>
    <w:p w14:paraId="00851108" w14:textId="77777777" w:rsidR="00927FBF"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This new digital marketing campaign will focus on an audience segment of adults age 50–65 who </w:t>
      </w:r>
      <w:r w:rsidR="00927FBF" w:rsidRPr="00485B16">
        <w:rPr>
          <w:rFonts w:ascii="Times New Roman" w:hAnsi="Times New Roman" w:cs="Times New Roman"/>
        </w:rPr>
        <w:t>led</w:t>
      </w:r>
      <w:r w:rsidRPr="00485B16">
        <w:rPr>
          <w:rFonts w:ascii="Times New Roman" w:hAnsi="Times New Roman" w:cs="Times New Roman"/>
        </w:rPr>
        <w:t xml:space="preserve"> active, digitally engaged lifestyles. For the most part, adults in this group fall into the 'senior' </w:t>
      </w:r>
      <w:r w:rsidR="00927FBF" w:rsidRPr="00485B16">
        <w:rPr>
          <w:rFonts w:ascii="Times New Roman" w:hAnsi="Times New Roman" w:cs="Times New Roman"/>
        </w:rPr>
        <w:t>category but</w:t>
      </w:r>
      <w:r w:rsidRPr="00485B16">
        <w:rPr>
          <w:rFonts w:ascii="Times New Roman" w:hAnsi="Times New Roman" w:cs="Times New Roman"/>
        </w:rPr>
        <w:t xml:space="preserve"> have largely been ignored in digital entertainment advertising as younger adults have traditionally been the focus. However, with the population of adults aged 50 and over continuing to grow, the group's spending power is also </w:t>
      </w:r>
      <w:r w:rsidR="00927FBF" w:rsidRPr="00485B16">
        <w:rPr>
          <w:rFonts w:ascii="Times New Roman" w:hAnsi="Times New Roman" w:cs="Times New Roman"/>
        </w:rPr>
        <w:t>increasing,</w:t>
      </w:r>
      <w:r w:rsidRPr="00485B16">
        <w:rPr>
          <w:rFonts w:ascii="Times New Roman" w:hAnsi="Times New Roman" w:cs="Times New Roman"/>
        </w:rPr>
        <w:t xml:space="preserve"> and they are becoming more digitally savvy than ever before. Therefore, through this marketing campaign, Netflix seeks to reintroduce itself to this age group and deliver content that fits their needs at all levels of their life. The marketing plan is broken down into four primary sections: rationale, target and positioning, digital channels, and success measurement. </w:t>
      </w:r>
      <w:r w:rsidR="00927FBF" w:rsidRPr="00485B16">
        <w:rPr>
          <w:rFonts w:ascii="Times New Roman" w:hAnsi="Times New Roman" w:cs="Times New Roman"/>
        </w:rPr>
        <w:t>All</w:t>
      </w:r>
      <w:r w:rsidRPr="00485B16">
        <w:rPr>
          <w:rFonts w:ascii="Times New Roman" w:hAnsi="Times New Roman" w:cs="Times New Roman"/>
        </w:rPr>
        <w:t xml:space="preserve"> these sections are supported by current academic research and industry best </w:t>
      </w:r>
      <w:r w:rsidR="00927FBF" w:rsidRPr="00485B16">
        <w:rPr>
          <w:rFonts w:ascii="Times New Roman" w:hAnsi="Times New Roman" w:cs="Times New Roman"/>
        </w:rPr>
        <w:t>practices. Consumer</w:t>
      </w:r>
      <w:r w:rsidRPr="00485B16">
        <w:rPr>
          <w:rFonts w:ascii="Times New Roman" w:hAnsi="Times New Roman" w:cs="Times New Roman"/>
        </w:rPr>
        <w:t xml:space="preserve"> loyalty and low primary churn rates are very valuable factors regarding the lifetime value of consumers for an organisation. The customer lifetime value of an individual is progressively more dependent upon the retention of high-value customers than upon the total number of consumers (Venkatesan &amp; Kumar, 2021). For Netflix, this means that it must pinpoint those consumers </w:t>
      </w:r>
      <w:r w:rsidRPr="00485B16">
        <w:rPr>
          <w:rFonts w:ascii="Times New Roman" w:hAnsi="Times New Roman" w:cs="Times New Roman"/>
        </w:rPr>
        <w:lastRenderedPageBreak/>
        <w:t xml:space="preserve">who demonstrates consistent good viewing behaviour, and who gives a strong sign for potential future engagement. People over the age of 50, more specifically those 50 to 65 years old, tend to value quality, </w:t>
      </w:r>
      <w:r w:rsidR="00927FBF" w:rsidRPr="00485B16">
        <w:rPr>
          <w:rFonts w:ascii="Times New Roman" w:hAnsi="Times New Roman" w:cs="Times New Roman"/>
        </w:rPr>
        <w:t>storyline</w:t>
      </w:r>
      <w:r w:rsidRPr="00485B16">
        <w:rPr>
          <w:rFonts w:ascii="Times New Roman" w:hAnsi="Times New Roman" w:cs="Times New Roman"/>
        </w:rPr>
        <w:t xml:space="preserve">, and social relevance of video/media content; therefore, Netflix could be strategically leveraging their viewing behaviours to market this demographic at its extensive library of documentaries, dramas, bio-series, and foreign programming. In terms of development, Netflix has aggressively invested in leveraging data analytics, Artificial Intelligence (AI) and Machine Learning (ML) in enhancing its approach to recommending movies/media to consumers. According to Wang &amp; Xu (2022), retailers must make use of data-driven approaches to enhance their marketing mix to efficiently allocates resources, and to optimally respond to changings behaviours of consumers. Therefore, Netflix </w:t>
      </w:r>
      <w:r w:rsidR="00927FBF" w:rsidRPr="00485B16">
        <w:rPr>
          <w:rFonts w:ascii="Times New Roman" w:hAnsi="Times New Roman" w:cs="Times New Roman"/>
        </w:rPr>
        <w:t>can</w:t>
      </w:r>
      <w:r w:rsidRPr="00485B16">
        <w:rPr>
          <w:rFonts w:ascii="Times New Roman" w:hAnsi="Times New Roman" w:cs="Times New Roman"/>
        </w:rPr>
        <w:t xml:space="preserve"> build a highly target digital marketing campaign that does not contain any fundamental differences in product offering. The descendent works/research supports the concept of Integrated Marketing Communication (IMC). That is, IMC is that the message that a modern company conveys must be consistent and irreconcilable across </w:t>
      </w:r>
      <w:r w:rsidR="00927FBF" w:rsidRPr="00485B16">
        <w:rPr>
          <w:rFonts w:ascii="Times New Roman" w:hAnsi="Times New Roman" w:cs="Times New Roman"/>
        </w:rPr>
        <w:t>all</w:t>
      </w:r>
      <w:r w:rsidRPr="00485B16">
        <w:rPr>
          <w:rFonts w:ascii="Times New Roman" w:hAnsi="Times New Roman" w:cs="Times New Roman"/>
        </w:rPr>
        <w:t xml:space="preserve"> the points including but not limited to advertising/media, marketing online/messages, website, bricks and mortar, and promotional sales and incentives, while also accommodating to the ever-changing identities of consumers (Weitz &amp; Wensley, 2020). By embracing older consumers in the IMC strategies, Netflix reinforces its brand messaging of inclusion, diversity and personal relevance of their offerings, as supported by values-based marketing frameworks (Jacobsen, 2023).Recent research on Netflix's continued growth, as well as its innovative approach to leadership (Joonas Et Al 2023), indicates that the importance of continually expanding into underserved markets and creating innovative products will increase, due to growing competition; therefore, focusing exclusively on younger consumers may impede future growth opportunities. Thus, the campaign has been designed to respond proactively to the rapid changes occurring in both the market and within the way consumers are behaving.</w:t>
      </w:r>
    </w:p>
    <w:p w14:paraId="29C0E754" w14:textId="31F1B1E2" w:rsidR="00485B16" w:rsidRPr="00330155" w:rsidRDefault="00485B16" w:rsidP="00330155">
      <w:pPr>
        <w:pStyle w:val="ListParagraph"/>
        <w:numPr>
          <w:ilvl w:val="0"/>
          <w:numId w:val="1"/>
        </w:numPr>
        <w:spacing w:line="480" w:lineRule="auto"/>
        <w:jc w:val="both"/>
        <w:rPr>
          <w:rFonts w:ascii="Times New Roman" w:hAnsi="Times New Roman" w:cs="Times New Roman"/>
          <w:b/>
          <w:bCs/>
        </w:rPr>
      </w:pPr>
      <w:r w:rsidRPr="00330155">
        <w:rPr>
          <w:rFonts w:ascii="Times New Roman" w:hAnsi="Times New Roman" w:cs="Times New Roman"/>
          <w:b/>
          <w:bCs/>
        </w:rPr>
        <w:lastRenderedPageBreak/>
        <w:t>Targeting/Segmentation and Positioning</w:t>
      </w:r>
    </w:p>
    <w:p w14:paraId="68774F70" w14:textId="407EBA9B" w:rsidR="00485B16" w:rsidRPr="00330155" w:rsidRDefault="00330155" w:rsidP="00330155">
      <w:pPr>
        <w:pStyle w:val="ListParagraph"/>
        <w:numPr>
          <w:ilvl w:val="0"/>
          <w:numId w:val="2"/>
        </w:numPr>
        <w:spacing w:line="480" w:lineRule="auto"/>
        <w:jc w:val="both"/>
        <w:rPr>
          <w:rFonts w:ascii="Times New Roman" w:hAnsi="Times New Roman" w:cs="Times New Roman"/>
          <w:b/>
          <w:bCs/>
        </w:rPr>
      </w:pPr>
      <w:r>
        <w:rPr>
          <w:rFonts w:ascii="Times New Roman" w:hAnsi="Times New Roman" w:cs="Times New Roman"/>
          <w:b/>
          <w:bCs/>
        </w:rPr>
        <w:t>Targeting/</w:t>
      </w:r>
      <w:r w:rsidR="00485B16" w:rsidRPr="00330155">
        <w:rPr>
          <w:rFonts w:ascii="Times New Roman" w:hAnsi="Times New Roman" w:cs="Times New Roman"/>
          <w:b/>
          <w:bCs/>
        </w:rPr>
        <w:t>Segmentation Strategies</w:t>
      </w:r>
    </w:p>
    <w:p w14:paraId="442F784B" w14:textId="6A0B673D"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For this campaign, we will use a </w:t>
      </w:r>
      <w:r w:rsidR="00330155">
        <w:rPr>
          <w:rFonts w:ascii="Times New Roman" w:hAnsi="Times New Roman" w:cs="Times New Roman"/>
        </w:rPr>
        <w:t>m</w:t>
      </w:r>
      <w:r w:rsidRPr="00485B16">
        <w:rPr>
          <w:rFonts w:ascii="Times New Roman" w:hAnsi="Times New Roman" w:cs="Times New Roman"/>
        </w:rPr>
        <w:t>ulti-</w:t>
      </w:r>
      <w:r w:rsidR="00330155">
        <w:rPr>
          <w:rFonts w:ascii="Times New Roman" w:hAnsi="Times New Roman" w:cs="Times New Roman"/>
        </w:rPr>
        <w:t>d</w:t>
      </w:r>
      <w:r w:rsidRPr="00485B16">
        <w:rPr>
          <w:rFonts w:ascii="Times New Roman" w:hAnsi="Times New Roman" w:cs="Times New Roman"/>
        </w:rPr>
        <w:t xml:space="preserve">imensional </w:t>
      </w:r>
      <w:r w:rsidR="00330155">
        <w:rPr>
          <w:rFonts w:ascii="Times New Roman" w:hAnsi="Times New Roman" w:cs="Times New Roman"/>
        </w:rPr>
        <w:t>s</w:t>
      </w:r>
      <w:r w:rsidRPr="00485B16">
        <w:rPr>
          <w:rFonts w:ascii="Times New Roman" w:hAnsi="Times New Roman" w:cs="Times New Roman"/>
        </w:rPr>
        <w:t xml:space="preserve">egmentation </w:t>
      </w:r>
      <w:r w:rsidR="00330155">
        <w:rPr>
          <w:rFonts w:ascii="Times New Roman" w:hAnsi="Times New Roman" w:cs="Times New Roman"/>
        </w:rPr>
        <w:t>s</w:t>
      </w:r>
      <w:r w:rsidRPr="00485B16">
        <w:rPr>
          <w:rFonts w:ascii="Times New Roman" w:hAnsi="Times New Roman" w:cs="Times New Roman"/>
        </w:rPr>
        <w:t>trategy that is typical of today's digital marketers. This strategy will use a combination of demographic, psychographic, and behavioural variables, rather than just using age. Rather than relying solely on age as the basis for developing an understanding of the target audience, we will use both demographic and psychographic variables to develop a more well-rounded understanding.</w:t>
      </w:r>
    </w:p>
    <w:p w14:paraId="237C4C24" w14:textId="7D685A0A"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As an example, </w:t>
      </w:r>
      <w:r w:rsidR="00927FBF">
        <w:rPr>
          <w:rFonts w:ascii="Times New Roman" w:hAnsi="Times New Roman" w:cs="Times New Roman"/>
        </w:rPr>
        <w:t>the</w:t>
      </w:r>
      <w:r w:rsidRPr="00485B16">
        <w:rPr>
          <w:rFonts w:ascii="Times New Roman" w:hAnsi="Times New Roman" w:cs="Times New Roman"/>
        </w:rPr>
        <w:t xml:space="preserve"> definition of the target demographic for this campaign is </w:t>
      </w:r>
      <w:r w:rsidR="00927FBF">
        <w:rPr>
          <w:rFonts w:ascii="Times New Roman" w:hAnsi="Times New Roman" w:cs="Times New Roman"/>
        </w:rPr>
        <w:t>a</w:t>
      </w:r>
      <w:r w:rsidRPr="00485B16">
        <w:rPr>
          <w:rFonts w:ascii="Times New Roman" w:hAnsi="Times New Roman" w:cs="Times New Roman"/>
        </w:rPr>
        <w:t xml:space="preserve">dults </w:t>
      </w:r>
      <w:r w:rsidR="00927FBF">
        <w:rPr>
          <w:rFonts w:ascii="Times New Roman" w:hAnsi="Times New Roman" w:cs="Times New Roman"/>
        </w:rPr>
        <w:t>a</w:t>
      </w:r>
      <w:r w:rsidRPr="00485B16">
        <w:rPr>
          <w:rFonts w:ascii="Times New Roman" w:hAnsi="Times New Roman" w:cs="Times New Roman"/>
        </w:rPr>
        <w:t xml:space="preserve">ge 50-65 </w:t>
      </w:r>
      <w:r w:rsidR="00927FBF">
        <w:rPr>
          <w:rFonts w:ascii="Times New Roman" w:hAnsi="Times New Roman" w:cs="Times New Roman"/>
        </w:rPr>
        <w:t>w</w:t>
      </w:r>
      <w:r w:rsidRPr="00485B16">
        <w:rPr>
          <w:rFonts w:ascii="Times New Roman" w:hAnsi="Times New Roman" w:cs="Times New Roman"/>
        </w:rPr>
        <w:t xml:space="preserve">ith </w:t>
      </w:r>
      <w:r w:rsidR="00927FBF">
        <w:rPr>
          <w:rFonts w:ascii="Times New Roman" w:hAnsi="Times New Roman" w:cs="Times New Roman"/>
        </w:rPr>
        <w:t>m</w:t>
      </w:r>
      <w:r w:rsidRPr="00485B16">
        <w:rPr>
          <w:rFonts w:ascii="Times New Roman" w:hAnsi="Times New Roman" w:cs="Times New Roman"/>
        </w:rPr>
        <w:t xml:space="preserve">iddle </w:t>
      </w:r>
      <w:r w:rsidR="00927FBF">
        <w:rPr>
          <w:rFonts w:ascii="Times New Roman" w:hAnsi="Times New Roman" w:cs="Times New Roman"/>
        </w:rPr>
        <w:t>a</w:t>
      </w:r>
      <w:r w:rsidR="00927FBF" w:rsidRPr="00485B16">
        <w:rPr>
          <w:rFonts w:ascii="Times New Roman" w:hAnsi="Times New Roman" w:cs="Times New Roman"/>
        </w:rPr>
        <w:t>nd</w:t>
      </w:r>
      <w:r w:rsidRPr="00485B16">
        <w:rPr>
          <w:rFonts w:ascii="Times New Roman" w:hAnsi="Times New Roman" w:cs="Times New Roman"/>
        </w:rPr>
        <w:t xml:space="preserve"> </w:t>
      </w:r>
      <w:r w:rsidR="00927FBF">
        <w:rPr>
          <w:rFonts w:ascii="Times New Roman" w:hAnsi="Times New Roman" w:cs="Times New Roman"/>
        </w:rPr>
        <w:t>u</w:t>
      </w:r>
      <w:r w:rsidRPr="00485B16">
        <w:rPr>
          <w:rFonts w:ascii="Times New Roman" w:hAnsi="Times New Roman" w:cs="Times New Roman"/>
        </w:rPr>
        <w:t xml:space="preserve">pper </w:t>
      </w:r>
      <w:r w:rsidR="00927FBF">
        <w:rPr>
          <w:rFonts w:ascii="Times New Roman" w:hAnsi="Times New Roman" w:cs="Times New Roman"/>
        </w:rPr>
        <w:t>m</w:t>
      </w:r>
      <w:r w:rsidRPr="00485B16">
        <w:rPr>
          <w:rFonts w:ascii="Times New Roman" w:hAnsi="Times New Roman" w:cs="Times New Roman"/>
        </w:rPr>
        <w:t xml:space="preserve">iddle </w:t>
      </w:r>
      <w:r w:rsidR="00927FBF">
        <w:rPr>
          <w:rFonts w:ascii="Times New Roman" w:hAnsi="Times New Roman" w:cs="Times New Roman"/>
        </w:rPr>
        <w:t>c</w:t>
      </w:r>
      <w:r w:rsidRPr="00485B16">
        <w:rPr>
          <w:rFonts w:ascii="Times New Roman" w:hAnsi="Times New Roman" w:cs="Times New Roman"/>
        </w:rPr>
        <w:t xml:space="preserve">lass </w:t>
      </w:r>
      <w:r w:rsidR="005430DD">
        <w:rPr>
          <w:rFonts w:ascii="Times New Roman" w:hAnsi="Times New Roman" w:cs="Times New Roman"/>
        </w:rPr>
        <w:t>i</w:t>
      </w:r>
      <w:r w:rsidRPr="00485B16">
        <w:rPr>
          <w:rFonts w:ascii="Times New Roman" w:hAnsi="Times New Roman" w:cs="Times New Roman"/>
        </w:rPr>
        <w:t xml:space="preserve">ncome </w:t>
      </w:r>
      <w:r w:rsidR="005430DD">
        <w:rPr>
          <w:rFonts w:ascii="Times New Roman" w:hAnsi="Times New Roman" w:cs="Times New Roman"/>
        </w:rPr>
        <w:t>l</w:t>
      </w:r>
      <w:r w:rsidRPr="00485B16">
        <w:rPr>
          <w:rFonts w:ascii="Times New Roman" w:hAnsi="Times New Roman" w:cs="Times New Roman"/>
        </w:rPr>
        <w:t xml:space="preserve">evels; many still work in </w:t>
      </w:r>
      <w:r w:rsidR="005430DD">
        <w:rPr>
          <w:rFonts w:ascii="Times New Roman" w:hAnsi="Times New Roman" w:cs="Times New Roman"/>
        </w:rPr>
        <w:t>p</w:t>
      </w:r>
      <w:r w:rsidRPr="00485B16">
        <w:rPr>
          <w:rFonts w:ascii="Times New Roman" w:hAnsi="Times New Roman" w:cs="Times New Roman"/>
        </w:rPr>
        <w:t>rofessional/</w:t>
      </w:r>
      <w:r w:rsidR="005430DD">
        <w:rPr>
          <w:rFonts w:ascii="Times New Roman" w:hAnsi="Times New Roman" w:cs="Times New Roman"/>
        </w:rPr>
        <w:t>m</w:t>
      </w:r>
      <w:r w:rsidRPr="00485B16">
        <w:rPr>
          <w:rFonts w:ascii="Times New Roman" w:hAnsi="Times New Roman" w:cs="Times New Roman"/>
        </w:rPr>
        <w:t xml:space="preserve">anagerial </w:t>
      </w:r>
      <w:r w:rsidR="005430DD">
        <w:rPr>
          <w:rFonts w:ascii="Times New Roman" w:hAnsi="Times New Roman" w:cs="Times New Roman"/>
        </w:rPr>
        <w:t>p</w:t>
      </w:r>
      <w:r w:rsidRPr="00485B16">
        <w:rPr>
          <w:rFonts w:ascii="Times New Roman" w:hAnsi="Times New Roman" w:cs="Times New Roman"/>
        </w:rPr>
        <w:t xml:space="preserve">ositions, others are </w:t>
      </w:r>
      <w:r w:rsidR="005430DD">
        <w:rPr>
          <w:rFonts w:ascii="Times New Roman" w:hAnsi="Times New Roman" w:cs="Times New Roman"/>
        </w:rPr>
        <w:t>s</w:t>
      </w:r>
      <w:r w:rsidRPr="00485B16">
        <w:rPr>
          <w:rFonts w:ascii="Times New Roman" w:hAnsi="Times New Roman" w:cs="Times New Roman"/>
        </w:rPr>
        <w:t>emi-</w:t>
      </w:r>
      <w:r w:rsidR="005430DD">
        <w:rPr>
          <w:rFonts w:ascii="Times New Roman" w:hAnsi="Times New Roman" w:cs="Times New Roman"/>
        </w:rPr>
        <w:t>r</w:t>
      </w:r>
      <w:r w:rsidRPr="00485B16">
        <w:rPr>
          <w:rFonts w:ascii="Times New Roman" w:hAnsi="Times New Roman" w:cs="Times New Roman"/>
        </w:rPr>
        <w:t xml:space="preserve">etired </w:t>
      </w:r>
      <w:r w:rsidR="005430DD">
        <w:rPr>
          <w:rFonts w:ascii="Times New Roman" w:hAnsi="Times New Roman" w:cs="Times New Roman"/>
        </w:rPr>
        <w:t>a</w:t>
      </w:r>
      <w:r w:rsidRPr="00485B16">
        <w:rPr>
          <w:rFonts w:ascii="Times New Roman" w:hAnsi="Times New Roman" w:cs="Times New Roman"/>
        </w:rPr>
        <w:t xml:space="preserve">nd </w:t>
      </w:r>
      <w:r w:rsidR="005430DD">
        <w:rPr>
          <w:rFonts w:ascii="Times New Roman" w:hAnsi="Times New Roman" w:cs="Times New Roman"/>
        </w:rPr>
        <w:t>f</w:t>
      </w:r>
      <w:r w:rsidRPr="00485B16">
        <w:rPr>
          <w:rFonts w:ascii="Times New Roman" w:hAnsi="Times New Roman" w:cs="Times New Roman"/>
        </w:rPr>
        <w:t xml:space="preserve">inancially </w:t>
      </w:r>
      <w:r w:rsidR="005430DD">
        <w:rPr>
          <w:rFonts w:ascii="Times New Roman" w:hAnsi="Times New Roman" w:cs="Times New Roman"/>
        </w:rPr>
        <w:t>s</w:t>
      </w:r>
      <w:r w:rsidRPr="00485B16">
        <w:rPr>
          <w:rFonts w:ascii="Times New Roman" w:hAnsi="Times New Roman" w:cs="Times New Roman"/>
        </w:rPr>
        <w:t xml:space="preserve">ecure. In terms of psychographics, </w:t>
      </w:r>
      <w:r w:rsidR="00330155">
        <w:rPr>
          <w:rFonts w:ascii="Times New Roman" w:hAnsi="Times New Roman" w:cs="Times New Roman"/>
        </w:rPr>
        <w:t>the</w:t>
      </w:r>
      <w:r w:rsidRPr="00485B16">
        <w:rPr>
          <w:rFonts w:ascii="Times New Roman" w:hAnsi="Times New Roman" w:cs="Times New Roman"/>
        </w:rPr>
        <w:t xml:space="preserve"> target audience is interested in personal development, cultural enrichment and well-being; are </w:t>
      </w:r>
      <w:r w:rsidR="005430DD">
        <w:rPr>
          <w:rFonts w:ascii="Times New Roman" w:hAnsi="Times New Roman" w:cs="Times New Roman"/>
        </w:rPr>
        <w:t>c</w:t>
      </w:r>
      <w:r w:rsidRPr="00485B16">
        <w:rPr>
          <w:rFonts w:ascii="Times New Roman" w:hAnsi="Times New Roman" w:cs="Times New Roman"/>
        </w:rPr>
        <w:t xml:space="preserve">urious </w:t>
      </w:r>
      <w:r w:rsidR="005430DD">
        <w:rPr>
          <w:rFonts w:ascii="Times New Roman" w:hAnsi="Times New Roman" w:cs="Times New Roman"/>
        </w:rPr>
        <w:t>a</w:t>
      </w:r>
      <w:r w:rsidRPr="00485B16">
        <w:rPr>
          <w:rFonts w:ascii="Times New Roman" w:hAnsi="Times New Roman" w:cs="Times New Roman"/>
        </w:rPr>
        <w:t xml:space="preserve">bout </w:t>
      </w:r>
      <w:r w:rsidR="005430DD">
        <w:rPr>
          <w:rFonts w:ascii="Times New Roman" w:hAnsi="Times New Roman" w:cs="Times New Roman"/>
        </w:rPr>
        <w:t>n</w:t>
      </w:r>
      <w:r w:rsidRPr="00485B16">
        <w:rPr>
          <w:rFonts w:ascii="Times New Roman" w:hAnsi="Times New Roman" w:cs="Times New Roman"/>
        </w:rPr>
        <w:t xml:space="preserve">ew </w:t>
      </w:r>
      <w:r w:rsidR="005430DD">
        <w:rPr>
          <w:rFonts w:ascii="Times New Roman" w:hAnsi="Times New Roman" w:cs="Times New Roman"/>
        </w:rPr>
        <w:t>e</w:t>
      </w:r>
      <w:r w:rsidRPr="00485B16">
        <w:rPr>
          <w:rFonts w:ascii="Times New Roman" w:hAnsi="Times New Roman" w:cs="Times New Roman"/>
        </w:rPr>
        <w:t xml:space="preserve">xperiences; are often interested in </w:t>
      </w:r>
      <w:r w:rsidR="005430DD">
        <w:rPr>
          <w:rFonts w:ascii="Times New Roman" w:hAnsi="Times New Roman" w:cs="Times New Roman"/>
        </w:rPr>
        <w:t>t</w:t>
      </w:r>
      <w:r w:rsidRPr="00485B16">
        <w:rPr>
          <w:rFonts w:ascii="Times New Roman" w:hAnsi="Times New Roman" w:cs="Times New Roman"/>
        </w:rPr>
        <w:t xml:space="preserve">ravel, </w:t>
      </w:r>
      <w:r w:rsidR="005430DD">
        <w:rPr>
          <w:rFonts w:ascii="Times New Roman" w:hAnsi="Times New Roman" w:cs="Times New Roman"/>
        </w:rPr>
        <w:t>h</w:t>
      </w:r>
      <w:r w:rsidRPr="00485B16">
        <w:rPr>
          <w:rFonts w:ascii="Times New Roman" w:hAnsi="Times New Roman" w:cs="Times New Roman"/>
        </w:rPr>
        <w:t xml:space="preserve">istory, </w:t>
      </w:r>
      <w:r w:rsidR="00330155">
        <w:rPr>
          <w:rFonts w:ascii="Times New Roman" w:hAnsi="Times New Roman" w:cs="Times New Roman"/>
        </w:rPr>
        <w:t>h</w:t>
      </w:r>
      <w:r w:rsidRPr="00485B16">
        <w:rPr>
          <w:rFonts w:ascii="Times New Roman" w:hAnsi="Times New Roman" w:cs="Times New Roman"/>
        </w:rPr>
        <w:t xml:space="preserve">eath and </w:t>
      </w:r>
      <w:r w:rsidR="00330155">
        <w:rPr>
          <w:rFonts w:ascii="Times New Roman" w:hAnsi="Times New Roman" w:cs="Times New Roman"/>
        </w:rPr>
        <w:t>g</w:t>
      </w:r>
      <w:r w:rsidRPr="00485B16">
        <w:rPr>
          <w:rFonts w:ascii="Times New Roman" w:hAnsi="Times New Roman" w:cs="Times New Roman"/>
        </w:rPr>
        <w:t xml:space="preserve">lobal </w:t>
      </w:r>
      <w:r w:rsidR="00330155">
        <w:rPr>
          <w:rFonts w:ascii="Times New Roman" w:hAnsi="Times New Roman" w:cs="Times New Roman"/>
        </w:rPr>
        <w:t>p</w:t>
      </w:r>
      <w:r w:rsidRPr="00485B16">
        <w:rPr>
          <w:rFonts w:ascii="Times New Roman" w:hAnsi="Times New Roman" w:cs="Times New Roman"/>
        </w:rPr>
        <w:t xml:space="preserve">erspectives. </w:t>
      </w:r>
      <w:r w:rsidR="00330155" w:rsidRPr="00485B16">
        <w:rPr>
          <w:rFonts w:ascii="Times New Roman" w:hAnsi="Times New Roman" w:cs="Times New Roman"/>
        </w:rPr>
        <w:t>Regarding</w:t>
      </w:r>
      <w:r w:rsidRPr="00485B16">
        <w:rPr>
          <w:rFonts w:ascii="Times New Roman" w:hAnsi="Times New Roman" w:cs="Times New Roman"/>
        </w:rPr>
        <w:t xml:space="preserve"> behaviour, they are current users of </w:t>
      </w:r>
      <w:r w:rsidR="00330155">
        <w:rPr>
          <w:rFonts w:ascii="Times New Roman" w:hAnsi="Times New Roman" w:cs="Times New Roman"/>
        </w:rPr>
        <w:t>s</w:t>
      </w:r>
      <w:r w:rsidRPr="00485B16">
        <w:rPr>
          <w:rFonts w:ascii="Times New Roman" w:hAnsi="Times New Roman" w:cs="Times New Roman"/>
        </w:rPr>
        <w:t xml:space="preserve">treaming </w:t>
      </w:r>
      <w:r w:rsidR="00330155">
        <w:rPr>
          <w:rFonts w:ascii="Times New Roman" w:hAnsi="Times New Roman" w:cs="Times New Roman"/>
        </w:rPr>
        <w:t>s</w:t>
      </w:r>
      <w:r w:rsidRPr="00485B16">
        <w:rPr>
          <w:rFonts w:ascii="Times New Roman" w:hAnsi="Times New Roman" w:cs="Times New Roman"/>
        </w:rPr>
        <w:t xml:space="preserve">ervices </w:t>
      </w:r>
      <w:r w:rsidR="00330155">
        <w:rPr>
          <w:rFonts w:ascii="Times New Roman" w:hAnsi="Times New Roman" w:cs="Times New Roman"/>
        </w:rPr>
        <w:t>a</w:t>
      </w:r>
      <w:r w:rsidRPr="00485B16">
        <w:rPr>
          <w:rFonts w:ascii="Times New Roman" w:hAnsi="Times New Roman" w:cs="Times New Roman"/>
        </w:rPr>
        <w:t xml:space="preserve">nd </w:t>
      </w:r>
      <w:r w:rsidR="00330155">
        <w:rPr>
          <w:rFonts w:ascii="Times New Roman" w:hAnsi="Times New Roman" w:cs="Times New Roman"/>
        </w:rPr>
        <w:t>d</w:t>
      </w:r>
      <w:r w:rsidRPr="00485B16">
        <w:rPr>
          <w:rFonts w:ascii="Times New Roman" w:hAnsi="Times New Roman" w:cs="Times New Roman"/>
        </w:rPr>
        <w:t xml:space="preserve">igital </w:t>
      </w:r>
      <w:r w:rsidR="00330155">
        <w:rPr>
          <w:rFonts w:ascii="Times New Roman" w:hAnsi="Times New Roman" w:cs="Times New Roman"/>
        </w:rPr>
        <w:t>d</w:t>
      </w:r>
      <w:r w:rsidRPr="00485B16">
        <w:rPr>
          <w:rFonts w:ascii="Times New Roman" w:hAnsi="Times New Roman" w:cs="Times New Roman"/>
        </w:rPr>
        <w:t xml:space="preserve">evices, however, they may prefer to have an </w:t>
      </w:r>
      <w:r w:rsidR="00330155">
        <w:rPr>
          <w:rFonts w:ascii="Times New Roman" w:hAnsi="Times New Roman" w:cs="Times New Roman"/>
        </w:rPr>
        <w:t>i</w:t>
      </w:r>
      <w:r w:rsidRPr="00485B16">
        <w:rPr>
          <w:rFonts w:ascii="Times New Roman" w:hAnsi="Times New Roman" w:cs="Times New Roman"/>
        </w:rPr>
        <w:t xml:space="preserve">ntuitive </w:t>
      </w:r>
      <w:r w:rsidR="00330155">
        <w:rPr>
          <w:rFonts w:ascii="Times New Roman" w:hAnsi="Times New Roman" w:cs="Times New Roman"/>
        </w:rPr>
        <w:t>i</w:t>
      </w:r>
      <w:r w:rsidRPr="00485B16">
        <w:rPr>
          <w:rFonts w:ascii="Times New Roman" w:hAnsi="Times New Roman" w:cs="Times New Roman"/>
        </w:rPr>
        <w:t xml:space="preserve">nterface </w:t>
      </w:r>
      <w:r w:rsidR="00330155">
        <w:rPr>
          <w:rFonts w:ascii="Times New Roman" w:hAnsi="Times New Roman" w:cs="Times New Roman"/>
        </w:rPr>
        <w:t>a</w:t>
      </w:r>
      <w:r w:rsidRPr="00485B16">
        <w:rPr>
          <w:rFonts w:ascii="Times New Roman" w:hAnsi="Times New Roman" w:cs="Times New Roman"/>
        </w:rPr>
        <w:t xml:space="preserve">nd </w:t>
      </w:r>
      <w:r w:rsidR="00330155">
        <w:rPr>
          <w:rFonts w:ascii="Times New Roman" w:hAnsi="Times New Roman" w:cs="Times New Roman"/>
        </w:rPr>
        <w:t>c</w:t>
      </w:r>
      <w:r w:rsidRPr="00485B16">
        <w:rPr>
          <w:rFonts w:ascii="Times New Roman" w:hAnsi="Times New Roman" w:cs="Times New Roman"/>
        </w:rPr>
        <w:t xml:space="preserve">urated </w:t>
      </w:r>
      <w:r w:rsidR="00330155">
        <w:rPr>
          <w:rFonts w:ascii="Times New Roman" w:hAnsi="Times New Roman" w:cs="Times New Roman"/>
        </w:rPr>
        <w:t>c</w:t>
      </w:r>
      <w:r w:rsidRPr="00485B16">
        <w:rPr>
          <w:rFonts w:ascii="Times New Roman" w:hAnsi="Times New Roman" w:cs="Times New Roman"/>
        </w:rPr>
        <w:t xml:space="preserve">ontent </w:t>
      </w:r>
      <w:r w:rsidR="00330155">
        <w:rPr>
          <w:rFonts w:ascii="Times New Roman" w:hAnsi="Times New Roman" w:cs="Times New Roman"/>
        </w:rPr>
        <w:t>o</w:t>
      </w:r>
      <w:r w:rsidRPr="00485B16">
        <w:rPr>
          <w:rFonts w:ascii="Times New Roman" w:hAnsi="Times New Roman" w:cs="Times New Roman"/>
        </w:rPr>
        <w:t xml:space="preserve">ver </w:t>
      </w:r>
      <w:r w:rsidR="00330155">
        <w:rPr>
          <w:rFonts w:ascii="Times New Roman" w:hAnsi="Times New Roman" w:cs="Times New Roman"/>
        </w:rPr>
        <w:t>h</w:t>
      </w:r>
      <w:r w:rsidRPr="00485B16">
        <w:rPr>
          <w:rFonts w:ascii="Times New Roman" w:hAnsi="Times New Roman" w:cs="Times New Roman"/>
        </w:rPr>
        <w:t xml:space="preserve">aving </w:t>
      </w:r>
      <w:r w:rsidR="00330155">
        <w:rPr>
          <w:rFonts w:ascii="Times New Roman" w:hAnsi="Times New Roman" w:cs="Times New Roman"/>
        </w:rPr>
        <w:t>t</w:t>
      </w:r>
      <w:r w:rsidR="00330155" w:rsidRPr="00485B16">
        <w:rPr>
          <w:rFonts w:ascii="Times New Roman" w:hAnsi="Times New Roman" w:cs="Times New Roman"/>
        </w:rPr>
        <w:t>oo</w:t>
      </w:r>
      <w:r w:rsidRPr="00485B16">
        <w:rPr>
          <w:rFonts w:ascii="Times New Roman" w:hAnsi="Times New Roman" w:cs="Times New Roman"/>
        </w:rPr>
        <w:t xml:space="preserve"> </w:t>
      </w:r>
      <w:r w:rsidR="00330155">
        <w:rPr>
          <w:rFonts w:ascii="Times New Roman" w:hAnsi="Times New Roman" w:cs="Times New Roman"/>
        </w:rPr>
        <w:t>m</w:t>
      </w:r>
      <w:r w:rsidRPr="00485B16">
        <w:rPr>
          <w:rFonts w:ascii="Times New Roman" w:hAnsi="Times New Roman" w:cs="Times New Roman"/>
        </w:rPr>
        <w:t xml:space="preserve">any </w:t>
      </w:r>
      <w:r w:rsidR="00330155">
        <w:rPr>
          <w:rFonts w:ascii="Times New Roman" w:hAnsi="Times New Roman" w:cs="Times New Roman"/>
        </w:rPr>
        <w:t>c</w:t>
      </w:r>
      <w:r w:rsidRPr="00485B16">
        <w:rPr>
          <w:rFonts w:ascii="Times New Roman" w:hAnsi="Times New Roman" w:cs="Times New Roman"/>
        </w:rPr>
        <w:t xml:space="preserve">hoices </w:t>
      </w:r>
      <w:r w:rsidR="00330155">
        <w:rPr>
          <w:rFonts w:ascii="Times New Roman" w:hAnsi="Times New Roman" w:cs="Times New Roman"/>
        </w:rPr>
        <w:t>a</w:t>
      </w:r>
      <w:r w:rsidRPr="00485B16">
        <w:rPr>
          <w:rFonts w:ascii="Times New Roman" w:hAnsi="Times New Roman" w:cs="Times New Roman"/>
        </w:rPr>
        <w:t xml:space="preserve">vailable </w:t>
      </w:r>
      <w:r w:rsidR="00330155">
        <w:rPr>
          <w:rFonts w:ascii="Times New Roman" w:hAnsi="Times New Roman" w:cs="Times New Roman"/>
        </w:rPr>
        <w:t>t</w:t>
      </w:r>
      <w:r w:rsidRPr="00485B16">
        <w:rPr>
          <w:rFonts w:ascii="Times New Roman" w:hAnsi="Times New Roman" w:cs="Times New Roman"/>
        </w:rPr>
        <w:t xml:space="preserve">o </w:t>
      </w:r>
      <w:r w:rsidR="00330155">
        <w:rPr>
          <w:rFonts w:ascii="Times New Roman" w:hAnsi="Times New Roman" w:cs="Times New Roman"/>
        </w:rPr>
        <w:t>t</w:t>
      </w:r>
      <w:r w:rsidRPr="00485B16">
        <w:rPr>
          <w:rFonts w:ascii="Times New Roman" w:hAnsi="Times New Roman" w:cs="Times New Roman"/>
        </w:rPr>
        <w:t>hem.</w:t>
      </w:r>
    </w:p>
    <w:p w14:paraId="764BADFF" w14:textId="5CD1E39E"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As detailed through the use of these segments, </w:t>
      </w:r>
      <w:r w:rsidR="00330155">
        <w:rPr>
          <w:rFonts w:ascii="Times New Roman" w:hAnsi="Times New Roman" w:cs="Times New Roman"/>
        </w:rPr>
        <w:t>the</w:t>
      </w:r>
      <w:r w:rsidRPr="00485B16">
        <w:rPr>
          <w:rFonts w:ascii="Times New Roman" w:hAnsi="Times New Roman" w:cs="Times New Roman"/>
        </w:rPr>
        <w:t xml:space="preserve"> target audience is comprised of </w:t>
      </w:r>
      <w:r w:rsidR="00330155">
        <w:rPr>
          <w:rFonts w:ascii="Times New Roman" w:hAnsi="Times New Roman" w:cs="Times New Roman"/>
        </w:rPr>
        <w:t>d</w:t>
      </w:r>
      <w:r w:rsidRPr="00485B16">
        <w:rPr>
          <w:rFonts w:ascii="Times New Roman" w:hAnsi="Times New Roman" w:cs="Times New Roman"/>
        </w:rPr>
        <w:t xml:space="preserve">igital </w:t>
      </w:r>
      <w:r w:rsidR="00330155">
        <w:rPr>
          <w:rFonts w:ascii="Times New Roman" w:hAnsi="Times New Roman" w:cs="Times New Roman"/>
        </w:rPr>
        <w:t>c</w:t>
      </w:r>
      <w:r w:rsidRPr="00485B16">
        <w:rPr>
          <w:rFonts w:ascii="Times New Roman" w:hAnsi="Times New Roman" w:cs="Times New Roman"/>
        </w:rPr>
        <w:t xml:space="preserve">onfidence, </w:t>
      </w:r>
      <w:r w:rsidR="00330155">
        <w:rPr>
          <w:rFonts w:ascii="Times New Roman" w:hAnsi="Times New Roman" w:cs="Times New Roman"/>
        </w:rPr>
        <w:t>l</w:t>
      </w:r>
      <w:r w:rsidRPr="00485B16">
        <w:rPr>
          <w:rFonts w:ascii="Times New Roman" w:hAnsi="Times New Roman" w:cs="Times New Roman"/>
        </w:rPr>
        <w:t>ifestyle-</w:t>
      </w:r>
      <w:r w:rsidR="00330155">
        <w:rPr>
          <w:rFonts w:ascii="Times New Roman" w:hAnsi="Times New Roman" w:cs="Times New Roman"/>
        </w:rPr>
        <w:t>d</w:t>
      </w:r>
      <w:r w:rsidRPr="00485B16">
        <w:rPr>
          <w:rFonts w:ascii="Times New Roman" w:hAnsi="Times New Roman" w:cs="Times New Roman"/>
        </w:rPr>
        <w:t xml:space="preserve">riven </w:t>
      </w:r>
      <w:r w:rsidR="00330155">
        <w:rPr>
          <w:rFonts w:ascii="Times New Roman" w:hAnsi="Times New Roman" w:cs="Times New Roman"/>
        </w:rPr>
        <w:t>i</w:t>
      </w:r>
      <w:r w:rsidRPr="00485B16">
        <w:rPr>
          <w:rFonts w:ascii="Times New Roman" w:hAnsi="Times New Roman" w:cs="Times New Roman"/>
        </w:rPr>
        <w:t xml:space="preserve">ndividuals </w:t>
      </w:r>
      <w:r w:rsidR="00330155">
        <w:rPr>
          <w:rFonts w:ascii="Times New Roman" w:hAnsi="Times New Roman" w:cs="Times New Roman"/>
        </w:rPr>
        <w:t>b</w:t>
      </w:r>
      <w:r w:rsidRPr="00485B16">
        <w:rPr>
          <w:rFonts w:ascii="Times New Roman" w:hAnsi="Times New Roman" w:cs="Times New Roman"/>
        </w:rPr>
        <w:t xml:space="preserve">etween, </w:t>
      </w:r>
      <w:r w:rsidR="00330155">
        <w:rPr>
          <w:rFonts w:ascii="Times New Roman" w:hAnsi="Times New Roman" w:cs="Times New Roman"/>
        </w:rPr>
        <w:t>a</w:t>
      </w:r>
      <w:r w:rsidRPr="00485B16">
        <w:rPr>
          <w:rFonts w:ascii="Times New Roman" w:hAnsi="Times New Roman" w:cs="Times New Roman"/>
        </w:rPr>
        <w:t xml:space="preserve">nd </w:t>
      </w:r>
      <w:r w:rsidR="00330155">
        <w:rPr>
          <w:rFonts w:ascii="Times New Roman" w:hAnsi="Times New Roman" w:cs="Times New Roman"/>
        </w:rPr>
        <w:t>i</w:t>
      </w:r>
      <w:r w:rsidRPr="00485B16">
        <w:rPr>
          <w:rFonts w:ascii="Times New Roman" w:hAnsi="Times New Roman" w:cs="Times New Roman"/>
        </w:rPr>
        <w:t xml:space="preserve">ncluding, </w:t>
      </w:r>
      <w:r w:rsidR="00330155">
        <w:rPr>
          <w:rFonts w:ascii="Times New Roman" w:hAnsi="Times New Roman" w:cs="Times New Roman"/>
        </w:rPr>
        <w:t>t</w:t>
      </w:r>
      <w:r w:rsidRPr="00485B16">
        <w:rPr>
          <w:rFonts w:ascii="Times New Roman" w:hAnsi="Times New Roman" w:cs="Times New Roman"/>
        </w:rPr>
        <w:t xml:space="preserve">he </w:t>
      </w:r>
      <w:r w:rsidR="00330155">
        <w:rPr>
          <w:rFonts w:ascii="Times New Roman" w:hAnsi="Times New Roman" w:cs="Times New Roman"/>
        </w:rPr>
        <w:t>a</w:t>
      </w:r>
      <w:r w:rsidRPr="00485B16">
        <w:rPr>
          <w:rFonts w:ascii="Times New Roman" w:hAnsi="Times New Roman" w:cs="Times New Roman"/>
        </w:rPr>
        <w:t xml:space="preserve">ges </w:t>
      </w:r>
      <w:r w:rsidR="00330155">
        <w:rPr>
          <w:rFonts w:ascii="Times New Roman" w:hAnsi="Times New Roman" w:cs="Times New Roman"/>
        </w:rPr>
        <w:t>o</w:t>
      </w:r>
      <w:r w:rsidRPr="00485B16">
        <w:rPr>
          <w:rFonts w:ascii="Times New Roman" w:hAnsi="Times New Roman" w:cs="Times New Roman"/>
        </w:rPr>
        <w:t xml:space="preserve">f 50 </w:t>
      </w:r>
      <w:r w:rsidR="00330155">
        <w:rPr>
          <w:rFonts w:ascii="Times New Roman" w:hAnsi="Times New Roman" w:cs="Times New Roman"/>
        </w:rPr>
        <w:t>t</w:t>
      </w:r>
      <w:r w:rsidRPr="00485B16">
        <w:rPr>
          <w:rFonts w:ascii="Times New Roman" w:hAnsi="Times New Roman" w:cs="Times New Roman"/>
        </w:rPr>
        <w:t xml:space="preserve">o 65 </w:t>
      </w:r>
      <w:r w:rsidR="00330155">
        <w:rPr>
          <w:rFonts w:ascii="Times New Roman" w:hAnsi="Times New Roman" w:cs="Times New Roman"/>
        </w:rPr>
        <w:t>w</w:t>
      </w:r>
      <w:r w:rsidRPr="00485B16">
        <w:rPr>
          <w:rFonts w:ascii="Times New Roman" w:hAnsi="Times New Roman" w:cs="Times New Roman"/>
        </w:rPr>
        <w:t xml:space="preserve">ho </w:t>
      </w:r>
      <w:r w:rsidR="00330155">
        <w:rPr>
          <w:rFonts w:ascii="Times New Roman" w:hAnsi="Times New Roman" w:cs="Times New Roman"/>
        </w:rPr>
        <w:t>a</w:t>
      </w:r>
      <w:r w:rsidRPr="00485B16">
        <w:rPr>
          <w:rFonts w:ascii="Times New Roman" w:hAnsi="Times New Roman" w:cs="Times New Roman"/>
        </w:rPr>
        <w:t xml:space="preserve">re </w:t>
      </w:r>
      <w:r w:rsidR="00330155">
        <w:rPr>
          <w:rFonts w:ascii="Times New Roman" w:hAnsi="Times New Roman" w:cs="Times New Roman"/>
        </w:rPr>
        <w:t>l</w:t>
      </w:r>
      <w:r w:rsidRPr="00485B16">
        <w:rPr>
          <w:rFonts w:ascii="Times New Roman" w:hAnsi="Times New Roman" w:cs="Times New Roman"/>
        </w:rPr>
        <w:t xml:space="preserve">ooking </w:t>
      </w:r>
      <w:r w:rsidR="00330155">
        <w:rPr>
          <w:rFonts w:ascii="Times New Roman" w:hAnsi="Times New Roman" w:cs="Times New Roman"/>
        </w:rPr>
        <w:t>f</w:t>
      </w:r>
      <w:r w:rsidRPr="00485B16">
        <w:rPr>
          <w:rFonts w:ascii="Times New Roman" w:hAnsi="Times New Roman" w:cs="Times New Roman"/>
        </w:rPr>
        <w:t xml:space="preserve">or </w:t>
      </w:r>
      <w:r w:rsidR="00330155">
        <w:rPr>
          <w:rFonts w:ascii="Times New Roman" w:hAnsi="Times New Roman" w:cs="Times New Roman"/>
        </w:rPr>
        <w:t>c</w:t>
      </w:r>
      <w:r w:rsidRPr="00485B16">
        <w:rPr>
          <w:rFonts w:ascii="Times New Roman" w:hAnsi="Times New Roman" w:cs="Times New Roman"/>
        </w:rPr>
        <w:t xml:space="preserve">ontent </w:t>
      </w:r>
      <w:r w:rsidR="00330155">
        <w:rPr>
          <w:rFonts w:ascii="Times New Roman" w:hAnsi="Times New Roman" w:cs="Times New Roman"/>
        </w:rPr>
        <w:t>t</w:t>
      </w:r>
      <w:r w:rsidRPr="00485B16">
        <w:rPr>
          <w:rFonts w:ascii="Times New Roman" w:hAnsi="Times New Roman" w:cs="Times New Roman"/>
        </w:rPr>
        <w:t xml:space="preserve">hat </w:t>
      </w:r>
      <w:r w:rsidR="00330155">
        <w:rPr>
          <w:rFonts w:ascii="Times New Roman" w:hAnsi="Times New Roman" w:cs="Times New Roman"/>
        </w:rPr>
        <w:t>w</w:t>
      </w:r>
      <w:r w:rsidRPr="00485B16">
        <w:rPr>
          <w:rFonts w:ascii="Times New Roman" w:hAnsi="Times New Roman" w:cs="Times New Roman"/>
        </w:rPr>
        <w:t xml:space="preserve">ill </w:t>
      </w:r>
      <w:r w:rsidR="00330155">
        <w:rPr>
          <w:rFonts w:ascii="Times New Roman" w:hAnsi="Times New Roman" w:cs="Times New Roman"/>
        </w:rPr>
        <w:t>e</w:t>
      </w:r>
      <w:r w:rsidRPr="00485B16">
        <w:rPr>
          <w:rFonts w:ascii="Times New Roman" w:hAnsi="Times New Roman" w:cs="Times New Roman"/>
        </w:rPr>
        <w:t xml:space="preserve">nhance </w:t>
      </w:r>
      <w:r w:rsidR="00330155">
        <w:rPr>
          <w:rFonts w:ascii="Times New Roman" w:hAnsi="Times New Roman" w:cs="Times New Roman"/>
        </w:rPr>
        <w:t>t</w:t>
      </w:r>
      <w:r w:rsidRPr="00485B16">
        <w:rPr>
          <w:rFonts w:ascii="Times New Roman" w:hAnsi="Times New Roman" w:cs="Times New Roman"/>
        </w:rPr>
        <w:t xml:space="preserve">heir </w:t>
      </w:r>
      <w:r w:rsidR="00330155">
        <w:rPr>
          <w:rFonts w:ascii="Times New Roman" w:hAnsi="Times New Roman" w:cs="Times New Roman"/>
        </w:rPr>
        <w:t>l</w:t>
      </w:r>
      <w:r w:rsidRPr="00485B16">
        <w:rPr>
          <w:rFonts w:ascii="Times New Roman" w:hAnsi="Times New Roman" w:cs="Times New Roman"/>
        </w:rPr>
        <w:t xml:space="preserve">ives </w:t>
      </w:r>
      <w:r w:rsidR="00330155">
        <w:rPr>
          <w:rFonts w:ascii="Times New Roman" w:hAnsi="Times New Roman" w:cs="Times New Roman"/>
        </w:rPr>
        <w:t>a</w:t>
      </w:r>
      <w:r w:rsidRPr="00485B16">
        <w:rPr>
          <w:rFonts w:ascii="Times New Roman" w:hAnsi="Times New Roman" w:cs="Times New Roman"/>
        </w:rPr>
        <w:t xml:space="preserve">nd </w:t>
      </w:r>
      <w:r w:rsidR="00330155">
        <w:rPr>
          <w:rFonts w:ascii="Times New Roman" w:hAnsi="Times New Roman" w:cs="Times New Roman"/>
        </w:rPr>
        <w:t>h</w:t>
      </w:r>
      <w:r w:rsidRPr="00485B16">
        <w:rPr>
          <w:rFonts w:ascii="Times New Roman" w:hAnsi="Times New Roman" w:cs="Times New Roman"/>
        </w:rPr>
        <w:t xml:space="preserve">elp </w:t>
      </w:r>
      <w:r w:rsidR="00330155">
        <w:rPr>
          <w:rFonts w:ascii="Times New Roman" w:hAnsi="Times New Roman" w:cs="Times New Roman"/>
        </w:rPr>
        <w:t>t</w:t>
      </w:r>
      <w:r w:rsidRPr="00485B16">
        <w:rPr>
          <w:rFonts w:ascii="Times New Roman" w:hAnsi="Times New Roman" w:cs="Times New Roman"/>
        </w:rPr>
        <w:t xml:space="preserve">hem </w:t>
      </w:r>
      <w:r w:rsidR="00330155">
        <w:rPr>
          <w:rFonts w:ascii="Times New Roman" w:hAnsi="Times New Roman" w:cs="Times New Roman"/>
        </w:rPr>
        <w:t>t</w:t>
      </w:r>
      <w:r w:rsidRPr="00485B16">
        <w:rPr>
          <w:rFonts w:ascii="Times New Roman" w:hAnsi="Times New Roman" w:cs="Times New Roman"/>
        </w:rPr>
        <w:t xml:space="preserve">o </w:t>
      </w:r>
      <w:r w:rsidR="00330155">
        <w:rPr>
          <w:rFonts w:ascii="Times New Roman" w:hAnsi="Times New Roman" w:cs="Times New Roman"/>
        </w:rPr>
        <w:t>d</w:t>
      </w:r>
      <w:r w:rsidRPr="00485B16">
        <w:rPr>
          <w:rFonts w:ascii="Times New Roman" w:hAnsi="Times New Roman" w:cs="Times New Roman"/>
        </w:rPr>
        <w:t xml:space="preserve">iscover </w:t>
      </w:r>
      <w:r w:rsidR="00330155">
        <w:rPr>
          <w:rFonts w:ascii="Times New Roman" w:hAnsi="Times New Roman" w:cs="Times New Roman"/>
        </w:rPr>
        <w:t>t</w:t>
      </w:r>
      <w:r w:rsidRPr="00485B16">
        <w:rPr>
          <w:rFonts w:ascii="Times New Roman" w:hAnsi="Times New Roman" w:cs="Times New Roman"/>
        </w:rPr>
        <w:t xml:space="preserve">he </w:t>
      </w:r>
      <w:r w:rsidR="00330155">
        <w:rPr>
          <w:rFonts w:ascii="Times New Roman" w:hAnsi="Times New Roman" w:cs="Times New Roman"/>
        </w:rPr>
        <w:t>b</w:t>
      </w:r>
      <w:r w:rsidRPr="00485B16">
        <w:rPr>
          <w:rFonts w:ascii="Times New Roman" w:hAnsi="Times New Roman" w:cs="Times New Roman"/>
        </w:rPr>
        <w:t xml:space="preserve">est </w:t>
      </w:r>
      <w:r w:rsidR="00330155">
        <w:rPr>
          <w:rFonts w:ascii="Times New Roman" w:hAnsi="Times New Roman" w:cs="Times New Roman"/>
        </w:rPr>
        <w:t>v</w:t>
      </w:r>
      <w:r w:rsidRPr="00485B16">
        <w:rPr>
          <w:rFonts w:ascii="Times New Roman" w:hAnsi="Times New Roman" w:cs="Times New Roman"/>
        </w:rPr>
        <w:t xml:space="preserve">ersion </w:t>
      </w:r>
      <w:r w:rsidR="00330155">
        <w:rPr>
          <w:rFonts w:ascii="Times New Roman" w:hAnsi="Times New Roman" w:cs="Times New Roman"/>
        </w:rPr>
        <w:t>o</w:t>
      </w:r>
      <w:r w:rsidRPr="00485B16">
        <w:rPr>
          <w:rFonts w:ascii="Times New Roman" w:hAnsi="Times New Roman" w:cs="Times New Roman"/>
        </w:rPr>
        <w:t xml:space="preserve">f </w:t>
      </w:r>
      <w:r w:rsidR="00330155">
        <w:rPr>
          <w:rFonts w:ascii="Times New Roman" w:hAnsi="Times New Roman" w:cs="Times New Roman"/>
        </w:rPr>
        <w:t>t</w:t>
      </w:r>
      <w:r w:rsidRPr="00485B16">
        <w:rPr>
          <w:rFonts w:ascii="Times New Roman" w:hAnsi="Times New Roman" w:cs="Times New Roman"/>
        </w:rPr>
        <w:t xml:space="preserve">hemselves </w:t>
      </w:r>
      <w:r w:rsidR="00330155">
        <w:rPr>
          <w:rFonts w:ascii="Times New Roman" w:hAnsi="Times New Roman" w:cs="Times New Roman"/>
        </w:rPr>
        <w:t>a</w:t>
      </w:r>
      <w:r w:rsidRPr="00485B16">
        <w:rPr>
          <w:rFonts w:ascii="Times New Roman" w:hAnsi="Times New Roman" w:cs="Times New Roman"/>
        </w:rPr>
        <w:t xml:space="preserve">nd </w:t>
      </w:r>
      <w:r w:rsidR="00330155">
        <w:rPr>
          <w:rFonts w:ascii="Times New Roman" w:hAnsi="Times New Roman" w:cs="Times New Roman"/>
        </w:rPr>
        <w:t>n</w:t>
      </w:r>
      <w:r w:rsidRPr="00485B16">
        <w:rPr>
          <w:rFonts w:ascii="Times New Roman" w:hAnsi="Times New Roman" w:cs="Times New Roman"/>
        </w:rPr>
        <w:t xml:space="preserve">ot </w:t>
      </w:r>
      <w:r w:rsidR="00330155">
        <w:rPr>
          <w:rFonts w:ascii="Times New Roman" w:hAnsi="Times New Roman" w:cs="Times New Roman"/>
        </w:rPr>
        <w:t>c</w:t>
      </w:r>
      <w:r w:rsidRPr="00485B16">
        <w:rPr>
          <w:rFonts w:ascii="Times New Roman" w:hAnsi="Times New Roman" w:cs="Times New Roman"/>
        </w:rPr>
        <w:t xml:space="preserve">ontent </w:t>
      </w:r>
      <w:r w:rsidR="00330155">
        <w:rPr>
          <w:rFonts w:ascii="Times New Roman" w:hAnsi="Times New Roman" w:cs="Times New Roman"/>
        </w:rPr>
        <w:t>t</w:t>
      </w:r>
      <w:r w:rsidRPr="00485B16">
        <w:rPr>
          <w:rFonts w:ascii="Times New Roman" w:hAnsi="Times New Roman" w:cs="Times New Roman"/>
        </w:rPr>
        <w:t xml:space="preserve">hat </w:t>
      </w:r>
      <w:r w:rsidR="00330155">
        <w:rPr>
          <w:rFonts w:ascii="Times New Roman" w:hAnsi="Times New Roman" w:cs="Times New Roman"/>
        </w:rPr>
        <w:t>c</w:t>
      </w:r>
      <w:r w:rsidRPr="00485B16">
        <w:rPr>
          <w:rFonts w:ascii="Times New Roman" w:hAnsi="Times New Roman" w:cs="Times New Roman"/>
        </w:rPr>
        <w:t xml:space="preserve">onsists </w:t>
      </w:r>
      <w:r w:rsidR="00330155">
        <w:rPr>
          <w:rFonts w:ascii="Times New Roman" w:hAnsi="Times New Roman" w:cs="Times New Roman"/>
        </w:rPr>
        <w:t>s</w:t>
      </w:r>
      <w:r w:rsidRPr="00485B16">
        <w:rPr>
          <w:rFonts w:ascii="Times New Roman" w:hAnsi="Times New Roman" w:cs="Times New Roman"/>
        </w:rPr>
        <w:t xml:space="preserve">olely </w:t>
      </w:r>
      <w:r w:rsidR="00330155">
        <w:rPr>
          <w:rFonts w:ascii="Times New Roman" w:hAnsi="Times New Roman" w:cs="Times New Roman"/>
        </w:rPr>
        <w:t>o</w:t>
      </w:r>
      <w:r w:rsidRPr="00485B16">
        <w:rPr>
          <w:rFonts w:ascii="Times New Roman" w:hAnsi="Times New Roman" w:cs="Times New Roman"/>
        </w:rPr>
        <w:t xml:space="preserve">f </w:t>
      </w:r>
      <w:r w:rsidR="00330155">
        <w:rPr>
          <w:rFonts w:ascii="Times New Roman" w:hAnsi="Times New Roman" w:cs="Times New Roman"/>
        </w:rPr>
        <w:t>e</w:t>
      </w:r>
      <w:r w:rsidRPr="00485B16">
        <w:rPr>
          <w:rFonts w:ascii="Times New Roman" w:hAnsi="Times New Roman" w:cs="Times New Roman"/>
        </w:rPr>
        <w:t xml:space="preserve">scapism </w:t>
      </w:r>
      <w:r w:rsidR="00330155">
        <w:rPr>
          <w:rFonts w:ascii="Times New Roman" w:hAnsi="Times New Roman" w:cs="Times New Roman"/>
        </w:rPr>
        <w:t>o</w:t>
      </w:r>
      <w:r w:rsidRPr="00485B16">
        <w:rPr>
          <w:rFonts w:ascii="Times New Roman" w:hAnsi="Times New Roman" w:cs="Times New Roman"/>
        </w:rPr>
        <w:t xml:space="preserve">r </w:t>
      </w:r>
      <w:r w:rsidR="00330155">
        <w:rPr>
          <w:rFonts w:ascii="Times New Roman" w:hAnsi="Times New Roman" w:cs="Times New Roman"/>
        </w:rPr>
        <w:t>t</w:t>
      </w:r>
      <w:r w:rsidRPr="00485B16">
        <w:rPr>
          <w:rFonts w:ascii="Times New Roman" w:hAnsi="Times New Roman" w:cs="Times New Roman"/>
        </w:rPr>
        <w:t>rends. This demographic should not be regarded as "elderly" or "senior"; we must ensure that our marketing communications do not incorporate stereotypes that would be damaging to the Brand Image.</w:t>
      </w:r>
    </w:p>
    <w:p w14:paraId="25B5BB2B" w14:textId="77777777" w:rsidR="00330155" w:rsidRDefault="00330155" w:rsidP="00330155">
      <w:pPr>
        <w:pStyle w:val="ListParagraph"/>
        <w:numPr>
          <w:ilvl w:val="0"/>
          <w:numId w:val="2"/>
        </w:numPr>
        <w:spacing w:line="480" w:lineRule="auto"/>
        <w:jc w:val="both"/>
        <w:rPr>
          <w:rFonts w:ascii="Times New Roman" w:hAnsi="Times New Roman" w:cs="Times New Roman"/>
          <w:b/>
          <w:bCs/>
        </w:rPr>
      </w:pPr>
      <w:r w:rsidRPr="00330155">
        <w:rPr>
          <w:rFonts w:ascii="Times New Roman" w:hAnsi="Times New Roman" w:cs="Times New Roman"/>
          <w:b/>
          <w:bCs/>
        </w:rPr>
        <w:t>Positioning Strategies</w:t>
      </w:r>
    </w:p>
    <w:p w14:paraId="28A58B34" w14:textId="77777777" w:rsidR="00330155" w:rsidRDefault="00330155" w:rsidP="00485B16">
      <w:pPr>
        <w:spacing w:line="480" w:lineRule="auto"/>
        <w:jc w:val="both"/>
        <w:rPr>
          <w:rFonts w:ascii="Times New Roman" w:hAnsi="Times New Roman" w:cs="Times New Roman"/>
          <w:b/>
          <w:bCs/>
        </w:rPr>
      </w:pPr>
      <w:r w:rsidRPr="00330155">
        <w:rPr>
          <w:rFonts w:ascii="Times New Roman" w:hAnsi="Times New Roman" w:cs="Times New Roman"/>
        </w:rPr>
        <w:t>The</w:t>
      </w:r>
      <w:r w:rsidR="00485B16" w:rsidRPr="00330155">
        <w:rPr>
          <w:rFonts w:ascii="Times New Roman" w:hAnsi="Times New Roman" w:cs="Times New Roman"/>
        </w:rPr>
        <w:t xml:space="preserve"> positioning strategy will focus on positioning Netflix as the premier source for storytelling that can suit every stage of </w:t>
      </w:r>
      <w:r w:rsidRPr="00330155">
        <w:rPr>
          <w:rFonts w:ascii="Times New Roman" w:hAnsi="Times New Roman" w:cs="Times New Roman"/>
        </w:rPr>
        <w:t>life. The</w:t>
      </w:r>
      <w:r w:rsidR="00485B16" w:rsidRPr="00330155">
        <w:rPr>
          <w:rFonts w:ascii="Times New Roman" w:hAnsi="Times New Roman" w:cs="Times New Roman"/>
        </w:rPr>
        <w:t xml:space="preserve"> marketing campaign does not change the way Netflix is </w:t>
      </w:r>
      <w:r w:rsidR="00485B16" w:rsidRPr="00330155">
        <w:rPr>
          <w:rFonts w:ascii="Times New Roman" w:hAnsi="Times New Roman" w:cs="Times New Roman"/>
        </w:rPr>
        <w:lastRenderedPageBreak/>
        <w:t>positioned; it extends the current brand promise, which is to deliver depth, diversity, and relevance. According to the customer journey framework suggested by Hsu and Barnes (2022), it is critical to provide an ongoing, consistent value experience for customers, through all stages of their journey, from getting to know Netflix to developing a strong long-term relationship with the brand.</w:t>
      </w:r>
    </w:p>
    <w:p w14:paraId="33F5A551" w14:textId="44DB35A3" w:rsidR="00485B16" w:rsidRPr="00330155" w:rsidRDefault="00485B16" w:rsidP="00485B16">
      <w:pPr>
        <w:spacing w:line="480" w:lineRule="auto"/>
        <w:jc w:val="both"/>
        <w:rPr>
          <w:rFonts w:ascii="Times New Roman" w:hAnsi="Times New Roman" w:cs="Times New Roman"/>
          <w:b/>
          <w:bCs/>
        </w:rPr>
      </w:pPr>
      <w:r w:rsidRPr="00485B16">
        <w:rPr>
          <w:rFonts w:ascii="Times New Roman" w:hAnsi="Times New Roman" w:cs="Times New Roman"/>
        </w:rPr>
        <w:t>The marketing plan states that Netflix is a trusted resource to discover, learn and entertain. This approach sets Netflix apart from its main competitors, who primarily market products to consumers aged 18–34 or offer large amounts of volume-based content in many categories (e.g., music or movies). This will strengthen consumer's emotional connection with the Netflix brand, thus increasing perceived brand relevance.</w:t>
      </w:r>
    </w:p>
    <w:p w14:paraId="6A26725A" w14:textId="2FE080F6" w:rsidR="00485B16" w:rsidRPr="00330155" w:rsidRDefault="00485B16" w:rsidP="00330155">
      <w:pPr>
        <w:pStyle w:val="ListParagraph"/>
        <w:numPr>
          <w:ilvl w:val="0"/>
          <w:numId w:val="1"/>
        </w:numPr>
        <w:spacing w:line="480" w:lineRule="auto"/>
        <w:jc w:val="both"/>
        <w:rPr>
          <w:rFonts w:ascii="Times New Roman" w:hAnsi="Times New Roman" w:cs="Times New Roman"/>
          <w:b/>
          <w:bCs/>
        </w:rPr>
      </w:pPr>
      <w:r w:rsidRPr="00330155">
        <w:rPr>
          <w:rFonts w:ascii="Times New Roman" w:hAnsi="Times New Roman" w:cs="Times New Roman"/>
          <w:b/>
          <w:bCs/>
        </w:rPr>
        <w:t>Digital Channels Used for the Campaign</w:t>
      </w:r>
    </w:p>
    <w:p w14:paraId="06867707" w14:textId="77777777" w:rsidR="00330155" w:rsidRDefault="00485B16" w:rsidP="00485B16">
      <w:pPr>
        <w:spacing w:line="480" w:lineRule="auto"/>
        <w:jc w:val="both"/>
        <w:rPr>
          <w:rFonts w:ascii="Times New Roman" w:hAnsi="Times New Roman" w:cs="Times New Roman"/>
        </w:rPr>
      </w:pPr>
      <w:r w:rsidRPr="00485B16">
        <w:rPr>
          <w:rFonts w:ascii="Times New Roman" w:hAnsi="Times New Roman" w:cs="Times New Roman"/>
        </w:rPr>
        <w:t>The digital marketing campaign takes an integrated approach to digital marketing communications, so that all digital channels work together to communicate a single, consistent message. Esiri (2022) states that integrated digital communication is vital to expanding audiences and enabling brands to grow sustainably, particularly in the digital environment. Therefore, Netflix's marketing plan will emphasise digital media channels that are effective for the target audience and consistent with Netflix's data-driven capabilities.</w:t>
      </w:r>
    </w:p>
    <w:p w14:paraId="5654D8C2" w14:textId="609A0F2F"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Email marketing has a key role in the marketing campaign. Research conducted by Venkatesan and Kumar (2021) has shown that sending personal email campaigns increases a customer's lifetime value because they improve customer engagement and retention. Netflix has a wealth of behavioural data that enables it to send customised recommendations for the 50–</w:t>
      </w:r>
      <w:r w:rsidR="00330155" w:rsidRPr="00485B16">
        <w:rPr>
          <w:rFonts w:ascii="Times New Roman" w:hAnsi="Times New Roman" w:cs="Times New Roman"/>
        </w:rPr>
        <w:t>65-year-old</w:t>
      </w:r>
      <w:r w:rsidRPr="00485B16">
        <w:rPr>
          <w:rFonts w:ascii="Times New Roman" w:hAnsi="Times New Roman" w:cs="Times New Roman"/>
        </w:rPr>
        <w:t xml:space="preserve"> segment based on viewing habits and preferences. The emails to the 50–</w:t>
      </w:r>
      <w:r w:rsidR="00330155" w:rsidRPr="00485B16">
        <w:rPr>
          <w:rFonts w:ascii="Times New Roman" w:hAnsi="Times New Roman" w:cs="Times New Roman"/>
        </w:rPr>
        <w:t>65-year-old</w:t>
      </w:r>
      <w:r w:rsidRPr="00485B16">
        <w:rPr>
          <w:rFonts w:ascii="Times New Roman" w:hAnsi="Times New Roman" w:cs="Times New Roman"/>
        </w:rPr>
        <w:t xml:space="preserve"> segment of potential customers will focus on curated content grouped by categories such as documentaries, travel series, historical dramas, and award-winning </w:t>
      </w:r>
      <w:r w:rsidR="00330155" w:rsidRPr="00485B16">
        <w:rPr>
          <w:rFonts w:ascii="Times New Roman" w:hAnsi="Times New Roman" w:cs="Times New Roman"/>
        </w:rPr>
        <w:t>films. The</w:t>
      </w:r>
      <w:r w:rsidRPr="00485B16">
        <w:rPr>
          <w:rFonts w:ascii="Times New Roman" w:hAnsi="Times New Roman" w:cs="Times New Roman"/>
        </w:rPr>
        <w:t xml:space="preserve"> style for all </w:t>
      </w:r>
      <w:r w:rsidRPr="00485B16">
        <w:rPr>
          <w:rFonts w:ascii="Times New Roman" w:hAnsi="Times New Roman" w:cs="Times New Roman"/>
        </w:rPr>
        <w:lastRenderedPageBreak/>
        <w:t xml:space="preserve">communications will be </w:t>
      </w:r>
      <w:r w:rsidR="00330155">
        <w:rPr>
          <w:rFonts w:ascii="Times New Roman" w:hAnsi="Times New Roman" w:cs="Times New Roman"/>
        </w:rPr>
        <w:t>i</w:t>
      </w:r>
      <w:r w:rsidRPr="00485B16">
        <w:rPr>
          <w:rFonts w:ascii="Times New Roman" w:hAnsi="Times New Roman" w:cs="Times New Roman"/>
        </w:rPr>
        <w:t xml:space="preserve">nformative, </w:t>
      </w:r>
      <w:r w:rsidR="00330155">
        <w:rPr>
          <w:rFonts w:ascii="Times New Roman" w:hAnsi="Times New Roman" w:cs="Times New Roman"/>
        </w:rPr>
        <w:t>r</w:t>
      </w:r>
      <w:r w:rsidRPr="00485B16">
        <w:rPr>
          <w:rFonts w:ascii="Times New Roman" w:hAnsi="Times New Roman" w:cs="Times New Roman"/>
        </w:rPr>
        <w:t xml:space="preserve">espectful, and </w:t>
      </w:r>
      <w:r w:rsidR="00330155">
        <w:rPr>
          <w:rFonts w:ascii="Times New Roman" w:hAnsi="Times New Roman" w:cs="Times New Roman"/>
        </w:rPr>
        <w:t>a</w:t>
      </w:r>
      <w:r w:rsidRPr="00485B16">
        <w:rPr>
          <w:rFonts w:ascii="Times New Roman" w:hAnsi="Times New Roman" w:cs="Times New Roman"/>
        </w:rPr>
        <w:t xml:space="preserve">ffirmative. It will focus on </w:t>
      </w:r>
      <w:r w:rsidR="00330155">
        <w:rPr>
          <w:rFonts w:ascii="Times New Roman" w:hAnsi="Times New Roman" w:cs="Times New Roman"/>
        </w:rPr>
        <w:t>e</w:t>
      </w:r>
      <w:r w:rsidRPr="00485B16">
        <w:rPr>
          <w:rFonts w:ascii="Times New Roman" w:hAnsi="Times New Roman" w:cs="Times New Roman"/>
        </w:rPr>
        <w:t xml:space="preserve">ase of </w:t>
      </w:r>
      <w:r w:rsidR="00330155">
        <w:rPr>
          <w:rFonts w:ascii="Times New Roman" w:hAnsi="Times New Roman" w:cs="Times New Roman"/>
        </w:rPr>
        <w:t>u</w:t>
      </w:r>
      <w:r w:rsidRPr="00485B16">
        <w:rPr>
          <w:rFonts w:ascii="Times New Roman" w:hAnsi="Times New Roman" w:cs="Times New Roman"/>
        </w:rPr>
        <w:t xml:space="preserve">se and </w:t>
      </w:r>
      <w:r w:rsidR="00330155">
        <w:rPr>
          <w:rFonts w:ascii="Times New Roman" w:hAnsi="Times New Roman" w:cs="Times New Roman"/>
        </w:rPr>
        <w:t>r</w:t>
      </w:r>
      <w:r w:rsidRPr="00485B16">
        <w:rPr>
          <w:rFonts w:ascii="Times New Roman" w:hAnsi="Times New Roman" w:cs="Times New Roman"/>
        </w:rPr>
        <w:t>elevance.</w:t>
      </w:r>
    </w:p>
    <w:p w14:paraId="100C5DCD" w14:textId="4925D65D"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The second component of </w:t>
      </w:r>
      <w:r w:rsidR="00330155">
        <w:rPr>
          <w:rFonts w:ascii="Times New Roman" w:hAnsi="Times New Roman" w:cs="Times New Roman"/>
        </w:rPr>
        <w:t>the</w:t>
      </w:r>
      <w:r w:rsidRPr="00485B16">
        <w:rPr>
          <w:rFonts w:ascii="Times New Roman" w:hAnsi="Times New Roman" w:cs="Times New Roman"/>
        </w:rPr>
        <w:t xml:space="preserve"> marketing strategy is Social Media Marketing. </w:t>
      </w:r>
      <w:r w:rsidR="00330155">
        <w:rPr>
          <w:rFonts w:ascii="Times New Roman" w:hAnsi="Times New Roman" w:cs="Times New Roman"/>
        </w:rPr>
        <w:t>This</w:t>
      </w:r>
      <w:r w:rsidRPr="00485B16">
        <w:rPr>
          <w:rFonts w:ascii="Times New Roman" w:hAnsi="Times New Roman" w:cs="Times New Roman"/>
        </w:rPr>
        <w:t xml:space="preserve"> will focus on older adults using platforms with the highest penetration levels. Facebook and YouTube are particularly important since they allow for long-form content and storytelling. Research comparing social media engagement with Netflix content shows that how content is communicated and presented on different social media platforms affects how users interact with the content and view the brand (Rumaldo-Calderón et al., 2022). Therefore, will focus on using narrative depth and behind-the-scenes features as well as testimonials when sharing content through these types of channels, as opposed to creating fast-paced or meme-type videos that appeal to younger adults.</w:t>
      </w:r>
    </w:p>
    <w:p w14:paraId="45773459" w14:textId="6193EABA"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Content Marketing will also be a main element of </w:t>
      </w:r>
      <w:r w:rsidR="00330155">
        <w:rPr>
          <w:rFonts w:ascii="Times New Roman" w:hAnsi="Times New Roman" w:cs="Times New Roman"/>
        </w:rPr>
        <w:t>the</w:t>
      </w:r>
      <w:r w:rsidRPr="00485B16">
        <w:rPr>
          <w:rFonts w:ascii="Times New Roman" w:hAnsi="Times New Roman" w:cs="Times New Roman"/>
        </w:rPr>
        <w:t xml:space="preserve"> campaign that utili</w:t>
      </w:r>
      <w:r w:rsidR="00330155">
        <w:rPr>
          <w:rFonts w:ascii="Times New Roman" w:hAnsi="Times New Roman" w:cs="Times New Roman"/>
        </w:rPr>
        <w:t>s</w:t>
      </w:r>
      <w:r w:rsidRPr="00485B16">
        <w:rPr>
          <w:rFonts w:ascii="Times New Roman" w:hAnsi="Times New Roman" w:cs="Times New Roman"/>
        </w:rPr>
        <w:t xml:space="preserve">es Netflix's owned media. Owned media channels, including our Netflix app interface, website, and editorial content provide the highest levels of control and credibility. The effectiveness of using owned media to build brand audience by developing trust and maintaining engagement is well established (Kolesnyk, 2022). In addition, through the Netflix app, </w:t>
      </w:r>
      <w:r w:rsidR="00330155">
        <w:rPr>
          <w:rFonts w:ascii="Times New Roman" w:hAnsi="Times New Roman" w:cs="Times New Roman"/>
        </w:rPr>
        <w:t>it</w:t>
      </w:r>
      <w:r w:rsidRPr="00485B16">
        <w:rPr>
          <w:rFonts w:ascii="Times New Roman" w:hAnsi="Times New Roman" w:cs="Times New Roman"/>
        </w:rPr>
        <w:t xml:space="preserve"> can create curated collections of content along with editorial descriptions which help guide users to relevant content within the app. This approach supports the findings of </w:t>
      </w:r>
      <w:proofErr w:type="spellStart"/>
      <w:r w:rsidRPr="00485B16">
        <w:rPr>
          <w:rFonts w:ascii="Times New Roman" w:hAnsi="Times New Roman" w:cs="Times New Roman"/>
        </w:rPr>
        <w:t>Nurazizah</w:t>
      </w:r>
      <w:proofErr w:type="spellEnd"/>
      <w:r w:rsidRPr="00485B16">
        <w:rPr>
          <w:rFonts w:ascii="Times New Roman" w:hAnsi="Times New Roman" w:cs="Times New Roman"/>
        </w:rPr>
        <w:t xml:space="preserve"> et al. (2025) which indicate that content marketing is the primary contributor to brand image through the engagement of the customer.</w:t>
      </w:r>
    </w:p>
    <w:p w14:paraId="092020FD" w14:textId="12F85184" w:rsid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Another key competitive advantage for Netflix is its focus on </w:t>
      </w:r>
      <w:r w:rsidR="00D81B7B">
        <w:rPr>
          <w:rFonts w:ascii="Times New Roman" w:hAnsi="Times New Roman" w:cs="Times New Roman"/>
        </w:rPr>
        <w:t>i</w:t>
      </w:r>
      <w:r w:rsidRPr="00485B16">
        <w:rPr>
          <w:rFonts w:ascii="Times New Roman" w:hAnsi="Times New Roman" w:cs="Times New Roman"/>
        </w:rPr>
        <w:t xml:space="preserve">nternational and </w:t>
      </w:r>
      <w:r w:rsidR="00D81B7B">
        <w:rPr>
          <w:rFonts w:ascii="Times New Roman" w:hAnsi="Times New Roman" w:cs="Times New Roman"/>
        </w:rPr>
        <w:t>r</w:t>
      </w:r>
      <w:r w:rsidRPr="00485B16">
        <w:rPr>
          <w:rFonts w:ascii="Times New Roman" w:hAnsi="Times New Roman" w:cs="Times New Roman"/>
        </w:rPr>
        <w:t>egional content. Studies of OTT platforms indicate that a significant number of subscriptions are influenced by Regional and International content from diverse regions due to the increased interest in cultures from different regions (Chaudhary &amp; Kansal</w:t>
      </w:r>
      <w:r w:rsidR="00D81B7B" w:rsidRPr="00485B16">
        <w:rPr>
          <w:rFonts w:ascii="Times New Roman" w:hAnsi="Times New Roman" w:cs="Times New Roman"/>
        </w:rPr>
        <w:t>). Global</w:t>
      </w:r>
      <w:r w:rsidRPr="00485B16">
        <w:rPr>
          <w:rFonts w:ascii="Times New Roman" w:hAnsi="Times New Roman" w:cs="Times New Roman"/>
        </w:rPr>
        <w:t xml:space="preserve"> storytelling reflects </w:t>
      </w:r>
      <w:r w:rsidRPr="00485B16">
        <w:rPr>
          <w:rFonts w:ascii="Times New Roman" w:hAnsi="Times New Roman" w:cs="Times New Roman"/>
        </w:rPr>
        <w:lastRenderedPageBreak/>
        <w:t>the interests of the target audience in culture and learning, which resonates strongly with them. All digital channels will be coordinated to ensure that there is consistency of the message across all media, in keeping with the principles of integrated marketing communication (IMC) as defined by Weitz &amp; Wensley (2020) and Corcoran (2023). This coordinated approach provides the customer with a cohesive brand message.</w:t>
      </w:r>
    </w:p>
    <w:p w14:paraId="6FFEF4FC" w14:textId="14427173" w:rsidR="00D81B7B" w:rsidRPr="00D81B7B" w:rsidRDefault="00D81B7B" w:rsidP="00D81B7B">
      <w:pPr>
        <w:pStyle w:val="ListParagraph"/>
        <w:numPr>
          <w:ilvl w:val="0"/>
          <w:numId w:val="1"/>
        </w:numPr>
        <w:spacing w:line="480" w:lineRule="auto"/>
        <w:jc w:val="both"/>
        <w:rPr>
          <w:rFonts w:ascii="Times New Roman" w:hAnsi="Times New Roman" w:cs="Times New Roman"/>
          <w:b/>
          <w:bCs/>
        </w:rPr>
      </w:pPr>
      <w:r w:rsidRPr="00D81B7B">
        <w:rPr>
          <w:rFonts w:ascii="Times New Roman" w:hAnsi="Times New Roman" w:cs="Times New Roman"/>
          <w:b/>
          <w:bCs/>
        </w:rPr>
        <w:t>Measurement and Effectiveness</w:t>
      </w:r>
    </w:p>
    <w:p w14:paraId="40C59AB9"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Measuring the effectiveness of the marketing plan is critical. In a highly competitive and data-saturated environment, Netflix must evaluate its campaign efforts and be able to continue improving. The evaluation framework contains performance, engagement, retention, and brand metrics, which together provide an overall view of the campaign's success.</w:t>
      </w:r>
    </w:p>
    <w:p w14:paraId="249256B8" w14:textId="5F19DF9C"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Customer acquisition metrics for the marketing plan will include subscription growth in the 50-65 age demographic </w:t>
      </w:r>
      <w:proofErr w:type="gramStart"/>
      <w:r w:rsidRPr="00485B16">
        <w:rPr>
          <w:rFonts w:ascii="Times New Roman" w:hAnsi="Times New Roman" w:cs="Times New Roman"/>
        </w:rPr>
        <w:t>and also</w:t>
      </w:r>
      <w:proofErr w:type="gramEnd"/>
      <w:r w:rsidRPr="00485B16">
        <w:rPr>
          <w:rFonts w:ascii="Times New Roman" w:hAnsi="Times New Roman" w:cs="Times New Roman"/>
        </w:rPr>
        <w:t xml:space="preserve"> will include tracking which touchpoints contributed to the sign-up, and analysing how efficiently each campaign message delivered cost-effective sign-ups. Engagement metrics will look at email open rates, click-through rates, and viewing behaviours related to the categories of content being promoted through the campaign, which will give Netflix insight into how relevant and impactful their message is.</w:t>
      </w:r>
    </w:p>
    <w:p w14:paraId="6216DAB2"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Retention metrics are particularly important, since Netflix is strategically focused on their customers' lifetime value. Therefore, churn rates, number of times they use the platform, and length of time they hold their subscriptions will be tracked to show long-term effectiveness. According to Venkatesan &amp; Kumar (2021), sustained engagement with customers drives profitability, therefore retention is an important success factor.</w:t>
      </w:r>
    </w:p>
    <w:p w14:paraId="602EB3EE"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Whereas behavioural data alone, such as the metrics mentioned above, can help provide insight into success, brand-related metrics can provide additional information to assist in making hiring decisions with respect to new propositions. Thus, surveys and feedback tools could be utilised </w:t>
      </w:r>
      <w:r w:rsidRPr="00485B16">
        <w:rPr>
          <w:rFonts w:ascii="Times New Roman" w:hAnsi="Times New Roman" w:cs="Times New Roman"/>
        </w:rPr>
        <w:lastRenderedPageBreak/>
        <w:t>to measure the perceived relevance and perceived inclusivity of Netflix products, as well as general satisfaction with the brand in the target demographic. In addition, by employing Net Promoter Score (NPS) as a measure of advocacy and the potential for word-of-mouth recommendations, Netflix could receive more quantitative feedback on how successful their campaign messaging is.</w:t>
      </w:r>
    </w:p>
    <w:p w14:paraId="3C2A4EBF" w14:textId="6E59448D"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Netflix will utilise advanced analytics and machine learning to provide real-time insight into the campaign, maximising the ability to optimise the campaign mix on an ongoing basis. As Wang &amp; Xu (2022) note, an organisation must be agile in reallocating its resources to respond to changes in the market. Therefore, Netflix can make decisions regarding when to send their campaign messages and how to allocate resources for channel investment based on real-time performance metrics. In addition, mapping the customer journey, will help to identify potential friction points and improvement opportunities throughout the lifecycle of subscribers</w:t>
      </w:r>
      <w:r w:rsidR="00D81B7B">
        <w:rPr>
          <w:rFonts w:ascii="Times New Roman" w:hAnsi="Times New Roman" w:cs="Times New Roman"/>
        </w:rPr>
        <w:t xml:space="preserve"> (</w:t>
      </w:r>
      <w:r w:rsidR="00D81B7B" w:rsidRPr="00D81B7B">
        <w:rPr>
          <w:rFonts w:ascii="Times New Roman" w:hAnsi="Times New Roman" w:cs="Times New Roman"/>
        </w:rPr>
        <w:t>Hsu &amp; Barnes</w:t>
      </w:r>
      <w:r w:rsidR="00D81B7B">
        <w:rPr>
          <w:rFonts w:ascii="Times New Roman" w:hAnsi="Times New Roman" w:cs="Times New Roman"/>
        </w:rPr>
        <w:t xml:space="preserve">, </w:t>
      </w:r>
      <w:r w:rsidR="00D81B7B" w:rsidRPr="00D81B7B">
        <w:rPr>
          <w:rFonts w:ascii="Times New Roman" w:hAnsi="Times New Roman" w:cs="Times New Roman"/>
        </w:rPr>
        <w:t>2022)</w:t>
      </w:r>
      <w:r w:rsidR="00D81B7B">
        <w:rPr>
          <w:rFonts w:ascii="Times New Roman" w:hAnsi="Times New Roman" w:cs="Times New Roman"/>
        </w:rPr>
        <w:t>.</w:t>
      </w:r>
    </w:p>
    <w:p w14:paraId="4C8AAE80" w14:textId="4C149E84" w:rsidR="00485B16" w:rsidRPr="00D81B7B" w:rsidRDefault="00485B16" w:rsidP="00D81B7B">
      <w:pPr>
        <w:pStyle w:val="ListParagraph"/>
        <w:numPr>
          <w:ilvl w:val="0"/>
          <w:numId w:val="1"/>
        </w:numPr>
        <w:spacing w:line="480" w:lineRule="auto"/>
        <w:jc w:val="both"/>
        <w:rPr>
          <w:rFonts w:ascii="Times New Roman" w:hAnsi="Times New Roman" w:cs="Times New Roman"/>
          <w:b/>
          <w:bCs/>
        </w:rPr>
      </w:pPr>
      <w:r w:rsidRPr="00D81B7B">
        <w:rPr>
          <w:rFonts w:ascii="Times New Roman" w:hAnsi="Times New Roman" w:cs="Times New Roman"/>
          <w:b/>
          <w:bCs/>
        </w:rPr>
        <w:t>Conclusion</w:t>
      </w:r>
    </w:p>
    <w:p w14:paraId="11504BB3" w14:textId="77777777" w:rsidR="00D81B7B"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The marketing plan presented above has outlined a complete digital marketing campaign that aims to grow Netflix's subscription base by capturing the rapidly growing number of new subscribers who are aged between 50 and 65 years old, and who lead an active lifestyle. The reason for this campaign is to take advantage of the demographic trends that support the theory of customer lifetime value and to maximise the potential for this generation. By using a </w:t>
      </w:r>
      <w:r w:rsidR="00D81B7B" w:rsidRPr="00485B16">
        <w:rPr>
          <w:rFonts w:ascii="Times New Roman" w:hAnsi="Times New Roman" w:cs="Times New Roman"/>
        </w:rPr>
        <w:t>carefully designed</w:t>
      </w:r>
      <w:r w:rsidRPr="00485B16">
        <w:rPr>
          <w:rFonts w:ascii="Times New Roman" w:hAnsi="Times New Roman" w:cs="Times New Roman"/>
        </w:rPr>
        <w:t xml:space="preserve"> segmentation and positioning approach, the campaign intends to increase Netflix's relevance while maintaining the integrity of its existing brand.</w:t>
      </w:r>
    </w:p>
    <w:p w14:paraId="7644CE37" w14:textId="77777777" w:rsidR="00D81B7B"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The integrated use of the various digital channels utilised in the campaign, including email marketing, social media, and owned media content, supports the best practices of IMC and value-driven marketing as articulated in Weitz &amp; Wensley (2020) and Corcoran (2023). The </w:t>
      </w:r>
      <w:r w:rsidRPr="00485B16">
        <w:rPr>
          <w:rFonts w:ascii="Times New Roman" w:hAnsi="Times New Roman" w:cs="Times New Roman"/>
        </w:rPr>
        <w:lastRenderedPageBreak/>
        <w:t>focus on measurement and data-driven methodologies ensures the campaign is both accountable and sustainable.</w:t>
      </w:r>
    </w:p>
    <w:p w14:paraId="587B82A7" w14:textId="29C1436F" w:rsid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This strategy contributes to the long-term growth of Netflix by broadening its audience base, fostering stronger customer relationships, and enhancing its position as a global and inclusive entertainment brand. By emphasising this target demographic, Netflix will continue to be the leader in the streaming industry; the streaming market will only continue to get more competitive and mature.</w:t>
      </w:r>
    </w:p>
    <w:p w14:paraId="366A205D" w14:textId="77777777" w:rsidR="00485B16" w:rsidRDefault="00485B16" w:rsidP="00485B16">
      <w:pPr>
        <w:spacing w:line="480" w:lineRule="auto"/>
        <w:jc w:val="both"/>
        <w:rPr>
          <w:rFonts w:ascii="Times New Roman" w:hAnsi="Times New Roman" w:cs="Times New Roman"/>
        </w:rPr>
      </w:pPr>
    </w:p>
    <w:p w14:paraId="5CAC7EB5" w14:textId="77777777" w:rsidR="00485B16" w:rsidRDefault="00485B16" w:rsidP="00485B16">
      <w:pPr>
        <w:spacing w:line="480" w:lineRule="auto"/>
        <w:jc w:val="both"/>
        <w:rPr>
          <w:rFonts w:ascii="Times New Roman" w:hAnsi="Times New Roman" w:cs="Times New Roman"/>
        </w:rPr>
      </w:pPr>
    </w:p>
    <w:p w14:paraId="06C913BF" w14:textId="77777777" w:rsidR="00485B16" w:rsidRDefault="00485B16" w:rsidP="00485B16">
      <w:pPr>
        <w:spacing w:line="480" w:lineRule="auto"/>
        <w:jc w:val="both"/>
        <w:rPr>
          <w:rFonts w:ascii="Times New Roman" w:hAnsi="Times New Roman" w:cs="Times New Roman"/>
        </w:rPr>
      </w:pPr>
    </w:p>
    <w:p w14:paraId="10887659" w14:textId="77777777" w:rsidR="00485B16" w:rsidRDefault="00485B16" w:rsidP="00485B16">
      <w:pPr>
        <w:spacing w:line="480" w:lineRule="auto"/>
        <w:jc w:val="both"/>
        <w:rPr>
          <w:rFonts w:ascii="Times New Roman" w:hAnsi="Times New Roman" w:cs="Times New Roman"/>
        </w:rPr>
      </w:pPr>
    </w:p>
    <w:p w14:paraId="145F4BB4" w14:textId="77777777" w:rsidR="00485B16" w:rsidRDefault="00485B16" w:rsidP="00485B16">
      <w:pPr>
        <w:spacing w:line="480" w:lineRule="auto"/>
        <w:jc w:val="both"/>
        <w:rPr>
          <w:rFonts w:ascii="Times New Roman" w:hAnsi="Times New Roman" w:cs="Times New Roman"/>
        </w:rPr>
      </w:pPr>
    </w:p>
    <w:p w14:paraId="2B30AB3C" w14:textId="77777777" w:rsidR="00485B16" w:rsidRDefault="00485B16" w:rsidP="00485B16">
      <w:pPr>
        <w:spacing w:line="480" w:lineRule="auto"/>
        <w:jc w:val="both"/>
        <w:rPr>
          <w:rFonts w:ascii="Times New Roman" w:hAnsi="Times New Roman" w:cs="Times New Roman"/>
        </w:rPr>
      </w:pPr>
    </w:p>
    <w:p w14:paraId="1A34B6C1" w14:textId="77777777" w:rsidR="00485B16" w:rsidRDefault="00485B16" w:rsidP="00485B16">
      <w:pPr>
        <w:spacing w:line="480" w:lineRule="auto"/>
        <w:jc w:val="both"/>
        <w:rPr>
          <w:rFonts w:ascii="Times New Roman" w:hAnsi="Times New Roman" w:cs="Times New Roman"/>
        </w:rPr>
      </w:pPr>
    </w:p>
    <w:p w14:paraId="7154BC3A" w14:textId="77777777" w:rsidR="00485B16" w:rsidRDefault="00485B16" w:rsidP="00485B16">
      <w:pPr>
        <w:spacing w:line="480" w:lineRule="auto"/>
        <w:jc w:val="both"/>
        <w:rPr>
          <w:rFonts w:ascii="Times New Roman" w:hAnsi="Times New Roman" w:cs="Times New Roman"/>
        </w:rPr>
      </w:pPr>
    </w:p>
    <w:p w14:paraId="7886B8B1" w14:textId="77777777" w:rsidR="00485B16" w:rsidRDefault="00485B16" w:rsidP="00485B16">
      <w:pPr>
        <w:spacing w:line="480" w:lineRule="auto"/>
        <w:jc w:val="both"/>
        <w:rPr>
          <w:rFonts w:ascii="Times New Roman" w:hAnsi="Times New Roman" w:cs="Times New Roman"/>
        </w:rPr>
      </w:pPr>
    </w:p>
    <w:p w14:paraId="33B10733" w14:textId="77777777" w:rsidR="00485B16" w:rsidRDefault="00485B16" w:rsidP="00485B16">
      <w:pPr>
        <w:spacing w:line="480" w:lineRule="auto"/>
        <w:jc w:val="both"/>
        <w:rPr>
          <w:rFonts w:ascii="Times New Roman" w:hAnsi="Times New Roman" w:cs="Times New Roman"/>
        </w:rPr>
      </w:pPr>
    </w:p>
    <w:p w14:paraId="79CF7655" w14:textId="77777777" w:rsidR="00485B16" w:rsidRDefault="00485B16" w:rsidP="00485B16">
      <w:pPr>
        <w:spacing w:line="480" w:lineRule="auto"/>
        <w:jc w:val="both"/>
        <w:rPr>
          <w:rFonts w:ascii="Times New Roman" w:hAnsi="Times New Roman" w:cs="Times New Roman"/>
        </w:rPr>
      </w:pPr>
    </w:p>
    <w:p w14:paraId="1A6E495A" w14:textId="77777777" w:rsidR="00485B16" w:rsidRDefault="00485B16" w:rsidP="00485B16">
      <w:pPr>
        <w:spacing w:line="480" w:lineRule="auto"/>
        <w:jc w:val="both"/>
        <w:rPr>
          <w:rFonts w:ascii="Times New Roman" w:hAnsi="Times New Roman" w:cs="Times New Roman"/>
        </w:rPr>
      </w:pPr>
    </w:p>
    <w:p w14:paraId="7AC5C40F" w14:textId="77777777" w:rsidR="00485B16" w:rsidRDefault="00485B16" w:rsidP="00485B16">
      <w:pPr>
        <w:spacing w:line="480" w:lineRule="auto"/>
        <w:jc w:val="both"/>
        <w:rPr>
          <w:rFonts w:ascii="Times New Roman" w:hAnsi="Times New Roman" w:cs="Times New Roman"/>
        </w:rPr>
      </w:pPr>
    </w:p>
    <w:p w14:paraId="71F30E10" w14:textId="77777777" w:rsidR="00D81B7B" w:rsidRDefault="00D81B7B" w:rsidP="00485B16">
      <w:pPr>
        <w:spacing w:line="480" w:lineRule="auto"/>
        <w:jc w:val="both"/>
        <w:rPr>
          <w:rFonts w:ascii="Times New Roman" w:hAnsi="Times New Roman" w:cs="Times New Roman"/>
        </w:rPr>
      </w:pPr>
    </w:p>
    <w:p w14:paraId="6DF81BAA" w14:textId="48A80C77" w:rsidR="00485B16" w:rsidRPr="00D81B7B" w:rsidRDefault="00485B16" w:rsidP="00485B16">
      <w:pPr>
        <w:spacing w:line="480" w:lineRule="auto"/>
        <w:jc w:val="both"/>
        <w:rPr>
          <w:rFonts w:ascii="Times New Roman" w:hAnsi="Times New Roman" w:cs="Times New Roman"/>
          <w:b/>
          <w:bCs/>
        </w:rPr>
      </w:pPr>
      <w:r w:rsidRPr="00D81B7B">
        <w:rPr>
          <w:rFonts w:ascii="Times New Roman" w:hAnsi="Times New Roman" w:cs="Times New Roman"/>
          <w:b/>
          <w:bCs/>
        </w:rPr>
        <w:lastRenderedPageBreak/>
        <w:t xml:space="preserve">References </w:t>
      </w:r>
    </w:p>
    <w:p w14:paraId="49680600" w14:textId="144313C9" w:rsidR="00485B16" w:rsidRPr="00485B16" w:rsidRDefault="00485B16" w:rsidP="00485B16">
      <w:pPr>
        <w:spacing w:line="480" w:lineRule="auto"/>
        <w:jc w:val="both"/>
        <w:rPr>
          <w:rFonts w:ascii="Times New Roman" w:hAnsi="Times New Roman" w:cs="Times New Roman"/>
        </w:rPr>
      </w:pPr>
      <w:proofErr w:type="spellStart"/>
      <w:r w:rsidRPr="00485B16">
        <w:rPr>
          <w:rFonts w:ascii="Times New Roman" w:hAnsi="Times New Roman" w:cs="Times New Roman"/>
        </w:rPr>
        <w:t>Baranidharan</w:t>
      </w:r>
      <w:proofErr w:type="spellEnd"/>
      <w:r w:rsidRPr="00485B16">
        <w:rPr>
          <w:rFonts w:ascii="Times New Roman" w:hAnsi="Times New Roman" w:cs="Times New Roman"/>
        </w:rPr>
        <w:t xml:space="preserve">, S., &amp; Kulkarni, S. (2025). Beyond binge-watching: How Netflix can adapt its digital marketing strategy for long-term success. In </w:t>
      </w:r>
      <w:r w:rsidRPr="00D81B7B">
        <w:rPr>
          <w:rFonts w:ascii="Times New Roman" w:hAnsi="Times New Roman" w:cs="Times New Roman"/>
          <w:i/>
          <w:iCs/>
        </w:rPr>
        <w:t>Cases on effective digital marketing for competitive organi</w:t>
      </w:r>
      <w:r w:rsidR="00D81B7B">
        <w:rPr>
          <w:rFonts w:ascii="Times New Roman" w:hAnsi="Times New Roman" w:cs="Times New Roman"/>
          <w:i/>
          <w:iCs/>
        </w:rPr>
        <w:t>s</w:t>
      </w:r>
      <w:r w:rsidRPr="00D81B7B">
        <w:rPr>
          <w:rFonts w:ascii="Times New Roman" w:hAnsi="Times New Roman" w:cs="Times New Roman"/>
          <w:i/>
          <w:iCs/>
        </w:rPr>
        <w:t>ations</w:t>
      </w:r>
      <w:r w:rsidRPr="00485B16">
        <w:rPr>
          <w:rFonts w:ascii="Times New Roman" w:hAnsi="Times New Roman" w:cs="Times New Roman"/>
        </w:rPr>
        <w:t xml:space="preserve"> (pp. 43–90). IGI Global Scientific Publishing.</w:t>
      </w:r>
    </w:p>
    <w:p w14:paraId="3E84E7A9"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Chaudhary, R., &amp; Kansal, A. (n.d.). </w:t>
      </w:r>
      <w:r w:rsidRPr="00D81B7B">
        <w:rPr>
          <w:rFonts w:ascii="Times New Roman" w:hAnsi="Times New Roman" w:cs="Times New Roman"/>
          <w:i/>
          <w:iCs/>
        </w:rPr>
        <w:t>The impact of international and regional content on OTT subscription in India: Comparative study of Netflix and Amazon</w:t>
      </w:r>
      <w:r w:rsidRPr="00485B16">
        <w:rPr>
          <w:rFonts w:ascii="Times New Roman" w:hAnsi="Times New Roman" w:cs="Times New Roman"/>
        </w:rPr>
        <w:t>.</w:t>
      </w:r>
    </w:p>
    <w:p w14:paraId="2EA39D32"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Corcoran, A. (2023). </w:t>
      </w:r>
      <w:r w:rsidRPr="00D81B7B">
        <w:rPr>
          <w:rFonts w:ascii="Times New Roman" w:hAnsi="Times New Roman" w:cs="Times New Roman"/>
          <w:i/>
          <w:iCs/>
        </w:rPr>
        <w:t>Integrated digital marketing in practice</w:t>
      </w:r>
      <w:r w:rsidRPr="00485B16">
        <w:rPr>
          <w:rFonts w:ascii="Times New Roman" w:hAnsi="Times New Roman" w:cs="Times New Roman"/>
        </w:rPr>
        <w:t>. Cambridge University Press.</w:t>
      </w:r>
    </w:p>
    <w:p w14:paraId="0313F2B6"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Esiri, S. (2022). Integrated marketing communication framework for esports brand growth and audience expansion. </w:t>
      </w:r>
      <w:r w:rsidRPr="00D81B7B">
        <w:rPr>
          <w:rFonts w:ascii="Times New Roman" w:hAnsi="Times New Roman" w:cs="Times New Roman"/>
          <w:i/>
          <w:iCs/>
        </w:rPr>
        <w:t>Journal of Advance Multidisciplinary Research, 1</w:t>
      </w:r>
      <w:r w:rsidRPr="00485B16">
        <w:rPr>
          <w:rFonts w:ascii="Times New Roman" w:hAnsi="Times New Roman" w:cs="Times New Roman"/>
        </w:rPr>
        <w:t>(2), 39–47.</w:t>
      </w:r>
    </w:p>
    <w:p w14:paraId="1A428C46"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Haris, A., </w:t>
      </w:r>
      <w:proofErr w:type="spellStart"/>
      <w:r w:rsidRPr="00485B16">
        <w:rPr>
          <w:rFonts w:ascii="Times New Roman" w:hAnsi="Times New Roman" w:cs="Times New Roman"/>
        </w:rPr>
        <w:t>Samosir</w:t>
      </w:r>
      <w:proofErr w:type="spellEnd"/>
      <w:r w:rsidRPr="00485B16">
        <w:rPr>
          <w:rFonts w:ascii="Times New Roman" w:hAnsi="Times New Roman" w:cs="Times New Roman"/>
        </w:rPr>
        <w:t xml:space="preserve">, H. E., &amp; Lubis, S. H. (2023). Marketing communications as strategy expanding market share in era 4.0. </w:t>
      </w:r>
      <w:r w:rsidRPr="00D81B7B">
        <w:rPr>
          <w:rFonts w:ascii="Times New Roman" w:hAnsi="Times New Roman" w:cs="Times New Roman"/>
          <w:i/>
          <w:iCs/>
        </w:rPr>
        <w:t>International Journal of Social Science and Business, 7</w:t>
      </w:r>
      <w:r w:rsidRPr="00485B16">
        <w:rPr>
          <w:rFonts w:ascii="Times New Roman" w:hAnsi="Times New Roman" w:cs="Times New Roman"/>
        </w:rPr>
        <w:t>(1), 188–198.</w:t>
      </w:r>
    </w:p>
    <w:p w14:paraId="1AADAB8C"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Hsu, C. L., &amp; Barnes, B. (2022). The customer journey: How to chart a path to business success. </w:t>
      </w:r>
      <w:r w:rsidRPr="00D81B7B">
        <w:rPr>
          <w:rFonts w:ascii="Times New Roman" w:hAnsi="Times New Roman" w:cs="Times New Roman"/>
          <w:i/>
          <w:iCs/>
        </w:rPr>
        <w:t>Harvard Business Review, 100</w:t>
      </w:r>
      <w:r w:rsidRPr="00485B16">
        <w:rPr>
          <w:rFonts w:ascii="Times New Roman" w:hAnsi="Times New Roman" w:cs="Times New Roman"/>
        </w:rPr>
        <w:t>(3), 112–123.</w:t>
      </w:r>
    </w:p>
    <w:p w14:paraId="353FC85B" w14:textId="77777777" w:rsidR="00485B16" w:rsidRPr="00D81B7B" w:rsidRDefault="00485B16" w:rsidP="00485B16">
      <w:pPr>
        <w:spacing w:line="480" w:lineRule="auto"/>
        <w:jc w:val="both"/>
        <w:rPr>
          <w:rFonts w:ascii="Times New Roman" w:hAnsi="Times New Roman" w:cs="Times New Roman"/>
          <w:i/>
          <w:iCs/>
        </w:rPr>
      </w:pPr>
      <w:r w:rsidRPr="00485B16">
        <w:rPr>
          <w:rFonts w:ascii="Times New Roman" w:hAnsi="Times New Roman" w:cs="Times New Roman"/>
        </w:rPr>
        <w:t xml:space="preserve">Jacobsen, A. (2023). </w:t>
      </w:r>
      <w:r w:rsidRPr="00D81B7B">
        <w:rPr>
          <w:rFonts w:ascii="Times New Roman" w:hAnsi="Times New Roman" w:cs="Times New Roman"/>
          <w:i/>
          <w:iCs/>
        </w:rPr>
        <w:t>Values-driven marketing and IMC: How can emerging critical success factors from a values-driven marketing approach bridge the divide between brand owners and brand implementers in the effective execution and application of IMC?</w:t>
      </w:r>
    </w:p>
    <w:p w14:paraId="7C51E6FF"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Joonas, K., Mahfouz, A. Y., &amp; Hayes, R. A. (2023). Strategy for growth and market leadership: The Netflix case. </w:t>
      </w:r>
      <w:r w:rsidRPr="00D81B7B">
        <w:rPr>
          <w:rFonts w:ascii="Times New Roman" w:hAnsi="Times New Roman" w:cs="Times New Roman"/>
          <w:i/>
          <w:iCs/>
        </w:rPr>
        <w:t>AIMS International Journal of Management, 17</w:t>
      </w:r>
      <w:r w:rsidRPr="00485B16">
        <w:rPr>
          <w:rFonts w:ascii="Times New Roman" w:hAnsi="Times New Roman" w:cs="Times New Roman"/>
        </w:rPr>
        <w:t>(2).</w:t>
      </w:r>
    </w:p>
    <w:p w14:paraId="464D8168" w14:textId="77777777" w:rsidR="00D81B7B"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Kolesnyk, B. (2022). Analysis of the effectiveness of methods to expand the audience of the brand in its own media. </w:t>
      </w:r>
      <w:r w:rsidRPr="00D81B7B">
        <w:rPr>
          <w:rFonts w:ascii="Times New Roman" w:hAnsi="Times New Roman" w:cs="Times New Roman"/>
          <w:i/>
          <w:iCs/>
        </w:rPr>
        <w:t>Three Seas Economic Journal, 3</w:t>
      </w:r>
      <w:r w:rsidRPr="00485B16">
        <w:rPr>
          <w:rFonts w:ascii="Times New Roman" w:hAnsi="Times New Roman" w:cs="Times New Roman"/>
        </w:rPr>
        <w:t>(1), 85–92.</w:t>
      </w:r>
    </w:p>
    <w:p w14:paraId="3938351E" w14:textId="722310EE"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lastRenderedPageBreak/>
        <w:t xml:space="preserve">Nelsa, P., </w:t>
      </w:r>
      <w:proofErr w:type="spellStart"/>
      <w:r w:rsidRPr="00485B16">
        <w:rPr>
          <w:rFonts w:ascii="Times New Roman" w:hAnsi="Times New Roman" w:cs="Times New Roman"/>
        </w:rPr>
        <w:t>Paradita</w:t>
      </w:r>
      <w:proofErr w:type="spellEnd"/>
      <w:r w:rsidRPr="00485B16">
        <w:rPr>
          <w:rFonts w:ascii="Times New Roman" w:hAnsi="Times New Roman" w:cs="Times New Roman"/>
        </w:rPr>
        <w:t xml:space="preserve">, A. X., Hermawan, F. F., Ghifari, M. Y., &amp; Lubis, M. (2025). Netflix's digital transformation strategy: A systematic review of challenges and risk mitigation approaches. </w:t>
      </w:r>
      <w:r w:rsidRPr="00D81B7B">
        <w:rPr>
          <w:rFonts w:ascii="Times New Roman" w:hAnsi="Times New Roman" w:cs="Times New Roman"/>
          <w:i/>
          <w:iCs/>
        </w:rPr>
        <w:t>JIPI (</w:t>
      </w:r>
      <w:proofErr w:type="spellStart"/>
      <w:r w:rsidRPr="00D81B7B">
        <w:rPr>
          <w:rFonts w:ascii="Times New Roman" w:hAnsi="Times New Roman" w:cs="Times New Roman"/>
          <w:i/>
          <w:iCs/>
        </w:rPr>
        <w:t>Jurnal</w:t>
      </w:r>
      <w:proofErr w:type="spellEnd"/>
      <w:r w:rsidRPr="00D81B7B">
        <w:rPr>
          <w:rFonts w:ascii="Times New Roman" w:hAnsi="Times New Roman" w:cs="Times New Roman"/>
          <w:i/>
          <w:iCs/>
        </w:rPr>
        <w:t xml:space="preserve"> </w:t>
      </w:r>
      <w:proofErr w:type="spellStart"/>
      <w:r w:rsidRPr="00D81B7B">
        <w:rPr>
          <w:rFonts w:ascii="Times New Roman" w:hAnsi="Times New Roman" w:cs="Times New Roman"/>
          <w:i/>
          <w:iCs/>
        </w:rPr>
        <w:t>Ilmiah</w:t>
      </w:r>
      <w:proofErr w:type="spellEnd"/>
      <w:r w:rsidRPr="00D81B7B">
        <w:rPr>
          <w:rFonts w:ascii="Times New Roman" w:hAnsi="Times New Roman" w:cs="Times New Roman"/>
          <w:i/>
          <w:iCs/>
        </w:rPr>
        <w:t xml:space="preserve"> </w:t>
      </w:r>
      <w:proofErr w:type="spellStart"/>
      <w:r w:rsidRPr="00D81B7B">
        <w:rPr>
          <w:rFonts w:ascii="Times New Roman" w:hAnsi="Times New Roman" w:cs="Times New Roman"/>
          <w:i/>
          <w:iCs/>
        </w:rPr>
        <w:t>Penelitian</w:t>
      </w:r>
      <w:proofErr w:type="spellEnd"/>
      <w:r w:rsidRPr="00D81B7B">
        <w:rPr>
          <w:rFonts w:ascii="Times New Roman" w:hAnsi="Times New Roman" w:cs="Times New Roman"/>
          <w:i/>
          <w:iCs/>
        </w:rPr>
        <w:t xml:space="preserve"> dan </w:t>
      </w:r>
      <w:proofErr w:type="spellStart"/>
      <w:r w:rsidRPr="00D81B7B">
        <w:rPr>
          <w:rFonts w:ascii="Times New Roman" w:hAnsi="Times New Roman" w:cs="Times New Roman"/>
          <w:i/>
          <w:iCs/>
        </w:rPr>
        <w:t>Pembelajaran</w:t>
      </w:r>
      <w:proofErr w:type="spellEnd"/>
      <w:r w:rsidRPr="00D81B7B">
        <w:rPr>
          <w:rFonts w:ascii="Times New Roman" w:hAnsi="Times New Roman" w:cs="Times New Roman"/>
          <w:i/>
          <w:iCs/>
        </w:rPr>
        <w:t xml:space="preserve"> </w:t>
      </w:r>
      <w:proofErr w:type="spellStart"/>
      <w:r w:rsidRPr="00D81B7B">
        <w:rPr>
          <w:rFonts w:ascii="Times New Roman" w:hAnsi="Times New Roman" w:cs="Times New Roman"/>
          <w:i/>
          <w:iCs/>
        </w:rPr>
        <w:t>Informatika</w:t>
      </w:r>
      <w:proofErr w:type="spellEnd"/>
      <w:r w:rsidRPr="00D81B7B">
        <w:rPr>
          <w:rFonts w:ascii="Times New Roman" w:hAnsi="Times New Roman" w:cs="Times New Roman"/>
          <w:i/>
          <w:iCs/>
        </w:rPr>
        <w:t>), 10</w:t>
      </w:r>
      <w:r w:rsidRPr="00485B16">
        <w:rPr>
          <w:rFonts w:ascii="Times New Roman" w:hAnsi="Times New Roman" w:cs="Times New Roman"/>
        </w:rPr>
        <w:t>(2), 1133–1143.</w:t>
      </w:r>
    </w:p>
    <w:p w14:paraId="7C106A96" w14:textId="77777777" w:rsidR="00485B16" w:rsidRPr="00485B16" w:rsidRDefault="00485B16" w:rsidP="00485B16">
      <w:pPr>
        <w:spacing w:line="480" w:lineRule="auto"/>
        <w:jc w:val="both"/>
        <w:rPr>
          <w:rFonts w:ascii="Times New Roman" w:hAnsi="Times New Roman" w:cs="Times New Roman"/>
        </w:rPr>
      </w:pPr>
      <w:proofErr w:type="spellStart"/>
      <w:r w:rsidRPr="00485B16">
        <w:rPr>
          <w:rFonts w:ascii="Times New Roman" w:hAnsi="Times New Roman" w:cs="Times New Roman"/>
        </w:rPr>
        <w:t>Nurazizah</w:t>
      </w:r>
      <w:proofErr w:type="spellEnd"/>
      <w:r w:rsidRPr="00485B16">
        <w:rPr>
          <w:rFonts w:ascii="Times New Roman" w:hAnsi="Times New Roman" w:cs="Times New Roman"/>
        </w:rPr>
        <w:t xml:space="preserve">, A., </w:t>
      </w:r>
      <w:proofErr w:type="spellStart"/>
      <w:r w:rsidRPr="00485B16">
        <w:rPr>
          <w:rFonts w:ascii="Times New Roman" w:hAnsi="Times New Roman" w:cs="Times New Roman"/>
        </w:rPr>
        <w:t>Sadono</w:t>
      </w:r>
      <w:proofErr w:type="spellEnd"/>
      <w:r w:rsidRPr="00485B16">
        <w:rPr>
          <w:rFonts w:ascii="Times New Roman" w:hAnsi="Times New Roman" w:cs="Times New Roman"/>
        </w:rPr>
        <w:t xml:space="preserve">, T. P., &amp; </w:t>
      </w:r>
      <w:proofErr w:type="spellStart"/>
      <w:r w:rsidRPr="00485B16">
        <w:rPr>
          <w:rFonts w:ascii="Times New Roman" w:hAnsi="Times New Roman" w:cs="Times New Roman"/>
        </w:rPr>
        <w:t>Palupi</w:t>
      </w:r>
      <w:proofErr w:type="spellEnd"/>
      <w:r w:rsidRPr="00485B16">
        <w:rPr>
          <w:rFonts w:ascii="Times New Roman" w:hAnsi="Times New Roman" w:cs="Times New Roman"/>
        </w:rPr>
        <w:t xml:space="preserve">, M. F. T. (2025). The influence of content marketing on brand image through customer engagement. </w:t>
      </w:r>
      <w:r w:rsidRPr="00D81B7B">
        <w:rPr>
          <w:rFonts w:ascii="Times New Roman" w:hAnsi="Times New Roman" w:cs="Times New Roman"/>
          <w:i/>
          <w:iCs/>
        </w:rPr>
        <w:t>CONVERSE Journal Communication Science, 2</w:t>
      </w:r>
      <w:r w:rsidRPr="00485B16">
        <w:rPr>
          <w:rFonts w:ascii="Times New Roman" w:hAnsi="Times New Roman" w:cs="Times New Roman"/>
        </w:rPr>
        <w:t>(1), 11–11.</w:t>
      </w:r>
    </w:p>
    <w:p w14:paraId="56D09B7B"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Rumaldo-Calderón, C., Tupayachi-Torres, Y., &amp; </w:t>
      </w:r>
      <w:proofErr w:type="spellStart"/>
      <w:r w:rsidRPr="00485B16">
        <w:rPr>
          <w:rFonts w:ascii="Times New Roman" w:hAnsi="Times New Roman" w:cs="Times New Roman"/>
        </w:rPr>
        <w:t>Lodeiros-Zubiria</w:t>
      </w:r>
      <w:proofErr w:type="spellEnd"/>
      <w:r w:rsidRPr="00485B16">
        <w:rPr>
          <w:rFonts w:ascii="Times New Roman" w:hAnsi="Times New Roman" w:cs="Times New Roman"/>
        </w:rPr>
        <w:t xml:space="preserve">, M. L. (2022). Netflix: Comparison of the impact of social media content on social media engagement behaviour between followers of the series and the platform. In </w:t>
      </w:r>
      <w:r w:rsidRPr="00D81B7B">
        <w:rPr>
          <w:rFonts w:ascii="Times New Roman" w:hAnsi="Times New Roman" w:cs="Times New Roman"/>
          <w:i/>
          <w:iCs/>
        </w:rPr>
        <w:t>International conference on marketing and technologies</w:t>
      </w:r>
      <w:r w:rsidRPr="00485B16">
        <w:rPr>
          <w:rFonts w:ascii="Times New Roman" w:hAnsi="Times New Roman" w:cs="Times New Roman"/>
        </w:rPr>
        <w:t xml:space="preserve"> (pp. 241–255). Springer Nature Singapore.</w:t>
      </w:r>
    </w:p>
    <w:p w14:paraId="6D694A33"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Venkatesan, R., &amp; Kumar, V. (2021). The impact of email marketing campaigns on customer lifetime value</w:t>
      </w:r>
      <w:r w:rsidRPr="00D81B7B">
        <w:rPr>
          <w:rFonts w:ascii="Times New Roman" w:hAnsi="Times New Roman" w:cs="Times New Roman"/>
          <w:i/>
          <w:iCs/>
        </w:rPr>
        <w:t>. Journal of Interactive Marketing,</w:t>
      </w:r>
      <w:r w:rsidRPr="00485B16">
        <w:rPr>
          <w:rFonts w:ascii="Times New Roman" w:hAnsi="Times New Roman" w:cs="Times New Roman"/>
        </w:rPr>
        <w:t xml:space="preserve"> 53, 1–17.</w:t>
      </w:r>
    </w:p>
    <w:p w14:paraId="59EBF583" w14:textId="77777777"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Wang, Y., &amp; Xu, H. (2022). Marketing mix optimization using machine learning: A data-driven approach. </w:t>
      </w:r>
      <w:r w:rsidRPr="00D81B7B">
        <w:rPr>
          <w:rFonts w:ascii="Times New Roman" w:hAnsi="Times New Roman" w:cs="Times New Roman"/>
          <w:i/>
          <w:iCs/>
        </w:rPr>
        <w:t>Marketing Science, 41</w:t>
      </w:r>
      <w:r w:rsidRPr="00485B16">
        <w:rPr>
          <w:rFonts w:ascii="Times New Roman" w:hAnsi="Times New Roman" w:cs="Times New Roman"/>
        </w:rPr>
        <w:t>(3), 457–475.</w:t>
      </w:r>
    </w:p>
    <w:p w14:paraId="325716AC" w14:textId="627B4C2E" w:rsidR="00485B16" w:rsidRPr="00485B16" w:rsidRDefault="00485B16" w:rsidP="00485B16">
      <w:pPr>
        <w:spacing w:line="480" w:lineRule="auto"/>
        <w:jc w:val="both"/>
        <w:rPr>
          <w:rFonts w:ascii="Times New Roman" w:hAnsi="Times New Roman" w:cs="Times New Roman"/>
        </w:rPr>
      </w:pPr>
      <w:r w:rsidRPr="00485B16">
        <w:rPr>
          <w:rFonts w:ascii="Times New Roman" w:hAnsi="Times New Roman" w:cs="Times New Roman"/>
        </w:rPr>
        <w:t xml:space="preserve">Weitz, B. A., &amp; Wensley, R. (2020). Integrated marketing communications and the future of branding. </w:t>
      </w:r>
      <w:r w:rsidRPr="00D81B7B">
        <w:rPr>
          <w:rFonts w:ascii="Times New Roman" w:hAnsi="Times New Roman" w:cs="Times New Roman"/>
          <w:i/>
          <w:iCs/>
        </w:rPr>
        <w:t>Journal of Brand Management, 27</w:t>
      </w:r>
      <w:r w:rsidRPr="00485B16">
        <w:rPr>
          <w:rFonts w:ascii="Times New Roman" w:hAnsi="Times New Roman" w:cs="Times New Roman"/>
        </w:rPr>
        <w:t>(2), 163–177.</w:t>
      </w:r>
    </w:p>
    <w:sectPr w:rsidR="00485B16" w:rsidRPr="00485B16" w:rsidSect="00D81B7B">
      <w:headerReference w:type="default" r:id="rId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D55AD0" w14:textId="77777777" w:rsidR="00352DAC" w:rsidRDefault="00352DAC" w:rsidP="00D81B7B">
      <w:pPr>
        <w:spacing w:after="0" w:line="240" w:lineRule="auto"/>
      </w:pPr>
      <w:r>
        <w:separator/>
      </w:r>
    </w:p>
  </w:endnote>
  <w:endnote w:type="continuationSeparator" w:id="0">
    <w:p w14:paraId="127623F8" w14:textId="77777777" w:rsidR="00352DAC" w:rsidRDefault="00352DAC" w:rsidP="00D81B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5169C89" w14:textId="77777777" w:rsidR="00352DAC" w:rsidRDefault="00352DAC" w:rsidP="00D81B7B">
      <w:pPr>
        <w:spacing w:after="0" w:line="240" w:lineRule="auto"/>
      </w:pPr>
      <w:r>
        <w:separator/>
      </w:r>
    </w:p>
  </w:footnote>
  <w:footnote w:type="continuationSeparator" w:id="0">
    <w:p w14:paraId="50181A03" w14:textId="77777777" w:rsidR="00352DAC" w:rsidRDefault="00352DAC" w:rsidP="00D81B7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330361239"/>
      <w:docPartObj>
        <w:docPartGallery w:val="Page Numbers (Top of Page)"/>
        <w:docPartUnique/>
      </w:docPartObj>
    </w:sdtPr>
    <w:sdtEndPr>
      <w:rPr>
        <w:noProof/>
      </w:rPr>
    </w:sdtEndPr>
    <w:sdtContent>
      <w:p w14:paraId="3087EBE3" w14:textId="2E7BA44B" w:rsidR="00D81B7B" w:rsidRDefault="00D81B7B">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14:paraId="69B2F223" w14:textId="77777777" w:rsidR="00D81B7B" w:rsidRDefault="00D81B7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9154BC"/>
    <w:multiLevelType w:val="hybridMultilevel"/>
    <w:tmpl w:val="E4B6BB0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4B27563F"/>
    <w:multiLevelType w:val="hybridMultilevel"/>
    <w:tmpl w:val="B6AEDA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0584339">
    <w:abstractNumId w:val="1"/>
  </w:num>
  <w:num w:numId="2" w16cid:durableId="5153922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85B16"/>
    <w:rsid w:val="00330155"/>
    <w:rsid w:val="00352DAC"/>
    <w:rsid w:val="00485B16"/>
    <w:rsid w:val="005430DD"/>
    <w:rsid w:val="00927FBF"/>
    <w:rsid w:val="00CF00A0"/>
    <w:rsid w:val="00D81B7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690BE5F"/>
  <w15:chartTrackingRefBased/>
  <w15:docId w15:val="{06BA877F-2501-4341-AFBF-4E25918974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85B1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85B1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85B1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85B1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85B1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85B1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85B1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85B1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85B1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85B1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485B1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485B1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485B1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485B1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485B1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485B1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485B1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485B16"/>
    <w:rPr>
      <w:rFonts w:eastAsiaTheme="majorEastAsia" w:cstheme="majorBidi"/>
      <w:color w:val="272727" w:themeColor="text1" w:themeTint="D8"/>
    </w:rPr>
  </w:style>
  <w:style w:type="paragraph" w:styleId="Title">
    <w:name w:val="Title"/>
    <w:basedOn w:val="Normal"/>
    <w:next w:val="Normal"/>
    <w:link w:val="TitleChar"/>
    <w:uiPriority w:val="10"/>
    <w:qFormat/>
    <w:rsid w:val="00485B1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85B1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485B1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85B1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485B16"/>
    <w:pPr>
      <w:spacing w:before="160"/>
      <w:jc w:val="center"/>
    </w:pPr>
    <w:rPr>
      <w:i/>
      <w:iCs/>
      <w:color w:val="404040" w:themeColor="text1" w:themeTint="BF"/>
    </w:rPr>
  </w:style>
  <w:style w:type="character" w:customStyle="1" w:styleId="QuoteChar">
    <w:name w:val="Quote Char"/>
    <w:basedOn w:val="DefaultParagraphFont"/>
    <w:link w:val="Quote"/>
    <w:uiPriority w:val="29"/>
    <w:rsid w:val="00485B16"/>
    <w:rPr>
      <w:i/>
      <w:iCs/>
      <w:color w:val="404040" w:themeColor="text1" w:themeTint="BF"/>
    </w:rPr>
  </w:style>
  <w:style w:type="paragraph" w:styleId="ListParagraph">
    <w:name w:val="List Paragraph"/>
    <w:basedOn w:val="Normal"/>
    <w:uiPriority w:val="34"/>
    <w:qFormat/>
    <w:rsid w:val="00485B16"/>
    <w:pPr>
      <w:ind w:left="720"/>
      <w:contextualSpacing/>
    </w:pPr>
  </w:style>
  <w:style w:type="character" w:styleId="IntenseEmphasis">
    <w:name w:val="Intense Emphasis"/>
    <w:basedOn w:val="DefaultParagraphFont"/>
    <w:uiPriority w:val="21"/>
    <w:qFormat/>
    <w:rsid w:val="00485B16"/>
    <w:rPr>
      <w:i/>
      <w:iCs/>
      <w:color w:val="0F4761" w:themeColor="accent1" w:themeShade="BF"/>
    </w:rPr>
  </w:style>
  <w:style w:type="paragraph" w:styleId="IntenseQuote">
    <w:name w:val="Intense Quote"/>
    <w:basedOn w:val="Normal"/>
    <w:next w:val="Normal"/>
    <w:link w:val="IntenseQuoteChar"/>
    <w:uiPriority w:val="30"/>
    <w:qFormat/>
    <w:rsid w:val="00485B1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85B16"/>
    <w:rPr>
      <w:i/>
      <w:iCs/>
      <w:color w:val="0F4761" w:themeColor="accent1" w:themeShade="BF"/>
    </w:rPr>
  </w:style>
  <w:style w:type="character" w:styleId="IntenseReference">
    <w:name w:val="Intense Reference"/>
    <w:basedOn w:val="DefaultParagraphFont"/>
    <w:uiPriority w:val="32"/>
    <w:qFormat/>
    <w:rsid w:val="00485B16"/>
    <w:rPr>
      <w:b/>
      <w:bCs/>
      <w:smallCaps/>
      <w:color w:val="0F4761" w:themeColor="accent1" w:themeShade="BF"/>
      <w:spacing w:val="5"/>
    </w:rPr>
  </w:style>
  <w:style w:type="paragraph" w:styleId="Header">
    <w:name w:val="header"/>
    <w:basedOn w:val="Normal"/>
    <w:link w:val="HeaderChar"/>
    <w:uiPriority w:val="99"/>
    <w:unhideWhenUsed/>
    <w:rsid w:val="00D81B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1B7B"/>
  </w:style>
  <w:style w:type="paragraph" w:styleId="Footer">
    <w:name w:val="footer"/>
    <w:basedOn w:val="Normal"/>
    <w:link w:val="FooterChar"/>
    <w:uiPriority w:val="99"/>
    <w:unhideWhenUsed/>
    <w:rsid w:val="00D81B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1B7B"/>
  </w:style>
  <w:style w:type="paragraph" w:styleId="NoSpacing">
    <w:name w:val="No Spacing"/>
    <w:link w:val="NoSpacingChar"/>
    <w:uiPriority w:val="1"/>
    <w:qFormat/>
    <w:rsid w:val="00D81B7B"/>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D81B7B"/>
    <w:rPr>
      <w:rFonts w:eastAsiaTheme="minorEastAsia"/>
      <w:kern w:val="0"/>
      <w:sz w:val="22"/>
      <w:szCs w:val="22"/>
      <w:lang w:val="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2025-12-12T00:00:00</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2660</Words>
  <Characters>15166</Characters>
  <DocSecurity>0</DocSecurity>
  <Lines>126</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17791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Assignment 2: Report</dc:title>
  <dc:subject/>
  <cp:keywords/>
  <dc:description/>
  <dcterms:created xsi:type="dcterms:W3CDTF">2026-01-12T19:14:00Z</dcterms:created>
  <dcterms:modified xsi:type="dcterms:W3CDTF">2026-01-12T19:14:00Z</dcterms:modified>
</cp:coreProperties>
</file>