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2C6E" w:rsidRPr="00F33673" w:rsidRDefault="00492C6E" w:rsidP="00F33673">
      <w:pPr>
        <w:spacing w:line="480" w:lineRule="auto"/>
        <w:jc w:val="center"/>
      </w:pPr>
    </w:p>
    <w:p w:rsidR="00492C6E" w:rsidRPr="00F33673" w:rsidRDefault="00492C6E" w:rsidP="00F33673">
      <w:pPr>
        <w:spacing w:line="480" w:lineRule="auto"/>
        <w:jc w:val="center"/>
      </w:pPr>
    </w:p>
    <w:p w:rsidR="00492C6E" w:rsidRPr="00F33673" w:rsidRDefault="00492C6E" w:rsidP="00F33673">
      <w:pPr>
        <w:spacing w:line="480" w:lineRule="auto"/>
        <w:jc w:val="center"/>
      </w:pPr>
    </w:p>
    <w:p w:rsidR="00492C6E" w:rsidRPr="00F33673" w:rsidRDefault="00492C6E" w:rsidP="00F33673">
      <w:pPr>
        <w:spacing w:line="480" w:lineRule="auto"/>
        <w:jc w:val="center"/>
      </w:pPr>
    </w:p>
    <w:p w:rsidR="00492C6E" w:rsidRPr="00F33673" w:rsidRDefault="00492C6E" w:rsidP="00F33673">
      <w:pPr>
        <w:spacing w:line="480" w:lineRule="auto"/>
        <w:jc w:val="center"/>
      </w:pPr>
    </w:p>
    <w:p w:rsidR="00492C6E" w:rsidRPr="00F33673" w:rsidRDefault="00492C6E" w:rsidP="00F33673">
      <w:pPr>
        <w:spacing w:line="480" w:lineRule="auto"/>
        <w:jc w:val="center"/>
      </w:pPr>
    </w:p>
    <w:p w:rsidR="00492C6E" w:rsidRPr="00F33673" w:rsidRDefault="00492C6E" w:rsidP="00F33673">
      <w:pPr>
        <w:spacing w:line="480" w:lineRule="auto"/>
      </w:pPr>
    </w:p>
    <w:p w:rsidR="00492C6E" w:rsidRPr="00F33673" w:rsidRDefault="00492C6E" w:rsidP="00F33673">
      <w:pPr>
        <w:spacing w:line="480" w:lineRule="auto"/>
        <w:jc w:val="center"/>
      </w:pPr>
    </w:p>
    <w:p w:rsidR="006E3F88" w:rsidRPr="00F33673" w:rsidRDefault="006E3F88" w:rsidP="00F33673">
      <w:pPr>
        <w:spacing w:line="480" w:lineRule="auto"/>
        <w:jc w:val="center"/>
      </w:pPr>
      <w:r w:rsidRPr="00F33673">
        <w:t>Tittle:  BMSP6007 Economics of Sustainability</w:t>
      </w:r>
      <w:r w:rsidRPr="00F33673">
        <w:br/>
        <w:t>Assignment Name: Environmental Economics and Market Failure</w:t>
      </w:r>
    </w:p>
    <w:p w:rsidR="006E3F88" w:rsidRPr="00F33673" w:rsidRDefault="006E3F88" w:rsidP="00F33673">
      <w:pPr>
        <w:spacing w:line="480" w:lineRule="auto"/>
        <w:jc w:val="center"/>
      </w:pPr>
      <w:r w:rsidRPr="00F33673">
        <w:t>Student Name: Daniel Ramsey</w:t>
      </w:r>
    </w:p>
    <w:p w:rsidR="006E3F88" w:rsidRPr="00F33673" w:rsidRDefault="006E3F88" w:rsidP="00F33673">
      <w:pPr>
        <w:spacing w:line="480" w:lineRule="auto"/>
        <w:jc w:val="center"/>
      </w:pPr>
      <w:r w:rsidRPr="00F33673">
        <w:t>Course Name and Number:</w:t>
      </w:r>
      <w:r w:rsidR="00EC4DEC">
        <w:t xml:space="preserve"> Economics of Sustainability BMSP 6007</w:t>
      </w:r>
    </w:p>
    <w:p w:rsidR="006E3F88" w:rsidRPr="00F33673" w:rsidRDefault="006E3F88" w:rsidP="00F33673">
      <w:pPr>
        <w:spacing w:line="480" w:lineRule="auto"/>
        <w:jc w:val="center"/>
      </w:pPr>
      <w:r w:rsidRPr="00F33673">
        <w:t>Lecturer:</w:t>
      </w:r>
      <w:r w:rsidR="00EC4DEC">
        <w:t xml:space="preserve"> Anthony Burns</w:t>
      </w:r>
    </w:p>
    <w:p w:rsidR="00A37E49" w:rsidRPr="00F33673" w:rsidRDefault="006E3F88" w:rsidP="00F33673">
      <w:pPr>
        <w:spacing w:line="480" w:lineRule="auto"/>
        <w:jc w:val="center"/>
      </w:pPr>
      <w:r w:rsidRPr="00F33673">
        <w:t>Date:</w:t>
      </w:r>
      <w:r w:rsidR="00EC4DEC">
        <w:t xml:space="preserve"> 28.03.2020</w:t>
      </w:r>
    </w:p>
    <w:p w:rsidR="00A37E49" w:rsidRPr="00F33673" w:rsidRDefault="00A37E49" w:rsidP="00F33673">
      <w:pPr>
        <w:spacing w:line="480" w:lineRule="auto"/>
      </w:pPr>
      <w:r w:rsidRPr="00F33673">
        <w:br w:type="page"/>
      </w:r>
    </w:p>
    <w:p w:rsidR="00B35B45" w:rsidRDefault="00A37E49" w:rsidP="00F33673">
      <w:pPr>
        <w:spacing w:line="480" w:lineRule="auto"/>
        <w:jc w:val="center"/>
      </w:pPr>
      <w:r w:rsidRPr="00F33673">
        <w:lastRenderedPageBreak/>
        <w:t>Environmental Economics and Market Failure</w:t>
      </w:r>
    </w:p>
    <w:p w:rsidR="00EC4DEC" w:rsidRDefault="00EC4DEC" w:rsidP="00EC4DEC">
      <w:pPr>
        <w:spacing w:line="480" w:lineRule="auto"/>
        <w:jc w:val="center"/>
      </w:pPr>
      <w:r>
        <w:t>Introduction</w:t>
      </w:r>
    </w:p>
    <w:p w:rsidR="00AB147B" w:rsidRPr="00F33673" w:rsidRDefault="00AB147B" w:rsidP="00EC4DEC">
      <w:pPr>
        <w:spacing w:line="480" w:lineRule="auto"/>
        <w:ind w:firstLine="720"/>
      </w:pPr>
      <w:r w:rsidRPr="00F33673">
        <w:t>Benjamin Franklin once stated that the only certain things in this world are taxes and death. The climate change problem is today so pressing, that the world is currently facing a blatant choice between the early death of millions of people around the globe from effects of pollution and climate change, and the utilization of taxes or other monetary incentives to shift the cost of carbon-intensive energy sources than the cost of "green" energy sources. Consequently, there is the need to explore the economic policies which have been put in place to solve the market failures due to environmental pollution leading to climate change (</w:t>
      </w:r>
      <w:proofErr w:type="spellStart"/>
      <w:r w:rsidRPr="00F33673">
        <w:t>Hussen</w:t>
      </w:r>
      <w:proofErr w:type="spellEnd"/>
      <w:r w:rsidRPr="00F33673">
        <w:t xml:space="preserve">, 2018). In the steel production industry, market failures associated with environmental pollution have been attributed to greenhouse gas emissions (GHGE), which result in climate change. Some policies to reduce GHGE, have been put in place, but thus far, they seem not to have been </w:t>
      </w:r>
      <w:r w:rsidR="00EC4DEC">
        <w:t xml:space="preserve">effective </w:t>
      </w:r>
      <w:r w:rsidRPr="00F33673">
        <w:t xml:space="preserve">enough in reducing GHGE. </w:t>
      </w:r>
    </w:p>
    <w:p w:rsidR="00AB147B" w:rsidRPr="00F33673" w:rsidRDefault="00AB147B" w:rsidP="00F33673">
      <w:pPr>
        <w:spacing w:line="480" w:lineRule="auto"/>
        <w:ind w:firstLine="720"/>
      </w:pPr>
      <w:r w:rsidRPr="00F33673">
        <w:t xml:space="preserve">All economists are aware of the possibility of influencing the quantity and price of the commodity.  Managing pricing is the best strategy for managing the quantity supplied and demanded. The issue of climate change needs an urgent strategy with an immediate effect on the relative cost of activities that generate carbon. This strategy could aim at reducing the existing subsidy to the fuels that are produced for externalizing most production costs and gaining a market edge over renewable sources of energy which bear full production costs, which many green fuel substitutes to carbon-based energies must accept. </w:t>
      </w:r>
    </w:p>
    <w:p w:rsidR="00AB147B" w:rsidRPr="00F33673" w:rsidRDefault="00AB147B" w:rsidP="00F33673">
      <w:pPr>
        <w:spacing w:line="480" w:lineRule="auto"/>
        <w:ind w:firstLine="720"/>
      </w:pPr>
      <w:r w:rsidRPr="00F33673">
        <w:t xml:space="preserve">For more than twenty decades, the world has experienced pollution from various industries that have never born their full production cost in the best case of market failure ever </w:t>
      </w:r>
      <w:r w:rsidRPr="00F33673">
        <w:lastRenderedPageBreak/>
        <w:t xml:space="preserve">seen. There is a need for an immediate resolution to this issue that can only be achieved through a carbon tax (Lewis &amp; </w:t>
      </w:r>
      <w:proofErr w:type="spellStart"/>
      <w:r w:rsidRPr="00F33673">
        <w:t>Tietenberg</w:t>
      </w:r>
      <w:proofErr w:type="spellEnd"/>
      <w:r w:rsidRPr="00F33673">
        <w:t xml:space="preserve">, 2019). Relying on the emissions trading scheme (ETS) approach to resolve the ultimate market failure ever witnessed would not fix it. </w:t>
      </w:r>
    </w:p>
    <w:p w:rsidR="00AB147B" w:rsidRPr="00F33673" w:rsidRDefault="00AB147B" w:rsidP="00F33673">
      <w:pPr>
        <w:spacing w:line="480" w:lineRule="auto"/>
        <w:ind w:firstLine="720"/>
      </w:pPr>
      <w:r w:rsidRPr="00F33673">
        <w:t xml:space="preserve">An ETS, as well as specified emissions targets, have been tested and but are unsuccessful. They could have offered a solution, but they are less specific and have a slower effect compared to a carbon tax. For instance, the Kyoto Protocol presents the approved emissions targets, although the proof obtainable today shows that many nations will are unable to fulfill their targets since they are mainly focused on growing and sustaining economic activities (Andrew, </w:t>
      </w:r>
      <w:proofErr w:type="spellStart"/>
      <w:r w:rsidRPr="00F33673">
        <w:t>Kaidonis</w:t>
      </w:r>
      <w:proofErr w:type="spellEnd"/>
      <w:r w:rsidRPr="00F33673">
        <w:t xml:space="preserve"> &amp; Andrew, 2010). The immediate needs of growing the economy appear to overlap the non-immediate needs of restricting GHGE. The pertinent sanctions would be difficult to impose against any independent nation which is not willing to conform to the targets. </w:t>
      </w:r>
    </w:p>
    <w:p w:rsidR="00AB147B" w:rsidRPr="00F33673" w:rsidRDefault="00AB147B" w:rsidP="00F33673">
      <w:pPr>
        <w:spacing w:line="480" w:lineRule="auto"/>
        <w:ind w:firstLine="720"/>
      </w:pPr>
      <w:r w:rsidRPr="00F33673">
        <w:t>The European Union's ETS was introduced in 2005 as the biggest multistate, multi-industry global GHGE trading system. During its initial phase, there were limited types and number of installations, and the scheme was limited to controlling and monitoring CO2 only. The ETS requires the specific huge GHGs emitters to monitor as well as report their CO2 emissi</w:t>
      </w:r>
      <w:r w:rsidR="00F33673" w:rsidRPr="00F33673">
        <w:t xml:space="preserve">ons (Green, Hayward &amp; </w:t>
      </w:r>
      <w:proofErr w:type="spellStart"/>
      <w:r w:rsidR="00F33673" w:rsidRPr="00F33673">
        <w:t>Hassett</w:t>
      </w:r>
      <w:proofErr w:type="spellEnd"/>
      <w:r w:rsidR="00F33673" w:rsidRPr="00F33673">
        <w:t xml:space="preserve">, </w:t>
      </w:r>
      <w:r w:rsidRPr="00F33673">
        <w:t xml:space="preserve">2007). To make sure that actual declines of CO2 emissions took place, there was a requirement for the EU governments to guarantee that the full amount of allowances granted to installations was lower than the CO2 amount emitted under the projected condition of normal operations of a business. </w:t>
      </w:r>
    </w:p>
    <w:p w:rsidR="00F33673" w:rsidRPr="00EC4DEC" w:rsidRDefault="00F33673" w:rsidP="00F33673">
      <w:pPr>
        <w:spacing w:line="480" w:lineRule="auto"/>
        <w:ind w:firstLine="720"/>
      </w:pPr>
      <w:r w:rsidRPr="00EC4DEC">
        <w:t xml:space="preserve">The ETS enabled a regulated company to utilize a carbon credit for complying with their obligations for returning an amount for emission allowance to the government that is equal to the installation emissions’ amount into the environment, in a year. A government was expected to provide credits equal to 95% of expected emissions, while the other 5% of emissions was for </w:t>
      </w:r>
      <w:r w:rsidRPr="00EC4DEC">
        <w:lastRenderedPageBreak/>
        <w:t>trading (Andrew, 2008). Installations were expected to buy additional credits from other traders or installations and can trade any surplus allowances which they accumulated to anyone in the market. Regulated entities could purchase carbon credits from different carbon reduction projects which were certified by the host governments or the EU’s clean development mechanism executive board to trade carbon credits. After a few years, the experience revealed that European governments were permitting their industries any amount of CO</w:t>
      </w:r>
      <w:r w:rsidRPr="00EC4DEC">
        <w:rPr>
          <w:vertAlign w:val="subscript"/>
        </w:rPr>
        <w:t xml:space="preserve">2 </w:t>
      </w:r>
      <w:r w:rsidRPr="00EC4DEC">
        <w:t xml:space="preserve">that they can at a small or no cost. </w:t>
      </w:r>
    </w:p>
    <w:p w:rsidR="00F33673" w:rsidRPr="00EC4DEC" w:rsidRDefault="00F33673" w:rsidP="00F33673">
      <w:pPr>
        <w:spacing w:line="480" w:lineRule="auto"/>
        <w:ind w:firstLine="720"/>
      </w:pPr>
      <w:r w:rsidRPr="00EC4DEC">
        <w:t>During the initial year of ETS’ operation, the trade of CO</w:t>
      </w:r>
      <w:r w:rsidRPr="00EC4DEC">
        <w:rPr>
          <w:vertAlign w:val="subscript"/>
        </w:rPr>
        <w:t xml:space="preserve">2 </w:t>
      </w:r>
      <w:r w:rsidRPr="00EC4DEC">
        <w:t>was about 360 million tons, amounting to 7.2 billion Euros. In the initial year, in April 2006, the emissions’ price rose steadily, and peaked at 30 Euros per ton, although the price started falling rapidly immediately after as it turned out evident that most nations had granted their industries very generous emission caps, making it needless for industries to reduce emissions (Andrew, 2008). As a result, this led to a confidence crisis in the ETS system, and CO</w:t>
      </w:r>
      <w:r w:rsidRPr="00EC4DEC">
        <w:rPr>
          <w:vertAlign w:val="subscript"/>
        </w:rPr>
        <w:t xml:space="preserve">2 </w:t>
      </w:r>
      <w:r w:rsidRPr="00EC4DEC">
        <w:t xml:space="preserve">prices decreased fast in the subsequent year and as of March 2007, they traded at 1.2 Euros per ton. </w:t>
      </w:r>
    </w:p>
    <w:p w:rsidR="00F33673" w:rsidRPr="00F33673" w:rsidRDefault="00F33673" w:rsidP="00F33673">
      <w:pPr>
        <w:spacing w:line="480" w:lineRule="auto"/>
        <w:ind w:firstLine="720"/>
      </w:pPr>
      <w:r w:rsidRPr="00EC4DEC">
        <w:t>Eventually, the price reduced to 0.01 Euros per ton as of September 2007, consequently discrediting the market and resulted in calls from various non-governmental organizations for most strict CO</w:t>
      </w:r>
      <w:r w:rsidRPr="00EC4DEC">
        <w:rPr>
          <w:vertAlign w:val="subscript"/>
        </w:rPr>
        <w:t xml:space="preserve">2 </w:t>
      </w:r>
      <w:r w:rsidRPr="00EC4DEC">
        <w:t>limitations and more rigid</w:t>
      </w:r>
      <w:r w:rsidRPr="00EC4DEC">
        <w:rPr>
          <w:vertAlign w:val="subscript"/>
        </w:rPr>
        <w:t xml:space="preserve"> </w:t>
      </w:r>
      <w:r w:rsidRPr="00EC4DEC">
        <w:t>emission credits’ allowances in the subsequent phase of ETS. Subsequently, ETS’ second phase started in 2008, and those involved had the confidence of not repeating the first phase’s mistake (Andrew, 2008). The allowances were stricter, and the system included more greenhouse polluters, such as the airline sector. However, the second phase also proved futile, and it was a big failure.</w:t>
      </w:r>
      <w:r w:rsidRPr="00F33673">
        <w:t xml:space="preserve"> </w:t>
      </w:r>
    </w:p>
    <w:p w:rsidR="00AB147B" w:rsidRPr="00F33673" w:rsidRDefault="008C121A" w:rsidP="00F33673">
      <w:pPr>
        <w:spacing w:line="480" w:lineRule="auto"/>
        <w:ind w:firstLine="720"/>
      </w:pPr>
      <w:r w:rsidRPr="00F33673">
        <w:t>As per the</w:t>
      </w:r>
      <w:r w:rsidR="00AB147B" w:rsidRPr="00F33673">
        <w:t xml:space="preserve"> European Commission's data</w:t>
      </w:r>
      <w:r w:rsidR="004E7285" w:rsidRPr="00F33673">
        <w:t>, many member states gave the carbon emission allowances of their industries,</w:t>
      </w:r>
      <w:r w:rsidR="00AB147B" w:rsidRPr="00F33673">
        <w:t xml:space="preserve"> which were extremely lenient, which in 2007 led to the carbon </w:t>
      </w:r>
      <w:r w:rsidR="00AB147B" w:rsidRPr="00F33673">
        <w:lastRenderedPageBreak/>
        <w:t xml:space="preserve">market's virtual collapse. The emissions were below the stipulated permits, consequently distorting the market and undermining the ETS credibility. </w:t>
      </w:r>
      <w:r w:rsidR="00F33673" w:rsidRPr="00F33673">
        <w:t>Initially,</w:t>
      </w:r>
      <w:r w:rsidR="00AB147B" w:rsidRPr="00F33673">
        <w:t xml:space="preserve"> the ETS was a good regulation to regulate the amount of carbon and other GHGs emitted by different industries, among them the steel production industry. The ETS </w:t>
      </w:r>
      <w:r w:rsidR="004E7285" w:rsidRPr="00F33673">
        <w:t xml:space="preserve">began </w:t>
      </w:r>
      <w:r w:rsidR="00AB147B" w:rsidRPr="00F33673">
        <w:t xml:space="preserve">well but nearly </w:t>
      </w:r>
      <w:r w:rsidR="004E7285" w:rsidRPr="00F33673">
        <w:t>failed</w:t>
      </w:r>
      <w:r w:rsidR="00AB147B" w:rsidRPr="00F33673">
        <w:t xml:space="preserve"> due to the absence of transparency in the reporting of industrial emissions in some nations (Andrew, </w:t>
      </w:r>
      <w:proofErr w:type="spellStart"/>
      <w:r w:rsidR="00AB147B" w:rsidRPr="00F33673">
        <w:t>Kaidonis</w:t>
      </w:r>
      <w:proofErr w:type="spellEnd"/>
      <w:r w:rsidR="00AB147B" w:rsidRPr="00F33673">
        <w:t xml:space="preserve"> &amp; Andrew, 2010). Similarly, the trading base had various exclusions, thus generating large fluctuations in the carbon price occasionally, with a limited overall effect on emissions. </w:t>
      </w:r>
    </w:p>
    <w:p w:rsidR="00AB147B" w:rsidRPr="00F33673" w:rsidRDefault="00AB147B" w:rsidP="00F33673">
      <w:pPr>
        <w:spacing w:line="480" w:lineRule="auto"/>
        <w:ind w:firstLine="720"/>
      </w:pPr>
      <w:r w:rsidRPr="00F33673">
        <w:t xml:space="preserve">Nevertheless, the best way to solve this problem of GHGE from the steel industry would be through </w:t>
      </w:r>
      <w:r w:rsidR="00F404A9" w:rsidRPr="00F33673">
        <w:t>implementing a</w:t>
      </w:r>
      <w:r w:rsidRPr="00F33673">
        <w:t xml:space="preserve"> carbon tax. The carbon tax's design could take into consideration two significant variables – the rate and the tax base (Andrew, 2008). The most straightforward tax base could be large steel production firms that are hugely visible. Such companies would pass the tax cost onto consumers, so </w:t>
      </w:r>
      <w:r w:rsidR="00F404A9" w:rsidRPr="00F33673">
        <w:t>directly impacting</w:t>
      </w:r>
      <w:r w:rsidRPr="00F33673">
        <w:t xml:space="preserve"> the amount of GHGs produced (Smith &amp; Commerce, 2007). The carbon tax base would begin with the easy targets in which avoidance and evasion were least probable, and subsequently focus on including other areas. </w:t>
      </w:r>
    </w:p>
    <w:p w:rsidR="00AB147B" w:rsidRPr="00F33673" w:rsidRDefault="00AB147B" w:rsidP="00F33673">
      <w:pPr>
        <w:spacing w:line="480" w:lineRule="auto"/>
        <w:ind w:firstLine="720"/>
      </w:pPr>
      <w:r w:rsidRPr="00F33673">
        <w:t xml:space="preserve">The carbon tax would have two significant advantages over an ETS. First, the tax would be more visible and transparent, making it more difficult to avoid or evade, and second, the revenue would be used by an accountable government as additional money for offering socially valuable services like the provision </w:t>
      </w:r>
      <w:r w:rsidR="008C121A" w:rsidRPr="00F33673">
        <w:t>of</w:t>
      </w:r>
      <w:r w:rsidRPr="00F33673">
        <w:t xml:space="preserve"> green energy </w:t>
      </w:r>
      <w:r w:rsidR="008C121A" w:rsidRPr="00F33673">
        <w:t xml:space="preserve">to </w:t>
      </w:r>
      <w:r w:rsidRPr="00F33673">
        <w:t xml:space="preserve">low-income homes and for funding the green energy sources (Green, Hayward &amp; </w:t>
      </w:r>
      <w:proofErr w:type="spellStart"/>
      <w:r w:rsidRPr="00F33673">
        <w:t>Hassett</w:t>
      </w:r>
      <w:proofErr w:type="spellEnd"/>
      <w:r w:rsidRPr="00F33673">
        <w:t xml:space="preserve">, 2007). The ETS revenue goes to various market players driven exclusively by their economic interests and motivated to create several exotic market tools with undefined economic impacts </w:t>
      </w:r>
      <w:r w:rsidR="008C121A" w:rsidRPr="00F33673">
        <w:t xml:space="preserve">with time. </w:t>
      </w:r>
      <w:r w:rsidRPr="00F33673">
        <w:t xml:space="preserve"> </w:t>
      </w:r>
    </w:p>
    <w:p w:rsidR="00AB147B" w:rsidRPr="00F33673" w:rsidRDefault="00AB147B" w:rsidP="00F33673">
      <w:pPr>
        <w:spacing w:line="480" w:lineRule="auto"/>
        <w:ind w:firstLine="720"/>
      </w:pPr>
      <w:r w:rsidRPr="00F33673">
        <w:t xml:space="preserve">Furthermore, the carbon tax's design would likely be much simpler compared to an EST, since the goal is to alter the </w:t>
      </w:r>
      <w:r w:rsidR="008C121A" w:rsidRPr="00F33673">
        <w:t xml:space="preserve">cost </w:t>
      </w:r>
      <w:r w:rsidRPr="00F33673">
        <w:t xml:space="preserve">of carbon emissions onto the environment as a means of </w:t>
      </w:r>
      <w:r w:rsidRPr="00F33673">
        <w:lastRenderedPageBreak/>
        <w:t xml:space="preserve">minimizing the GHGs amount. By contrast, the purpose of an ETS is to </w:t>
      </w:r>
      <w:r w:rsidR="008C121A" w:rsidRPr="00F33673">
        <w:t>modify</w:t>
      </w:r>
      <w:r w:rsidRPr="00F33673">
        <w:t xml:space="preserve"> the GHGs' price indirectly by stating a specific amount of the greenhouse gases which may be produced (Andrew, </w:t>
      </w:r>
      <w:proofErr w:type="spellStart"/>
      <w:r w:rsidRPr="00F33673">
        <w:t>Kaidonis</w:t>
      </w:r>
      <w:proofErr w:type="spellEnd"/>
      <w:r w:rsidRPr="00F33673">
        <w:t xml:space="preserve"> &amp; Andrew, 2010). Companies would more certain under a carbon tax as the rate of tax could state the increase in cost. The tax rate would begin at a low level, which is, in general, approved to be too small to affect business costs significantly. The tax rate would change gradually in the long-term. </w:t>
      </w:r>
    </w:p>
    <w:p w:rsidR="00AB147B" w:rsidRPr="00F33673" w:rsidRDefault="00AB147B" w:rsidP="00F33673">
      <w:pPr>
        <w:spacing w:line="480" w:lineRule="auto"/>
        <w:ind w:firstLine="720"/>
      </w:pPr>
      <w:r w:rsidRPr="00F33673">
        <w:t xml:space="preserve">Generally, the entire GHGE issue associated with steel production seems to have emerged from market failure. For many decades, companies in the steel production sector have not been meeting their full production cost. They have </w:t>
      </w:r>
      <w:r w:rsidR="008C121A" w:rsidRPr="00F33673">
        <w:t xml:space="preserve">enforced </w:t>
      </w:r>
      <w:r w:rsidRPr="00F33673">
        <w:t>considerable costs originating from pollution on the community in general, and there have been no wide-ranging efforts to assess these costs (Europe, 2006). The con</w:t>
      </w:r>
      <w:r w:rsidR="008C121A" w:rsidRPr="00F33673">
        <w:t>cept of a cap-and-trade market</w:t>
      </w:r>
      <w:r w:rsidRPr="00F33673">
        <w:t xml:space="preserve"> is founded on the notion that markets are the</w:t>
      </w:r>
      <w:r w:rsidR="008C121A" w:rsidRPr="00F33673">
        <w:t xml:space="preserve"> ideal</w:t>
      </w:r>
      <w:r w:rsidRPr="00F33673">
        <w:t xml:space="preserve"> means of resource allocation, and that markets are more likely to efficiently distribute scarce resources (Smith &amp; Commerce, 2007). Generally, this concept has been backed up </w:t>
      </w:r>
      <w:r w:rsidR="008C121A" w:rsidRPr="00F33673">
        <w:t>theoretically</w:t>
      </w:r>
      <w:r w:rsidRPr="00F33673">
        <w:t xml:space="preserve"> in various market environments, and financial markets </w:t>
      </w:r>
      <w:r w:rsidR="00F404A9" w:rsidRPr="00F33673">
        <w:t xml:space="preserve">served as a good example of </w:t>
      </w:r>
      <w:r w:rsidRPr="00F33673">
        <w:t xml:space="preserve">efficient markets in specific </w:t>
      </w:r>
      <w:r w:rsidR="008C121A" w:rsidRPr="00F33673">
        <w:t>restricted</w:t>
      </w:r>
      <w:r w:rsidRPr="00F33673">
        <w:t xml:space="preserve"> circumstances. </w:t>
      </w:r>
    </w:p>
    <w:p w:rsidR="00AB147B" w:rsidRPr="00F33673" w:rsidRDefault="00AB147B" w:rsidP="00F33673">
      <w:pPr>
        <w:spacing w:line="480" w:lineRule="auto"/>
        <w:ind w:firstLine="720"/>
      </w:pPr>
      <w:r w:rsidRPr="00F33673">
        <w:t xml:space="preserve">The problem of greenhouse originates frost m industry's failure to meet their full production cost. The pollution costs have always been externalized whenever possible, and therefore society members bear them. Such has led to the costs identified as to comprise commodity prices to be less than full the production cost to society (Andrew, 2008). Consequently, this has contributed to more production than required due to the reduced price of products and heftier use of the limited available resources. The impact of negative externalities, such as pollution from GHGE on steel production, can be explained in the graph below. </w:t>
      </w:r>
    </w:p>
    <w:p w:rsidR="00AB147B" w:rsidRPr="00F33673" w:rsidRDefault="00AB147B" w:rsidP="00F33673">
      <w:pPr>
        <w:spacing w:line="480" w:lineRule="auto"/>
      </w:pPr>
      <w:r w:rsidRPr="00F33673">
        <w:rPr>
          <w:noProof/>
        </w:rPr>
        <w:lastRenderedPageBreak/>
        <w:drawing>
          <wp:inline distT="0" distB="0" distL="0" distR="0" wp14:anchorId="4E5C17AB" wp14:editId="3E04EC90">
            <wp:extent cx="5629275" cy="411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29275" cy="4114800"/>
                    </a:xfrm>
                    <a:prstGeom prst="rect">
                      <a:avLst/>
                    </a:prstGeom>
                  </pic:spPr>
                </pic:pic>
              </a:graphicData>
            </a:graphic>
          </wp:inline>
        </w:drawing>
      </w:r>
    </w:p>
    <w:p w:rsidR="00AB147B" w:rsidRPr="00F33673" w:rsidRDefault="00AB147B" w:rsidP="00F33673">
      <w:pPr>
        <w:spacing w:line="480" w:lineRule="auto"/>
        <w:ind w:firstLine="720"/>
      </w:pPr>
      <w:r w:rsidRPr="00F33673">
        <w:t xml:space="preserve">The graph above shows the market failure </w:t>
      </w:r>
      <w:r w:rsidR="008C121A" w:rsidRPr="00F33673">
        <w:t>due to</w:t>
      </w:r>
      <w:r w:rsidRPr="00F33673">
        <w:t xml:space="preserve"> pollution from </w:t>
      </w:r>
      <w:r w:rsidR="008C121A" w:rsidRPr="00F33673">
        <w:t xml:space="preserve">GHGs </w:t>
      </w:r>
      <w:r w:rsidRPr="00F33673">
        <w:t>in the steel market. A cost of pollution of $100 per unit manufactured (marginal damage, MD) results in an SMC, which is higher than the private marginal cost and a social optimal quantity (Q2), which is l</w:t>
      </w:r>
      <w:r w:rsidR="008C121A" w:rsidRPr="00F33673">
        <w:t>ess</w:t>
      </w:r>
      <w:r w:rsidRPr="00F33673">
        <w:t xml:space="preserve"> compared to the competitive market equilibrium quantity (Q1). </w:t>
      </w:r>
      <w:r w:rsidR="008C121A" w:rsidRPr="00F33673">
        <w:t>So</w:t>
      </w:r>
      <w:r w:rsidRPr="00F33673">
        <w:t xml:space="preserve">, this contributes to the overproduction of Q1 – Q2, with a related deadweight loss of area BCA. </w:t>
      </w:r>
    </w:p>
    <w:p w:rsidR="00AB147B" w:rsidRPr="00F33673" w:rsidRDefault="00AB147B" w:rsidP="00F33673">
      <w:pPr>
        <w:spacing w:line="480" w:lineRule="auto"/>
      </w:pPr>
      <w:r w:rsidRPr="00F33673">
        <w:t>Further, the impact of pollution as an externality when there is a regulation on the steel industry and when there is no regulation can be explained using the graph below:</w:t>
      </w:r>
    </w:p>
    <w:p w:rsidR="00AB147B" w:rsidRPr="00F33673" w:rsidRDefault="00AB147B" w:rsidP="00F33673">
      <w:pPr>
        <w:spacing w:line="480" w:lineRule="auto"/>
      </w:pPr>
      <w:r w:rsidRPr="00F33673">
        <w:rPr>
          <w:noProof/>
        </w:rPr>
        <w:lastRenderedPageBreak/>
        <w:drawing>
          <wp:inline distT="0" distB="0" distL="0" distR="0" wp14:anchorId="704E4446" wp14:editId="059E26D9">
            <wp:extent cx="5943600" cy="3886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886200"/>
                    </a:xfrm>
                    <a:prstGeom prst="rect">
                      <a:avLst/>
                    </a:prstGeom>
                  </pic:spPr>
                </pic:pic>
              </a:graphicData>
            </a:graphic>
          </wp:inline>
        </w:drawing>
      </w:r>
    </w:p>
    <w:p w:rsidR="00AB147B" w:rsidRPr="00F33673" w:rsidRDefault="00AB147B" w:rsidP="00F33673">
      <w:pPr>
        <w:spacing w:line="480" w:lineRule="auto"/>
        <w:ind w:firstLine="720"/>
      </w:pPr>
      <w:r w:rsidRPr="00F33673">
        <w:t xml:space="preserve">In the steel sector, steel boilers generally burn coal and emit various gases. Assuming that there is a fixed correlation between the steel quantity produced and the pollution amount emitted, the pollution leads to damage to downwind inhabitants. Thus, marginal damage to population function that depends on the steel quantity produced exists. When there are is no regulation, the steel makers will disregard the damages due to pollution. In the graph above, the supply curve corresponds to only the steel's marginal private costs (MPC). The steel producers disregard another production cost – damages from pollution, which is an externality. Under this externality, SMC is unequal to the supply curve – that only shows the MPC. Thus, SMC = MPC + MD. In an unregulated market, QM could be the output quantity. However, once regulation, the steel industry is compelled to internalize the marginal damage as part of its cost, SMC would now be the supply curve, and Q* will now be the equilibrium steel output.  </w:t>
      </w:r>
    </w:p>
    <w:p w:rsidR="00AB147B" w:rsidRPr="00F33673" w:rsidRDefault="00AB147B" w:rsidP="00F33673">
      <w:pPr>
        <w:spacing w:line="480" w:lineRule="auto"/>
        <w:ind w:firstLine="720"/>
      </w:pPr>
      <w:r w:rsidRPr="00F33673">
        <w:lastRenderedPageBreak/>
        <w:t xml:space="preserve">Once there is a regulation, the damaging cost is internalized, and thus the output falls from QM to Q*.  On the other hand, the price increases. As a result of the above, the total producer and consumer surplus reduce after the internalization of the externality. Social surplus from producing steel is not only the amount of consumer and producer surplus but pollution damages – welfare deadweight loss (Phaneuf &amp; </w:t>
      </w:r>
      <w:proofErr w:type="spellStart"/>
      <w:r w:rsidRPr="00F33673">
        <w:t>Requate</w:t>
      </w:r>
      <w:proofErr w:type="spellEnd"/>
      <w:r w:rsidRPr="00F33673">
        <w:t xml:space="preserve">, 2016). While the output decline and the matching price increase hurt both the steel producers and consumers, it is beneficial to individuals harmed by pollution that emanates from producing the steel.  </w:t>
      </w:r>
    </w:p>
    <w:p w:rsidR="00AB147B" w:rsidRPr="00F33673" w:rsidRDefault="00AB147B" w:rsidP="00F33673">
      <w:pPr>
        <w:spacing w:line="480" w:lineRule="auto"/>
        <w:ind w:firstLine="720"/>
      </w:pPr>
      <w:r w:rsidRPr="00F33673">
        <w:t xml:space="preserve">Additionally, the social costs of producing steel can be illustrated using the demand and supply graph below. The diagram demonstrates the demand and supply of a steel production company which further specializes in producing steel products – in this case, steel refrigerators.  The demand curve, D, demonstrates the quantity demanded at each price. Conversely, the supply curve, </w:t>
      </w:r>
      <w:proofErr w:type="spellStart"/>
      <w:r w:rsidRPr="00F33673">
        <w:t>Sprivate</w:t>
      </w:r>
      <w:proofErr w:type="spellEnd"/>
      <w:r w:rsidRPr="00F33673">
        <w:t xml:space="preserve">, reflects the quantity supply of refrigerators by the company at each price when it only considers its private costs and is permitted to emit pollution at zero cost. E0, the market equilibrium, is where the quantity demanded and quantity supplied are equal, and the quantity and price are 45,000 and $650, respectively. This information is further found in the table below. </w:t>
      </w:r>
    </w:p>
    <w:p w:rsidR="00AB147B" w:rsidRPr="00F33673" w:rsidRDefault="00AB147B" w:rsidP="00F33673">
      <w:pPr>
        <w:spacing w:line="480" w:lineRule="auto"/>
      </w:pPr>
      <w:r w:rsidRPr="00F33673">
        <w:rPr>
          <w:noProof/>
        </w:rPr>
        <w:lastRenderedPageBreak/>
        <w:drawing>
          <wp:inline distT="0" distB="0" distL="0" distR="0" wp14:anchorId="1CEA1075" wp14:editId="5A862D06">
            <wp:extent cx="5943600" cy="3467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67100"/>
                    </a:xfrm>
                    <a:prstGeom prst="rect">
                      <a:avLst/>
                    </a:prstGeom>
                  </pic:spPr>
                </pic:pic>
              </a:graphicData>
            </a:graphic>
          </wp:inline>
        </w:drawing>
      </w:r>
    </w:p>
    <w:p w:rsidR="00AB147B" w:rsidRPr="00F33673" w:rsidRDefault="00AB147B" w:rsidP="00F33673">
      <w:pPr>
        <w:spacing w:line="480" w:lineRule="auto"/>
      </w:pPr>
      <w:r w:rsidRPr="00F33673">
        <w:rPr>
          <w:noProof/>
        </w:rPr>
        <w:drawing>
          <wp:inline distT="0" distB="0" distL="0" distR="0" wp14:anchorId="267EB8ED" wp14:editId="66891557">
            <wp:extent cx="5943600" cy="3114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14675"/>
                    </a:xfrm>
                    <a:prstGeom prst="rect">
                      <a:avLst/>
                    </a:prstGeom>
                  </pic:spPr>
                </pic:pic>
              </a:graphicData>
            </a:graphic>
          </wp:inline>
        </w:drawing>
      </w:r>
    </w:p>
    <w:p w:rsidR="00AB147B" w:rsidRPr="00F33673" w:rsidRDefault="00AB147B" w:rsidP="00F33673">
      <w:pPr>
        <w:spacing w:line="480" w:lineRule="auto"/>
        <w:ind w:firstLine="720"/>
      </w:pPr>
      <w:r w:rsidRPr="00F33673">
        <w:t xml:space="preserve">Pollution is generated as a byproduct of the energy, gasses, chemicals, steel, and plastics used in producing the refrigerators. Assuming that the pollutants were emitted into water and air, their costs per each refrigerator produced would be $100. Overall, these costs may occur due to </w:t>
      </w:r>
      <w:r w:rsidRPr="00F33673">
        <w:lastRenderedPageBreak/>
        <w:t>climate change. If the market does not have an anti-pollution restriction, the company will dispose of its GHGs without any cost. However, if the firm has to factor in the</w:t>
      </w:r>
      <w:r w:rsidR="00F404A9" w:rsidRPr="00F33673">
        <w:t xml:space="preserve"> pollution’s</w:t>
      </w:r>
      <w:r w:rsidRPr="00F33673">
        <w:t xml:space="preserve"> external costs to society, it will be necessitated to pay $100 for the </w:t>
      </w:r>
      <w:r w:rsidR="00F404A9" w:rsidRPr="00F33673">
        <w:t>added</w:t>
      </w:r>
      <w:r w:rsidR="008C121A" w:rsidRPr="00F33673">
        <w:t xml:space="preserve"> </w:t>
      </w:r>
      <w:r w:rsidRPr="00F33673">
        <w:t xml:space="preserve">external pollution costs for the production of each refrigerator. Thus, production will become more costly, </w:t>
      </w:r>
      <w:r w:rsidR="00F404A9" w:rsidRPr="00F33673">
        <w:t>with the whole</w:t>
      </w:r>
      <w:r w:rsidR="008C121A" w:rsidRPr="00F33673">
        <w:t xml:space="preserve"> </w:t>
      </w:r>
      <w:r w:rsidRPr="00F33673">
        <w:t xml:space="preserve">supply curve </w:t>
      </w:r>
      <w:r w:rsidR="00F404A9" w:rsidRPr="00F33673">
        <w:t>shifting up by</w:t>
      </w:r>
      <w:r w:rsidRPr="00F33673">
        <w:t xml:space="preserve"> $100. As shown in the fourth column, when the external costs are considered, the company will produce 40,000 refrigerators at $700. This will result in a shift in the supply curve, </w:t>
      </w:r>
      <w:proofErr w:type="spellStart"/>
      <w:r w:rsidRPr="00F33673">
        <w:t>Ssocial</w:t>
      </w:r>
      <w:proofErr w:type="spellEnd"/>
      <w:r w:rsidRPr="00F33673">
        <w:t xml:space="preserve">. E1 will be the new equilibrium after the extra external costs of production are factored in, which in turn will lead to a </w:t>
      </w:r>
      <w:r w:rsidR="00F404A9" w:rsidRPr="00F33673">
        <w:t>greater</w:t>
      </w:r>
      <w:r w:rsidRPr="00F33673">
        <w:t xml:space="preserve"> price refrigerator, a </w:t>
      </w:r>
      <w:r w:rsidR="00F404A9" w:rsidRPr="00F33673">
        <w:t>lesser</w:t>
      </w:r>
      <w:r w:rsidRPr="00F33673">
        <w:t xml:space="preserve"> production quality, and a smaller pollution amount. </w:t>
      </w:r>
    </w:p>
    <w:p w:rsidR="00AB147B" w:rsidRPr="00F33673" w:rsidRDefault="00AB147B" w:rsidP="00F33673">
      <w:pPr>
        <w:spacing w:line="480" w:lineRule="auto"/>
        <w:ind w:firstLine="720"/>
      </w:pPr>
      <w:r w:rsidRPr="00F33673">
        <w:t xml:space="preserve">Overall, supply curves are founded on production choices made by companies when they look at their marginal costs, and demand curves are </w:t>
      </w:r>
      <w:r w:rsidR="00F404A9" w:rsidRPr="00F33673">
        <w:t>founded on</w:t>
      </w:r>
      <w:r w:rsidRPr="00F33673">
        <w:t xml:space="preserve"> the perceived benefits by </w:t>
      </w:r>
      <w:r w:rsidR="00F404A9" w:rsidRPr="00F33673">
        <w:t>people</w:t>
      </w:r>
      <w:r w:rsidRPr="00F33673">
        <w:t xml:space="preserve"> when maximizing utility (Hanley, </w:t>
      </w:r>
      <w:proofErr w:type="spellStart"/>
      <w:r w:rsidRPr="00F33673">
        <w:t>Shogren</w:t>
      </w:r>
      <w:proofErr w:type="spellEnd"/>
      <w:r w:rsidRPr="00F33673">
        <w:t xml:space="preserve"> &amp; White, 2016). When there are no externalities like pollution from GHGs, both private costs and society</w:t>
      </w:r>
      <w:r w:rsidR="00347F0B" w:rsidRPr="00F33673">
        <w:t xml:space="preserve"> costs</w:t>
      </w:r>
      <w:r w:rsidRPr="00F33673">
        <w:t xml:space="preserve"> could be equal, and private benefits and society </w:t>
      </w:r>
      <w:r w:rsidR="00347F0B" w:rsidRPr="00F33673">
        <w:t xml:space="preserve">benefits </w:t>
      </w:r>
      <w:r w:rsidRPr="00F33673">
        <w:t xml:space="preserve">would also be the same, as a whole (Skene &amp; Murray, 2017). Therefore, in the absence of externalities, the demand and supply interaction would </w:t>
      </w:r>
      <w:r w:rsidR="00113711" w:rsidRPr="00F33673">
        <w:t>harmonize</w:t>
      </w:r>
      <w:r w:rsidRPr="00F33673">
        <w:t xml:space="preserve"> social benefits and costs. </w:t>
      </w:r>
    </w:p>
    <w:p w:rsidR="00AB147B" w:rsidRDefault="00AB147B" w:rsidP="00F33673">
      <w:pPr>
        <w:spacing w:line="480" w:lineRule="auto"/>
        <w:ind w:firstLine="720"/>
      </w:pPr>
      <w:r w:rsidRPr="00F33673">
        <w:t xml:space="preserve">Since externalities reflect a situation in which the market does not put into consideration all social costs but just some of them, this is a case of market failure. With the existence of market failure, the private market is unable to attain efficient output as companies do not consider all costs they incur in producing products, or consumers do not consider all benefits they gain when there is a positive externality (Callan &amp; Thomas, 2013). With pollution, the quantity of the commodity produced, the social costs of production are higher than the social benefits to customers, and the market </w:t>
      </w:r>
      <w:r w:rsidR="00347F0B" w:rsidRPr="00F33673">
        <w:t>produces a lot of</w:t>
      </w:r>
      <w:r w:rsidRPr="00F33673">
        <w:t xml:space="preserve"> the product. When a company is </w:t>
      </w:r>
      <w:r w:rsidR="00374DAD" w:rsidRPr="00F33673">
        <w:t>obliged</w:t>
      </w:r>
      <w:r w:rsidRPr="00F33673">
        <w:t xml:space="preserve"> </w:t>
      </w:r>
      <w:r w:rsidRPr="00F33673">
        <w:lastRenderedPageBreak/>
        <w:t xml:space="preserve">to </w:t>
      </w:r>
      <w:r w:rsidR="00374DAD" w:rsidRPr="00F33673">
        <w:t xml:space="preserve">bear </w:t>
      </w:r>
      <w:r w:rsidRPr="00F33673">
        <w:t xml:space="preserve">the </w:t>
      </w:r>
      <w:r w:rsidR="00374DAD" w:rsidRPr="00F33673">
        <w:t xml:space="preserve">pollution’s </w:t>
      </w:r>
      <w:r w:rsidRPr="00F33673">
        <w:t xml:space="preserve">social costs, it generates </w:t>
      </w:r>
      <w:r w:rsidR="00374DAD" w:rsidRPr="00F33673">
        <w:t>a smaller amount</w:t>
      </w:r>
      <w:r w:rsidRPr="00F33673">
        <w:t xml:space="preserve"> pollution but produces </w:t>
      </w:r>
      <w:r w:rsidR="00CA759F" w:rsidRPr="00F33673">
        <w:t xml:space="preserve">lower amount of </w:t>
      </w:r>
      <w:r w:rsidRPr="00F33673">
        <w:t xml:space="preserve">the commodity and charges a </w:t>
      </w:r>
      <w:r w:rsidR="00374DAD" w:rsidRPr="00F33673">
        <w:t>greater</w:t>
      </w:r>
      <w:r w:rsidRPr="00F33673">
        <w:t xml:space="preserve"> price.  </w:t>
      </w:r>
      <w:bookmarkStart w:id="0" w:name="_GoBack"/>
      <w:bookmarkEnd w:id="0"/>
    </w:p>
    <w:p w:rsidR="00EC4DEC" w:rsidRPr="00F33673" w:rsidRDefault="00EC4DEC" w:rsidP="00EC4DEC">
      <w:pPr>
        <w:spacing w:line="480" w:lineRule="auto"/>
        <w:ind w:firstLine="720"/>
        <w:jc w:val="center"/>
      </w:pPr>
      <w:r>
        <w:t>Conclusion</w:t>
      </w:r>
    </w:p>
    <w:p w:rsidR="00AB147B" w:rsidRPr="00F33673" w:rsidRDefault="00AB147B" w:rsidP="00F33673">
      <w:pPr>
        <w:spacing w:line="480" w:lineRule="auto"/>
        <w:ind w:firstLine="720"/>
      </w:pPr>
      <w:r w:rsidRPr="00F33673">
        <w:t xml:space="preserve">In conclusion, market failures related to environmental pollution offer a solid foundation for a range of public strategies that encourage the reduction of emissions and the creation and implementation of environmentally useful policies (Green, Hayward &amp; </w:t>
      </w:r>
      <w:proofErr w:type="spellStart"/>
      <w:r w:rsidRPr="00F33673">
        <w:t>Hassett</w:t>
      </w:r>
      <w:proofErr w:type="spellEnd"/>
      <w:r w:rsidRPr="00F33673">
        <w:t>, 2007). Both empirical and theoretical evidence reveals that the direction and rate of technology advancement are affected by regulatory and market incentives, and may be cost-effectively tied together by using policies which are economic-incentive (</w:t>
      </w:r>
      <w:proofErr w:type="spellStart"/>
      <w:r w:rsidRPr="00F33673">
        <w:t>Sloman</w:t>
      </w:r>
      <w:proofErr w:type="spellEnd"/>
      <w:r w:rsidRPr="00F33673">
        <w:t xml:space="preserve">, 2019). When there are weak environmental policies or none exists, investments in the </w:t>
      </w:r>
      <w:r w:rsidR="00374DAD" w:rsidRPr="00F33673">
        <w:t>novel</w:t>
      </w:r>
      <w:r w:rsidRPr="00F33673">
        <w:t xml:space="preserve"> </w:t>
      </w:r>
      <w:r w:rsidR="00374DAD" w:rsidRPr="00F33673">
        <w:t>environmentally</w:t>
      </w:r>
      <w:r w:rsidRPr="00F33673">
        <w:t xml:space="preserve"> valuable technologies </w:t>
      </w:r>
      <w:r w:rsidR="00374DAD" w:rsidRPr="00F33673">
        <w:t xml:space="preserve">would not yield the desired social benefits. </w:t>
      </w:r>
    </w:p>
    <w:p w:rsidR="00AB147B" w:rsidRPr="00F33673" w:rsidRDefault="00AB147B" w:rsidP="00F33673">
      <w:pPr>
        <w:spacing w:line="480" w:lineRule="auto"/>
        <w:ind w:firstLine="720"/>
      </w:pPr>
      <w:r w:rsidRPr="00F33673">
        <w:t xml:space="preserve">The present problem of climate change and pollution is due to great market failure, in which steel producing companies do not bear their full production cost by passing their pollution costs onto society when possible.  The business cost is always understated as a result of this, and </w:t>
      </w:r>
      <w:r w:rsidR="00374DAD" w:rsidRPr="00F33673">
        <w:t>there is not proof</w:t>
      </w:r>
      <w:r w:rsidRPr="00F33673">
        <w:t xml:space="preserve"> that a market-based resolution is the </w:t>
      </w:r>
      <w:r w:rsidR="00374DAD" w:rsidRPr="00F33673">
        <w:t xml:space="preserve">ideal approach </w:t>
      </w:r>
      <w:r w:rsidRPr="00F33673">
        <w:t xml:space="preserve">in dealing with a widespread market failure. The ETS has failed to effectively deal with the problem of carb emissions and other GHGs in the steel production sector and other industries due to the lack of transparency among the EU member states. However, introducing a carbon tax would help in reducing carbon emissions and other GHGs. A carbon tax would have various benefits compared to an ETS. The incidence and effect of a tax could be more </w:t>
      </w:r>
      <w:r w:rsidR="00374DAD" w:rsidRPr="00F33673">
        <w:t>assured</w:t>
      </w:r>
      <w:r w:rsidRPr="00F33673">
        <w:t xml:space="preserve"> compared to ETS. Also, a tax would be more visible and transparent, making it more difficult to avoid or evade, and second, an accountable government </w:t>
      </w:r>
      <w:r w:rsidR="00374DAD" w:rsidRPr="00F33673">
        <w:t xml:space="preserve">would collect the tax revenue and </w:t>
      </w:r>
      <w:r w:rsidRPr="00F33673">
        <w:t>use it to invest in socially valuable initiatives.</w:t>
      </w:r>
    </w:p>
    <w:p w:rsidR="00DE5E0A" w:rsidRPr="00F33673" w:rsidRDefault="00DE5E0A" w:rsidP="00F33673">
      <w:pPr>
        <w:spacing w:line="480" w:lineRule="auto"/>
      </w:pPr>
    </w:p>
    <w:p w:rsidR="00442A00" w:rsidRPr="00F33673" w:rsidRDefault="00AB147B" w:rsidP="00F33673">
      <w:pPr>
        <w:spacing w:line="480" w:lineRule="auto"/>
        <w:jc w:val="center"/>
      </w:pPr>
      <w:r w:rsidRPr="00F33673">
        <w:br w:type="page"/>
      </w:r>
      <w:r w:rsidR="00492C6E" w:rsidRPr="00F33673">
        <w:lastRenderedPageBreak/>
        <w:t>References</w:t>
      </w:r>
    </w:p>
    <w:p w:rsidR="00442A00" w:rsidRPr="00F33673" w:rsidRDefault="00442A00" w:rsidP="00F33673">
      <w:pPr>
        <w:spacing w:line="480" w:lineRule="auto"/>
        <w:rPr>
          <w:color w:val="222222"/>
          <w:shd w:val="clear" w:color="auto" w:fill="FFFFFF"/>
        </w:rPr>
      </w:pPr>
      <w:r w:rsidRPr="00F33673">
        <w:rPr>
          <w:color w:val="222222"/>
          <w:shd w:val="clear" w:color="auto" w:fill="FFFFFF"/>
        </w:rPr>
        <w:t xml:space="preserve">Andrew, B. (2008). Market failure, government failure and externalities in climate change </w:t>
      </w:r>
      <w:r w:rsidRPr="00F33673">
        <w:rPr>
          <w:color w:val="222222"/>
          <w:shd w:val="clear" w:color="auto" w:fill="FFFFFF"/>
        </w:rPr>
        <w:tab/>
        <w:t>mitigation: The case for a carbon tax. </w:t>
      </w:r>
      <w:r w:rsidRPr="00F33673">
        <w:rPr>
          <w:i/>
          <w:iCs/>
          <w:color w:val="222222"/>
          <w:shd w:val="clear" w:color="auto" w:fill="FFFFFF"/>
        </w:rPr>
        <w:t xml:space="preserve">Public Administration and Development: The </w:t>
      </w:r>
      <w:r w:rsidRPr="00F33673">
        <w:rPr>
          <w:i/>
          <w:iCs/>
          <w:color w:val="222222"/>
          <w:shd w:val="clear" w:color="auto" w:fill="FFFFFF"/>
        </w:rPr>
        <w:tab/>
        <w:t>International Journal of Management Research and Practice</w:t>
      </w:r>
      <w:r w:rsidRPr="00F33673">
        <w:rPr>
          <w:color w:val="222222"/>
          <w:shd w:val="clear" w:color="auto" w:fill="FFFFFF"/>
        </w:rPr>
        <w:t>, </w:t>
      </w:r>
      <w:r w:rsidRPr="00F33673">
        <w:rPr>
          <w:i/>
          <w:iCs/>
          <w:color w:val="222222"/>
          <w:shd w:val="clear" w:color="auto" w:fill="FFFFFF"/>
        </w:rPr>
        <w:t>28</w:t>
      </w:r>
      <w:r w:rsidRPr="00F33673">
        <w:rPr>
          <w:color w:val="222222"/>
          <w:shd w:val="clear" w:color="auto" w:fill="FFFFFF"/>
        </w:rPr>
        <w:t>(5), 393-401.</w:t>
      </w:r>
    </w:p>
    <w:p w:rsidR="00442A00" w:rsidRPr="00F33673" w:rsidRDefault="00442A00" w:rsidP="00F33673">
      <w:pPr>
        <w:spacing w:line="480" w:lineRule="auto"/>
        <w:rPr>
          <w:color w:val="222222"/>
          <w:shd w:val="clear" w:color="auto" w:fill="FFFFFF"/>
        </w:rPr>
      </w:pPr>
      <w:r w:rsidRPr="00F33673">
        <w:rPr>
          <w:color w:val="222222"/>
          <w:shd w:val="clear" w:color="auto" w:fill="FFFFFF"/>
        </w:rPr>
        <w:t xml:space="preserve">Andrew, J., </w:t>
      </w:r>
      <w:proofErr w:type="spellStart"/>
      <w:r w:rsidRPr="00F33673">
        <w:rPr>
          <w:color w:val="222222"/>
          <w:shd w:val="clear" w:color="auto" w:fill="FFFFFF"/>
        </w:rPr>
        <w:t>Kaidonis</w:t>
      </w:r>
      <w:proofErr w:type="spellEnd"/>
      <w:r w:rsidRPr="00F33673">
        <w:rPr>
          <w:color w:val="222222"/>
          <w:shd w:val="clear" w:color="auto" w:fill="FFFFFF"/>
        </w:rPr>
        <w:t xml:space="preserve">, M. A., &amp; Andrew, B. (2010). Carbon tax: Challenging neoliberal solutions </w:t>
      </w:r>
      <w:r w:rsidRPr="00F33673">
        <w:rPr>
          <w:color w:val="222222"/>
          <w:shd w:val="clear" w:color="auto" w:fill="FFFFFF"/>
        </w:rPr>
        <w:tab/>
        <w:t>to climate change. </w:t>
      </w:r>
      <w:r w:rsidRPr="00F33673">
        <w:rPr>
          <w:i/>
          <w:iCs/>
          <w:color w:val="222222"/>
          <w:shd w:val="clear" w:color="auto" w:fill="FFFFFF"/>
        </w:rPr>
        <w:t>Critical Perspectives on Accounting</w:t>
      </w:r>
      <w:r w:rsidRPr="00F33673">
        <w:rPr>
          <w:color w:val="222222"/>
          <w:shd w:val="clear" w:color="auto" w:fill="FFFFFF"/>
        </w:rPr>
        <w:t>, </w:t>
      </w:r>
      <w:r w:rsidRPr="00F33673">
        <w:rPr>
          <w:i/>
          <w:iCs/>
          <w:color w:val="222222"/>
          <w:shd w:val="clear" w:color="auto" w:fill="FFFFFF"/>
        </w:rPr>
        <w:t>21</w:t>
      </w:r>
      <w:r w:rsidRPr="00F33673">
        <w:rPr>
          <w:color w:val="222222"/>
          <w:shd w:val="clear" w:color="auto" w:fill="FFFFFF"/>
        </w:rPr>
        <w:t>(7), 611-618.</w:t>
      </w:r>
    </w:p>
    <w:p w:rsidR="00442A00" w:rsidRPr="00F33673" w:rsidRDefault="00442A00" w:rsidP="00F33673">
      <w:pPr>
        <w:spacing w:line="480" w:lineRule="auto"/>
      </w:pPr>
      <w:r w:rsidRPr="00F33673">
        <w:t xml:space="preserve">Callan, S. J., &amp; Thomas, J. M. (2013). Environmental economics and management: Theory, </w:t>
      </w:r>
      <w:r w:rsidRPr="00F33673">
        <w:tab/>
        <w:t>policy, and applications (6th ed.). Mason, OH: South-Western, Cengage Learning. (978-</w:t>
      </w:r>
      <w:r w:rsidRPr="00F33673">
        <w:tab/>
        <w:t>1-111-82667-3)</w:t>
      </w:r>
    </w:p>
    <w:p w:rsidR="00442A00" w:rsidRPr="00F33673" w:rsidRDefault="00442A00" w:rsidP="00F33673">
      <w:pPr>
        <w:spacing w:line="480" w:lineRule="auto"/>
        <w:rPr>
          <w:color w:val="222222"/>
          <w:shd w:val="clear" w:color="auto" w:fill="FFFFFF"/>
        </w:rPr>
      </w:pPr>
      <w:r w:rsidRPr="00F33673">
        <w:rPr>
          <w:color w:val="222222"/>
          <w:shd w:val="clear" w:color="auto" w:fill="FFFFFF"/>
        </w:rPr>
        <w:t xml:space="preserve">Europe, C. A. N. (2006). National allocation plans 2005-7: Do they deliver? Key lessons for </w:t>
      </w:r>
      <w:r w:rsidRPr="00F33673">
        <w:rPr>
          <w:color w:val="222222"/>
          <w:shd w:val="clear" w:color="auto" w:fill="FFFFFF"/>
        </w:rPr>
        <w:tab/>
        <w:t>phase II of the EU ETS. </w:t>
      </w:r>
      <w:r w:rsidRPr="00F33673">
        <w:rPr>
          <w:i/>
          <w:iCs/>
          <w:color w:val="222222"/>
          <w:shd w:val="clear" w:color="auto" w:fill="FFFFFF"/>
        </w:rPr>
        <w:t>Climate Action Network Europe</w:t>
      </w:r>
      <w:r w:rsidRPr="00F33673">
        <w:rPr>
          <w:color w:val="222222"/>
          <w:shd w:val="clear" w:color="auto" w:fill="FFFFFF"/>
        </w:rPr>
        <w:t>.</w:t>
      </w:r>
    </w:p>
    <w:p w:rsidR="00442A00" w:rsidRPr="00F33673" w:rsidRDefault="00442A00" w:rsidP="00F33673">
      <w:pPr>
        <w:spacing w:line="480" w:lineRule="auto"/>
        <w:rPr>
          <w:color w:val="222222"/>
          <w:shd w:val="clear" w:color="auto" w:fill="FFFFFF"/>
        </w:rPr>
      </w:pPr>
      <w:r w:rsidRPr="00F33673">
        <w:rPr>
          <w:color w:val="222222"/>
          <w:shd w:val="clear" w:color="auto" w:fill="FFFFFF"/>
        </w:rPr>
        <w:t xml:space="preserve">Green, K. P., Hayward, S. F., &amp; </w:t>
      </w:r>
      <w:proofErr w:type="spellStart"/>
      <w:r w:rsidRPr="00F33673">
        <w:rPr>
          <w:color w:val="222222"/>
          <w:shd w:val="clear" w:color="auto" w:fill="FFFFFF"/>
        </w:rPr>
        <w:t>Hassett</w:t>
      </w:r>
      <w:proofErr w:type="spellEnd"/>
      <w:r w:rsidRPr="00F33673">
        <w:rPr>
          <w:color w:val="222222"/>
          <w:shd w:val="clear" w:color="auto" w:fill="FFFFFF"/>
        </w:rPr>
        <w:t>, K. A. (2007). Climate change: caps vs. taxes.</w:t>
      </w:r>
    </w:p>
    <w:p w:rsidR="00442A00" w:rsidRPr="00F33673" w:rsidRDefault="00442A00" w:rsidP="00F33673">
      <w:pPr>
        <w:spacing w:line="480" w:lineRule="auto"/>
      </w:pPr>
      <w:r w:rsidRPr="00F33673">
        <w:rPr>
          <w:color w:val="222222"/>
          <w:shd w:val="clear" w:color="auto" w:fill="FFFFFF"/>
        </w:rPr>
        <w:t xml:space="preserve">Hanley, N., </w:t>
      </w:r>
      <w:proofErr w:type="spellStart"/>
      <w:r w:rsidRPr="00F33673">
        <w:rPr>
          <w:color w:val="222222"/>
          <w:shd w:val="clear" w:color="auto" w:fill="FFFFFF"/>
        </w:rPr>
        <w:t>Shogren</w:t>
      </w:r>
      <w:proofErr w:type="spellEnd"/>
      <w:r w:rsidRPr="00F33673">
        <w:rPr>
          <w:color w:val="222222"/>
          <w:shd w:val="clear" w:color="auto" w:fill="FFFFFF"/>
        </w:rPr>
        <w:t>, J. F., &amp; White, B. (2016). </w:t>
      </w:r>
      <w:r w:rsidRPr="00F33673">
        <w:rPr>
          <w:i/>
          <w:iCs/>
          <w:color w:val="222222"/>
          <w:shd w:val="clear" w:color="auto" w:fill="FFFFFF"/>
        </w:rPr>
        <w:t xml:space="preserve">Environmental economics: in theory and </w:t>
      </w:r>
      <w:r w:rsidRPr="00F33673">
        <w:rPr>
          <w:i/>
          <w:iCs/>
          <w:color w:val="222222"/>
          <w:shd w:val="clear" w:color="auto" w:fill="FFFFFF"/>
        </w:rPr>
        <w:tab/>
        <w:t>practice</w:t>
      </w:r>
      <w:r w:rsidRPr="00F33673">
        <w:rPr>
          <w:color w:val="222222"/>
          <w:shd w:val="clear" w:color="auto" w:fill="FFFFFF"/>
        </w:rPr>
        <w:t>. Macmillan International Higher Education.</w:t>
      </w:r>
    </w:p>
    <w:p w:rsidR="00442A00" w:rsidRPr="00F33673" w:rsidRDefault="00442A00" w:rsidP="00F33673">
      <w:pPr>
        <w:spacing w:line="480" w:lineRule="auto"/>
        <w:rPr>
          <w:lang w:val="en-GB"/>
        </w:rPr>
      </w:pPr>
      <w:proofErr w:type="spellStart"/>
      <w:r w:rsidRPr="00F33673">
        <w:rPr>
          <w:lang w:val="en-GB"/>
        </w:rPr>
        <w:t>Hussen</w:t>
      </w:r>
      <w:proofErr w:type="spellEnd"/>
      <w:r w:rsidRPr="00F33673">
        <w:rPr>
          <w:lang w:val="en-GB"/>
        </w:rPr>
        <w:t xml:space="preserve">, A. M. (2018). Principles of environmental economics and sustainability an integrated </w:t>
      </w:r>
      <w:r w:rsidRPr="00F33673">
        <w:rPr>
          <w:lang w:val="en-GB"/>
        </w:rPr>
        <w:tab/>
        <w:t>economic and ecological approach (4th ed.). London: Routledge. (9780815363545)</w:t>
      </w:r>
    </w:p>
    <w:p w:rsidR="00442A00" w:rsidRPr="00F33673" w:rsidRDefault="00442A00" w:rsidP="00F33673">
      <w:pPr>
        <w:spacing w:line="480" w:lineRule="auto"/>
      </w:pPr>
      <w:r w:rsidRPr="00F33673">
        <w:rPr>
          <w:color w:val="222222"/>
          <w:shd w:val="clear" w:color="auto" w:fill="FFFFFF"/>
        </w:rPr>
        <w:t xml:space="preserve">Lewis, L., &amp; </w:t>
      </w:r>
      <w:proofErr w:type="spellStart"/>
      <w:r w:rsidRPr="00F33673">
        <w:rPr>
          <w:color w:val="222222"/>
          <w:shd w:val="clear" w:color="auto" w:fill="FFFFFF"/>
        </w:rPr>
        <w:t>Tietenberg</w:t>
      </w:r>
      <w:proofErr w:type="spellEnd"/>
      <w:r w:rsidRPr="00F33673">
        <w:rPr>
          <w:color w:val="222222"/>
          <w:shd w:val="clear" w:color="auto" w:fill="FFFFFF"/>
        </w:rPr>
        <w:t>, T. H. (2019). </w:t>
      </w:r>
      <w:r w:rsidRPr="00F33673">
        <w:rPr>
          <w:i/>
          <w:iCs/>
          <w:color w:val="222222"/>
          <w:shd w:val="clear" w:color="auto" w:fill="FFFFFF"/>
        </w:rPr>
        <w:t>Environmental Economics and Policy</w:t>
      </w:r>
      <w:r w:rsidRPr="00F33673">
        <w:rPr>
          <w:color w:val="222222"/>
          <w:shd w:val="clear" w:color="auto" w:fill="FFFFFF"/>
        </w:rPr>
        <w:t>. Routledge.</w:t>
      </w:r>
    </w:p>
    <w:p w:rsidR="00442A00" w:rsidRPr="00F33673" w:rsidRDefault="00442A00" w:rsidP="00F33673">
      <w:pPr>
        <w:spacing w:line="480" w:lineRule="auto"/>
        <w:rPr>
          <w:color w:val="222222"/>
          <w:shd w:val="clear" w:color="auto" w:fill="FFFFFF"/>
        </w:rPr>
      </w:pPr>
      <w:r w:rsidRPr="00F33673">
        <w:rPr>
          <w:color w:val="222222"/>
          <w:shd w:val="clear" w:color="auto" w:fill="FFFFFF"/>
        </w:rPr>
        <w:t xml:space="preserve">Phaneuf, D. J., &amp; </w:t>
      </w:r>
      <w:proofErr w:type="spellStart"/>
      <w:r w:rsidRPr="00F33673">
        <w:rPr>
          <w:color w:val="222222"/>
          <w:shd w:val="clear" w:color="auto" w:fill="FFFFFF"/>
        </w:rPr>
        <w:t>Requate</w:t>
      </w:r>
      <w:proofErr w:type="spellEnd"/>
      <w:r w:rsidRPr="00F33673">
        <w:rPr>
          <w:color w:val="222222"/>
          <w:shd w:val="clear" w:color="auto" w:fill="FFFFFF"/>
        </w:rPr>
        <w:t>, T. (2016). </w:t>
      </w:r>
      <w:r w:rsidRPr="00F33673">
        <w:rPr>
          <w:i/>
          <w:iCs/>
          <w:color w:val="222222"/>
          <w:shd w:val="clear" w:color="auto" w:fill="FFFFFF"/>
        </w:rPr>
        <w:t xml:space="preserve">A course in environmental economics: theory, policy, and </w:t>
      </w:r>
      <w:r w:rsidRPr="00F33673">
        <w:rPr>
          <w:i/>
          <w:iCs/>
          <w:color w:val="222222"/>
          <w:shd w:val="clear" w:color="auto" w:fill="FFFFFF"/>
        </w:rPr>
        <w:tab/>
        <w:t>practice</w:t>
      </w:r>
      <w:r w:rsidRPr="00F33673">
        <w:rPr>
          <w:color w:val="222222"/>
          <w:shd w:val="clear" w:color="auto" w:fill="FFFFFF"/>
        </w:rPr>
        <w:t>. Cambridge University Press.</w:t>
      </w:r>
    </w:p>
    <w:p w:rsidR="00442A00" w:rsidRPr="00F33673" w:rsidRDefault="00442A00" w:rsidP="00F33673">
      <w:pPr>
        <w:spacing w:line="480" w:lineRule="auto"/>
      </w:pPr>
      <w:r w:rsidRPr="00F33673">
        <w:t xml:space="preserve">Skene, K., &amp; Murray, A. (2017). Sustainable Economics: Context, Challenges and Opportunities </w:t>
      </w:r>
      <w:r w:rsidRPr="00F33673">
        <w:tab/>
        <w:t>for the 21st-Century Practitioner. London: Taylor and Francis. (9781783531516)</w:t>
      </w:r>
    </w:p>
    <w:p w:rsidR="00442A00" w:rsidRPr="00F33673" w:rsidRDefault="00442A00" w:rsidP="00F33673">
      <w:pPr>
        <w:spacing w:line="480" w:lineRule="auto"/>
      </w:pPr>
      <w:proofErr w:type="spellStart"/>
      <w:r w:rsidRPr="00F33673">
        <w:lastRenderedPageBreak/>
        <w:t>Sloman</w:t>
      </w:r>
      <w:proofErr w:type="spellEnd"/>
      <w:r w:rsidRPr="00F33673">
        <w:t>, J. (2019). Economics for business. Harlow, England: Pearson.</w:t>
      </w:r>
    </w:p>
    <w:p w:rsidR="00442A00" w:rsidRPr="00F33673" w:rsidRDefault="00442A00" w:rsidP="00F33673">
      <w:pPr>
        <w:spacing w:line="480" w:lineRule="auto"/>
        <w:rPr>
          <w:color w:val="222222"/>
          <w:shd w:val="clear" w:color="auto" w:fill="FFFFFF"/>
        </w:rPr>
      </w:pPr>
      <w:r w:rsidRPr="00F33673">
        <w:rPr>
          <w:color w:val="222222"/>
          <w:shd w:val="clear" w:color="auto" w:fill="FFFFFF"/>
        </w:rPr>
        <w:t>Smith, A. E., &amp; Commerce, U. (2007). Climate change: lessons learned from existing cap-and-</w:t>
      </w:r>
      <w:r w:rsidRPr="00F33673">
        <w:rPr>
          <w:color w:val="222222"/>
          <w:shd w:val="clear" w:color="auto" w:fill="FFFFFF"/>
        </w:rPr>
        <w:tab/>
        <w:t>trade programs. </w:t>
      </w:r>
      <w:r w:rsidRPr="00F33673">
        <w:rPr>
          <w:i/>
          <w:iCs/>
          <w:color w:val="222222"/>
          <w:shd w:val="clear" w:color="auto" w:fill="FFFFFF"/>
        </w:rPr>
        <w:t>Prepared Statement before the Subcommittee on Energy and Air Quality</w:t>
      </w:r>
      <w:r w:rsidRPr="00F33673">
        <w:rPr>
          <w:color w:val="222222"/>
          <w:shd w:val="clear" w:color="auto" w:fill="FFFFFF"/>
        </w:rPr>
        <w:t>.</w:t>
      </w:r>
      <w:r w:rsidRPr="00F33673">
        <w:rPr>
          <w:color w:val="222222"/>
          <w:shd w:val="clear" w:color="auto" w:fill="FFFFFF"/>
        </w:rPr>
        <w:tab/>
      </w:r>
    </w:p>
    <w:p w:rsidR="00442A00" w:rsidRPr="00F33673" w:rsidRDefault="00442A00" w:rsidP="00F33673">
      <w:pPr>
        <w:spacing w:line="480" w:lineRule="auto"/>
        <w:rPr>
          <w:color w:val="222222"/>
          <w:shd w:val="clear" w:color="auto" w:fill="FFFFFF"/>
        </w:rPr>
      </w:pPr>
      <w:proofErr w:type="spellStart"/>
      <w:r w:rsidRPr="00F33673">
        <w:rPr>
          <w:color w:val="222222"/>
          <w:shd w:val="clear" w:color="auto" w:fill="FFFFFF"/>
        </w:rPr>
        <w:t>Thampapillai</w:t>
      </w:r>
      <w:proofErr w:type="spellEnd"/>
      <w:r w:rsidRPr="00F33673">
        <w:rPr>
          <w:color w:val="222222"/>
          <w:shd w:val="clear" w:color="auto" w:fill="FFFFFF"/>
        </w:rPr>
        <w:t>, D. J., &amp; Ruth, M. (2019). </w:t>
      </w:r>
      <w:r w:rsidRPr="00F33673">
        <w:rPr>
          <w:i/>
          <w:iCs/>
          <w:color w:val="222222"/>
          <w:shd w:val="clear" w:color="auto" w:fill="FFFFFF"/>
        </w:rPr>
        <w:t xml:space="preserve">Environmental economics: Concepts, methods and </w:t>
      </w:r>
      <w:r w:rsidRPr="00F33673">
        <w:rPr>
          <w:i/>
          <w:iCs/>
          <w:color w:val="222222"/>
          <w:shd w:val="clear" w:color="auto" w:fill="FFFFFF"/>
        </w:rPr>
        <w:tab/>
        <w:t>policies</w:t>
      </w:r>
      <w:r w:rsidRPr="00F33673">
        <w:rPr>
          <w:color w:val="222222"/>
          <w:shd w:val="clear" w:color="auto" w:fill="FFFFFF"/>
        </w:rPr>
        <w:t>. Routledge.</w:t>
      </w:r>
    </w:p>
    <w:sectPr w:rsidR="00442A00" w:rsidRPr="00F33673" w:rsidSect="006E3F88">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5D8B" w:rsidRDefault="00375D8B" w:rsidP="006E3F88">
      <w:pPr>
        <w:spacing w:after="0" w:line="240" w:lineRule="auto"/>
      </w:pPr>
      <w:r>
        <w:separator/>
      </w:r>
    </w:p>
  </w:endnote>
  <w:endnote w:type="continuationSeparator" w:id="0">
    <w:p w:rsidR="00375D8B" w:rsidRDefault="00375D8B" w:rsidP="006E3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5D8B" w:rsidRDefault="00375D8B" w:rsidP="006E3F88">
      <w:pPr>
        <w:spacing w:after="0" w:line="240" w:lineRule="auto"/>
      </w:pPr>
      <w:r>
        <w:separator/>
      </w:r>
    </w:p>
  </w:footnote>
  <w:footnote w:type="continuationSeparator" w:id="0">
    <w:p w:rsidR="00375D8B" w:rsidRDefault="00375D8B" w:rsidP="006E3F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7632046"/>
      <w:docPartObj>
        <w:docPartGallery w:val="Page Numbers (Top of Page)"/>
        <w:docPartUnique/>
      </w:docPartObj>
    </w:sdtPr>
    <w:sdtEndPr>
      <w:rPr>
        <w:noProof/>
      </w:rPr>
    </w:sdtEndPr>
    <w:sdtContent>
      <w:p w:rsidR="00F533E6" w:rsidRDefault="00F533E6">
        <w:pPr>
          <w:pStyle w:val="Header"/>
          <w:jc w:val="right"/>
        </w:pPr>
        <w:r>
          <w:fldChar w:fldCharType="begin"/>
        </w:r>
        <w:r>
          <w:instrText xml:space="preserve"> PAGE   \* MERGEFORMAT </w:instrText>
        </w:r>
        <w:r>
          <w:fldChar w:fldCharType="separate"/>
        </w:r>
        <w:r w:rsidR="00F33673">
          <w:rPr>
            <w:noProof/>
          </w:rPr>
          <w:t>5</w:t>
        </w:r>
        <w:r>
          <w:rPr>
            <w:noProof/>
          </w:rPr>
          <w:fldChar w:fldCharType="end"/>
        </w:r>
      </w:p>
    </w:sdtContent>
  </w:sdt>
  <w:p w:rsidR="00F533E6" w:rsidRDefault="00F533E6">
    <w:pPr>
      <w:pStyle w:val="Header"/>
    </w:pPr>
    <w:r w:rsidRPr="00A37E49">
      <w:t>ENVIRONMENTAL ECONOMICS AND MARKET FAILURE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2814433"/>
      <w:docPartObj>
        <w:docPartGallery w:val="Page Numbers (Top of Page)"/>
        <w:docPartUnique/>
      </w:docPartObj>
    </w:sdtPr>
    <w:sdtEndPr>
      <w:rPr>
        <w:noProof/>
      </w:rPr>
    </w:sdtEndPr>
    <w:sdtContent>
      <w:p w:rsidR="00F533E6" w:rsidRDefault="00F533E6">
        <w:pPr>
          <w:pStyle w:val="Header"/>
          <w:jc w:val="right"/>
        </w:pPr>
        <w:r>
          <w:fldChar w:fldCharType="begin"/>
        </w:r>
        <w:r>
          <w:instrText xml:space="preserve"> PAGE   \* MERGEFORMAT </w:instrText>
        </w:r>
        <w:r>
          <w:fldChar w:fldCharType="separate"/>
        </w:r>
        <w:r w:rsidR="00F33673">
          <w:rPr>
            <w:noProof/>
          </w:rPr>
          <w:t>1</w:t>
        </w:r>
        <w:r>
          <w:rPr>
            <w:noProof/>
          </w:rPr>
          <w:fldChar w:fldCharType="end"/>
        </w:r>
      </w:p>
    </w:sdtContent>
  </w:sdt>
  <w:p w:rsidR="00F533E6" w:rsidRDefault="00F533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35344A"/>
    <w:multiLevelType w:val="hybridMultilevel"/>
    <w:tmpl w:val="7458E24C"/>
    <w:lvl w:ilvl="0" w:tplc="2C1EF348">
      <w:start w:val="1"/>
      <w:numFmt w:val="bullet"/>
      <w:lvlText w:val=""/>
      <w:lvlJc w:val="left"/>
      <w:pPr>
        <w:tabs>
          <w:tab w:val="num" w:pos="720"/>
        </w:tabs>
        <w:ind w:left="720" w:hanging="360"/>
      </w:pPr>
      <w:rPr>
        <w:rFonts w:ascii="Wingdings" w:hAnsi="Wingdings" w:hint="default"/>
      </w:rPr>
    </w:lvl>
    <w:lvl w:ilvl="1" w:tplc="D3D070BE" w:tentative="1">
      <w:start w:val="1"/>
      <w:numFmt w:val="bullet"/>
      <w:lvlText w:val=""/>
      <w:lvlJc w:val="left"/>
      <w:pPr>
        <w:tabs>
          <w:tab w:val="num" w:pos="1440"/>
        </w:tabs>
        <w:ind w:left="1440" w:hanging="360"/>
      </w:pPr>
      <w:rPr>
        <w:rFonts w:ascii="Wingdings" w:hAnsi="Wingdings" w:hint="default"/>
      </w:rPr>
    </w:lvl>
    <w:lvl w:ilvl="2" w:tplc="99CA89F6" w:tentative="1">
      <w:start w:val="1"/>
      <w:numFmt w:val="bullet"/>
      <w:lvlText w:val=""/>
      <w:lvlJc w:val="left"/>
      <w:pPr>
        <w:tabs>
          <w:tab w:val="num" w:pos="2160"/>
        </w:tabs>
        <w:ind w:left="2160" w:hanging="360"/>
      </w:pPr>
      <w:rPr>
        <w:rFonts w:ascii="Wingdings" w:hAnsi="Wingdings" w:hint="default"/>
      </w:rPr>
    </w:lvl>
    <w:lvl w:ilvl="3" w:tplc="25AA772C" w:tentative="1">
      <w:start w:val="1"/>
      <w:numFmt w:val="bullet"/>
      <w:lvlText w:val=""/>
      <w:lvlJc w:val="left"/>
      <w:pPr>
        <w:tabs>
          <w:tab w:val="num" w:pos="2880"/>
        </w:tabs>
        <w:ind w:left="2880" w:hanging="360"/>
      </w:pPr>
      <w:rPr>
        <w:rFonts w:ascii="Wingdings" w:hAnsi="Wingdings" w:hint="default"/>
      </w:rPr>
    </w:lvl>
    <w:lvl w:ilvl="4" w:tplc="2E68A67A" w:tentative="1">
      <w:start w:val="1"/>
      <w:numFmt w:val="bullet"/>
      <w:lvlText w:val=""/>
      <w:lvlJc w:val="left"/>
      <w:pPr>
        <w:tabs>
          <w:tab w:val="num" w:pos="3600"/>
        </w:tabs>
        <w:ind w:left="3600" w:hanging="360"/>
      </w:pPr>
      <w:rPr>
        <w:rFonts w:ascii="Wingdings" w:hAnsi="Wingdings" w:hint="default"/>
      </w:rPr>
    </w:lvl>
    <w:lvl w:ilvl="5" w:tplc="0C7A1C62" w:tentative="1">
      <w:start w:val="1"/>
      <w:numFmt w:val="bullet"/>
      <w:lvlText w:val=""/>
      <w:lvlJc w:val="left"/>
      <w:pPr>
        <w:tabs>
          <w:tab w:val="num" w:pos="4320"/>
        </w:tabs>
        <w:ind w:left="4320" w:hanging="360"/>
      </w:pPr>
      <w:rPr>
        <w:rFonts w:ascii="Wingdings" w:hAnsi="Wingdings" w:hint="default"/>
      </w:rPr>
    </w:lvl>
    <w:lvl w:ilvl="6" w:tplc="3D4E6042" w:tentative="1">
      <w:start w:val="1"/>
      <w:numFmt w:val="bullet"/>
      <w:lvlText w:val=""/>
      <w:lvlJc w:val="left"/>
      <w:pPr>
        <w:tabs>
          <w:tab w:val="num" w:pos="5040"/>
        </w:tabs>
        <w:ind w:left="5040" w:hanging="360"/>
      </w:pPr>
      <w:rPr>
        <w:rFonts w:ascii="Wingdings" w:hAnsi="Wingdings" w:hint="default"/>
      </w:rPr>
    </w:lvl>
    <w:lvl w:ilvl="7" w:tplc="2B2A6092" w:tentative="1">
      <w:start w:val="1"/>
      <w:numFmt w:val="bullet"/>
      <w:lvlText w:val=""/>
      <w:lvlJc w:val="left"/>
      <w:pPr>
        <w:tabs>
          <w:tab w:val="num" w:pos="5760"/>
        </w:tabs>
        <w:ind w:left="5760" w:hanging="360"/>
      </w:pPr>
      <w:rPr>
        <w:rFonts w:ascii="Wingdings" w:hAnsi="Wingdings" w:hint="default"/>
      </w:rPr>
    </w:lvl>
    <w:lvl w:ilvl="8" w:tplc="4CA85DC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wsbA0tzQzNTQwtjBT0lEKTi0uzszPAykwrgUAOuIfISwAAAA="/>
  </w:docVars>
  <w:rsids>
    <w:rsidRoot w:val="00730F77"/>
    <w:rsid w:val="00041F23"/>
    <w:rsid w:val="00096B4D"/>
    <w:rsid w:val="000E2CDB"/>
    <w:rsid w:val="000E68A9"/>
    <w:rsid w:val="00113711"/>
    <w:rsid w:val="001246E9"/>
    <w:rsid w:val="001759A8"/>
    <w:rsid w:val="001A1E9B"/>
    <w:rsid w:val="00211856"/>
    <w:rsid w:val="00256D17"/>
    <w:rsid w:val="002B7BB8"/>
    <w:rsid w:val="003070C0"/>
    <w:rsid w:val="00347F0B"/>
    <w:rsid w:val="00350D94"/>
    <w:rsid w:val="003606E2"/>
    <w:rsid w:val="00374DAD"/>
    <w:rsid w:val="00375D8B"/>
    <w:rsid w:val="00390090"/>
    <w:rsid w:val="0042408F"/>
    <w:rsid w:val="00430923"/>
    <w:rsid w:val="00442A00"/>
    <w:rsid w:val="00492C6E"/>
    <w:rsid w:val="004C1AF9"/>
    <w:rsid w:val="004E3ADA"/>
    <w:rsid w:val="004E7285"/>
    <w:rsid w:val="00511240"/>
    <w:rsid w:val="00532546"/>
    <w:rsid w:val="005361ED"/>
    <w:rsid w:val="0056412A"/>
    <w:rsid w:val="00574097"/>
    <w:rsid w:val="005A4E5B"/>
    <w:rsid w:val="005B7529"/>
    <w:rsid w:val="00677C0D"/>
    <w:rsid w:val="00694CCF"/>
    <w:rsid w:val="006A7A20"/>
    <w:rsid w:val="006C44C6"/>
    <w:rsid w:val="006E3F88"/>
    <w:rsid w:val="006E4B68"/>
    <w:rsid w:val="007168B7"/>
    <w:rsid w:val="00730F77"/>
    <w:rsid w:val="0073330E"/>
    <w:rsid w:val="00761E77"/>
    <w:rsid w:val="007B3AD4"/>
    <w:rsid w:val="007C1C11"/>
    <w:rsid w:val="00801C7B"/>
    <w:rsid w:val="00801EC0"/>
    <w:rsid w:val="00826D79"/>
    <w:rsid w:val="00836B65"/>
    <w:rsid w:val="00846665"/>
    <w:rsid w:val="008B2067"/>
    <w:rsid w:val="008B6A80"/>
    <w:rsid w:val="008C121A"/>
    <w:rsid w:val="009A183F"/>
    <w:rsid w:val="00A37E49"/>
    <w:rsid w:val="00A43C14"/>
    <w:rsid w:val="00A46DC3"/>
    <w:rsid w:val="00A97B48"/>
    <w:rsid w:val="00AB147B"/>
    <w:rsid w:val="00AF293A"/>
    <w:rsid w:val="00B35B45"/>
    <w:rsid w:val="00B749A3"/>
    <w:rsid w:val="00B96C67"/>
    <w:rsid w:val="00BB290F"/>
    <w:rsid w:val="00BB7A1B"/>
    <w:rsid w:val="00C2217B"/>
    <w:rsid w:val="00C64E25"/>
    <w:rsid w:val="00CA759F"/>
    <w:rsid w:val="00CE319B"/>
    <w:rsid w:val="00D11B72"/>
    <w:rsid w:val="00D13A69"/>
    <w:rsid w:val="00D20FFE"/>
    <w:rsid w:val="00D26562"/>
    <w:rsid w:val="00D36E76"/>
    <w:rsid w:val="00D42E3B"/>
    <w:rsid w:val="00D527C6"/>
    <w:rsid w:val="00D576E1"/>
    <w:rsid w:val="00D62F67"/>
    <w:rsid w:val="00D64541"/>
    <w:rsid w:val="00D70225"/>
    <w:rsid w:val="00D75F44"/>
    <w:rsid w:val="00DB2B5F"/>
    <w:rsid w:val="00DB2F7D"/>
    <w:rsid w:val="00DD04B1"/>
    <w:rsid w:val="00DE5E0A"/>
    <w:rsid w:val="00E041A9"/>
    <w:rsid w:val="00E210B0"/>
    <w:rsid w:val="00E23B23"/>
    <w:rsid w:val="00E70E78"/>
    <w:rsid w:val="00E94A47"/>
    <w:rsid w:val="00EA1D20"/>
    <w:rsid w:val="00EC4DEC"/>
    <w:rsid w:val="00F11CFF"/>
    <w:rsid w:val="00F26834"/>
    <w:rsid w:val="00F3087D"/>
    <w:rsid w:val="00F33673"/>
    <w:rsid w:val="00F404A9"/>
    <w:rsid w:val="00F533E6"/>
    <w:rsid w:val="00F5630B"/>
    <w:rsid w:val="00FE7F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42CDE"/>
  <w15:chartTrackingRefBased/>
  <w15:docId w15:val="{CAA8991C-995E-4E1F-8AA2-6D0D38D47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D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F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3F88"/>
  </w:style>
  <w:style w:type="paragraph" w:styleId="Footer">
    <w:name w:val="footer"/>
    <w:basedOn w:val="Normal"/>
    <w:link w:val="FooterChar"/>
    <w:uiPriority w:val="99"/>
    <w:unhideWhenUsed/>
    <w:rsid w:val="006E3F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F88"/>
  </w:style>
  <w:style w:type="character" w:customStyle="1" w:styleId="Heading1Char">
    <w:name w:val="Heading 1 Char"/>
    <w:basedOn w:val="DefaultParagraphFont"/>
    <w:link w:val="Heading1"/>
    <w:uiPriority w:val="9"/>
    <w:rsid w:val="00EC4DE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8910628">
      <w:bodyDiv w:val="1"/>
      <w:marLeft w:val="0"/>
      <w:marRight w:val="0"/>
      <w:marTop w:val="0"/>
      <w:marBottom w:val="0"/>
      <w:divBdr>
        <w:top w:val="none" w:sz="0" w:space="0" w:color="auto"/>
        <w:left w:val="none" w:sz="0" w:space="0" w:color="auto"/>
        <w:bottom w:val="none" w:sz="0" w:space="0" w:color="auto"/>
        <w:right w:val="none" w:sz="0" w:space="0" w:color="auto"/>
      </w:divBdr>
      <w:divsChild>
        <w:div w:id="166790834">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2601</Words>
  <Characters>16677</Characters>
  <Application>Microsoft Office Word</Application>
  <DocSecurity>0</DocSecurity>
  <Lines>1667</Lines>
  <Paragraphs>917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daniel ramsey</cp:lastModifiedBy>
  <cp:revision>2</cp:revision>
  <dcterms:created xsi:type="dcterms:W3CDTF">2020-03-28T20:52:00Z</dcterms:created>
  <dcterms:modified xsi:type="dcterms:W3CDTF">2020-03-28T20:52:00Z</dcterms:modified>
</cp:coreProperties>
</file>