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04D" w:rsidRDefault="0026598E"/>
    <w:p w:rsidR="0007644F" w:rsidRPr="0007644F" w:rsidRDefault="0007644F" w:rsidP="0007644F">
      <w:pPr>
        <w:spacing w:before="100" w:beforeAutospacing="1" w:after="100" w:afterAutospacing="1" w:line="240" w:lineRule="auto"/>
        <w:outlineLvl w:val="3"/>
        <w:rPr>
          <w:rFonts w:ascii="Verdana" w:eastAsia="Times New Roman" w:hAnsi="Verdana" w:cs="Times New Roman"/>
          <w:b/>
          <w:bCs/>
          <w:color w:val="000000"/>
          <w:sz w:val="24"/>
          <w:szCs w:val="24"/>
          <w:lang w:eastAsia="en-GB"/>
        </w:rPr>
      </w:pPr>
      <w:r w:rsidRPr="0007644F">
        <w:rPr>
          <w:rFonts w:ascii="Verdana" w:eastAsia="Times New Roman" w:hAnsi="Verdana" w:cs="Times New Roman"/>
          <w:b/>
          <w:bCs/>
          <w:color w:val="000000"/>
          <w:sz w:val="24"/>
          <w:szCs w:val="24"/>
          <w:lang w:eastAsia="en-GB"/>
        </w:rPr>
        <w:t xml:space="preserve">Purchasing Power Parity Theory (PPPT) </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PPPT claims that the rate of exchange between two currencies depends on the relative inflation rates within the respective countries. PPPT is based on 'the law of one price', which states that in equilibrium, identical goods must cost the same, regardless of the currency in which they are sold.</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 xml:space="preserve">PPPT predicts that the country with the higher inflation will be subject to a depreciation of its currency. </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 If you need to estimate the expected future spot rates, simply apply the following formula:</w:t>
      </w:r>
    </w:p>
    <w:p w:rsidR="0007644F" w:rsidRPr="0007644F" w:rsidRDefault="0007644F" w:rsidP="0007644F">
      <w:pPr>
        <w:spacing w:after="0" w:line="240" w:lineRule="auto"/>
        <w:jc w:val="center"/>
        <w:rPr>
          <w:rFonts w:ascii="Verdana" w:eastAsia="Times New Roman" w:hAnsi="Verdana" w:cs="Times New Roman"/>
          <w:color w:val="000000"/>
          <w:sz w:val="24"/>
          <w:szCs w:val="24"/>
          <w:lang w:eastAsia="en-GB"/>
        </w:rPr>
      </w:pPr>
      <w:r w:rsidRPr="0007644F">
        <w:rPr>
          <w:rFonts w:ascii="Verdana" w:eastAsia="Times New Roman" w:hAnsi="Verdana" w:cs="Times New Roman"/>
          <w:noProof/>
          <w:color w:val="000000"/>
          <w:sz w:val="24"/>
          <w:szCs w:val="24"/>
          <w:lang w:eastAsia="en-GB"/>
        </w:rPr>
        <w:drawing>
          <wp:inline distT="0" distB="0" distL="0" distR="0" wp14:anchorId="146D9510" wp14:editId="4AFC4E25">
            <wp:extent cx="2438400" cy="828675"/>
            <wp:effectExtent l="0" t="0" r="0" b="9525"/>
            <wp:docPr id="2" name="Picture 2" descr="http://dl.groovygecko.net/anon.groovy/clients/kaplan/AlexILS/ACCAWIKI/ACCA_F9_HTML/Images/CH11_img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l.groovygecko.net/anon.groovy/clients/kaplan/AlexILS/ACCAWIKI/ACCA_F9_HTML/Images/CH11_img004.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8400" cy="828675"/>
                    </a:xfrm>
                    <a:prstGeom prst="rect">
                      <a:avLst/>
                    </a:prstGeom>
                    <a:noFill/>
                    <a:ln>
                      <a:noFill/>
                    </a:ln>
                  </pic:spPr>
                </pic:pic>
              </a:graphicData>
            </a:graphic>
          </wp:inline>
        </w:drawing>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Where:</w:t>
      </w:r>
    </w:p>
    <w:p w:rsidR="0007644F" w:rsidRPr="0007644F" w:rsidRDefault="0007644F" w:rsidP="0007644F">
      <w:pPr>
        <w:numPr>
          <w:ilvl w:val="0"/>
          <w:numId w:val="2"/>
        </w:num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S</w:t>
      </w:r>
      <w:r w:rsidRPr="0007644F">
        <w:rPr>
          <w:rFonts w:ascii="Verdana" w:eastAsia="Times New Roman" w:hAnsi="Verdana" w:cs="Times New Roman"/>
          <w:color w:val="000000"/>
          <w:sz w:val="24"/>
          <w:szCs w:val="24"/>
          <w:vertAlign w:val="subscript"/>
          <w:lang w:eastAsia="en-GB"/>
        </w:rPr>
        <w:t>0</w:t>
      </w:r>
      <w:r w:rsidRPr="0007644F">
        <w:rPr>
          <w:rFonts w:ascii="Verdana" w:eastAsia="Times New Roman" w:hAnsi="Verdana" w:cs="Times New Roman"/>
          <w:color w:val="000000"/>
          <w:sz w:val="24"/>
          <w:szCs w:val="24"/>
          <w:lang w:eastAsia="en-GB"/>
        </w:rPr>
        <w:t xml:space="preserve"> = Current spot </w:t>
      </w:r>
    </w:p>
    <w:p w:rsidR="0007644F" w:rsidRPr="0007644F" w:rsidRDefault="0007644F" w:rsidP="0007644F">
      <w:pPr>
        <w:numPr>
          <w:ilvl w:val="0"/>
          <w:numId w:val="2"/>
        </w:num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S</w:t>
      </w:r>
      <w:r w:rsidRPr="0007644F">
        <w:rPr>
          <w:rFonts w:ascii="Verdana" w:eastAsia="Times New Roman" w:hAnsi="Verdana" w:cs="Times New Roman"/>
          <w:color w:val="000000"/>
          <w:sz w:val="24"/>
          <w:szCs w:val="24"/>
          <w:vertAlign w:val="subscript"/>
          <w:lang w:eastAsia="en-GB"/>
        </w:rPr>
        <w:t>1</w:t>
      </w:r>
      <w:r w:rsidRPr="0007644F">
        <w:rPr>
          <w:rFonts w:ascii="Verdana" w:eastAsia="Times New Roman" w:hAnsi="Verdana" w:cs="Times New Roman"/>
          <w:color w:val="000000"/>
          <w:sz w:val="24"/>
          <w:szCs w:val="24"/>
          <w:lang w:eastAsia="en-GB"/>
        </w:rPr>
        <w:t xml:space="preserve"> = Expected future spot </w:t>
      </w:r>
    </w:p>
    <w:p w:rsidR="0007644F" w:rsidRPr="0007644F" w:rsidRDefault="0007644F" w:rsidP="0007644F">
      <w:pPr>
        <w:numPr>
          <w:ilvl w:val="0"/>
          <w:numId w:val="2"/>
        </w:numPr>
        <w:spacing w:before="100" w:beforeAutospacing="1" w:after="100" w:afterAutospacing="1" w:line="240" w:lineRule="auto"/>
        <w:rPr>
          <w:rFonts w:ascii="Verdana" w:eastAsia="Times New Roman" w:hAnsi="Verdana" w:cs="Times New Roman"/>
          <w:color w:val="000000"/>
          <w:sz w:val="24"/>
          <w:szCs w:val="24"/>
          <w:lang w:eastAsia="en-GB"/>
        </w:rPr>
      </w:pPr>
      <w:proofErr w:type="spellStart"/>
      <w:r w:rsidRPr="0007644F">
        <w:rPr>
          <w:rFonts w:ascii="Verdana" w:eastAsia="Times New Roman" w:hAnsi="Verdana" w:cs="Times New Roman"/>
          <w:color w:val="000000"/>
          <w:sz w:val="24"/>
          <w:szCs w:val="24"/>
          <w:lang w:eastAsia="en-GB"/>
        </w:rPr>
        <w:t>h</w:t>
      </w:r>
      <w:r w:rsidRPr="0007644F">
        <w:rPr>
          <w:rFonts w:ascii="Verdana" w:eastAsia="Times New Roman" w:hAnsi="Verdana" w:cs="Times New Roman"/>
          <w:color w:val="000000"/>
          <w:sz w:val="24"/>
          <w:szCs w:val="24"/>
          <w:vertAlign w:val="subscript"/>
          <w:lang w:eastAsia="en-GB"/>
        </w:rPr>
        <w:t>b</w:t>
      </w:r>
      <w:proofErr w:type="spellEnd"/>
      <w:r w:rsidRPr="0007644F">
        <w:rPr>
          <w:rFonts w:ascii="Verdana" w:eastAsia="Times New Roman" w:hAnsi="Verdana" w:cs="Times New Roman"/>
          <w:color w:val="000000"/>
          <w:sz w:val="24"/>
          <w:szCs w:val="24"/>
          <w:lang w:eastAsia="en-GB"/>
        </w:rPr>
        <w:t xml:space="preserve"> = Inflation rate in country for which the spot is quoted (base currency) </w:t>
      </w:r>
    </w:p>
    <w:p w:rsidR="0007644F" w:rsidRPr="0007644F" w:rsidRDefault="0007644F" w:rsidP="0007644F">
      <w:pPr>
        <w:numPr>
          <w:ilvl w:val="0"/>
          <w:numId w:val="2"/>
        </w:numPr>
        <w:spacing w:before="100" w:beforeAutospacing="1" w:after="100" w:afterAutospacing="1" w:line="240" w:lineRule="auto"/>
        <w:rPr>
          <w:rFonts w:ascii="Verdana" w:eastAsia="Times New Roman" w:hAnsi="Verdana" w:cs="Times New Roman"/>
          <w:color w:val="000000"/>
          <w:sz w:val="24"/>
          <w:szCs w:val="24"/>
          <w:lang w:eastAsia="en-GB"/>
        </w:rPr>
      </w:pPr>
      <w:proofErr w:type="spellStart"/>
      <w:proofErr w:type="gramStart"/>
      <w:r w:rsidRPr="0007644F">
        <w:rPr>
          <w:rFonts w:ascii="Verdana" w:eastAsia="Times New Roman" w:hAnsi="Verdana" w:cs="Times New Roman"/>
          <w:color w:val="000000"/>
          <w:sz w:val="24"/>
          <w:szCs w:val="24"/>
          <w:lang w:eastAsia="en-GB"/>
        </w:rPr>
        <w:t>h</w:t>
      </w:r>
      <w:r w:rsidRPr="0007644F">
        <w:rPr>
          <w:rFonts w:ascii="Verdana" w:eastAsia="Times New Roman" w:hAnsi="Verdana" w:cs="Times New Roman"/>
          <w:color w:val="000000"/>
          <w:sz w:val="24"/>
          <w:szCs w:val="24"/>
          <w:vertAlign w:val="subscript"/>
          <w:lang w:eastAsia="en-GB"/>
        </w:rPr>
        <w:t>c</w:t>
      </w:r>
      <w:proofErr w:type="spellEnd"/>
      <w:proofErr w:type="gramEnd"/>
      <w:r w:rsidRPr="0007644F">
        <w:rPr>
          <w:rFonts w:ascii="Verdana" w:eastAsia="Times New Roman" w:hAnsi="Verdana" w:cs="Times New Roman"/>
          <w:color w:val="000000"/>
          <w:sz w:val="24"/>
          <w:szCs w:val="24"/>
          <w:lang w:eastAsia="en-GB"/>
        </w:rPr>
        <w:t xml:space="preserve"> = Inflation rate in the other country. (counter currency) </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PPPT can be used as our best predictor of future spot rates; however it suffers from the following major limitations:</w:t>
      </w:r>
    </w:p>
    <w:p w:rsidR="0007644F" w:rsidRPr="0007644F" w:rsidRDefault="0007644F" w:rsidP="0007644F">
      <w:pPr>
        <w:numPr>
          <w:ilvl w:val="0"/>
          <w:numId w:val="3"/>
        </w:num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 xml:space="preserve">the future inflation rates are only estimates </w:t>
      </w:r>
    </w:p>
    <w:p w:rsidR="0007644F" w:rsidRPr="0007644F" w:rsidRDefault="0007644F" w:rsidP="0007644F">
      <w:pPr>
        <w:numPr>
          <w:ilvl w:val="0"/>
          <w:numId w:val="3"/>
        </w:num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 xml:space="preserve">the market is dominated by speculative transactions (98%) as opposed to trade transactions; therefore purchasing power theory breaks down </w:t>
      </w:r>
    </w:p>
    <w:p w:rsidR="0007644F" w:rsidRPr="0007644F" w:rsidRDefault="0007644F" w:rsidP="0007644F">
      <w:pPr>
        <w:numPr>
          <w:ilvl w:val="0"/>
          <w:numId w:val="3"/>
        </w:numPr>
        <w:spacing w:before="100" w:beforeAutospacing="1" w:after="100" w:afterAutospacing="1" w:line="240" w:lineRule="auto"/>
        <w:rPr>
          <w:rFonts w:ascii="Verdana" w:eastAsia="Times New Roman" w:hAnsi="Verdana" w:cs="Times New Roman"/>
          <w:color w:val="000000"/>
          <w:sz w:val="24"/>
          <w:szCs w:val="24"/>
          <w:lang w:eastAsia="en-GB"/>
        </w:rPr>
      </w:pPr>
      <w:proofErr w:type="gramStart"/>
      <w:r w:rsidRPr="0007644F">
        <w:rPr>
          <w:rFonts w:ascii="Verdana" w:eastAsia="Times New Roman" w:hAnsi="Verdana" w:cs="Times New Roman"/>
          <w:color w:val="000000"/>
          <w:sz w:val="24"/>
          <w:szCs w:val="24"/>
          <w:lang w:eastAsia="en-GB"/>
        </w:rPr>
        <w:t>government</w:t>
      </w:r>
      <w:proofErr w:type="gramEnd"/>
      <w:r w:rsidRPr="0007644F">
        <w:rPr>
          <w:rFonts w:ascii="Verdana" w:eastAsia="Times New Roman" w:hAnsi="Verdana" w:cs="Times New Roman"/>
          <w:color w:val="000000"/>
          <w:sz w:val="24"/>
          <w:szCs w:val="24"/>
          <w:lang w:eastAsia="en-GB"/>
        </w:rPr>
        <w:t xml:space="preserve"> intervention: governments may manage exchange rates, thus defying the forces pressing towards PPPT. </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It is likely that the purchasing power parity model may be more useful for predicting long-run changes in exchange rates since these are more likely to be determined by the underlying competitiveness of economies, as measured by the model</w:t>
      </w:r>
    </w:p>
    <w:p w:rsidR="0007644F" w:rsidRDefault="0007644F" w:rsidP="0007644F">
      <w:pPr>
        <w:spacing w:before="100" w:beforeAutospacing="1" w:after="100" w:afterAutospacing="1" w:line="240" w:lineRule="auto"/>
        <w:outlineLvl w:val="3"/>
        <w:rPr>
          <w:rFonts w:ascii="Verdana" w:eastAsia="Times New Roman" w:hAnsi="Verdana" w:cs="Times New Roman"/>
          <w:b/>
          <w:bCs/>
          <w:color w:val="000000"/>
          <w:sz w:val="24"/>
          <w:szCs w:val="24"/>
          <w:lang w:eastAsia="en-GB"/>
        </w:rPr>
      </w:pPr>
    </w:p>
    <w:p w:rsidR="0007644F" w:rsidRDefault="0007644F" w:rsidP="0007644F">
      <w:pPr>
        <w:spacing w:before="100" w:beforeAutospacing="1" w:after="100" w:afterAutospacing="1" w:line="240" w:lineRule="auto"/>
        <w:outlineLvl w:val="3"/>
        <w:rPr>
          <w:rFonts w:ascii="Verdana" w:eastAsia="Times New Roman" w:hAnsi="Verdana" w:cs="Times New Roman"/>
          <w:b/>
          <w:bCs/>
          <w:color w:val="000000"/>
          <w:sz w:val="24"/>
          <w:szCs w:val="24"/>
          <w:lang w:eastAsia="en-GB"/>
        </w:rPr>
      </w:pPr>
    </w:p>
    <w:p w:rsidR="0007644F" w:rsidRPr="0007644F" w:rsidRDefault="0007644F" w:rsidP="0007644F">
      <w:pPr>
        <w:spacing w:before="100" w:beforeAutospacing="1" w:after="100" w:afterAutospacing="1" w:line="240" w:lineRule="auto"/>
        <w:outlineLvl w:val="3"/>
        <w:rPr>
          <w:rFonts w:ascii="Verdana" w:eastAsia="Times New Roman" w:hAnsi="Verdana" w:cs="Times New Roman"/>
          <w:b/>
          <w:bCs/>
          <w:color w:val="000000"/>
          <w:sz w:val="24"/>
          <w:szCs w:val="24"/>
          <w:lang w:eastAsia="en-GB"/>
        </w:rPr>
      </w:pPr>
      <w:r w:rsidRPr="0007644F">
        <w:rPr>
          <w:rFonts w:ascii="Verdana" w:eastAsia="Times New Roman" w:hAnsi="Verdana" w:cs="Times New Roman"/>
          <w:b/>
          <w:bCs/>
          <w:color w:val="000000"/>
          <w:sz w:val="24"/>
          <w:szCs w:val="24"/>
          <w:lang w:eastAsia="en-GB"/>
        </w:rPr>
        <w:lastRenderedPageBreak/>
        <w:t xml:space="preserve">Interest Rate Parity Theory (IRPT) </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The IRPT claims that the difference between the spot and the forward exchange rates is equal to the differential between interest rates available in the two currencies. (Note: The forward rate is a future exchange rate, agreed now, for buying or selling an amount of currency on an agreed future date.)</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 xml:space="preserve">IRPT predicts that the country with the higher interest rate will see the forward rate for its currency subject to </w:t>
      </w:r>
      <w:proofErr w:type="gramStart"/>
      <w:r w:rsidRPr="0007644F">
        <w:rPr>
          <w:rFonts w:ascii="Verdana" w:eastAsia="Times New Roman" w:hAnsi="Verdana" w:cs="Times New Roman"/>
          <w:color w:val="000000"/>
          <w:sz w:val="24"/>
          <w:szCs w:val="24"/>
          <w:lang w:eastAsia="en-GB"/>
        </w:rPr>
        <w:t>a depreciation</w:t>
      </w:r>
      <w:proofErr w:type="gramEnd"/>
      <w:r w:rsidRPr="0007644F">
        <w:rPr>
          <w:rFonts w:ascii="Verdana" w:eastAsia="Times New Roman" w:hAnsi="Verdana" w:cs="Times New Roman"/>
          <w:color w:val="000000"/>
          <w:sz w:val="24"/>
          <w:szCs w:val="24"/>
          <w:lang w:eastAsia="en-GB"/>
        </w:rPr>
        <w:t xml:space="preserve">. </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If you need to calculate the forward rate in one year's time:</w:t>
      </w:r>
    </w:p>
    <w:p w:rsidR="0007644F" w:rsidRPr="0007644F" w:rsidRDefault="0007644F" w:rsidP="0007644F">
      <w:pPr>
        <w:spacing w:after="0" w:line="240" w:lineRule="auto"/>
        <w:jc w:val="center"/>
        <w:rPr>
          <w:rFonts w:ascii="Verdana" w:eastAsia="Times New Roman" w:hAnsi="Verdana" w:cs="Times New Roman"/>
          <w:color w:val="000000"/>
          <w:sz w:val="24"/>
          <w:szCs w:val="24"/>
          <w:lang w:eastAsia="en-GB"/>
        </w:rPr>
      </w:pPr>
      <w:r w:rsidRPr="0007644F">
        <w:rPr>
          <w:rFonts w:ascii="Verdana" w:eastAsia="Times New Roman" w:hAnsi="Verdana" w:cs="Times New Roman"/>
          <w:noProof/>
          <w:color w:val="000000"/>
          <w:sz w:val="24"/>
          <w:szCs w:val="24"/>
          <w:lang w:eastAsia="en-GB"/>
        </w:rPr>
        <w:drawing>
          <wp:inline distT="0" distB="0" distL="0" distR="0" wp14:anchorId="72007AEC" wp14:editId="1778AD8B">
            <wp:extent cx="2247900" cy="771525"/>
            <wp:effectExtent l="0" t="0" r="0" b="9525"/>
            <wp:docPr id="3" name="Picture 3" descr="http://dl.groovygecko.net/anon.groovy/clients/kaplan/AlexILS/ACCAWIKI/ACCA_F9_HTML/Images/CH11_img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l.groovygecko.net/anon.groovy/clients/kaplan/AlexILS/ACCAWIKI/ACCA_F9_HTML/Images/CH11_img007.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7900" cy="771525"/>
                    </a:xfrm>
                    <a:prstGeom prst="rect">
                      <a:avLst/>
                    </a:prstGeom>
                    <a:noFill/>
                    <a:ln>
                      <a:noFill/>
                    </a:ln>
                  </pic:spPr>
                </pic:pic>
              </a:graphicData>
            </a:graphic>
          </wp:inline>
        </w:drawing>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Where:</w:t>
      </w:r>
    </w:p>
    <w:p w:rsidR="0007644F" w:rsidRPr="0007644F" w:rsidRDefault="0007644F" w:rsidP="0007644F">
      <w:pPr>
        <w:numPr>
          <w:ilvl w:val="0"/>
          <w:numId w:val="4"/>
        </w:num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F</w:t>
      </w:r>
      <w:r w:rsidRPr="0007644F">
        <w:rPr>
          <w:rFonts w:ascii="Verdana" w:eastAsia="Times New Roman" w:hAnsi="Verdana" w:cs="Times New Roman"/>
          <w:color w:val="000000"/>
          <w:sz w:val="24"/>
          <w:szCs w:val="24"/>
          <w:vertAlign w:val="subscript"/>
          <w:lang w:eastAsia="en-GB"/>
        </w:rPr>
        <w:t>0</w:t>
      </w:r>
      <w:r w:rsidRPr="0007644F">
        <w:rPr>
          <w:rFonts w:ascii="Verdana" w:eastAsia="Times New Roman" w:hAnsi="Verdana" w:cs="Times New Roman"/>
          <w:color w:val="000000"/>
          <w:sz w:val="24"/>
          <w:szCs w:val="24"/>
          <w:lang w:eastAsia="en-GB"/>
        </w:rPr>
        <w:t xml:space="preserve"> = Forward rate </w:t>
      </w:r>
    </w:p>
    <w:p w:rsidR="0007644F" w:rsidRPr="0007644F" w:rsidRDefault="0007644F" w:rsidP="0007644F">
      <w:pPr>
        <w:numPr>
          <w:ilvl w:val="0"/>
          <w:numId w:val="4"/>
        </w:numPr>
        <w:spacing w:before="100" w:beforeAutospacing="1" w:after="100" w:afterAutospacing="1" w:line="240" w:lineRule="auto"/>
        <w:rPr>
          <w:rFonts w:ascii="Verdana" w:eastAsia="Times New Roman" w:hAnsi="Verdana" w:cs="Times New Roman"/>
          <w:color w:val="000000"/>
          <w:sz w:val="24"/>
          <w:szCs w:val="24"/>
          <w:lang w:eastAsia="en-GB"/>
        </w:rPr>
      </w:pPr>
      <w:proofErr w:type="spellStart"/>
      <w:r w:rsidRPr="0007644F">
        <w:rPr>
          <w:rFonts w:ascii="Verdana" w:eastAsia="Times New Roman" w:hAnsi="Verdana" w:cs="Times New Roman"/>
          <w:color w:val="000000"/>
          <w:sz w:val="24"/>
          <w:szCs w:val="24"/>
          <w:lang w:eastAsia="en-GB"/>
        </w:rPr>
        <w:t>i</w:t>
      </w:r>
      <w:r w:rsidRPr="0007644F">
        <w:rPr>
          <w:rFonts w:ascii="Verdana" w:eastAsia="Times New Roman" w:hAnsi="Verdana" w:cs="Times New Roman"/>
          <w:color w:val="000000"/>
          <w:sz w:val="24"/>
          <w:szCs w:val="24"/>
          <w:vertAlign w:val="subscript"/>
          <w:lang w:eastAsia="en-GB"/>
        </w:rPr>
        <w:t>b</w:t>
      </w:r>
      <w:proofErr w:type="spellEnd"/>
      <w:r w:rsidRPr="0007644F">
        <w:rPr>
          <w:rFonts w:ascii="Verdana" w:eastAsia="Times New Roman" w:hAnsi="Verdana" w:cs="Times New Roman"/>
          <w:color w:val="000000"/>
          <w:sz w:val="24"/>
          <w:szCs w:val="24"/>
          <w:lang w:eastAsia="en-GB"/>
        </w:rPr>
        <w:t xml:space="preserve"> = interest rate for base currency </w:t>
      </w:r>
    </w:p>
    <w:p w:rsidR="0007644F" w:rsidRPr="0007644F" w:rsidRDefault="0007644F" w:rsidP="0007644F">
      <w:pPr>
        <w:numPr>
          <w:ilvl w:val="0"/>
          <w:numId w:val="4"/>
        </w:numPr>
        <w:spacing w:before="100" w:beforeAutospacing="1" w:after="100" w:afterAutospacing="1" w:line="240" w:lineRule="auto"/>
        <w:rPr>
          <w:rFonts w:ascii="Verdana" w:eastAsia="Times New Roman" w:hAnsi="Verdana" w:cs="Times New Roman"/>
          <w:color w:val="000000"/>
          <w:sz w:val="24"/>
          <w:szCs w:val="24"/>
          <w:lang w:eastAsia="en-GB"/>
        </w:rPr>
      </w:pPr>
      <w:proofErr w:type="spellStart"/>
      <w:r w:rsidRPr="0007644F">
        <w:rPr>
          <w:rFonts w:ascii="Verdana" w:eastAsia="Times New Roman" w:hAnsi="Verdana" w:cs="Times New Roman"/>
          <w:color w:val="000000"/>
          <w:sz w:val="24"/>
          <w:szCs w:val="24"/>
          <w:lang w:eastAsia="en-GB"/>
        </w:rPr>
        <w:t>i</w:t>
      </w:r>
      <w:r w:rsidRPr="0007644F">
        <w:rPr>
          <w:rFonts w:ascii="Verdana" w:eastAsia="Times New Roman" w:hAnsi="Verdana" w:cs="Times New Roman"/>
          <w:color w:val="000000"/>
          <w:sz w:val="24"/>
          <w:szCs w:val="24"/>
          <w:vertAlign w:val="subscript"/>
          <w:lang w:eastAsia="en-GB"/>
        </w:rPr>
        <w:t>c</w:t>
      </w:r>
      <w:proofErr w:type="spellEnd"/>
      <w:r w:rsidRPr="0007644F">
        <w:rPr>
          <w:rFonts w:ascii="Verdana" w:eastAsia="Times New Roman" w:hAnsi="Verdana" w:cs="Times New Roman"/>
          <w:color w:val="000000"/>
          <w:sz w:val="24"/>
          <w:szCs w:val="24"/>
          <w:lang w:eastAsia="en-GB"/>
        </w:rPr>
        <w:t xml:space="preserve"> = interest rate for counter currency </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You are provided with this formula in the exam.</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The IRPT generally holds true in practice. There are no bargain interest rates to be had on loans/deposits in one currency rather than another.</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However it suffers from the following limitations:</w:t>
      </w:r>
    </w:p>
    <w:p w:rsidR="0007644F" w:rsidRPr="0007644F" w:rsidRDefault="0007644F" w:rsidP="0007644F">
      <w:pPr>
        <w:numPr>
          <w:ilvl w:val="0"/>
          <w:numId w:val="5"/>
        </w:num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 xml:space="preserve">government controls on capital markets </w:t>
      </w:r>
    </w:p>
    <w:p w:rsidR="0007644F" w:rsidRPr="0007644F" w:rsidRDefault="0007644F" w:rsidP="0007644F">
      <w:pPr>
        <w:numPr>
          <w:ilvl w:val="0"/>
          <w:numId w:val="5"/>
        </w:num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 xml:space="preserve">controls on currency trading </w:t>
      </w:r>
    </w:p>
    <w:p w:rsidR="0007644F" w:rsidRPr="0007644F" w:rsidRDefault="0007644F" w:rsidP="0007644F">
      <w:pPr>
        <w:numPr>
          <w:ilvl w:val="0"/>
          <w:numId w:val="5"/>
        </w:numPr>
        <w:spacing w:before="100" w:beforeAutospacing="1" w:after="100" w:afterAutospacing="1" w:line="240" w:lineRule="auto"/>
        <w:rPr>
          <w:rFonts w:ascii="Verdana" w:eastAsia="Times New Roman" w:hAnsi="Verdana" w:cs="Times New Roman"/>
          <w:color w:val="000000"/>
          <w:sz w:val="24"/>
          <w:szCs w:val="24"/>
          <w:lang w:eastAsia="en-GB"/>
        </w:rPr>
      </w:pPr>
      <w:proofErr w:type="gramStart"/>
      <w:r w:rsidRPr="0007644F">
        <w:rPr>
          <w:rFonts w:ascii="Verdana" w:eastAsia="Times New Roman" w:hAnsi="Verdana" w:cs="Times New Roman"/>
          <w:color w:val="000000"/>
          <w:sz w:val="24"/>
          <w:szCs w:val="24"/>
          <w:lang w:eastAsia="en-GB"/>
        </w:rPr>
        <w:t>intervention</w:t>
      </w:r>
      <w:proofErr w:type="gramEnd"/>
      <w:r w:rsidRPr="0007644F">
        <w:rPr>
          <w:rFonts w:ascii="Verdana" w:eastAsia="Times New Roman" w:hAnsi="Verdana" w:cs="Times New Roman"/>
          <w:color w:val="000000"/>
          <w:sz w:val="24"/>
          <w:szCs w:val="24"/>
          <w:lang w:eastAsia="en-GB"/>
        </w:rPr>
        <w:t xml:space="preserve"> in foreign exchange markets. </w:t>
      </w:r>
    </w:p>
    <w:p w:rsidR="0007644F" w:rsidRPr="0007644F" w:rsidRDefault="0007644F" w:rsidP="0007644F">
      <w:pPr>
        <w:spacing w:before="100" w:beforeAutospacing="1" w:after="100" w:afterAutospacing="1" w:line="240" w:lineRule="auto"/>
        <w:outlineLvl w:val="3"/>
        <w:rPr>
          <w:rFonts w:ascii="Verdana" w:eastAsia="Times New Roman" w:hAnsi="Verdana" w:cs="Times New Roman"/>
          <w:b/>
          <w:bCs/>
          <w:color w:val="000000"/>
          <w:sz w:val="24"/>
          <w:szCs w:val="24"/>
          <w:lang w:eastAsia="en-GB"/>
        </w:rPr>
      </w:pPr>
      <w:r w:rsidRPr="0007644F">
        <w:rPr>
          <w:rFonts w:ascii="Verdana" w:eastAsia="Times New Roman" w:hAnsi="Verdana" w:cs="Times New Roman"/>
          <w:b/>
          <w:bCs/>
          <w:color w:val="000000"/>
          <w:sz w:val="24"/>
          <w:szCs w:val="24"/>
          <w:lang w:eastAsia="en-GB"/>
        </w:rPr>
        <w:t xml:space="preserve">The Fisher Effect </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The Fisher Effect looks at the relationship between interest rates and expected rates of inflation. It is expressed by the formula:</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 xml:space="preserve">(1 + </w:t>
      </w:r>
      <w:proofErr w:type="spellStart"/>
      <w:r w:rsidRPr="0007644F">
        <w:rPr>
          <w:rFonts w:ascii="Verdana" w:eastAsia="Times New Roman" w:hAnsi="Verdana" w:cs="Times New Roman"/>
          <w:color w:val="000000"/>
          <w:sz w:val="24"/>
          <w:szCs w:val="24"/>
          <w:lang w:eastAsia="en-GB"/>
        </w:rPr>
        <w:t>i</w:t>
      </w:r>
      <w:proofErr w:type="spellEnd"/>
      <w:r w:rsidRPr="0007644F">
        <w:rPr>
          <w:rFonts w:ascii="Verdana" w:eastAsia="Times New Roman" w:hAnsi="Verdana" w:cs="Times New Roman"/>
          <w:color w:val="000000"/>
          <w:sz w:val="24"/>
          <w:szCs w:val="24"/>
          <w:lang w:eastAsia="en-GB"/>
        </w:rPr>
        <w:t>) = (1 + r</w:t>
      </w:r>
      <w:proofErr w:type="gramStart"/>
      <w:r w:rsidRPr="0007644F">
        <w:rPr>
          <w:rFonts w:ascii="Verdana" w:eastAsia="Times New Roman" w:hAnsi="Verdana" w:cs="Times New Roman"/>
          <w:color w:val="000000"/>
          <w:sz w:val="24"/>
          <w:szCs w:val="24"/>
          <w:lang w:eastAsia="en-GB"/>
        </w:rPr>
        <w:t>)(</w:t>
      </w:r>
      <w:proofErr w:type="gramEnd"/>
      <w:r w:rsidRPr="0007644F">
        <w:rPr>
          <w:rFonts w:ascii="Verdana" w:eastAsia="Times New Roman" w:hAnsi="Verdana" w:cs="Times New Roman"/>
          <w:color w:val="000000"/>
          <w:sz w:val="24"/>
          <w:szCs w:val="24"/>
          <w:lang w:eastAsia="en-GB"/>
        </w:rPr>
        <w:t>1 + h)</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 xml:space="preserve">Where </w:t>
      </w:r>
    </w:p>
    <w:p w:rsidR="0007644F" w:rsidRPr="0007644F" w:rsidRDefault="0007644F" w:rsidP="0007644F">
      <w:pPr>
        <w:numPr>
          <w:ilvl w:val="0"/>
          <w:numId w:val="6"/>
        </w:numPr>
        <w:spacing w:before="100" w:beforeAutospacing="1" w:after="100" w:afterAutospacing="1" w:line="240" w:lineRule="auto"/>
        <w:rPr>
          <w:rFonts w:ascii="Verdana" w:eastAsia="Times New Roman" w:hAnsi="Verdana" w:cs="Times New Roman"/>
          <w:color w:val="000000"/>
          <w:sz w:val="24"/>
          <w:szCs w:val="24"/>
          <w:lang w:eastAsia="en-GB"/>
        </w:rPr>
      </w:pPr>
      <w:proofErr w:type="spellStart"/>
      <w:r w:rsidRPr="0007644F">
        <w:rPr>
          <w:rFonts w:ascii="Verdana" w:eastAsia="Times New Roman" w:hAnsi="Verdana" w:cs="Times New Roman"/>
          <w:color w:val="000000"/>
          <w:sz w:val="24"/>
          <w:szCs w:val="24"/>
          <w:lang w:eastAsia="en-GB"/>
        </w:rPr>
        <w:t>i</w:t>
      </w:r>
      <w:proofErr w:type="spellEnd"/>
      <w:r w:rsidRPr="0007644F">
        <w:rPr>
          <w:rFonts w:ascii="Verdana" w:eastAsia="Times New Roman" w:hAnsi="Verdana" w:cs="Times New Roman"/>
          <w:color w:val="000000"/>
          <w:sz w:val="24"/>
          <w:szCs w:val="24"/>
          <w:lang w:eastAsia="en-GB"/>
        </w:rPr>
        <w:t xml:space="preserve"> = the money rate of interest </w:t>
      </w:r>
    </w:p>
    <w:p w:rsidR="0007644F" w:rsidRPr="0007644F" w:rsidRDefault="0007644F" w:rsidP="0007644F">
      <w:pPr>
        <w:numPr>
          <w:ilvl w:val="0"/>
          <w:numId w:val="6"/>
        </w:num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 xml:space="preserve"> r = the real rate of interest and </w:t>
      </w:r>
    </w:p>
    <w:p w:rsidR="0007644F" w:rsidRPr="0007644F" w:rsidRDefault="0007644F" w:rsidP="0007644F">
      <w:pPr>
        <w:numPr>
          <w:ilvl w:val="0"/>
          <w:numId w:val="6"/>
        </w:num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 xml:space="preserve">h = general level of inflation in the economy </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lastRenderedPageBreak/>
        <w:t>This states that the money or nominal rate of interest is made up of two parts, the underlying required rate of return (real interest rate) and a premium to allow for inflation.</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Countries with high rates of inflation will be expected to have nominal rates of interest in order to ensure investors can obtain a high enough real return.</w:t>
      </w:r>
    </w:p>
    <w:p w:rsidR="0007644F" w:rsidRPr="0007644F" w:rsidRDefault="0007644F" w:rsidP="0007644F">
      <w:pPr>
        <w:spacing w:before="100" w:beforeAutospacing="1" w:after="100" w:afterAutospacing="1" w:line="240" w:lineRule="auto"/>
        <w:outlineLvl w:val="4"/>
        <w:rPr>
          <w:rFonts w:ascii="Verdana" w:eastAsia="Times New Roman" w:hAnsi="Verdana" w:cs="Times New Roman"/>
          <w:b/>
          <w:bCs/>
          <w:color w:val="000000"/>
          <w:sz w:val="24"/>
          <w:szCs w:val="24"/>
          <w:lang w:eastAsia="en-GB"/>
        </w:rPr>
      </w:pPr>
      <w:r w:rsidRPr="0007644F">
        <w:rPr>
          <w:rFonts w:ascii="Verdana" w:eastAsia="Times New Roman" w:hAnsi="Verdana" w:cs="Times New Roman"/>
          <w:b/>
          <w:bCs/>
          <w:color w:val="000000"/>
          <w:sz w:val="24"/>
          <w:szCs w:val="24"/>
          <w:lang w:eastAsia="en-GB"/>
        </w:rPr>
        <w:t>The International Fisher Effect</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The International Fisher Effect claims that the interest rate differentials between two countries provide an unbiased predictor of future changes in the spot rate of exchange.</w:t>
      </w:r>
    </w:p>
    <w:p w:rsidR="0007644F" w:rsidRPr="0007644F" w:rsidRDefault="0007644F" w:rsidP="0007644F">
      <w:pPr>
        <w:numPr>
          <w:ilvl w:val="0"/>
          <w:numId w:val="7"/>
        </w:num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 xml:space="preserve">The International Fisher Effect assumes that all countries will have the same real interest rate, although nominal or money rates may differ due to expected inflation rates. </w:t>
      </w:r>
    </w:p>
    <w:p w:rsidR="0007644F" w:rsidRPr="0007644F" w:rsidRDefault="0007644F" w:rsidP="0007644F">
      <w:pPr>
        <w:numPr>
          <w:ilvl w:val="0"/>
          <w:numId w:val="7"/>
        </w:num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 xml:space="preserve">Thus the interest rate differential between two countries should be equal to the expected inflation differential. </w:t>
      </w:r>
    </w:p>
    <w:p w:rsidR="0007644F" w:rsidRPr="0007644F" w:rsidRDefault="0007644F" w:rsidP="0007644F">
      <w:pPr>
        <w:numPr>
          <w:ilvl w:val="0"/>
          <w:numId w:val="7"/>
        </w:num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 xml:space="preserve">Therefore, countries with higher expected inflation rates will have higher nominal interest rates, and vice versa. </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In practice interest rate differentials are a poor unbiased predictor of future exchange rates.</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Factors other than interest differentials influence exchange rates such as government intervention in foreign exchange markets.</w:t>
      </w:r>
    </w:p>
    <w:p w:rsidR="0007644F" w:rsidRPr="0007644F" w:rsidRDefault="0007644F" w:rsidP="0007644F">
      <w:pPr>
        <w:spacing w:before="100" w:beforeAutospacing="1" w:after="100" w:afterAutospacing="1" w:line="240" w:lineRule="auto"/>
        <w:outlineLvl w:val="3"/>
        <w:rPr>
          <w:rFonts w:ascii="Verdana" w:eastAsia="Times New Roman" w:hAnsi="Verdana" w:cs="Times New Roman"/>
          <w:b/>
          <w:bCs/>
          <w:color w:val="000000"/>
          <w:sz w:val="24"/>
          <w:szCs w:val="24"/>
          <w:lang w:eastAsia="en-GB"/>
        </w:rPr>
      </w:pPr>
      <w:r w:rsidRPr="0007644F">
        <w:rPr>
          <w:rFonts w:ascii="Verdana" w:eastAsia="Times New Roman" w:hAnsi="Verdana" w:cs="Times New Roman"/>
          <w:b/>
          <w:bCs/>
          <w:color w:val="000000"/>
          <w:sz w:val="24"/>
          <w:szCs w:val="24"/>
          <w:lang w:eastAsia="en-GB"/>
        </w:rPr>
        <w:t xml:space="preserve">Expectations theory </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The expectations theory claims that the current forward rate is an unbiased predictor of the spot rate at that point in the future.</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If a trader takes the view that the forward rate is lower than the expected future spot price, there is an incentive to buy forward. The buying pressure on the forward raises the price, until the forward price equals the market consensus view on the expected future spot price.</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In practice, it is a poor unbiased predictor - sometimes it is wide of the mark in one direction and sometimes wide of the mark in the other.</w:t>
      </w:r>
    </w:p>
    <w:p w:rsidR="0007644F" w:rsidRPr="0007644F" w:rsidRDefault="0007644F" w:rsidP="0007644F">
      <w:pPr>
        <w:spacing w:before="100" w:beforeAutospacing="1" w:after="100" w:afterAutospacing="1" w:line="240" w:lineRule="auto"/>
        <w:outlineLvl w:val="3"/>
        <w:rPr>
          <w:rFonts w:ascii="Verdana" w:eastAsia="Times New Roman" w:hAnsi="Verdana" w:cs="Times New Roman"/>
          <w:b/>
          <w:bCs/>
          <w:color w:val="000000"/>
          <w:sz w:val="24"/>
          <w:szCs w:val="24"/>
          <w:lang w:eastAsia="en-GB"/>
        </w:rPr>
      </w:pPr>
      <w:r w:rsidRPr="0007644F">
        <w:rPr>
          <w:rFonts w:ascii="Verdana" w:eastAsia="Times New Roman" w:hAnsi="Verdana" w:cs="Times New Roman"/>
          <w:b/>
          <w:bCs/>
          <w:color w:val="000000"/>
          <w:sz w:val="24"/>
          <w:szCs w:val="24"/>
          <w:lang w:eastAsia="en-GB"/>
        </w:rPr>
        <w:t xml:space="preserve">Four-way equivalence </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The four theories can be pulled together to show the overall relationship between spot rates, interest rates, inflation rates and the forward and expected future spot rates. As shown above, these relationships can be used to forecast exchange rates.</w:t>
      </w:r>
    </w:p>
    <w:p w:rsidR="0007644F" w:rsidRP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b/>
          <w:bCs/>
          <w:color w:val="000000"/>
          <w:sz w:val="24"/>
          <w:szCs w:val="24"/>
          <w:lang w:eastAsia="en-GB"/>
        </w:rPr>
        <w:lastRenderedPageBreak/>
        <w:t xml:space="preserve"> Four-way equivalence</w:t>
      </w:r>
    </w:p>
    <w:p w:rsidR="0007644F" w:rsidRDefault="0007644F" w:rsidP="0007644F">
      <w:pPr>
        <w:spacing w:before="100" w:beforeAutospacing="1" w:after="100" w:afterAutospacing="1" w:line="240" w:lineRule="auto"/>
        <w:rPr>
          <w:rFonts w:ascii="Verdana" w:eastAsia="Times New Roman" w:hAnsi="Verdana" w:cs="Times New Roman"/>
          <w:color w:val="000000"/>
          <w:sz w:val="24"/>
          <w:szCs w:val="24"/>
          <w:lang w:eastAsia="en-GB"/>
        </w:rPr>
      </w:pPr>
      <w:r w:rsidRPr="0007644F">
        <w:rPr>
          <w:rFonts w:ascii="Verdana" w:eastAsia="Times New Roman" w:hAnsi="Verdana" w:cs="Times New Roman"/>
          <w:color w:val="000000"/>
          <w:sz w:val="24"/>
          <w:szCs w:val="24"/>
          <w:lang w:eastAsia="en-GB"/>
        </w:rPr>
        <w:t>The four theories can be pulled together to show the overall</w:t>
      </w:r>
      <w:r>
        <w:rPr>
          <w:rFonts w:ascii="Verdana" w:eastAsia="Times New Roman" w:hAnsi="Verdana" w:cs="Times New Roman"/>
          <w:color w:val="000000"/>
          <w:sz w:val="24"/>
          <w:szCs w:val="24"/>
          <w:lang w:eastAsia="en-GB"/>
        </w:rPr>
        <w:t xml:space="preserve"> </w:t>
      </w:r>
      <w:r w:rsidRPr="0007644F">
        <w:rPr>
          <w:rFonts w:ascii="Verdana" w:eastAsia="Times New Roman" w:hAnsi="Verdana" w:cs="Times New Roman"/>
          <w:color w:val="000000"/>
          <w:sz w:val="24"/>
          <w:szCs w:val="24"/>
          <w:lang w:eastAsia="en-GB"/>
        </w:rPr>
        <w:t>relationship between spot rates, interest rates, inflation rates and the</w:t>
      </w:r>
      <w:r>
        <w:rPr>
          <w:rFonts w:ascii="Verdana" w:eastAsia="Times New Roman" w:hAnsi="Verdana" w:cs="Times New Roman"/>
          <w:color w:val="000000"/>
          <w:sz w:val="24"/>
          <w:szCs w:val="24"/>
          <w:lang w:eastAsia="en-GB"/>
        </w:rPr>
        <w:t xml:space="preserve"> </w:t>
      </w:r>
      <w:r w:rsidRPr="0007644F">
        <w:rPr>
          <w:rFonts w:ascii="Verdana" w:eastAsia="Times New Roman" w:hAnsi="Verdana" w:cs="Times New Roman"/>
          <w:color w:val="000000"/>
          <w:sz w:val="24"/>
          <w:szCs w:val="24"/>
          <w:lang w:eastAsia="en-GB"/>
        </w:rPr>
        <w:t>forward and expected future spot rates. As shown above, these</w:t>
      </w:r>
      <w:r>
        <w:rPr>
          <w:rFonts w:ascii="Verdana" w:eastAsia="Times New Roman" w:hAnsi="Verdana" w:cs="Times New Roman"/>
          <w:color w:val="000000"/>
          <w:sz w:val="24"/>
          <w:szCs w:val="24"/>
          <w:lang w:eastAsia="en-GB"/>
        </w:rPr>
        <w:t xml:space="preserve"> </w:t>
      </w:r>
      <w:r w:rsidRPr="0007644F">
        <w:rPr>
          <w:rFonts w:ascii="Verdana" w:eastAsia="Times New Roman" w:hAnsi="Verdana" w:cs="Times New Roman"/>
          <w:color w:val="000000"/>
          <w:sz w:val="24"/>
          <w:szCs w:val="24"/>
          <w:lang w:eastAsia="en-GB"/>
        </w:rPr>
        <w:t>relationships can be used to forecast exchange rates.</w:t>
      </w:r>
    </w:p>
    <w:p w:rsidR="003B7C7C" w:rsidRDefault="003B7C7C" w:rsidP="003B7C7C">
      <w:pPr>
        <w:spacing w:before="100" w:beforeAutospacing="1" w:after="100" w:afterAutospacing="1" w:line="240" w:lineRule="auto"/>
        <w:rPr>
          <w:rFonts w:ascii="Verdana" w:eastAsia="Times New Roman" w:hAnsi="Verdana" w:cs="Times New Roman"/>
          <w:color w:val="000000"/>
          <w:sz w:val="24"/>
          <w:szCs w:val="24"/>
          <w:lang w:eastAsia="en-GB"/>
        </w:rPr>
      </w:pPr>
      <w:r w:rsidRPr="003B7C7C">
        <w:rPr>
          <w:rFonts w:ascii="Verdana" w:eastAsia="Times New Roman" w:hAnsi="Verdana" w:cs="Times New Roman"/>
          <w:color w:val="000000"/>
          <w:sz w:val="24"/>
          <w:szCs w:val="24"/>
          <w:lang w:eastAsia="en-GB"/>
        </w:rPr>
        <w:t>The four-way equivalence model suggests that the difference between interest rates, the diff</w:t>
      </w:r>
      <w:r>
        <w:rPr>
          <w:rFonts w:ascii="Verdana" w:eastAsia="Times New Roman" w:hAnsi="Verdana" w:cs="Times New Roman"/>
          <w:color w:val="000000"/>
          <w:sz w:val="24"/>
          <w:szCs w:val="24"/>
          <w:lang w:eastAsia="en-GB"/>
        </w:rPr>
        <w:t xml:space="preserve">erence between inflation rates, </w:t>
      </w:r>
      <w:r w:rsidRPr="003B7C7C">
        <w:rPr>
          <w:rFonts w:ascii="Verdana" w:eastAsia="Times New Roman" w:hAnsi="Verdana" w:cs="Times New Roman"/>
          <w:color w:val="000000"/>
          <w:sz w:val="24"/>
          <w:szCs w:val="24"/>
          <w:lang w:eastAsia="en-GB"/>
        </w:rPr>
        <w:t>the difference between the spot exchange rate and the forward exchange rate, and the diffe</w:t>
      </w:r>
      <w:r>
        <w:rPr>
          <w:rFonts w:ascii="Verdana" w:eastAsia="Times New Roman" w:hAnsi="Verdana" w:cs="Times New Roman"/>
          <w:color w:val="000000"/>
          <w:sz w:val="24"/>
          <w:szCs w:val="24"/>
          <w:lang w:eastAsia="en-GB"/>
        </w:rPr>
        <w:t xml:space="preserve">rence between the spot exchange </w:t>
      </w:r>
      <w:r w:rsidRPr="003B7C7C">
        <w:rPr>
          <w:rFonts w:ascii="Verdana" w:eastAsia="Times New Roman" w:hAnsi="Verdana" w:cs="Times New Roman"/>
          <w:color w:val="000000"/>
          <w:sz w:val="24"/>
          <w:szCs w:val="24"/>
          <w:lang w:eastAsia="en-GB"/>
        </w:rPr>
        <w:t>rate and the future (expected) spot rate should be equal and in equilibrium.</w:t>
      </w:r>
    </w:p>
    <w:p w:rsidR="003B7C7C" w:rsidRDefault="003B7C7C" w:rsidP="003B7C7C">
      <w:pPr>
        <w:spacing w:before="100" w:beforeAutospacing="1" w:after="100" w:afterAutospacing="1" w:line="240" w:lineRule="auto"/>
        <w:rPr>
          <w:rFonts w:ascii="Verdana" w:eastAsia="Times New Roman" w:hAnsi="Verdana" w:cs="Times New Roman"/>
          <w:color w:val="000000"/>
          <w:sz w:val="24"/>
          <w:szCs w:val="24"/>
          <w:lang w:eastAsia="en-GB"/>
        </w:rPr>
      </w:pPr>
      <w:r>
        <w:rPr>
          <w:noProof/>
          <w:lang w:eastAsia="en-GB"/>
        </w:rPr>
        <w:drawing>
          <wp:inline distT="0" distB="0" distL="0" distR="0" wp14:anchorId="23F040A5" wp14:editId="52ECCFA9">
            <wp:extent cx="5731510" cy="2119630"/>
            <wp:effectExtent l="0" t="0" r="254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119630"/>
                    </a:xfrm>
                    <a:prstGeom prst="rect">
                      <a:avLst/>
                    </a:prstGeom>
                    <a:noFill/>
                    <a:ln>
                      <a:noFill/>
                    </a:ln>
                    <a:effectLst/>
                    <a:extLst/>
                  </pic:spPr>
                </pic:pic>
              </a:graphicData>
            </a:graphic>
          </wp:inline>
        </w:drawing>
      </w:r>
    </w:p>
    <w:p w:rsidR="003B7C7C" w:rsidRPr="003B7C7C" w:rsidRDefault="003B7C7C" w:rsidP="0007644F">
      <w:pPr>
        <w:spacing w:before="100" w:beforeAutospacing="1" w:after="100" w:afterAutospacing="1" w:line="240" w:lineRule="auto"/>
        <w:rPr>
          <w:rFonts w:ascii="Verdana" w:eastAsia="Times New Roman" w:hAnsi="Verdana" w:cs="Times New Roman"/>
          <w:b/>
          <w:color w:val="000000"/>
          <w:sz w:val="24"/>
          <w:szCs w:val="24"/>
          <w:lang w:eastAsia="en-GB"/>
        </w:rPr>
      </w:pPr>
      <w:r w:rsidRPr="003B7C7C">
        <w:rPr>
          <w:rFonts w:ascii="Verdana" w:eastAsia="Times New Roman" w:hAnsi="Verdana" w:cs="Times New Roman"/>
          <w:b/>
          <w:color w:val="000000"/>
          <w:sz w:val="24"/>
          <w:szCs w:val="24"/>
          <w:lang w:eastAsia="en-GB"/>
        </w:rPr>
        <w:t>Or with equations</w:t>
      </w:r>
      <w:r>
        <w:rPr>
          <w:rFonts w:ascii="Verdana" w:eastAsia="Times New Roman" w:hAnsi="Verdana" w:cs="Times New Roman"/>
          <w:b/>
          <w:color w:val="000000"/>
          <w:sz w:val="24"/>
          <w:szCs w:val="24"/>
          <w:lang w:eastAsia="en-GB"/>
        </w:rPr>
        <w:t>:</w:t>
      </w:r>
      <w:bookmarkStart w:id="0" w:name="_GoBack"/>
      <w:bookmarkEnd w:id="0"/>
    </w:p>
    <w:p w:rsidR="003B7C7C" w:rsidRPr="0007644F" w:rsidRDefault="003B7C7C" w:rsidP="0007644F">
      <w:pPr>
        <w:spacing w:before="100" w:beforeAutospacing="1" w:after="100" w:afterAutospacing="1" w:line="240" w:lineRule="auto"/>
        <w:rPr>
          <w:rFonts w:ascii="Verdana" w:eastAsia="Times New Roman" w:hAnsi="Verdana" w:cs="Times New Roman"/>
          <w:color w:val="000000"/>
          <w:sz w:val="24"/>
          <w:szCs w:val="24"/>
          <w:lang w:eastAsia="en-GB"/>
        </w:rPr>
      </w:pPr>
    </w:p>
    <w:p w:rsidR="0007644F" w:rsidRPr="0007644F" w:rsidRDefault="0007644F" w:rsidP="0007644F">
      <w:pPr>
        <w:spacing w:after="0" w:line="240" w:lineRule="auto"/>
        <w:jc w:val="center"/>
        <w:rPr>
          <w:rFonts w:ascii="Verdana" w:eastAsia="Times New Roman" w:hAnsi="Verdana" w:cs="Times New Roman"/>
          <w:color w:val="000000"/>
          <w:sz w:val="24"/>
          <w:szCs w:val="24"/>
          <w:lang w:eastAsia="en-GB"/>
        </w:rPr>
      </w:pPr>
      <w:r w:rsidRPr="0007644F">
        <w:rPr>
          <w:rFonts w:ascii="Verdana" w:eastAsia="Times New Roman" w:hAnsi="Verdana" w:cs="Times New Roman"/>
          <w:noProof/>
          <w:color w:val="000000"/>
          <w:sz w:val="24"/>
          <w:szCs w:val="24"/>
          <w:lang w:eastAsia="en-GB"/>
        </w:rPr>
        <w:drawing>
          <wp:inline distT="0" distB="0" distL="0" distR="0" wp14:anchorId="32F74E73" wp14:editId="548965FF">
            <wp:extent cx="4762500" cy="3181350"/>
            <wp:effectExtent l="0" t="0" r="0" b="0"/>
            <wp:docPr id="1" name="Picture 1" descr="http://dl.groovygecko.net/anon.groovy/clients/kaplan/AlexILS/ACCAWIKI/ACCA_F9_HTML/Images/F9_22_0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l.groovygecko.net/anon.groovy/clients/kaplan/AlexILS/ACCAWIKI/ACCA_F9_HTML/Images/F9_22_05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3181350"/>
                    </a:xfrm>
                    <a:prstGeom prst="rect">
                      <a:avLst/>
                    </a:prstGeom>
                    <a:noFill/>
                    <a:ln>
                      <a:noFill/>
                    </a:ln>
                  </pic:spPr>
                </pic:pic>
              </a:graphicData>
            </a:graphic>
          </wp:inline>
        </w:drawing>
      </w:r>
    </w:p>
    <w:p w:rsidR="0007644F" w:rsidRDefault="0007644F"/>
    <w:p w:rsidR="003B7C7C" w:rsidRDefault="003B7C7C"/>
    <w:sectPr w:rsidR="003B7C7C">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44F" w:rsidRDefault="0007644F" w:rsidP="0007644F">
      <w:pPr>
        <w:spacing w:after="0" w:line="240" w:lineRule="auto"/>
      </w:pPr>
      <w:r>
        <w:separator/>
      </w:r>
    </w:p>
  </w:endnote>
  <w:endnote w:type="continuationSeparator" w:id="0">
    <w:p w:rsidR="0007644F" w:rsidRDefault="0007644F" w:rsidP="00076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44F" w:rsidRDefault="000764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9458371"/>
      <w:docPartObj>
        <w:docPartGallery w:val="Page Numbers (Bottom of Page)"/>
        <w:docPartUnique/>
      </w:docPartObj>
    </w:sdtPr>
    <w:sdtEndPr>
      <w:rPr>
        <w:noProof/>
      </w:rPr>
    </w:sdtEndPr>
    <w:sdtContent>
      <w:p w:rsidR="0007644F" w:rsidRDefault="0007644F">
        <w:pPr>
          <w:pStyle w:val="Footer"/>
          <w:jc w:val="center"/>
        </w:pPr>
        <w:r>
          <w:fldChar w:fldCharType="begin"/>
        </w:r>
        <w:r>
          <w:instrText xml:space="preserve"> PAGE   \* MERGEFORMAT </w:instrText>
        </w:r>
        <w:r>
          <w:fldChar w:fldCharType="separate"/>
        </w:r>
        <w:r w:rsidR="003B7C7C">
          <w:rPr>
            <w:noProof/>
          </w:rPr>
          <w:t>4</w:t>
        </w:r>
        <w:r>
          <w:rPr>
            <w:noProof/>
          </w:rPr>
          <w:fldChar w:fldCharType="end"/>
        </w:r>
      </w:p>
    </w:sdtContent>
  </w:sdt>
  <w:p w:rsidR="0007644F" w:rsidRDefault="000764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44F" w:rsidRDefault="000764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44F" w:rsidRDefault="0007644F" w:rsidP="0007644F">
      <w:pPr>
        <w:spacing w:after="0" w:line="240" w:lineRule="auto"/>
      </w:pPr>
      <w:r>
        <w:separator/>
      </w:r>
    </w:p>
  </w:footnote>
  <w:footnote w:type="continuationSeparator" w:id="0">
    <w:p w:rsidR="0007644F" w:rsidRDefault="0007644F" w:rsidP="000764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44F" w:rsidRDefault="000764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44F" w:rsidRPr="0007644F" w:rsidRDefault="0007644F" w:rsidP="0007644F">
    <w:pPr>
      <w:pStyle w:val="Header"/>
      <w:tabs>
        <w:tab w:val="clear" w:pos="4513"/>
        <w:tab w:val="clear" w:pos="9026"/>
        <w:tab w:val="left" w:pos="3255"/>
      </w:tabs>
      <w:rPr>
        <w:b/>
        <w:sz w:val="40"/>
        <w:szCs w:val="40"/>
      </w:rPr>
    </w:pPr>
    <w:r w:rsidRPr="0007644F">
      <w:rPr>
        <w:b/>
        <w:sz w:val="40"/>
        <w:szCs w:val="40"/>
      </w:rPr>
      <w:t>Four Way Equivalence theory</w:t>
    </w:r>
    <w:r>
      <w:rPr>
        <w:b/>
        <w:sz w:val="40"/>
        <w:szCs w:val="40"/>
      </w:rPr>
      <w:t xml:space="preserve"> and its constituent </w:t>
    </w:r>
    <w:r w:rsidRPr="0007644F">
      <w:rPr>
        <w:b/>
        <w:sz w:val="40"/>
        <w:szCs w:val="40"/>
      </w:rPr>
      <w:t>theories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44F" w:rsidRDefault="000764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95834"/>
    <w:multiLevelType w:val="multilevel"/>
    <w:tmpl w:val="05504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5F3FE9"/>
    <w:multiLevelType w:val="multilevel"/>
    <w:tmpl w:val="36C22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B0784E"/>
    <w:multiLevelType w:val="multilevel"/>
    <w:tmpl w:val="1D70D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664754C"/>
    <w:multiLevelType w:val="multilevel"/>
    <w:tmpl w:val="8D440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EB16A15"/>
    <w:multiLevelType w:val="multilevel"/>
    <w:tmpl w:val="091CD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9524754"/>
    <w:multiLevelType w:val="multilevel"/>
    <w:tmpl w:val="2C64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BD26E1A"/>
    <w:multiLevelType w:val="multilevel"/>
    <w:tmpl w:val="4E125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
  </w:num>
  <w:num w:numId="4">
    <w:abstractNumId w:val="2"/>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44F"/>
    <w:rsid w:val="0007644F"/>
    <w:rsid w:val="0026598E"/>
    <w:rsid w:val="003B7C7C"/>
    <w:rsid w:val="00834B16"/>
    <w:rsid w:val="008C7FE8"/>
    <w:rsid w:val="00A21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BalloonText">
    <w:name w:val="Balloon Text"/>
    <w:basedOn w:val="Normal"/>
    <w:link w:val="BalloonTextChar"/>
    <w:uiPriority w:val="99"/>
    <w:semiHidden/>
    <w:unhideWhenUsed/>
    <w:rsid w:val="000764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44F"/>
    <w:rPr>
      <w:rFonts w:ascii="Tahoma" w:hAnsi="Tahoma" w:cs="Tahoma"/>
      <w:sz w:val="16"/>
      <w:szCs w:val="16"/>
    </w:rPr>
  </w:style>
  <w:style w:type="paragraph" w:styleId="Header">
    <w:name w:val="header"/>
    <w:basedOn w:val="Normal"/>
    <w:link w:val="HeaderChar"/>
    <w:uiPriority w:val="99"/>
    <w:unhideWhenUsed/>
    <w:rsid w:val="00076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644F"/>
  </w:style>
  <w:style w:type="paragraph" w:styleId="Footer">
    <w:name w:val="footer"/>
    <w:basedOn w:val="Normal"/>
    <w:link w:val="FooterChar"/>
    <w:uiPriority w:val="99"/>
    <w:unhideWhenUsed/>
    <w:rsid w:val="00076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4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BalloonText">
    <w:name w:val="Balloon Text"/>
    <w:basedOn w:val="Normal"/>
    <w:link w:val="BalloonTextChar"/>
    <w:uiPriority w:val="99"/>
    <w:semiHidden/>
    <w:unhideWhenUsed/>
    <w:rsid w:val="000764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44F"/>
    <w:rPr>
      <w:rFonts w:ascii="Tahoma" w:hAnsi="Tahoma" w:cs="Tahoma"/>
      <w:sz w:val="16"/>
      <w:szCs w:val="16"/>
    </w:rPr>
  </w:style>
  <w:style w:type="paragraph" w:styleId="Header">
    <w:name w:val="header"/>
    <w:basedOn w:val="Normal"/>
    <w:link w:val="HeaderChar"/>
    <w:uiPriority w:val="99"/>
    <w:unhideWhenUsed/>
    <w:rsid w:val="00076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644F"/>
  </w:style>
  <w:style w:type="paragraph" w:styleId="Footer">
    <w:name w:val="footer"/>
    <w:basedOn w:val="Normal"/>
    <w:link w:val="FooterChar"/>
    <w:uiPriority w:val="99"/>
    <w:unhideWhenUsed/>
    <w:rsid w:val="00076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3912142">
      <w:bodyDiv w:val="1"/>
      <w:marLeft w:val="0"/>
      <w:marRight w:val="0"/>
      <w:marTop w:val="0"/>
      <w:marBottom w:val="0"/>
      <w:divBdr>
        <w:top w:val="none" w:sz="0" w:space="0" w:color="auto"/>
        <w:left w:val="none" w:sz="0" w:space="0" w:color="auto"/>
        <w:bottom w:val="none" w:sz="0" w:space="0" w:color="auto"/>
        <w:right w:val="none" w:sz="0" w:space="0" w:color="auto"/>
      </w:divBdr>
      <w:divsChild>
        <w:div w:id="1749688492">
          <w:marLeft w:val="0"/>
          <w:marRight w:val="0"/>
          <w:marTop w:val="0"/>
          <w:marBottom w:val="0"/>
          <w:divBdr>
            <w:top w:val="none" w:sz="0" w:space="0" w:color="auto"/>
            <w:left w:val="none" w:sz="0" w:space="0" w:color="auto"/>
            <w:bottom w:val="none" w:sz="0" w:space="0" w:color="auto"/>
            <w:right w:val="none" w:sz="0" w:space="0" w:color="auto"/>
          </w:divBdr>
        </w:div>
      </w:divsChild>
    </w:div>
    <w:div w:id="2072996842">
      <w:bodyDiv w:val="1"/>
      <w:marLeft w:val="0"/>
      <w:marRight w:val="0"/>
      <w:marTop w:val="0"/>
      <w:marBottom w:val="0"/>
      <w:divBdr>
        <w:top w:val="none" w:sz="0" w:space="0" w:color="auto"/>
        <w:left w:val="none" w:sz="0" w:space="0" w:color="auto"/>
        <w:bottom w:val="none" w:sz="0" w:space="0" w:color="auto"/>
        <w:right w:val="none" w:sz="0" w:space="0" w:color="auto"/>
      </w:divBdr>
      <w:divsChild>
        <w:div w:id="337850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794</Words>
  <Characters>4528</Characters>
  <Application>Microsoft Office Word</Application>
  <DocSecurity>0</DocSecurity>
  <Lines>37</Lines>
  <Paragraphs>10</Paragraphs>
  <ScaleCrop>false</ScaleCrop>
  <Company>University of Wales Trinity Saint David</Company>
  <LinksUpToDate>false</LinksUpToDate>
  <CharactersWithSpaces>5312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Anthony Burns</cp:lastModifiedBy>
  <cp:revision>3</cp:revision>
  <dcterms:created xsi:type="dcterms:W3CDTF">2016-12-01T15:38:00Z</dcterms:created>
  <dcterms:modified xsi:type="dcterms:W3CDTF">2016-12-06T14:52:00Z</dcterms:modified>
</cp:coreProperties>
</file>