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drawing>
          <wp:anchor distT="152400" distB="152400" distL="152400" distR="152400" simplePos="0" relativeHeight="251659264" behindDoc="0" locked="0" layoutInCell="1" allowOverlap="1">
            <wp:simplePos x="0" y="0"/>
            <wp:positionH relativeFrom="margin">
              <wp:posOffset>-505200</wp:posOffset>
            </wp:positionH>
            <wp:positionV relativeFrom="line">
              <wp:posOffset>-152399</wp:posOffset>
            </wp:positionV>
            <wp:extent cx="7117758" cy="7294126"/>
            <wp:effectExtent l="0" t="0" r="0" b="0"/>
            <wp:wrapThrough wrapText="bothSides" distL="152400" distR="152400">
              <wp:wrapPolygon edited="1">
                <wp:start x="0" y="0"/>
                <wp:lineTo x="21616" y="0"/>
                <wp:lineTo x="21616"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0-04-22 at 10.30.33.png"/>
                    <pic:cNvPicPr>
                      <a:picLocks noChangeAspect="1"/>
                    </pic:cNvPicPr>
                  </pic:nvPicPr>
                  <pic:blipFill>
                    <a:blip r:embed="rId4">
                      <a:extLst/>
                    </a:blip>
                    <a:stretch>
                      <a:fillRect/>
                    </a:stretch>
                  </pic:blipFill>
                  <pic:spPr>
                    <a:xfrm>
                      <a:off x="0" y="0"/>
                      <a:ext cx="7117758" cy="7294126"/>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60288" behindDoc="0" locked="0" layoutInCell="1" allowOverlap="1">
                <wp:simplePos x="0" y="0"/>
                <wp:positionH relativeFrom="margin">
                  <wp:posOffset>1315235</wp:posOffset>
                </wp:positionH>
                <wp:positionV relativeFrom="line">
                  <wp:posOffset>1529396</wp:posOffset>
                </wp:positionV>
                <wp:extent cx="5039389" cy="27534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5039389" cy="275340"/>
                        </a:xfrm>
                        <a:prstGeom prst="rect">
                          <a:avLst/>
                        </a:prstGeom>
                        <a:noFill/>
                        <a:ln w="12700" cap="flat">
                          <a:noFill/>
                          <a:miter lim="400000"/>
                        </a:ln>
                        <a:effectLst/>
                      </wps:spPr>
                      <wps:txbx>
                        <w:txbxContent>
                          <w:p>
                            <w:pPr>
                              <w:pStyle w:val="Body"/>
                              <w:bidi w:val="0"/>
                            </w:pPr>
                            <w:r>
                              <w:rPr>
                                <w:rFonts w:cs="Arial Unicode MS" w:eastAsia="Arial Unicode MS"/>
                                <w:rtl w:val="0"/>
                                <w:lang w:val="en-US"/>
                              </w:rPr>
                              <w:t>Nicholas Thomas                                                                   1702851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03.6pt;margin-top:120.4pt;width:396.8pt;height:21.7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Nicholas Thomas                                                                   1702851</w:t>
                      </w:r>
                    </w:p>
                  </w:txbxContent>
                </v:textbox>
                <w10:wrap type="through" side="bothSides" anchorx="margin"/>
              </v:shape>
            </w:pict>
          </mc:Fallback>
        </mc:AlternateConten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spacing w:line="360" w:lineRule="auto"/>
        <w:rPr>
          <w:sz w:val="24"/>
          <w:szCs w:val="24"/>
        </w:rPr>
      </w:pPr>
      <w:r>
        <w:rPr>
          <w:sz w:val="24"/>
          <w:szCs w:val="24"/>
          <w:rtl w:val="0"/>
          <w:lang w:val="en-US"/>
        </w:rPr>
        <w:t>This piece is a written reflection upon my performance in a previously filmed session, following observations upon my performance I begin to discuss how I have worked on the points raised whilst offering opportunity for further growth in the future. The Welsh Government has been explicit in their intentions to increase the number of Welsh speakers culminating in one million Welsh speakers by 2050 (Welsh Government, 2017a, 2017b, 2019b). These goals of the Welsh Government align with the rights afforded to all children as published by the United Nations in the Conventions on the Rights of the Child (1990). Within these rights it states that every child has a right to a nationality and language. Whereby every child should be given the opportunity to learn the language, something that many adults in Wales regret not doing (Hill and Robertson, 2012; Jenkins, 2015). Through the goals set out by the Welsh Government every pupil will be given the opportunity to attend a Welsh medium education either through parental choice at primary level or personal choice at secondary (Welsh Government, 2016a). To achieve this the government aims that pupils within English medium schools will be given a high enough set of Welsh language skills that they can cross over into Welsh medium education (Welsh Government, 2017a, 2017b, 2019b)</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My Welsh was taught as a first language through immersion (Johnson and Swain, 1997) within a Welsh medium primary school, neither of my parents spoke Welsh. This caused me to use Welsh only within the school environment an issue that the Welsh Government (2017b) states as a large influence on the development and attainment of the language. Additionally Estyn (2006) found that having limited or no contact with the Welsh language outside of the school environment had detrimental effects on the learning of the secondary language, and where the learner had extended periods away from learning such as the summer breaks their learning was impacted significantly. This would suggest that the lack of use in real life and spontaneous situations affects the learning of Welsh. Estyn (2013a) corroborates this by recommending that schools stimulate progress by ensuring learners are given the opportunities to practice their use of Welsh under these settings. If these setting do not exist outside of school then it would be safe to assume the learner is suffering.  </w:t>
      </w:r>
    </w:p>
    <w:p>
      <w:pPr>
        <w:pStyle w:val="Body"/>
        <w:spacing w:line="360" w:lineRule="auto"/>
        <w:rPr>
          <w:sz w:val="24"/>
          <w:szCs w:val="24"/>
        </w:rPr>
      </w:pPr>
      <w:r>
        <w:rPr>
          <w:sz w:val="24"/>
          <w:szCs w:val="24"/>
          <w:rtl w:val="0"/>
          <w:lang w:val="en-US"/>
        </w:rPr>
        <w:t xml:space="preserve">My Welsh language skills are average and are spread across the </w:t>
      </w:r>
      <w:r>
        <w:rPr>
          <w:sz w:val="24"/>
          <w:szCs w:val="24"/>
          <w:rtl w:val="0"/>
          <w:lang w:val="en-US"/>
        </w:rPr>
        <w:t>‘</w:t>
      </w:r>
      <w:r>
        <w:rPr>
          <w:sz w:val="24"/>
          <w:szCs w:val="24"/>
          <w:rtl w:val="0"/>
          <w:lang w:val="en-US"/>
        </w:rPr>
        <w:t>intermediary</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higher</w:t>
      </w:r>
      <w:r>
        <w:rPr>
          <w:sz w:val="24"/>
          <w:szCs w:val="24"/>
          <w:rtl w:val="0"/>
          <w:lang w:val="en-US"/>
        </w:rPr>
        <w:t xml:space="preserve">’ </w:t>
      </w:r>
      <w:r>
        <w:rPr>
          <w:sz w:val="24"/>
          <w:szCs w:val="24"/>
          <w:rtl w:val="0"/>
          <w:lang w:val="en-US"/>
        </w:rPr>
        <w:t>sections within the Welsh language competency framework for practitioners (Welsh Government, 2019a). Before attempting to improve my Welsh I would have placed myself lower on the chart whilst criticising my language skills far harsher than may have been necessary.  The issue with my Welsh teaching was a lack of confidence in my ability, I am continuously affected by this due to my awareness that my Welsh skills should be much better than they currently are. I would regularly avoid the use of Welsh to avoid possible embarrassment as often as I could, this created a loop of regression where my Welsh would suffer due to lack of use and then my self-consciousness would increase causing me to avoid Welsh further (Perez, 2015) .  This is an issue that Estyn (2013b) is also aware of and guides their inspectors to look for signs that learners are happy and confident in their use of Welsh in various settings, as if they are unhappy and forced into the learning of Welsh they will resist and refuse to learn further (Davies, 2003; Perez, 2015)</w:t>
      </w:r>
    </w:p>
    <w:p>
      <w:pPr>
        <w:pStyle w:val="Body"/>
        <w:spacing w:line="360" w:lineRule="auto"/>
        <w:rPr>
          <w:sz w:val="24"/>
          <w:szCs w:val="24"/>
        </w:rPr>
      </w:pPr>
      <w:r>
        <w:rPr>
          <w:sz w:val="24"/>
          <w:szCs w:val="24"/>
          <w:rtl w:val="0"/>
          <w:lang w:val="en-US"/>
        </w:rPr>
        <w:t xml:space="preserve">This is reflected in my performance in the video, my self awareness negatively affected my teaching through lack of self belief that I could complete the task to a high standard as someone who received Welsh medium education should. During the reading I mis-read and mis-pronounced numerous words that I am fully capable of pronouncing and reading correctly.  Welsh Government (2016a) found that a practitioners confidence or lack of, affected their ability to teach. Following their intervention centred around increasing practitioners confidence in their use of Welsh, the Welsh Government found that practitioners increased their use of Welsh outside of the confines of Welsh language lessons and as such increased the time learners are immersed in the Welsh language.  </w:t>
      </w:r>
    </w:p>
    <w:p>
      <w:pPr>
        <w:pStyle w:val="Body"/>
        <w:spacing w:line="360" w:lineRule="auto"/>
        <w:rPr>
          <w:sz w:val="24"/>
          <w:szCs w:val="24"/>
        </w:rPr>
      </w:pPr>
      <w:r>
        <w:rPr>
          <w:sz w:val="24"/>
          <w:szCs w:val="24"/>
          <w:rtl w:val="0"/>
          <w:lang w:val="en-US"/>
        </w:rPr>
        <w:t xml:space="preserve">To improve myself and my abilities, I have decided to leave my comfort zones with regard to speaking Welsh and have taken multiple teaching assistant roles within Welsh medium schools. This has both immersed me within the Welsh language and ensured that I use Welsh regularly. </w:t>
      </w:r>
    </w:p>
    <w:p>
      <w:pPr>
        <w:pStyle w:val="Body"/>
        <w:spacing w:line="360" w:lineRule="auto"/>
        <w:rPr>
          <w:sz w:val="24"/>
          <w:szCs w:val="24"/>
        </w:rPr>
      </w:pPr>
      <w:r>
        <w:rPr>
          <w:sz w:val="24"/>
          <w:szCs w:val="24"/>
          <w:rtl w:val="0"/>
          <w:lang w:val="en-US"/>
        </w:rPr>
        <w:t xml:space="preserve">The roles within multiple schools improved my confidence in my abilities whilst also improving them. The increase in my confidence was noticeable and I felt confident to use my skills within different and increased roles. Whilst undertaking my role as a teaching assistant I volunteered to cover the class teacher for initially one afternoon which increased to covering multiple PPA sessions during my time at the school.  I then accepted a role to cover a Welsh medium schools physical education lessons for several weeks. This greatly improved my Welsh as I was now planning and facilitating lessons through Welsh something that I would have never have attempted before. Additionally I will be conscious of the need to offer that same luxury to my students, who should not be pressured into producing Welsh sentences but should be encouraged to attempt and practice without outward pressures of time or the fear of failure (Perez, 2015). </w:t>
      </w:r>
    </w:p>
    <w:p>
      <w:pPr>
        <w:pStyle w:val="Body"/>
        <w:spacing w:line="360" w:lineRule="auto"/>
        <w:rPr>
          <w:sz w:val="24"/>
          <w:szCs w:val="24"/>
        </w:rPr>
      </w:pPr>
      <w:r>
        <w:rPr>
          <w:sz w:val="24"/>
          <w:szCs w:val="24"/>
          <w:rtl w:val="0"/>
          <w:lang w:val="en-US"/>
        </w:rPr>
        <w:t xml:space="preserve">To ensure we reach the goals set by the Welsh Government (2016b, 2017a) we must create students who are bilingual, defining bilingualism as the skills to use Welsh in both the education and social environment. Therefore the level of bilingualism of the educators must be equal or equivalently capable to teach to this standard. I must ensure my abilities are to this standard to ensure that I may teach to the required standards. Estyn (2013a) note that a practitioners ability and skills in the teaching of Welsh is a large factor in the pupils learning of Welsh and that those practitioners with poor skills did not offer enough high quality experiences to ensure progress or continuity during transitions and often Welsh language learners will leave the journey completely (Musk, 2006). This further highlights the need for myself to obtain high level language skills to ensure that I provide high quality teaching.  </w:t>
      </w:r>
    </w:p>
    <w:p>
      <w:pPr>
        <w:pStyle w:val="Body"/>
        <w:spacing w:line="360" w:lineRule="auto"/>
        <w:rPr>
          <w:sz w:val="24"/>
          <w:szCs w:val="24"/>
        </w:rPr>
      </w:pPr>
      <w:r>
        <w:rPr>
          <w:sz w:val="24"/>
          <w:szCs w:val="24"/>
          <w:rtl w:val="0"/>
          <w:lang w:val="en-US"/>
        </w:rPr>
        <w:t xml:space="preserve">During the video, although my skills were lacking I do believe that my selection of appropriate resources and suitable difficulty gave the students the opportunity to progress their Welsh skills. Furthermore I was encouraged to hear the pupils use some key phrases learnt during the lesson outside of the formal setting. This is a positive sign towards their development as stated by the Welsh Government (2017b) and Estyn (2006).To ensure that I continue to improve in this area I will follow governmental guidelines and support. The Welsh Government (2017b) states that practitioners should ensure that learners are given early opportunities to develop their Welsh language skills and that these opportunities continue throughout the learning journey, unwavering as the child ages. This indicates that a practitioner should strive to adapt and develop their students skills to the fullest by following a continuum of learning. By following the new Welsh curriculum and other guidance such as the </w:t>
      </w:r>
      <w:r>
        <w:rPr>
          <w:sz w:val="24"/>
          <w:szCs w:val="24"/>
          <w:rtl w:val="0"/>
          <w:lang w:val="en-US"/>
        </w:rPr>
        <w:t>‘</w:t>
      </w:r>
      <w:r>
        <w:rPr>
          <w:sz w:val="24"/>
          <w:szCs w:val="24"/>
          <w:rtl w:val="0"/>
          <w:lang w:val="en-US"/>
        </w:rPr>
        <w:t>Siarter Iaith</w:t>
      </w:r>
      <w:r>
        <w:rPr>
          <w:sz w:val="24"/>
          <w:szCs w:val="24"/>
          <w:rtl w:val="0"/>
          <w:lang w:val="en-US"/>
        </w:rPr>
        <w:t xml:space="preserve">’ </w:t>
      </w:r>
      <w:r>
        <w:rPr>
          <w:sz w:val="24"/>
          <w:szCs w:val="24"/>
          <w:rtl w:val="0"/>
          <w:lang w:val="en-US"/>
        </w:rPr>
        <w:t xml:space="preserve">(Welsh Government, 2019a), I will ensure that I push both myself and my students to progress our Welsh language skills. This will provide the best opportunity to succeed in the Welsh Governments goal of producing 1 million Welsh speakers by 2050 (2017b) whilst improving my abilities to teach the Welsh Language inline with the increase in speakers and abilities. </w:t>
      </w:r>
    </w:p>
    <w:p>
      <w:pPr>
        <w:pStyle w:val="Body"/>
        <w:spacing w:line="360" w:lineRule="auto"/>
        <w:rPr>
          <w:sz w:val="24"/>
          <w:szCs w:val="24"/>
        </w:rPr>
      </w:pPr>
    </w:p>
    <w:p>
      <w:pPr>
        <w:pStyle w:val="Body"/>
        <w:spacing w:line="360" w:lineRule="auto"/>
        <w:rPr>
          <w:sz w:val="24"/>
          <w:szCs w:val="24"/>
        </w:rPr>
      </w:pPr>
      <w:r>
        <w:rPr>
          <w:sz w:val="24"/>
          <w:szCs w:val="24"/>
          <w:rtl w:val="0"/>
          <w:lang w:val="en-US"/>
        </w:rPr>
        <w:t>Davies (2003) states that we must be careful when implementing a language on non-native speakers whereby they resist the pressure and ultimately fail to learn, this is also supported by the Welsh Government (2017a, 2017b, 2019b) who propose a slow approach towards learning Welsh ensuring that learners feel comfortable and use the language as a tool not as a complete change of personality or image. There is also recent evidence to suggest that there are huge positives to the social effects of group language learning and immersion, whereby learners will feel a greater motivation to learn as a group with others than on their own through personal study or tasks (</w:t>
      </w:r>
      <w:r>
        <w:rPr>
          <w:sz w:val="24"/>
          <w:szCs w:val="24"/>
          <w:rtl w:val="0"/>
          <w:lang w:val="pt-PT"/>
        </w:rPr>
        <w:t>Alhamami,</w:t>
      </w:r>
      <w:r>
        <w:rPr>
          <w:sz w:val="24"/>
          <w:szCs w:val="24"/>
          <w:rtl w:val="0"/>
          <w:lang w:val="en-US"/>
        </w:rPr>
        <w:t xml:space="preserve"> 2020).Within my lessons I will strive to use these social effects to use and allow for situations whereby students can practice and use the language. There is also support for the use of a wide range of resources whilst teaching languages, and as such I will make use of a wide array of materials to support both teaching and learning (Oxford, 2002; Welsh Government, 2011). I believe that I must push myself towards using Welsh far more often to address the issues with my confidence and belief in my abilities. I must ensure that I do not fear using Welsh in all settings as to increase my ability to provide adequate Welsh language teaching (Estyn, 2006, 2013a; Perez, 2015). This is also a requirement of the Welsh Government (2017a) as they outline the need for practitioners to continuously strive to improve their Welsh language skills, as part of their professional development standards. The standards will require practitioners plan and accomplish goal set by themselves to improve their language skills by using the competency framework as a reference point (Welsh Government, 2019a, 2019b). Therefore I will continue to plan future targets and goals to progress my Welsh skills, differentiating and adapting my objectives to ensure relevant and consistent progress whilst placing myself within situations that require me to use Welsh. Alongside this I will strive to create a suitable language learning environment using a wide array of resources, where pupils are learning within a safe and social setting (</w:t>
      </w:r>
      <w:r>
        <w:rPr>
          <w:sz w:val="24"/>
          <w:szCs w:val="24"/>
          <w:rtl w:val="0"/>
          <w:lang w:val="pt-PT"/>
        </w:rPr>
        <w:t>Alhamami,</w:t>
      </w:r>
      <w:r>
        <w:rPr>
          <w:sz w:val="24"/>
          <w:szCs w:val="24"/>
          <w:rtl w:val="0"/>
          <w:lang w:val="en-US"/>
        </w:rPr>
        <w:t xml:space="preserve"> 2020; Estyn, 2006; Oxford, 2002; Welsh Government, 2019b). </w:t>
      </w: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r>
        <w:rPr>
          <w:sz w:val="24"/>
          <w:szCs w:val="24"/>
          <w:rtl w:val="0"/>
          <w:lang w:val="en-US"/>
        </w:rPr>
        <w:t>References</w:t>
      </w:r>
    </w:p>
    <w:p>
      <w:pPr>
        <w:pStyle w:val="Body"/>
        <w:spacing w:line="360" w:lineRule="auto"/>
        <w:rPr>
          <w:sz w:val="24"/>
          <w:szCs w:val="24"/>
        </w:rPr>
      </w:pPr>
    </w:p>
    <w:p>
      <w:pPr>
        <w:pStyle w:val="Body"/>
        <w:spacing w:line="360" w:lineRule="auto"/>
        <w:rPr>
          <w:sz w:val="24"/>
          <w:szCs w:val="24"/>
        </w:rPr>
      </w:pPr>
      <w:r>
        <w:rPr>
          <w:sz w:val="24"/>
          <w:szCs w:val="24"/>
          <w:rtl w:val="0"/>
          <w:lang w:val="pt-PT"/>
        </w:rPr>
        <w:t>Alhamami, M. (2020). Learners</w:t>
      </w:r>
      <w:r>
        <w:rPr>
          <w:sz w:val="24"/>
          <w:szCs w:val="24"/>
          <w:rtl w:val="1"/>
        </w:rPr>
        <w:t xml:space="preserve">’ </w:t>
      </w:r>
      <w:r>
        <w:rPr>
          <w:sz w:val="24"/>
          <w:szCs w:val="24"/>
          <w:rtl w:val="0"/>
          <w:lang w:val="en-US"/>
        </w:rPr>
        <w:t>Beliefs and Communities Around Them: The Social Pressure to Learn Language. SAGE Open. https://doi.org/10.1177/2158244019898842</w:t>
      </w:r>
    </w:p>
    <w:p>
      <w:pPr>
        <w:pStyle w:val="Body"/>
        <w:spacing w:line="360" w:lineRule="auto"/>
        <w:rPr>
          <w:sz w:val="24"/>
          <w:szCs w:val="24"/>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Davies, A. (2003). The native speaker: Myth and reality. Clevedon: Multilingual Matters.</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Estyn (2006) </w:t>
      </w:r>
      <w:r>
        <w:rPr>
          <w:sz w:val="24"/>
          <w:szCs w:val="24"/>
          <w:rtl w:val="0"/>
          <w:lang w:val="en-US"/>
        </w:rPr>
        <w:t>A report on Welsh immersion and intensive language teaching pilot projects in schools</w:t>
      </w:r>
      <w:r>
        <w:rPr>
          <w:sz w:val="24"/>
          <w:szCs w:val="24"/>
          <w:rtl w:val="0"/>
          <w:lang w:val="en-US"/>
        </w:rPr>
        <w:t xml:space="preserve">. </w:t>
      </w:r>
    </w:p>
    <w:p>
      <w:pPr>
        <w:pStyle w:val="Body"/>
        <w:spacing w:line="360" w:lineRule="auto"/>
        <w:rPr>
          <w:sz w:val="24"/>
          <w:szCs w:val="24"/>
        </w:rPr>
      </w:pPr>
    </w:p>
    <w:p>
      <w:pPr>
        <w:pStyle w:val="Body"/>
        <w:spacing w:line="360" w:lineRule="auto"/>
        <w:rPr>
          <w:sz w:val="24"/>
          <w:szCs w:val="24"/>
        </w:rPr>
      </w:pPr>
      <w:r>
        <w:rPr>
          <w:sz w:val="24"/>
          <w:szCs w:val="24"/>
          <w:rtl w:val="0"/>
        </w:rPr>
        <w:t>Estyn (2013</w:t>
      </w:r>
      <w:r>
        <w:rPr>
          <w:sz w:val="24"/>
          <w:szCs w:val="24"/>
          <w:rtl w:val="0"/>
          <w:lang w:val="en-US"/>
        </w:rPr>
        <w:t>a</w:t>
      </w:r>
      <w:r>
        <w:rPr>
          <w:sz w:val="24"/>
          <w:szCs w:val="24"/>
          <w:rtl w:val="0"/>
          <w:lang w:val="en-US"/>
        </w:rPr>
        <w:t>) Welsh Language development in the Foundation Phase.  Cardiff: Crown</w:t>
      </w:r>
    </w:p>
    <w:p>
      <w:pPr>
        <w:pStyle w:val="Body"/>
        <w:spacing w:line="360" w:lineRule="auto"/>
        <w:rPr>
          <w:sz w:val="24"/>
          <w:szCs w:val="24"/>
        </w:rPr>
      </w:pPr>
    </w:p>
    <w:p>
      <w:pPr>
        <w:pStyle w:val="Body"/>
        <w:spacing w:line="360" w:lineRule="auto"/>
        <w:rPr>
          <w:sz w:val="24"/>
          <w:szCs w:val="24"/>
        </w:rPr>
      </w:pPr>
      <w:r>
        <w:rPr>
          <w:sz w:val="24"/>
          <w:szCs w:val="24"/>
          <w:rtl w:val="0"/>
        </w:rPr>
        <w:t>Estyn (2013</w:t>
      </w:r>
      <w:r>
        <w:rPr>
          <w:sz w:val="24"/>
          <w:szCs w:val="24"/>
          <w:rtl w:val="0"/>
          <w:lang w:val="en-US"/>
        </w:rPr>
        <w:t>b</w:t>
      </w:r>
      <w:r>
        <w:rPr>
          <w:sz w:val="24"/>
          <w:szCs w:val="24"/>
          <w:rtl w:val="0"/>
          <w:lang w:val="en-US"/>
        </w:rPr>
        <w:t>) Supplementary Guidance: Welsh. Cardiff: Crown.</w:t>
      </w:r>
    </w:p>
    <w:p>
      <w:pPr>
        <w:pStyle w:val="Body"/>
        <w:spacing w:line="360" w:lineRule="auto"/>
        <w:rPr>
          <w:sz w:val="24"/>
          <w:szCs w:val="24"/>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Hill, D., &amp; Robertson, L. H. (2012). Equality in the primary school: Promoting good practice across the curriculum. New York: Continuum International Pub. Group.</w:t>
      </w:r>
    </w:p>
    <w:p>
      <w:pPr>
        <w:pStyle w:val="Body"/>
        <w:spacing w:line="360" w:lineRule="auto"/>
        <w:rPr>
          <w:sz w:val="24"/>
          <w:szCs w:val="24"/>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Jenkins, G. H. (2015). 'Let's do our best for the ancient tongue': The Welsh language in the twentieth century.</w:t>
      </w:r>
    </w:p>
    <w:p>
      <w:pPr>
        <w:pStyle w:val="Body"/>
        <w:spacing w:line="360" w:lineRule="auto"/>
        <w:rPr>
          <w:sz w:val="24"/>
          <w:szCs w:val="24"/>
        </w:rPr>
      </w:pPr>
    </w:p>
    <w:p>
      <w:pPr>
        <w:pStyle w:val="Body"/>
        <w:spacing w:line="360" w:lineRule="auto"/>
        <w:rPr>
          <w:sz w:val="24"/>
          <w:szCs w:val="24"/>
        </w:rPr>
      </w:pPr>
      <w:r>
        <w:rPr>
          <w:sz w:val="24"/>
          <w:szCs w:val="24"/>
          <w:rtl w:val="0"/>
          <w:lang w:val="en-US"/>
        </w:rPr>
        <w:t>Johnson R.K. and Swain M. (eds.) (1997) Immersion Education: International perspectives. New York: Cambridge University Press</w:t>
      </w:r>
    </w:p>
    <w:p>
      <w:pPr>
        <w:pStyle w:val="Body"/>
        <w:spacing w:line="360" w:lineRule="auto"/>
        <w:rPr>
          <w:sz w:val="24"/>
          <w:szCs w:val="24"/>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Musk, N. (2006). Performing bilingualism in Wales with the spotlight on Welsh: A study of language policy and the language practices of young people in bilingual education. Link</w:t>
      </w:r>
      <w:r>
        <w:rPr>
          <w:rFonts w:ascii="Arial Unicode MS" w:hAnsi="Arial Unicode MS" w:hint="default"/>
          <w:sz w:val="24"/>
          <w:szCs w:val="24"/>
          <w:shd w:val="clear" w:color="auto" w:fill="ffffff"/>
          <w:rtl w:val="0"/>
          <w:lang w:val="sv-SE"/>
        </w:rPr>
        <w:t>ö</w:t>
      </w:r>
      <w:r>
        <w:rPr>
          <w:rFonts w:ascii="Arial Unicode MS" w:hAnsi="Arial Unicode MS"/>
          <w:sz w:val="24"/>
          <w:szCs w:val="24"/>
          <w:shd w:val="clear" w:color="auto" w:fill="ffffff"/>
          <w:rtl w:val="0"/>
        </w:rPr>
        <w:t>ping, Sweden:</w:t>
      </w:r>
      <w:r>
        <w:rPr>
          <w:rFonts w:ascii="Arial Unicode MS" w:hAnsi="Arial Unicode MS"/>
          <w:sz w:val="24"/>
          <w:szCs w:val="24"/>
          <w:shd w:val="clear" w:color="auto" w:fill="ffffff"/>
          <w:rtl w:val="0"/>
          <w:lang w:val="en-US"/>
        </w:rPr>
        <w:t xml:space="preserve"> </w:t>
      </w:r>
      <w:r>
        <w:rPr>
          <w:rFonts w:ascii="Arial Unicode MS" w:hAnsi="Arial Unicode MS"/>
          <w:sz w:val="24"/>
          <w:szCs w:val="24"/>
          <w:shd w:val="clear" w:color="auto" w:fill="ffffff"/>
          <w:rtl w:val="0"/>
          <w:lang w:val="de-DE"/>
        </w:rPr>
        <w:t>Link</w:t>
      </w:r>
      <w:r>
        <w:rPr>
          <w:rFonts w:ascii="Arial Unicode MS" w:hAnsi="Arial Unicode MS" w:hint="default"/>
          <w:sz w:val="24"/>
          <w:szCs w:val="24"/>
          <w:shd w:val="clear" w:color="auto" w:fill="ffffff"/>
          <w:rtl w:val="0"/>
          <w:lang w:val="sv-SE"/>
        </w:rPr>
        <w:t>ö</w:t>
      </w:r>
      <w:r>
        <w:rPr>
          <w:rFonts w:ascii="Arial Unicode MS" w:hAnsi="Arial Unicode MS"/>
          <w:sz w:val="24"/>
          <w:szCs w:val="24"/>
          <w:shd w:val="clear" w:color="auto" w:fill="ffffff"/>
          <w:rtl w:val="0"/>
          <w:lang w:val="en-US"/>
        </w:rPr>
        <w:t>ping University, Department of Language and Culture.</w:t>
      </w:r>
    </w:p>
    <w:p>
      <w:pPr>
        <w:pStyle w:val="Body"/>
        <w:spacing w:line="360" w:lineRule="auto"/>
        <w:rPr>
          <w:sz w:val="24"/>
          <w:szCs w:val="24"/>
        </w:rPr>
      </w:pPr>
    </w:p>
    <w:p>
      <w:pPr>
        <w:pStyle w:val="Body"/>
        <w:spacing w:line="360" w:lineRule="auto"/>
        <w:rPr>
          <w:sz w:val="24"/>
          <w:szCs w:val="24"/>
        </w:rPr>
      </w:pPr>
      <w:r>
        <w:rPr>
          <w:sz w:val="24"/>
          <w:szCs w:val="24"/>
          <w:rtl w:val="0"/>
          <w:lang w:val="en-US"/>
        </w:rPr>
        <w:t>Oxford, R. L. (2002). Language learning strategies around the world: Cross-cultural perspectives. Ma</w:t>
      </w:r>
      <w:r>
        <w:rPr>
          <w:sz w:val="24"/>
          <w:szCs w:val="24"/>
          <w:rtl w:val="0"/>
        </w:rPr>
        <w:t>̄</w:t>
      </w:r>
      <w:r>
        <w:rPr>
          <w:sz w:val="24"/>
          <w:szCs w:val="24"/>
          <w:rtl w:val="0"/>
          <w:lang w:val="en-US"/>
        </w:rPr>
        <w:t>noa: Second Language Teaching and Curriculum Center, Univ. of Hawaii.</w:t>
      </w:r>
    </w:p>
    <w:p>
      <w:pPr>
        <w:pStyle w:val="Body"/>
        <w:spacing w:line="360" w:lineRule="auto"/>
        <w:rPr>
          <w:sz w:val="24"/>
          <w:szCs w:val="24"/>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rPr>
        <w:t>P</w:t>
      </w:r>
      <w:r>
        <w:rPr>
          <w:rFonts w:ascii="Arial Unicode MS" w:hAnsi="Arial Unicode MS" w:hint="default"/>
          <w:sz w:val="24"/>
          <w:szCs w:val="24"/>
          <w:shd w:val="clear" w:color="auto" w:fill="ffffff"/>
          <w:rtl w:val="0"/>
          <w:lang w:val="fr-FR"/>
        </w:rPr>
        <w:t>é</w:t>
      </w:r>
      <w:r>
        <w:rPr>
          <w:rFonts w:ascii="Arial Unicode MS" w:hAnsi="Arial Unicode MS"/>
          <w:sz w:val="24"/>
          <w:szCs w:val="24"/>
          <w:shd w:val="clear" w:color="auto" w:fill="ffffff"/>
          <w:rtl w:val="0"/>
          <w:lang w:val="en-US"/>
        </w:rPr>
        <w:t>rez, B. (2015). Becoming biliterate: A study of two-way bilingual immersion education.</w:t>
      </w: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UN (1990) United Nations Rights of the Child (UNCRC)</w:t>
      </w: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r>
        <w:rPr>
          <w:rFonts w:ascii="Arial Unicode MS" w:hAnsi="Arial Unicode MS"/>
          <w:sz w:val="24"/>
          <w:szCs w:val="24"/>
          <w:shd w:val="clear" w:color="auto" w:fill="ffffff"/>
          <w:rtl w:val="0"/>
          <w:lang w:val="en-US"/>
        </w:rPr>
        <w:t xml:space="preserve">Welsh Government (2011) </w:t>
      </w:r>
      <w:r>
        <w:rPr>
          <w:rFonts w:ascii="Arial Unicode MS" w:hAnsi="Arial Unicode MS"/>
          <w:sz w:val="24"/>
          <w:szCs w:val="24"/>
          <w:shd w:val="clear" w:color="auto" w:fill="ffffff"/>
          <w:rtl w:val="0"/>
          <w:lang w:val="en-US"/>
        </w:rPr>
        <w:t>Review of the Welsh Language Support Service for Schools</w:t>
      </w:r>
      <w:r>
        <w:rPr>
          <w:rFonts w:ascii="Arial Unicode MS" w:hAnsi="Arial Unicode MS"/>
          <w:sz w:val="24"/>
          <w:szCs w:val="24"/>
          <w:shd w:val="clear" w:color="auto" w:fill="ffffff"/>
          <w:rtl w:val="0"/>
          <w:lang w:val="en-US"/>
        </w:rPr>
        <w:t>. Cardiff: Crown.</w:t>
      </w:r>
    </w:p>
    <w:p>
      <w:pPr>
        <w:pStyle w:val="Default"/>
        <w:bidi w:val="0"/>
        <w:spacing w:line="360" w:lineRule="auto"/>
        <w:ind w:left="0" w:right="0" w:firstLine="0"/>
        <w:jc w:val="left"/>
        <w:rPr>
          <w:rFonts w:ascii="Arial Unicode MS" w:cs="Arial Unicode MS" w:hAnsi="Arial Unicode MS" w:eastAsia="Arial Unicode MS"/>
          <w:sz w:val="24"/>
          <w:szCs w:val="24"/>
          <w:shd w:val="clear" w:color="auto" w:fill="ffffff"/>
          <w:rtl w:val="0"/>
        </w:rPr>
      </w:pPr>
    </w:p>
    <w:p>
      <w:pPr>
        <w:pStyle w:val="Body"/>
        <w:spacing w:line="360" w:lineRule="auto"/>
        <w:rPr>
          <w:sz w:val="24"/>
          <w:szCs w:val="24"/>
        </w:rPr>
      </w:pPr>
      <w:r>
        <w:rPr>
          <w:sz w:val="24"/>
          <w:szCs w:val="24"/>
          <w:rtl w:val="0"/>
          <w:lang w:val="en-US"/>
        </w:rPr>
        <w:t>Welsh Government (2014) Evaluating the Foundation Phase: Key Findings on Welsh Language. Cardiff: Crown.</w:t>
      </w:r>
    </w:p>
    <w:p>
      <w:pPr>
        <w:pStyle w:val="Body"/>
        <w:spacing w:line="360" w:lineRule="auto"/>
        <w:rPr>
          <w:sz w:val="24"/>
          <w:szCs w:val="24"/>
        </w:rPr>
      </w:pPr>
    </w:p>
    <w:p>
      <w:pPr>
        <w:pStyle w:val="Body"/>
        <w:spacing w:line="360" w:lineRule="auto"/>
        <w:rPr>
          <w:sz w:val="24"/>
          <w:szCs w:val="24"/>
        </w:rPr>
      </w:pPr>
      <w:r>
        <w:rPr>
          <w:sz w:val="24"/>
          <w:szCs w:val="24"/>
          <w:rtl w:val="0"/>
          <w:lang w:val="en-US"/>
        </w:rPr>
        <w:t>Welsh Government (2016</w:t>
      </w:r>
      <w:r>
        <w:rPr>
          <w:sz w:val="24"/>
          <w:szCs w:val="24"/>
          <w:rtl w:val="0"/>
          <w:lang w:val="en-US"/>
        </w:rPr>
        <w:t>a</w:t>
      </w:r>
      <w:r>
        <w:rPr>
          <w:sz w:val="24"/>
          <w:szCs w:val="24"/>
          <w:rtl w:val="0"/>
          <w:lang w:val="en-US"/>
        </w:rPr>
        <w:t>) Review of a project to encourage Welsh-medium teaching in English-medium primary schools. Cardiff: Crown</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(2016b) </w:t>
      </w:r>
      <w:r>
        <w:rPr>
          <w:caps w:val="0"/>
          <w:smallCaps w:val="0"/>
          <w:sz w:val="24"/>
          <w:szCs w:val="24"/>
          <w:rtl w:val="0"/>
          <w:lang w:val="en-US"/>
        </w:rPr>
        <w:t>EVALUATION OF THE WELSH-MEDIUM EDUCATION STRATEGY</w:t>
      </w:r>
      <w:r>
        <w:rPr>
          <w:caps w:val="0"/>
          <w:smallCaps w:val="0"/>
          <w:sz w:val="24"/>
          <w:szCs w:val="24"/>
          <w:rtl w:val="0"/>
          <w:lang w:val="en-US"/>
        </w:rPr>
        <w:t xml:space="preserve"> </w:t>
      </w:r>
      <w:r>
        <w:rPr>
          <w:caps w:val="0"/>
          <w:smallCaps w:val="0"/>
          <w:sz w:val="24"/>
          <w:szCs w:val="24"/>
          <w:rtl w:val="0"/>
        </w:rPr>
        <w:t>FINAL REPORT</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(2016c) </w:t>
      </w:r>
      <w:r>
        <w:rPr>
          <w:sz w:val="24"/>
          <w:szCs w:val="24"/>
          <w:rtl w:val="0"/>
          <w:lang w:val="en-US"/>
        </w:rPr>
        <w:t>A living language:</w:t>
      </w:r>
      <w:r>
        <w:rPr>
          <w:sz w:val="24"/>
          <w:szCs w:val="24"/>
          <w:rtl w:val="0"/>
          <w:lang w:val="en-US"/>
        </w:rPr>
        <w:t xml:space="preserve"> </w:t>
      </w:r>
      <w:r>
        <w:rPr>
          <w:sz w:val="24"/>
          <w:szCs w:val="24"/>
          <w:rtl w:val="0"/>
          <w:lang w:val="en-US"/>
        </w:rPr>
        <w:t>a language for living Welsh Language Strategy</w:t>
      </w:r>
      <w:r>
        <w:rPr>
          <w:sz w:val="24"/>
          <w:szCs w:val="24"/>
          <w:rtl w:val="0"/>
          <w:lang w:val="en-US"/>
        </w:rPr>
        <w:t xml:space="preserve"> </w:t>
      </w:r>
      <w:r>
        <w:rPr>
          <w:sz w:val="24"/>
          <w:szCs w:val="24"/>
          <w:rtl w:val="0"/>
        </w:rPr>
        <w:t>2012</w:t>
      </w:r>
      <w:r>
        <w:rPr>
          <w:sz w:val="24"/>
          <w:szCs w:val="24"/>
          <w:rtl w:val="0"/>
        </w:rPr>
        <w:t>–</w:t>
      </w:r>
      <w:r>
        <w:rPr>
          <w:sz w:val="24"/>
          <w:szCs w:val="24"/>
          <w:rtl w:val="0"/>
        </w:rPr>
        <w:t>17</w:t>
      </w:r>
      <w:r>
        <w:rPr>
          <w:sz w:val="24"/>
          <w:szCs w:val="24"/>
          <w:rtl w:val="0"/>
          <w:lang w:val="en-US"/>
        </w:rPr>
        <w:t xml:space="preserve"> </w:t>
      </w:r>
      <w:r>
        <w:rPr>
          <w:sz w:val="24"/>
          <w:szCs w:val="24"/>
          <w:rtl w:val="0"/>
          <w:lang w:val="en-US"/>
        </w:rPr>
        <w:t>Annual report 2015</w:t>
      </w:r>
      <w:r>
        <w:rPr>
          <w:sz w:val="24"/>
          <w:szCs w:val="24"/>
          <w:rtl w:val="0"/>
        </w:rPr>
        <w:t>–</w:t>
      </w:r>
      <w:r>
        <w:rPr>
          <w:sz w:val="24"/>
          <w:szCs w:val="24"/>
          <w:rtl w:val="0"/>
        </w:rPr>
        <w:t>16</w:t>
      </w:r>
      <w:r>
        <w:rPr>
          <w:sz w:val="24"/>
          <w:szCs w:val="24"/>
          <w:rtl w:val="0"/>
          <w:lang w:val="en-US"/>
        </w:rPr>
        <w:t xml:space="preserve">. Cardiff:Crown </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(2017a) </w:t>
      </w:r>
      <w:r>
        <w:rPr>
          <w:sz w:val="24"/>
          <w:szCs w:val="24"/>
          <w:rtl w:val="0"/>
          <w:lang w:val="en-US"/>
        </w:rPr>
        <w:t>Welsh in education</w:t>
      </w:r>
      <w:r>
        <w:rPr>
          <w:sz w:val="24"/>
          <w:szCs w:val="24"/>
          <w:rtl w:val="0"/>
          <w:lang w:val="en-US"/>
        </w:rPr>
        <w:t xml:space="preserve"> </w:t>
      </w:r>
      <w:r>
        <w:rPr>
          <w:sz w:val="24"/>
          <w:szCs w:val="24"/>
          <w:rtl w:val="0"/>
          <w:lang w:val="en-US"/>
        </w:rPr>
        <w:t>Action plan 2017</w:t>
      </w:r>
      <w:r>
        <w:rPr>
          <w:sz w:val="24"/>
          <w:szCs w:val="24"/>
          <w:rtl w:val="0"/>
        </w:rPr>
        <w:t>–</w:t>
      </w:r>
      <w:r>
        <w:rPr>
          <w:sz w:val="24"/>
          <w:szCs w:val="24"/>
          <w:rtl w:val="0"/>
        </w:rPr>
        <w:t>21</w:t>
      </w:r>
      <w:r>
        <w:rPr>
          <w:sz w:val="24"/>
          <w:szCs w:val="24"/>
          <w:rtl w:val="0"/>
          <w:lang w:val="en-US"/>
        </w:rPr>
        <w:t xml:space="preserve">. Cardiff: Crown </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(2017b) </w:t>
      </w:r>
      <w:r>
        <w:rPr>
          <w:sz w:val="24"/>
          <w:szCs w:val="24"/>
          <w:rtl w:val="0"/>
        </w:rPr>
        <w:t>Cymraeg 2050</w:t>
      </w:r>
      <w:r>
        <w:rPr>
          <w:sz w:val="24"/>
          <w:szCs w:val="24"/>
          <w:rtl w:val="0"/>
          <w:lang w:val="en-US"/>
        </w:rPr>
        <w:t xml:space="preserve"> </w:t>
      </w:r>
      <w:r>
        <w:rPr>
          <w:sz w:val="24"/>
          <w:szCs w:val="24"/>
          <w:rtl w:val="0"/>
          <w:lang w:val="en-US"/>
        </w:rPr>
        <w:t>A million Welsh speakers</w:t>
      </w:r>
      <w:r>
        <w:rPr>
          <w:sz w:val="24"/>
          <w:szCs w:val="24"/>
          <w:rtl w:val="0"/>
          <w:lang w:val="en-US"/>
        </w:rPr>
        <w:t xml:space="preserve">. Cardiff: Crown </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(2019a) Welsh Language Competency Framework for Education Practitioners. available at: </w:t>
      </w:r>
      <w:r>
        <w:rPr>
          <w:rStyle w:val="Hyperlink.0"/>
          <w:sz w:val="24"/>
          <w:szCs w:val="24"/>
        </w:rPr>
        <w:fldChar w:fldCharType="begin" w:fldLock="0"/>
      </w:r>
      <w:r>
        <w:rPr>
          <w:rStyle w:val="Hyperlink.0"/>
          <w:sz w:val="24"/>
          <w:szCs w:val="24"/>
        </w:rPr>
        <w:instrText xml:space="preserve"> HYPERLINK "https://gov.wales/sites/default/files/publications/2019-06/welsh-language-competency-framework-for-education-practitioners.pdf"</w:instrText>
      </w:r>
      <w:r>
        <w:rPr>
          <w:rStyle w:val="Hyperlink.0"/>
          <w:sz w:val="24"/>
          <w:szCs w:val="24"/>
        </w:rPr>
        <w:fldChar w:fldCharType="separate" w:fldLock="0"/>
      </w:r>
      <w:r>
        <w:rPr>
          <w:rStyle w:val="Hyperlink.0"/>
          <w:sz w:val="24"/>
          <w:szCs w:val="24"/>
          <w:rtl w:val="0"/>
          <w:lang w:val="en-US"/>
        </w:rPr>
        <w:t>https://gov.wales/sites/default/files/publications/2019-06/welsh-language-competency-framework-for-education-practitioners.pdf</w:t>
      </w:r>
      <w:r>
        <w:rPr>
          <w:sz w:val="24"/>
          <w:szCs w:val="24"/>
        </w:rPr>
        <w:fldChar w:fldCharType="end" w:fldLock="0"/>
      </w:r>
      <w:r>
        <w:rPr>
          <w:sz w:val="24"/>
          <w:szCs w:val="24"/>
          <w:rtl w:val="0"/>
          <w:lang w:val="en-US"/>
        </w:rPr>
        <w:t xml:space="preserve"> [Accessed 10/04/2020] </w:t>
      </w:r>
    </w:p>
    <w:p>
      <w:pPr>
        <w:pStyle w:val="Body"/>
        <w:spacing w:line="360" w:lineRule="auto"/>
        <w:rPr>
          <w:sz w:val="24"/>
          <w:szCs w:val="24"/>
        </w:rPr>
      </w:pPr>
    </w:p>
    <w:p>
      <w:pPr>
        <w:pStyle w:val="Body"/>
        <w:spacing w:line="360" w:lineRule="auto"/>
        <w:rPr>
          <w:sz w:val="24"/>
          <w:szCs w:val="24"/>
        </w:rPr>
      </w:pPr>
      <w:r>
        <w:rPr>
          <w:sz w:val="24"/>
          <w:szCs w:val="24"/>
          <w:rtl w:val="0"/>
          <w:lang w:val="en-US"/>
        </w:rPr>
        <w:t xml:space="preserve">Welsh Government (2019b) </w:t>
      </w:r>
      <w:r>
        <w:rPr>
          <w:sz w:val="24"/>
          <w:szCs w:val="24"/>
          <w:rtl w:val="0"/>
          <w:lang w:val="en-US"/>
        </w:rPr>
        <w:t>Siarter Iaith framework: Initial guidance for schools</w:t>
      </w:r>
      <w:r>
        <w:rPr>
          <w:sz w:val="24"/>
          <w:szCs w:val="24"/>
          <w:rtl w:val="0"/>
          <w:lang w:val="en-US"/>
        </w:rPr>
        <w:t>. Cardiff: Crown</w:t>
      </w: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p>
    <w:p>
      <w:pPr>
        <w:pStyle w:val="Body"/>
        <w:spacing w:line="360" w:lineRule="auto"/>
        <w:rPr>
          <w:sz w:val="24"/>
          <w:szCs w:val="24"/>
        </w:rPr>
      </w:pPr>
      <w:r>
        <w:drawing>
          <wp:anchor distT="152400" distB="152400" distL="152400" distR="152400" simplePos="0" relativeHeight="251661312" behindDoc="0" locked="0" layoutInCell="1" allowOverlap="1">
            <wp:simplePos x="0" y="0"/>
            <wp:positionH relativeFrom="page">
              <wp:posOffset>470777</wp:posOffset>
            </wp:positionH>
            <wp:positionV relativeFrom="page">
              <wp:posOffset>1325988</wp:posOffset>
            </wp:positionV>
            <wp:extent cx="6618503" cy="9366015"/>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lesson Plan FP ECAD6006-1-New.png"/>
                    <pic:cNvPicPr>
                      <a:picLocks noChangeAspect="1"/>
                    </pic:cNvPicPr>
                  </pic:nvPicPr>
                  <pic:blipFill>
                    <a:blip r:embed="rId5">
                      <a:extLst/>
                    </a:blip>
                    <a:stretch>
                      <a:fillRect/>
                    </a:stretch>
                  </pic:blipFill>
                  <pic:spPr>
                    <a:xfrm>
                      <a:off x="0" y="0"/>
                      <a:ext cx="6618503" cy="9366015"/>
                    </a:xfrm>
                    <a:prstGeom prst="rect">
                      <a:avLst/>
                    </a:prstGeom>
                    <a:ln w="12700" cap="flat">
                      <a:noFill/>
                      <a:miter lim="400000"/>
                    </a:ln>
                    <a:effectLst/>
                  </pic:spPr>
                </pic:pic>
              </a:graphicData>
            </a:graphic>
          </wp:anchor>
        </w:drawing>
      </w:r>
    </w:p>
    <w:p>
      <w:pPr>
        <w:pStyle w:val="Body"/>
        <w:spacing w:line="360" w:lineRule="auto"/>
        <w:rPr>
          <w:sz w:val="26"/>
          <w:szCs w:val="26"/>
        </w:rPr>
      </w:pPr>
      <w:r>
        <w:rPr>
          <w:sz w:val="26"/>
          <w:szCs w:val="26"/>
          <w:rtl w:val="0"/>
          <w:lang w:val="en-US"/>
        </w:rPr>
        <w:t>Lesson plans.</w:t>
      </w:r>
    </w:p>
    <w:p>
      <w:pPr>
        <w:pStyle w:val="Body"/>
        <w:spacing w:line="360" w:lineRule="auto"/>
        <w:rPr>
          <w:sz w:val="26"/>
          <w:szCs w:val="26"/>
        </w:rPr>
      </w:pPr>
      <w:r>
        <w:drawing>
          <wp:anchor distT="152400" distB="152400" distL="152400" distR="152400" simplePos="0" relativeHeight="251664384" behindDoc="0" locked="0" layoutInCell="1" allowOverlap="1">
            <wp:simplePos x="0" y="0"/>
            <wp:positionH relativeFrom="page">
              <wp:posOffset>466000</wp:posOffset>
            </wp:positionH>
            <wp:positionV relativeFrom="page">
              <wp:posOffset>720000</wp:posOffset>
            </wp:positionV>
            <wp:extent cx="6628056" cy="9379536"/>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png"/>
                    <pic:cNvPicPr>
                      <a:picLocks noChangeAspect="1"/>
                    </pic:cNvPicPr>
                  </pic:nvPicPr>
                  <pic:blipFill>
                    <a:blip r:embed="rId6">
                      <a:extLst/>
                    </a:blip>
                    <a:stretch>
                      <a:fillRect/>
                    </a:stretch>
                  </pic:blipFill>
                  <pic:spPr>
                    <a:xfrm>
                      <a:off x="0" y="0"/>
                      <a:ext cx="6628056" cy="9379536"/>
                    </a:xfrm>
                    <a:prstGeom prst="rect">
                      <a:avLst/>
                    </a:prstGeom>
                    <a:ln w="12700" cap="flat">
                      <a:noFill/>
                      <a:miter lim="400000"/>
                    </a:ln>
                    <a:effectLst/>
                  </pic:spPr>
                </pic:pic>
              </a:graphicData>
            </a:graphic>
          </wp:anchor>
        </w:drawing>
      </w:r>
      <w:r>
        <w:drawing>
          <wp:anchor distT="152400" distB="152400" distL="152400" distR="152400" simplePos="0" relativeHeight="251663360" behindDoc="0" locked="0" layoutInCell="1" allowOverlap="1">
            <wp:simplePos x="0" y="0"/>
            <wp:positionH relativeFrom="page">
              <wp:posOffset>374559</wp:posOffset>
            </wp:positionH>
            <wp:positionV relativeFrom="page">
              <wp:posOffset>598791</wp:posOffset>
            </wp:positionV>
            <wp:extent cx="6623588" cy="9373211"/>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png"/>
                    <pic:cNvPicPr>
                      <a:picLocks noChangeAspect="1"/>
                    </pic:cNvPicPr>
                  </pic:nvPicPr>
                  <pic:blipFill>
                    <a:blip r:embed="rId7">
                      <a:extLst/>
                    </a:blip>
                    <a:stretch>
                      <a:fillRect/>
                    </a:stretch>
                  </pic:blipFill>
                  <pic:spPr>
                    <a:xfrm>
                      <a:off x="0" y="0"/>
                      <a:ext cx="6623588" cy="9373211"/>
                    </a:xfrm>
                    <a:prstGeom prst="rect">
                      <a:avLst/>
                    </a:prstGeom>
                    <a:ln w="12700" cap="flat">
                      <a:noFill/>
                      <a:miter lim="400000"/>
                    </a:ln>
                    <a:effectLst/>
                  </pic:spPr>
                </pic:pic>
              </a:graphicData>
            </a:graphic>
          </wp:anchor>
        </w:drawing>
      </w:r>
      <w:r>
        <w:rPr>
          <w:sz w:val="26"/>
          <w:szCs w:val="26"/>
        </w:rPr>
        <w:drawing>
          <wp:anchor distT="152400" distB="152400" distL="152400" distR="152400" simplePos="0" relativeHeight="251665408" behindDoc="0" locked="0" layoutInCell="1" allowOverlap="1">
            <wp:simplePos x="0" y="0"/>
            <wp:positionH relativeFrom="margin">
              <wp:posOffset>-388853</wp:posOffset>
            </wp:positionH>
            <wp:positionV relativeFrom="line">
              <wp:posOffset>221437</wp:posOffset>
            </wp:positionV>
            <wp:extent cx="6009591" cy="8504329"/>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8">
                      <a:extLst/>
                    </a:blip>
                    <a:stretch>
                      <a:fillRect/>
                    </a:stretch>
                  </pic:blipFill>
                  <pic:spPr>
                    <a:xfrm>
                      <a:off x="0" y="0"/>
                      <a:ext cx="6009591" cy="8504329"/>
                    </a:xfrm>
                    <a:prstGeom prst="rect">
                      <a:avLst/>
                    </a:prstGeom>
                    <a:ln w="12700" cap="flat">
                      <a:noFill/>
                      <a:miter lim="400000"/>
                    </a:ln>
                    <a:effectLst/>
                  </pic:spPr>
                </pic:pic>
              </a:graphicData>
            </a:graphic>
          </wp:anchor>
        </w:drawing>
      </w: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r>
        <w:drawing>
          <wp:anchor distT="152400" distB="152400" distL="152400" distR="152400" simplePos="0" relativeHeight="251662336" behindDoc="0" locked="0" layoutInCell="1" allowOverlap="1">
            <wp:simplePos x="0" y="0"/>
            <wp:positionH relativeFrom="page">
              <wp:posOffset>521360</wp:posOffset>
            </wp:positionH>
            <wp:positionV relativeFrom="page">
              <wp:posOffset>734575</wp:posOffset>
            </wp:positionV>
            <wp:extent cx="6517337" cy="9222853"/>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png"/>
                    <pic:cNvPicPr>
                      <a:picLocks noChangeAspect="1"/>
                    </pic:cNvPicPr>
                  </pic:nvPicPr>
                  <pic:blipFill>
                    <a:blip r:embed="rId9">
                      <a:extLst/>
                    </a:blip>
                    <a:stretch>
                      <a:fillRect/>
                    </a:stretch>
                  </pic:blipFill>
                  <pic:spPr>
                    <a:xfrm>
                      <a:off x="0" y="0"/>
                      <a:ext cx="6517337" cy="9222853"/>
                    </a:xfrm>
                    <a:prstGeom prst="rect">
                      <a:avLst/>
                    </a:prstGeom>
                    <a:ln w="12700" cap="flat">
                      <a:noFill/>
                      <a:miter lim="400000"/>
                    </a:ln>
                    <a:effectLst/>
                  </pic:spPr>
                </pic:pic>
              </a:graphicData>
            </a:graphic>
          </wp:anchor>
        </w:drawing>
      </w: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rPr>
          <w:sz w:val="26"/>
          <w:szCs w:val="26"/>
        </w:rPr>
      </w:pPr>
    </w:p>
    <w:p>
      <w:pPr>
        <w:pStyle w:val="Body"/>
        <w:spacing w:line="360" w:lineRule="auto"/>
      </w:pPr>
      <w:r>
        <w:drawing>
          <wp:anchor distT="152400" distB="152400" distL="152400" distR="152400" simplePos="0" relativeHeight="251666432" behindDoc="0" locked="0" layoutInCell="1" allowOverlap="1">
            <wp:simplePos x="0" y="0"/>
            <wp:positionH relativeFrom="page">
              <wp:posOffset>0</wp:posOffset>
            </wp:positionH>
            <wp:positionV relativeFrom="page">
              <wp:posOffset>720000</wp:posOffset>
            </wp:positionV>
            <wp:extent cx="6972415" cy="9866846"/>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png"/>
                    <pic:cNvPicPr>
                      <a:picLocks noChangeAspect="1"/>
                    </pic:cNvPicPr>
                  </pic:nvPicPr>
                  <pic:blipFill>
                    <a:blip r:embed="rId10">
                      <a:extLst/>
                    </a:blip>
                    <a:stretch>
                      <a:fillRect/>
                    </a:stretch>
                  </pic:blipFill>
                  <pic:spPr>
                    <a:xfrm>
                      <a:off x="0" y="0"/>
                      <a:ext cx="6972415" cy="9866846"/>
                    </a:xfrm>
                    <a:prstGeom prst="rect">
                      <a:avLst/>
                    </a:prstGeom>
                    <a:ln w="12700" cap="flat">
                      <a:noFill/>
                      <a:miter lim="400000"/>
                    </a:ln>
                    <a:effectLst/>
                  </pic:spPr>
                </pic:pic>
              </a:graphicData>
            </a:graphic>
          </wp:anchor>
        </w:drawing>
      </w:r>
      <w:r>
        <w:rPr>
          <w:sz w:val="26"/>
          <w:szCs w:val="26"/>
        </w:rPr>
      </w:r>
    </w:p>
    <w:sectPr>
      <w:headerReference w:type="default" r:id="rId11"/>
      <w:footerReference w:type="default" r:id="rId12"/>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r>
      <w:tab/>
      <w:tab/>
    </w:r>
    <w:r>
      <w:rPr>
        <w:rtl w:val="0"/>
        <w:lang w:val="en-US"/>
      </w:rPr>
      <w:t>1702851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