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13CD9" w14:textId="77777777" w:rsidR="0005598B" w:rsidRDefault="0005598B" w:rsidP="0005598B">
      <w:pPr>
        <w:spacing w:line="480" w:lineRule="auto"/>
        <w:jc w:val="both"/>
        <w:rPr>
          <w:rFonts w:ascii="Times New Roman" w:hAnsi="Times New Roman" w:cs="Times New Roman"/>
          <w:sz w:val="24"/>
          <w:szCs w:val="24"/>
        </w:rPr>
      </w:pPr>
    </w:p>
    <w:p w14:paraId="682FEAEA" w14:textId="77777777" w:rsidR="0005598B" w:rsidRDefault="0005598B" w:rsidP="0005598B">
      <w:pPr>
        <w:spacing w:line="480" w:lineRule="auto"/>
        <w:jc w:val="both"/>
        <w:rPr>
          <w:rFonts w:ascii="Times New Roman" w:hAnsi="Times New Roman" w:cs="Times New Roman"/>
          <w:sz w:val="24"/>
          <w:szCs w:val="24"/>
        </w:rPr>
      </w:pPr>
    </w:p>
    <w:p w14:paraId="61C1E001" w14:textId="77777777" w:rsidR="008E1C54" w:rsidRDefault="008E1C54" w:rsidP="0005598B">
      <w:pPr>
        <w:spacing w:line="480" w:lineRule="auto"/>
        <w:jc w:val="center"/>
        <w:rPr>
          <w:rFonts w:ascii="Arial" w:hAnsi="Arial" w:cs="Arial"/>
          <w:b/>
          <w:bCs/>
          <w:sz w:val="36"/>
          <w:szCs w:val="36"/>
        </w:rPr>
      </w:pPr>
    </w:p>
    <w:p w14:paraId="637A1920" w14:textId="77777777" w:rsidR="008E1C54" w:rsidRDefault="008E1C54" w:rsidP="0005598B">
      <w:pPr>
        <w:spacing w:line="480" w:lineRule="auto"/>
        <w:jc w:val="center"/>
        <w:rPr>
          <w:rFonts w:ascii="Arial" w:hAnsi="Arial" w:cs="Arial"/>
          <w:b/>
          <w:bCs/>
          <w:sz w:val="36"/>
          <w:szCs w:val="36"/>
        </w:rPr>
      </w:pPr>
    </w:p>
    <w:p w14:paraId="7888942C" w14:textId="77777777" w:rsidR="008E1C54" w:rsidRDefault="008E1C54" w:rsidP="0005598B">
      <w:pPr>
        <w:spacing w:line="480" w:lineRule="auto"/>
        <w:jc w:val="center"/>
        <w:rPr>
          <w:rFonts w:ascii="Arial" w:hAnsi="Arial" w:cs="Arial"/>
          <w:b/>
          <w:bCs/>
          <w:sz w:val="36"/>
          <w:szCs w:val="36"/>
        </w:rPr>
      </w:pPr>
    </w:p>
    <w:p w14:paraId="3B45D196" w14:textId="4246E190" w:rsidR="008E1C54" w:rsidRDefault="008E1C54" w:rsidP="0005598B">
      <w:pPr>
        <w:spacing w:line="480" w:lineRule="auto"/>
        <w:jc w:val="center"/>
        <w:rPr>
          <w:rFonts w:ascii="Arial" w:hAnsi="Arial" w:cs="Arial"/>
          <w:b/>
          <w:bCs/>
          <w:sz w:val="36"/>
          <w:szCs w:val="36"/>
        </w:rPr>
      </w:pPr>
      <w:r>
        <w:rPr>
          <w:noProof/>
          <w:color w:val="000000"/>
        </w:rPr>
        <w:drawing>
          <wp:anchor distT="0" distB="0" distL="114300" distR="114300" simplePos="0" relativeHeight="251658240" behindDoc="0" locked="0" layoutInCell="1" allowOverlap="1" wp14:anchorId="34481965" wp14:editId="372EEEFF">
            <wp:simplePos x="0" y="0"/>
            <wp:positionH relativeFrom="column">
              <wp:posOffset>1584960</wp:posOffset>
            </wp:positionH>
            <wp:positionV relativeFrom="paragraph">
              <wp:posOffset>0</wp:posOffset>
            </wp:positionV>
            <wp:extent cx="2556510" cy="831215"/>
            <wp:effectExtent l="0" t="0" r="0" b="0"/>
            <wp:wrapTopAndBottom/>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extLst>
                        <a:ext uri="{28A0092B-C50C-407E-A947-70E740481C1C}">
                          <a14:useLocalDpi xmlns:a14="http://schemas.microsoft.com/office/drawing/2010/main" val="0"/>
                        </a:ext>
                      </a:extLst>
                    </a:blip>
                    <a:srcRect/>
                    <a:stretch>
                      <a:fillRect/>
                    </a:stretch>
                  </pic:blipFill>
                  <pic:spPr>
                    <a:xfrm>
                      <a:off x="0" y="0"/>
                      <a:ext cx="2556510" cy="831215"/>
                    </a:xfrm>
                    <a:prstGeom prst="rect">
                      <a:avLst/>
                    </a:prstGeom>
                    <a:ln/>
                  </pic:spPr>
                </pic:pic>
              </a:graphicData>
            </a:graphic>
          </wp:anchor>
        </w:drawing>
      </w:r>
    </w:p>
    <w:p w14:paraId="1E3FB4CE" w14:textId="77777777" w:rsidR="008E1C54" w:rsidRDefault="008E1C54" w:rsidP="008E1C54">
      <w:pPr>
        <w:spacing w:line="480" w:lineRule="auto"/>
        <w:rPr>
          <w:rFonts w:ascii="Arial" w:hAnsi="Arial" w:cs="Arial"/>
          <w:b/>
          <w:bCs/>
          <w:sz w:val="36"/>
          <w:szCs w:val="36"/>
        </w:rPr>
      </w:pPr>
    </w:p>
    <w:p w14:paraId="07641703" w14:textId="77777777" w:rsidR="008E1C54" w:rsidRDefault="008E1C54" w:rsidP="0005598B">
      <w:pPr>
        <w:spacing w:line="480" w:lineRule="auto"/>
        <w:jc w:val="center"/>
        <w:rPr>
          <w:rFonts w:ascii="Arial" w:hAnsi="Arial" w:cs="Arial"/>
          <w:b/>
          <w:bCs/>
          <w:sz w:val="36"/>
          <w:szCs w:val="36"/>
        </w:rPr>
      </w:pPr>
    </w:p>
    <w:p w14:paraId="77950E69" w14:textId="25D37F52" w:rsidR="00757485" w:rsidRPr="0005598B" w:rsidRDefault="00000000" w:rsidP="0005598B">
      <w:pPr>
        <w:spacing w:line="480" w:lineRule="auto"/>
        <w:jc w:val="center"/>
        <w:rPr>
          <w:rFonts w:ascii="Arial" w:hAnsi="Arial" w:cs="Arial"/>
          <w:b/>
          <w:bCs/>
          <w:sz w:val="36"/>
          <w:szCs w:val="36"/>
        </w:rPr>
      </w:pPr>
      <w:r w:rsidRPr="0005598B">
        <w:rPr>
          <w:rFonts w:ascii="Arial" w:hAnsi="Arial" w:cs="Arial"/>
          <w:b/>
          <w:bCs/>
          <w:sz w:val="36"/>
          <w:szCs w:val="36"/>
        </w:rPr>
        <w:t>COMMUNITY ENGAGEMENT</w:t>
      </w:r>
    </w:p>
    <w:p w14:paraId="2C56D592" w14:textId="5A4B2033" w:rsidR="00757485" w:rsidRPr="0005598B" w:rsidRDefault="0005598B" w:rsidP="0005598B">
      <w:pPr>
        <w:spacing w:line="480" w:lineRule="auto"/>
        <w:rPr>
          <w:rFonts w:ascii="Arial" w:eastAsia="Times New Roman" w:hAnsi="Arial" w:cs="Arial"/>
          <w:b/>
          <w:bCs/>
          <w:i/>
          <w:sz w:val="32"/>
          <w:szCs w:val="32"/>
        </w:rPr>
      </w:pPr>
      <w:r>
        <w:rPr>
          <w:rFonts w:ascii="Arial" w:hAnsi="Arial" w:cs="Arial"/>
          <w:b/>
          <w:bCs/>
          <w:sz w:val="32"/>
          <w:szCs w:val="32"/>
        </w:rPr>
        <w:t xml:space="preserve">                         </w:t>
      </w:r>
      <w:r w:rsidR="00000000" w:rsidRPr="0005598B">
        <w:rPr>
          <w:rFonts w:ascii="Arial" w:hAnsi="Arial" w:cs="Arial"/>
          <w:b/>
          <w:bCs/>
          <w:sz w:val="32"/>
          <w:szCs w:val="32"/>
        </w:rPr>
        <w:t xml:space="preserve">Sustainability </w:t>
      </w:r>
      <w:r w:rsidRPr="0005598B">
        <w:rPr>
          <w:rFonts w:ascii="Arial" w:hAnsi="Arial" w:cs="Arial"/>
          <w:b/>
          <w:bCs/>
          <w:sz w:val="32"/>
          <w:szCs w:val="32"/>
        </w:rPr>
        <w:t>initiatives</w:t>
      </w:r>
      <w:r w:rsidR="00000000" w:rsidRPr="0005598B">
        <w:rPr>
          <w:rFonts w:ascii="Arial" w:hAnsi="Arial" w:cs="Arial"/>
          <w:b/>
          <w:bCs/>
          <w:sz w:val="32"/>
          <w:szCs w:val="32"/>
        </w:rPr>
        <w:t xml:space="preserve"> </w:t>
      </w:r>
      <w:r w:rsidR="00000000" w:rsidRPr="0005598B">
        <w:rPr>
          <w:rFonts w:ascii="Arial" w:hAnsi="Arial" w:cs="Arial"/>
          <w:b/>
          <w:bCs/>
          <w:sz w:val="32"/>
          <w:szCs w:val="32"/>
        </w:rPr>
        <w:t>-</w:t>
      </w:r>
      <w:r w:rsidR="00000000" w:rsidRPr="0005598B">
        <w:rPr>
          <w:rFonts w:ascii="Arial" w:hAnsi="Arial" w:cs="Arial"/>
          <w:b/>
          <w:bCs/>
          <w:sz w:val="32"/>
          <w:szCs w:val="32"/>
        </w:rPr>
        <w:t xml:space="preserve"> </w:t>
      </w:r>
      <w:r w:rsidR="00000000" w:rsidRPr="0005598B">
        <w:rPr>
          <w:rFonts w:ascii="Arial" w:hAnsi="Arial" w:cs="Arial"/>
          <w:b/>
          <w:bCs/>
          <w:sz w:val="32"/>
          <w:szCs w:val="32"/>
        </w:rPr>
        <w:t>U</w:t>
      </w:r>
      <w:r w:rsidR="00000000" w:rsidRPr="0005598B">
        <w:rPr>
          <w:rFonts w:ascii="Arial" w:hAnsi="Arial" w:cs="Arial"/>
          <w:b/>
          <w:bCs/>
          <w:sz w:val="32"/>
          <w:szCs w:val="32"/>
        </w:rPr>
        <w:t>K</w:t>
      </w:r>
    </w:p>
    <w:p w14:paraId="1A4C0C72" w14:textId="77777777" w:rsidR="00757485" w:rsidRDefault="00757485">
      <w:pPr>
        <w:spacing w:line="480" w:lineRule="auto"/>
        <w:jc w:val="both"/>
        <w:rPr>
          <w:rFonts w:ascii="Times New Roman" w:eastAsia="Times New Roman" w:hAnsi="Times New Roman" w:cs="Times New Roman"/>
          <w:i/>
          <w:sz w:val="24"/>
          <w:szCs w:val="24"/>
        </w:rPr>
      </w:pPr>
    </w:p>
    <w:p w14:paraId="7B06224A" w14:textId="77777777" w:rsidR="008E1C54" w:rsidRPr="008E1C54" w:rsidRDefault="008E1C54" w:rsidP="008E1C54">
      <w:pPr>
        <w:jc w:val="center"/>
        <w:rPr>
          <w:rFonts w:ascii="Arial" w:hAnsi="Arial" w:cs="Arial"/>
          <w:b/>
          <w:bCs/>
          <w:sz w:val="28"/>
          <w:szCs w:val="28"/>
        </w:rPr>
      </w:pPr>
      <w:r>
        <w:rPr>
          <w:b/>
          <w:bCs/>
          <w:sz w:val="28"/>
          <w:szCs w:val="28"/>
        </w:rPr>
        <w:t xml:space="preserve">                    </w:t>
      </w:r>
      <w:r w:rsidRPr="008E1C54">
        <w:rPr>
          <w:rFonts w:ascii="Arial" w:hAnsi="Arial" w:cs="Arial"/>
          <w:b/>
          <w:bCs/>
          <w:sz w:val="28"/>
          <w:szCs w:val="28"/>
        </w:rPr>
        <w:t>Student ID: 2219837</w:t>
      </w:r>
    </w:p>
    <w:p w14:paraId="355E7296" w14:textId="77777777" w:rsidR="008E1C54" w:rsidRPr="008E1C54" w:rsidRDefault="008E1C54" w:rsidP="008E1C54">
      <w:pPr>
        <w:jc w:val="center"/>
        <w:rPr>
          <w:rFonts w:ascii="Arial" w:hAnsi="Arial" w:cs="Arial"/>
          <w:b/>
          <w:bCs/>
          <w:sz w:val="28"/>
          <w:szCs w:val="28"/>
        </w:rPr>
      </w:pPr>
      <w:r w:rsidRPr="008E1C54">
        <w:rPr>
          <w:rFonts w:ascii="Arial" w:hAnsi="Arial" w:cs="Arial"/>
          <w:b/>
          <w:bCs/>
          <w:sz w:val="28"/>
          <w:szCs w:val="28"/>
        </w:rPr>
        <w:t xml:space="preserve">             Student Name: Vasile Viorel Bozga</w:t>
      </w:r>
    </w:p>
    <w:p w14:paraId="08AEA4E2" w14:textId="77777777" w:rsidR="008E1C54" w:rsidRPr="008E1C54" w:rsidRDefault="008E1C54" w:rsidP="008E1C54">
      <w:pPr>
        <w:jc w:val="center"/>
        <w:rPr>
          <w:rFonts w:ascii="Arial" w:hAnsi="Arial" w:cs="Arial"/>
          <w:b/>
          <w:bCs/>
          <w:sz w:val="28"/>
          <w:szCs w:val="28"/>
        </w:rPr>
      </w:pPr>
      <w:r w:rsidRPr="008E1C54">
        <w:rPr>
          <w:rFonts w:ascii="Arial" w:hAnsi="Arial" w:cs="Arial"/>
          <w:b/>
          <w:bCs/>
          <w:sz w:val="28"/>
          <w:szCs w:val="28"/>
        </w:rPr>
        <w:t xml:space="preserve">               Cours Code: LCBB40032</w:t>
      </w:r>
    </w:p>
    <w:p w14:paraId="08A75AC9" w14:textId="387E0016" w:rsidR="00757485" w:rsidRPr="008E1C54" w:rsidRDefault="008E1C54" w:rsidP="008E1C54">
      <w:pPr>
        <w:jc w:val="center"/>
        <w:rPr>
          <w:rFonts w:ascii="Arial" w:hAnsi="Arial" w:cs="Arial"/>
          <w:b/>
          <w:bCs/>
          <w:sz w:val="28"/>
          <w:szCs w:val="28"/>
        </w:rPr>
      </w:pPr>
      <w:r w:rsidRPr="008E1C54">
        <w:rPr>
          <w:rFonts w:ascii="Arial" w:hAnsi="Arial" w:cs="Arial"/>
          <w:b/>
          <w:bCs/>
          <w:sz w:val="28"/>
          <w:szCs w:val="28"/>
        </w:rPr>
        <w:t xml:space="preserve">            </w:t>
      </w:r>
      <w:r w:rsidRPr="008E1C54">
        <w:rPr>
          <w:rFonts w:ascii="Arial" w:hAnsi="Arial" w:cs="Arial"/>
          <w:b/>
          <w:bCs/>
          <w:sz w:val="28"/>
          <w:szCs w:val="28"/>
        </w:rPr>
        <w:t>Lecture Name: Dr, Moly Jack</w:t>
      </w:r>
    </w:p>
    <w:p w14:paraId="17527450" w14:textId="77777777" w:rsidR="00757485" w:rsidRDefault="00757485">
      <w:pPr>
        <w:spacing w:line="480" w:lineRule="auto"/>
        <w:ind w:firstLine="720"/>
        <w:jc w:val="center"/>
        <w:rPr>
          <w:rFonts w:ascii="Times New Roman" w:eastAsia="Times New Roman" w:hAnsi="Times New Roman" w:cs="Times New Roman"/>
          <w:iCs/>
          <w:sz w:val="24"/>
          <w:szCs w:val="24"/>
        </w:rPr>
      </w:pPr>
    </w:p>
    <w:p w14:paraId="5144E9BE" w14:textId="77777777" w:rsidR="00757485" w:rsidRDefault="00757485">
      <w:pPr>
        <w:pStyle w:val="TOC1"/>
        <w:tabs>
          <w:tab w:val="right" w:leader="dot" w:pos="9026"/>
        </w:tabs>
        <w:spacing w:line="480" w:lineRule="auto"/>
        <w:jc w:val="center"/>
        <w:rPr>
          <w:rFonts w:ascii="Times New Roman" w:eastAsia="Times New Roman" w:hAnsi="Times New Roman" w:cs="Times New Roman"/>
          <w:iCs/>
          <w:sz w:val="24"/>
          <w:szCs w:val="24"/>
        </w:rPr>
      </w:pPr>
    </w:p>
    <w:p w14:paraId="6197E48F" w14:textId="77777777" w:rsidR="0005598B" w:rsidRDefault="0005598B">
      <w:pPr>
        <w:pStyle w:val="Heading1"/>
        <w:spacing w:line="480" w:lineRule="auto"/>
        <w:jc w:val="center"/>
        <w:rPr>
          <w:rFonts w:ascii="Times New Roman" w:hAnsi="Times New Roman" w:cs="Times New Roman"/>
          <w:sz w:val="24"/>
          <w:szCs w:val="24"/>
        </w:rPr>
      </w:pPr>
    </w:p>
    <w:p w14:paraId="76A2EA20" w14:textId="77777777" w:rsidR="008E1C54" w:rsidRPr="0005598B" w:rsidRDefault="008E1C54" w:rsidP="008E1C54">
      <w:pPr>
        <w:pStyle w:val="Heading1"/>
        <w:spacing w:line="240" w:lineRule="auto"/>
        <w:rPr>
          <w:rFonts w:ascii="Arial" w:hAnsi="Arial" w:cs="Arial"/>
          <w:sz w:val="24"/>
          <w:szCs w:val="24"/>
        </w:rPr>
      </w:pPr>
      <w:r w:rsidRPr="0005598B">
        <w:rPr>
          <w:rFonts w:ascii="Arial" w:hAnsi="Arial" w:cs="Arial"/>
          <w:sz w:val="24"/>
          <w:szCs w:val="24"/>
        </w:rPr>
        <w:t>Introduction</w:t>
      </w:r>
    </w:p>
    <w:p w14:paraId="468D64DB" w14:textId="6A009455" w:rsidR="008E1C54" w:rsidRDefault="008E1C54" w:rsidP="008E1C54">
      <w:pPr>
        <w:rPr>
          <w:rFonts w:ascii="Arial" w:hAnsi="Arial" w:cs="Arial"/>
          <w:sz w:val="24"/>
          <w:szCs w:val="24"/>
        </w:rPr>
      </w:pPr>
      <w:r w:rsidRPr="0005598B">
        <w:rPr>
          <w:rFonts w:ascii="Arial" w:hAnsi="Arial" w:cs="Arial"/>
          <w:sz w:val="24"/>
          <w:szCs w:val="24"/>
        </w:rPr>
        <w:t xml:space="preserve">Following the turmoil of the 2011 London riots, an extraordinary project, the Sustainable Communities </w:t>
      </w:r>
      <w:r w:rsidR="003236FD" w:rsidRPr="0005598B">
        <w:rPr>
          <w:rFonts w:ascii="Arial" w:hAnsi="Arial" w:cs="Arial"/>
          <w:sz w:val="24"/>
          <w:szCs w:val="24"/>
        </w:rPr>
        <w:t>programmed</w:t>
      </w:r>
      <w:r w:rsidRPr="0005598B">
        <w:rPr>
          <w:rFonts w:ascii="Arial" w:hAnsi="Arial" w:cs="Arial"/>
          <w:sz w:val="24"/>
          <w:szCs w:val="24"/>
        </w:rPr>
        <w:t xml:space="preserve">, developed as a reaction by reform initiatives. This </w:t>
      </w:r>
      <w:r w:rsidR="003236FD" w:rsidRPr="0005598B">
        <w:rPr>
          <w:rFonts w:ascii="Arial" w:hAnsi="Arial" w:cs="Arial"/>
          <w:sz w:val="24"/>
          <w:szCs w:val="24"/>
        </w:rPr>
        <w:t>programmed</w:t>
      </w:r>
      <w:r w:rsidRPr="0005598B">
        <w:rPr>
          <w:rFonts w:ascii="Arial" w:hAnsi="Arial" w:cs="Arial"/>
          <w:sz w:val="24"/>
          <w:szCs w:val="24"/>
        </w:rPr>
        <w:t xml:space="preserve"> attempted to address the deep-rooted concerns that communities</w:t>
      </w:r>
    </w:p>
    <w:p w14:paraId="24E169C1" w14:textId="77777777" w:rsidR="008E1C54" w:rsidRDefault="008E1C54" w:rsidP="0005598B">
      <w:pPr>
        <w:rPr>
          <w:rFonts w:ascii="Arial" w:hAnsi="Arial" w:cs="Arial"/>
          <w:sz w:val="24"/>
          <w:szCs w:val="24"/>
        </w:rPr>
      </w:pPr>
    </w:p>
    <w:p w14:paraId="45176ECA" w14:textId="55644003" w:rsidR="00757485" w:rsidRPr="0005598B" w:rsidRDefault="00000000" w:rsidP="0005598B">
      <w:pPr>
        <w:rPr>
          <w:rFonts w:ascii="Arial" w:hAnsi="Arial" w:cs="Arial"/>
          <w:sz w:val="24"/>
          <w:szCs w:val="24"/>
        </w:rPr>
      </w:pPr>
      <w:r w:rsidRPr="0005598B">
        <w:rPr>
          <w:rFonts w:ascii="Arial" w:hAnsi="Arial" w:cs="Arial"/>
          <w:sz w:val="24"/>
          <w:szCs w:val="24"/>
        </w:rPr>
        <w:t xml:space="preserve">confront, with the goal of uniting people in tackling critical social issues jointly (Sustainable communities, 2023). Since its beginning in 2012, the sustainable </w:t>
      </w:r>
      <w:r w:rsidR="003236FD" w:rsidRPr="0005598B">
        <w:rPr>
          <w:rFonts w:ascii="Arial" w:hAnsi="Arial" w:cs="Arial"/>
          <w:sz w:val="24"/>
          <w:szCs w:val="24"/>
        </w:rPr>
        <w:t>community’s</w:t>
      </w:r>
      <w:r w:rsidRPr="0005598B">
        <w:rPr>
          <w:rFonts w:ascii="Arial" w:hAnsi="Arial" w:cs="Arial"/>
          <w:sz w:val="24"/>
          <w:szCs w:val="24"/>
        </w:rPr>
        <w:t xml:space="preserve"> initiative has grown into a significant undertaking involving a varied range of individuals and </w:t>
      </w:r>
      <w:r w:rsidR="003236FD" w:rsidRPr="0005598B">
        <w:rPr>
          <w:rFonts w:ascii="Arial" w:hAnsi="Arial" w:cs="Arial"/>
          <w:sz w:val="24"/>
          <w:szCs w:val="24"/>
        </w:rPr>
        <w:t>organizations</w:t>
      </w:r>
      <w:r w:rsidRPr="0005598B">
        <w:rPr>
          <w:rFonts w:ascii="Arial" w:hAnsi="Arial" w:cs="Arial"/>
          <w:sz w:val="24"/>
          <w:szCs w:val="24"/>
        </w:rPr>
        <w:t>. Its focus is broad, encompassing concerns such as migration, promoting cross-generational interactions, developing trust between local government and the community, and other essential factors of community life.</w:t>
      </w:r>
    </w:p>
    <w:p w14:paraId="2F020749" w14:textId="77777777" w:rsidR="00757485" w:rsidRPr="0005598B" w:rsidRDefault="00757485" w:rsidP="0005598B">
      <w:pPr>
        <w:rPr>
          <w:rFonts w:ascii="Arial" w:hAnsi="Arial" w:cs="Arial"/>
          <w:sz w:val="24"/>
          <w:szCs w:val="24"/>
        </w:rPr>
      </w:pPr>
    </w:p>
    <w:p w14:paraId="7BDE556E" w14:textId="56715BDD" w:rsidR="00757485" w:rsidRPr="0005598B" w:rsidRDefault="00000000" w:rsidP="0005598B">
      <w:pPr>
        <w:rPr>
          <w:rFonts w:ascii="Arial" w:hAnsi="Arial" w:cs="Arial"/>
          <w:sz w:val="24"/>
          <w:szCs w:val="24"/>
        </w:rPr>
      </w:pPr>
      <w:r w:rsidRPr="0005598B">
        <w:rPr>
          <w:rFonts w:ascii="Arial" w:hAnsi="Arial" w:cs="Arial"/>
          <w:sz w:val="24"/>
          <w:szCs w:val="24"/>
        </w:rPr>
        <w:t>T</w:t>
      </w:r>
      <w:r w:rsidRPr="0005598B">
        <w:rPr>
          <w:rFonts w:ascii="Arial" w:hAnsi="Arial" w:cs="Arial"/>
          <w:sz w:val="24"/>
          <w:szCs w:val="24"/>
        </w:rPr>
        <w:t xml:space="preserve">his effort acts as a meeting place for a wide set of people, including regular residents, leaders from various groups, officials, and others. The </w:t>
      </w:r>
      <w:r w:rsidR="003236FD" w:rsidRPr="0005598B">
        <w:rPr>
          <w:rFonts w:ascii="Arial" w:hAnsi="Arial" w:cs="Arial"/>
          <w:sz w:val="24"/>
          <w:szCs w:val="24"/>
        </w:rPr>
        <w:t>programmed</w:t>
      </w:r>
      <w:r w:rsidRPr="0005598B">
        <w:rPr>
          <w:rFonts w:ascii="Arial" w:hAnsi="Arial" w:cs="Arial"/>
          <w:sz w:val="24"/>
          <w:szCs w:val="24"/>
        </w:rPr>
        <w:t xml:space="preserve"> emphasizes the need of retaining commitment and cultivating strong connections in order to sustain these improvements (Thameem, 2023). Furthermore, it creates safe venues for varied groups to engage in difficult topics and seeks to bridge gaps across divided communities. The emphasis is on comprehending its operating processes, assessing its influence on communities, and investigating how it fosters ethical leadership, sustainable living habits, and community trust. The goal of this investigation is to unc</w:t>
      </w:r>
      <w:r w:rsidRPr="0005598B">
        <w:rPr>
          <w:rFonts w:ascii="Arial" w:hAnsi="Arial" w:cs="Arial"/>
          <w:sz w:val="24"/>
          <w:szCs w:val="24"/>
        </w:rPr>
        <w:t xml:space="preserve">over the transformational power of community cooperation, </w:t>
      </w:r>
      <w:proofErr w:type="spellStart"/>
      <w:r w:rsidRPr="0005598B">
        <w:rPr>
          <w:rFonts w:ascii="Arial" w:hAnsi="Arial" w:cs="Arial"/>
          <w:sz w:val="24"/>
          <w:szCs w:val="24"/>
        </w:rPr>
        <w:t>emphasising</w:t>
      </w:r>
      <w:proofErr w:type="spellEnd"/>
      <w:r w:rsidRPr="0005598B">
        <w:rPr>
          <w:rFonts w:ascii="Arial" w:hAnsi="Arial" w:cs="Arial"/>
          <w:sz w:val="24"/>
          <w:szCs w:val="24"/>
        </w:rPr>
        <w:t xml:space="preserve"> how collaborative efforts may result in long-term and significant change (</w:t>
      </w:r>
      <w:proofErr w:type="spellStart"/>
      <w:r w:rsidRPr="0005598B">
        <w:rPr>
          <w:rFonts w:ascii="Arial" w:hAnsi="Arial" w:cs="Arial"/>
          <w:sz w:val="24"/>
          <w:szCs w:val="24"/>
        </w:rPr>
        <w:t>Desbrow</w:t>
      </w:r>
      <w:proofErr w:type="spellEnd"/>
      <w:r w:rsidRPr="0005598B">
        <w:rPr>
          <w:rFonts w:ascii="Arial" w:hAnsi="Arial" w:cs="Arial"/>
          <w:sz w:val="24"/>
          <w:szCs w:val="24"/>
        </w:rPr>
        <w:t>, 2016).</w:t>
      </w:r>
    </w:p>
    <w:p w14:paraId="1B805BF8" w14:textId="697BF28D" w:rsidR="00757485" w:rsidRPr="0005598B" w:rsidRDefault="00000000" w:rsidP="0005598B">
      <w:pPr>
        <w:rPr>
          <w:rFonts w:ascii="Arial" w:hAnsi="Arial" w:cs="Arial"/>
          <w:sz w:val="24"/>
          <w:szCs w:val="24"/>
        </w:rPr>
      </w:pPr>
      <w:r w:rsidRPr="0005598B">
        <w:rPr>
          <w:rFonts w:ascii="Arial" w:hAnsi="Arial" w:cs="Arial"/>
          <w:sz w:val="24"/>
          <w:szCs w:val="24"/>
        </w:rPr>
        <w:t xml:space="preserve">The evaluation will look at its operational structure, the breadth of its influence on local and global communities, and its ability to develop ethical leadership, sustainable living habits, and trust-building efforts (2022). The goal is to discover how this </w:t>
      </w:r>
      <w:r w:rsidR="003236FD" w:rsidRPr="0005598B">
        <w:rPr>
          <w:rFonts w:ascii="Arial" w:hAnsi="Arial" w:cs="Arial"/>
          <w:sz w:val="24"/>
          <w:szCs w:val="24"/>
        </w:rPr>
        <w:t>program</w:t>
      </w:r>
      <w:r w:rsidRPr="0005598B">
        <w:rPr>
          <w:rFonts w:ascii="Arial" w:hAnsi="Arial" w:cs="Arial"/>
          <w:sz w:val="24"/>
          <w:szCs w:val="24"/>
        </w:rPr>
        <w:t xml:space="preserve"> has caused waves of change, </w:t>
      </w:r>
      <w:r w:rsidR="003236FD" w:rsidRPr="0005598B">
        <w:rPr>
          <w:rFonts w:ascii="Arial" w:hAnsi="Arial" w:cs="Arial"/>
          <w:sz w:val="24"/>
          <w:szCs w:val="24"/>
        </w:rPr>
        <w:t>bridged</w:t>
      </w:r>
      <w:r w:rsidRPr="0005598B">
        <w:rPr>
          <w:rFonts w:ascii="Arial" w:hAnsi="Arial" w:cs="Arial"/>
          <w:sz w:val="24"/>
          <w:szCs w:val="24"/>
        </w:rPr>
        <w:t xml:space="preserve"> groups and </w:t>
      </w:r>
      <w:r w:rsidR="003236FD" w:rsidRPr="0005598B">
        <w:rPr>
          <w:rFonts w:ascii="Arial" w:hAnsi="Arial" w:cs="Arial"/>
          <w:sz w:val="24"/>
          <w:szCs w:val="24"/>
        </w:rPr>
        <w:t>highlighted</w:t>
      </w:r>
      <w:r w:rsidRPr="0005598B">
        <w:rPr>
          <w:rFonts w:ascii="Arial" w:hAnsi="Arial" w:cs="Arial"/>
          <w:sz w:val="24"/>
          <w:szCs w:val="24"/>
        </w:rPr>
        <w:t xml:space="preserve"> routes towards a more cohesive and fair society. This study seeks to tell the tale of communal resilience, collaborative action, and the long-term influence of community-led </w:t>
      </w:r>
      <w:r w:rsidR="003236FD" w:rsidRPr="0005598B">
        <w:rPr>
          <w:rFonts w:ascii="Arial" w:hAnsi="Arial" w:cs="Arial"/>
          <w:sz w:val="24"/>
          <w:szCs w:val="24"/>
        </w:rPr>
        <w:t>endeavors</w:t>
      </w:r>
      <w:r w:rsidRPr="0005598B">
        <w:rPr>
          <w:rFonts w:ascii="Arial" w:hAnsi="Arial" w:cs="Arial"/>
          <w:sz w:val="24"/>
          <w:szCs w:val="24"/>
        </w:rPr>
        <w:t xml:space="preserve"> on societal development by diving into the heart of this </w:t>
      </w:r>
      <w:r w:rsidR="003236FD" w:rsidRPr="0005598B">
        <w:rPr>
          <w:rFonts w:ascii="Arial" w:hAnsi="Arial" w:cs="Arial"/>
          <w:sz w:val="24"/>
          <w:szCs w:val="24"/>
        </w:rPr>
        <w:t>program</w:t>
      </w:r>
      <w:r w:rsidRPr="0005598B">
        <w:rPr>
          <w:rFonts w:ascii="Arial" w:hAnsi="Arial" w:cs="Arial"/>
          <w:sz w:val="24"/>
          <w:szCs w:val="24"/>
        </w:rPr>
        <w:t>.</w:t>
      </w:r>
    </w:p>
    <w:p w14:paraId="2654E813" w14:textId="77777777" w:rsidR="00757485" w:rsidRPr="0005598B" w:rsidRDefault="00000000" w:rsidP="0005598B">
      <w:pPr>
        <w:pStyle w:val="Heading2"/>
        <w:spacing w:line="240" w:lineRule="auto"/>
        <w:rPr>
          <w:rFonts w:ascii="Arial" w:hAnsi="Arial" w:cs="Arial"/>
          <w:sz w:val="24"/>
          <w:szCs w:val="24"/>
        </w:rPr>
      </w:pPr>
      <w:r w:rsidRPr="0005598B">
        <w:rPr>
          <w:rFonts w:ascii="Arial" w:hAnsi="Arial" w:cs="Arial"/>
          <w:sz w:val="24"/>
          <w:szCs w:val="24"/>
        </w:rPr>
        <w:t>Objectives</w:t>
      </w:r>
    </w:p>
    <w:p w14:paraId="2257F679" w14:textId="3B4F7AD6" w:rsidR="00757485" w:rsidRPr="0005598B" w:rsidRDefault="00000000" w:rsidP="0005598B">
      <w:pPr>
        <w:rPr>
          <w:rFonts w:ascii="Arial" w:hAnsi="Arial" w:cs="Arial"/>
          <w:sz w:val="24"/>
          <w:szCs w:val="24"/>
        </w:rPr>
      </w:pPr>
      <w:r w:rsidRPr="0005598B">
        <w:rPr>
          <w:rFonts w:ascii="Arial" w:hAnsi="Arial" w:cs="Arial"/>
          <w:sz w:val="24"/>
          <w:szCs w:val="24"/>
        </w:rPr>
        <w:t xml:space="preserve">The sustainable </w:t>
      </w:r>
      <w:r w:rsidR="003236FD" w:rsidRPr="0005598B">
        <w:rPr>
          <w:rFonts w:ascii="Arial" w:hAnsi="Arial" w:cs="Arial"/>
          <w:sz w:val="24"/>
          <w:szCs w:val="24"/>
        </w:rPr>
        <w:t>community’s</w:t>
      </w:r>
      <w:r w:rsidRPr="0005598B">
        <w:rPr>
          <w:rFonts w:ascii="Arial" w:hAnsi="Arial" w:cs="Arial"/>
          <w:sz w:val="24"/>
          <w:szCs w:val="24"/>
        </w:rPr>
        <w:t xml:space="preserve"> initiative was created in response to the societal upheaval caused by the 2011 London riots. It was created as a transformation project to address the moral, spiritual, and societal difficulties that communities face. The program's goal was to </w:t>
      </w:r>
      <w:r w:rsidR="003236FD" w:rsidRPr="0005598B">
        <w:rPr>
          <w:rFonts w:ascii="Arial" w:hAnsi="Arial" w:cs="Arial"/>
          <w:sz w:val="24"/>
          <w:szCs w:val="24"/>
        </w:rPr>
        <w:t>mobiliser</w:t>
      </w:r>
      <w:r w:rsidRPr="0005598B">
        <w:rPr>
          <w:rFonts w:ascii="Arial" w:hAnsi="Arial" w:cs="Arial"/>
          <w:sz w:val="24"/>
          <w:szCs w:val="24"/>
        </w:rPr>
        <w:t xml:space="preserve"> and empower communities to work together to address important concerns. The program's fundamental focus is on a range of key community challenges. Migration challenges, fostering intergenerational dialogue, mitigating police and gang-related crimes, facilitating trust-building between grassroots and local government, promoting interfaith dialogue, empowering women leaders, providing economic training, and addressing health and wellbeing issues are among them (2010).</w:t>
      </w:r>
    </w:p>
    <w:p w14:paraId="5F247D7F" w14:textId="77777777" w:rsidR="008B1949" w:rsidRDefault="008B1949" w:rsidP="0005598B">
      <w:pPr>
        <w:rPr>
          <w:rFonts w:ascii="Arial" w:hAnsi="Arial" w:cs="Arial"/>
          <w:b/>
          <w:bCs/>
          <w:sz w:val="24"/>
          <w:szCs w:val="24"/>
        </w:rPr>
      </w:pPr>
    </w:p>
    <w:p w14:paraId="23974412" w14:textId="4D660D99" w:rsidR="00757485" w:rsidRPr="0005598B" w:rsidRDefault="00000000" w:rsidP="0005598B">
      <w:pPr>
        <w:rPr>
          <w:rFonts w:ascii="Arial" w:hAnsi="Arial" w:cs="Arial"/>
          <w:sz w:val="24"/>
          <w:szCs w:val="24"/>
        </w:rPr>
      </w:pPr>
      <w:r w:rsidRPr="0005598B">
        <w:rPr>
          <w:rFonts w:ascii="Arial" w:hAnsi="Arial" w:cs="Arial"/>
          <w:b/>
          <w:bCs/>
          <w:sz w:val="24"/>
          <w:szCs w:val="24"/>
        </w:rPr>
        <w:lastRenderedPageBreak/>
        <w:t>Defined objectives</w:t>
      </w:r>
    </w:p>
    <w:p w14:paraId="7D1B1E48" w14:textId="77777777" w:rsidR="00757485" w:rsidRPr="0005598B" w:rsidRDefault="00000000" w:rsidP="0005598B">
      <w:pPr>
        <w:rPr>
          <w:rFonts w:ascii="Arial" w:hAnsi="Arial" w:cs="Arial"/>
          <w:sz w:val="24"/>
          <w:szCs w:val="24"/>
        </w:rPr>
      </w:pPr>
      <w:r w:rsidRPr="0005598B">
        <w:rPr>
          <w:rFonts w:ascii="Arial" w:hAnsi="Arial" w:cs="Arial"/>
          <w:sz w:val="24"/>
          <w:szCs w:val="24"/>
        </w:rPr>
        <w:t>The sustainable communities project operates on the strategic pillars of ethical leadership, sustainable living, and trust building, all of which are critical to the spread of initiatives of change. Its fundamental goals are threefold:</w:t>
      </w:r>
    </w:p>
    <w:p w14:paraId="1465B5C2" w14:textId="77777777" w:rsidR="00757485" w:rsidRPr="0005598B" w:rsidRDefault="00000000" w:rsidP="0005598B">
      <w:pPr>
        <w:numPr>
          <w:ilvl w:val="0"/>
          <w:numId w:val="1"/>
        </w:numPr>
        <w:rPr>
          <w:rFonts w:ascii="Arial" w:hAnsi="Arial" w:cs="Arial"/>
          <w:sz w:val="24"/>
          <w:szCs w:val="24"/>
        </w:rPr>
      </w:pPr>
      <w:r w:rsidRPr="0005598B">
        <w:rPr>
          <w:rFonts w:ascii="Arial" w:hAnsi="Arial" w:cs="Arial"/>
          <w:sz w:val="24"/>
          <w:szCs w:val="24"/>
        </w:rPr>
        <w:t>Inspiring local communities to take decisive action and cultivating a clear vision for their future growth.</w:t>
      </w:r>
    </w:p>
    <w:p w14:paraId="1CFA81DC" w14:textId="77777777" w:rsidR="00757485" w:rsidRPr="0005598B" w:rsidRDefault="00000000" w:rsidP="0005598B">
      <w:pPr>
        <w:numPr>
          <w:ilvl w:val="0"/>
          <w:numId w:val="1"/>
        </w:numPr>
        <w:rPr>
          <w:rFonts w:ascii="Arial" w:hAnsi="Arial" w:cs="Arial"/>
          <w:sz w:val="24"/>
          <w:szCs w:val="24"/>
        </w:rPr>
      </w:pPr>
      <w:r w:rsidRPr="0005598B">
        <w:rPr>
          <w:rFonts w:ascii="Arial" w:hAnsi="Arial" w:cs="Arial"/>
          <w:sz w:val="24"/>
          <w:szCs w:val="24"/>
        </w:rPr>
        <w:t>By tackling core difficulties and building resilient solutions, we want to promote the durability and sustainability of communal life.</w:t>
      </w:r>
    </w:p>
    <w:p w14:paraId="5154991B" w14:textId="77777777" w:rsidR="00757485" w:rsidRPr="0005598B" w:rsidRDefault="00000000" w:rsidP="0005598B">
      <w:pPr>
        <w:numPr>
          <w:ilvl w:val="0"/>
          <w:numId w:val="1"/>
        </w:numPr>
        <w:rPr>
          <w:rFonts w:ascii="Arial" w:hAnsi="Arial" w:cs="Arial"/>
          <w:sz w:val="24"/>
          <w:szCs w:val="24"/>
        </w:rPr>
      </w:pPr>
      <w:r w:rsidRPr="0005598B">
        <w:rPr>
          <w:rFonts w:ascii="Arial" w:hAnsi="Arial" w:cs="Arial"/>
          <w:sz w:val="24"/>
          <w:szCs w:val="24"/>
        </w:rPr>
        <w:t>Advocating for policy changes that are based on community needs rather than fear, resulting in more inclusive and fair policies.</w:t>
      </w:r>
    </w:p>
    <w:p w14:paraId="358285E3" w14:textId="77777777" w:rsidR="00757485" w:rsidRPr="0005598B" w:rsidRDefault="00757485" w:rsidP="0005598B">
      <w:pPr>
        <w:rPr>
          <w:rFonts w:ascii="Arial" w:hAnsi="Arial" w:cs="Arial"/>
          <w:sz w:val="24"/>
          <w:szCs w:val="24"/>
        </w:rPr>
      </w:pPr>
    </w:p>
    <w:p w14:paraId="6B573093" w14:textId="77777777" w:rsidR="00757485" w:rsidRPr="0005598B" w:rsidRDefault="00000000" w:rsidP="0005598B">
      <w:pPr>
        <w:rPr>
          <w:rFonts w:ascii="Arial" w:hAnsi="Arial" w:cs="Arial"/>
          <w:b/>
          <w:bCs/>
          <w:sz w:val="24"/>
          <w:szCs w:val="24"/>
        </w:rPr>
      </w:pPr>
      <w:r w:rsidRPr="0005598B">
        <w:rPr>
          <w:rFonts w:ascii="Arial" w:hAnsi="Arial" w:cs="Arial"/>
          <w:b/>
          <w:bCs/>
          <w:sz w:val="24"/>
          <w:szCs w:val="24"/>
        </w:rPr>
        <w:t xml:space="preserve">Identified </w:t>
      </w:r>
      <w:r w:rsidRPr="0005598B">
        <w:rPr>
          <w:rFonts w:ascii="Arial" w:hAnsi="Arial" w:cs="Arial"/>
          <w:b/>
          <w:bCs/>
          <w:sz w:val="24"/>
          <w:szCs w:val="24"/>
        </w:rPr>
        <w:t>stakeholders</w:t>
      </w:r>
    </w:p>
    <w:p w14:paraId="0AEF72D0" w14:textId="77777777" w:rsidR="00757485" w:rsidRPr="0005598B" w:rsidRDefault="00757485" w:rsidP="0005598B">
      <w:pPr>
        <w:rPr>
          <w:rFonts w:ascii="Arial" w:hAnsi="Arial" w:cs="Arial"/>
          <w:sz w:val="24"/>
          <w:szCs w:val="24"/>
        </w:rPr>
      </w:pPr>
    </w:p>
    <w:p w14:paraId="1F144F56" w14:textId="745AECDA" w:rsidR="00757485" w:rsidRPr="0005598B" w:rsidRDefault="00000000" w:rsidP="0005598B">
      <w:pPr>
        <w:rPr>
          <w:rFonts w:ascii="Arial" w:hAnsi="Arial" w:cs="Arial"/>
          <w:sz w:val="24"/>
          <w:szCs w:val="24"/>
        </w:rPr>
      </w:pPr>
      <w:r w:rsidRPr="0005598B">
        <w:rPr>
          <w:rFonts w:ascii="Arial" w:hAnsi="Arial" w:cs="Arial"/>
          <w:sz w:val="24"/>
          <w:szCs w:val="24"/>
        </w:rPr>
        <w:t xml:space="preserve">The effort involves a wide range of stakeholders. This all-inclusive strategy includes grassroots representatives, religious leaders, local politicians, ordinary citizens, students, researchers, law enforcement personnel, decision-makers, and civil society </w:t>
      </w:r>
      <w:r w:rsidR="003236FD" w:rsidRPr="0005598B">
        <w:rPr>
          <w:rFonts w:ascii="Arial" w:hAnsi="Arial" w:cs="Arial"/>
          <w:sz w:val="24"/>
          <w:szCs w:val="24"/>
        </w:rPr>
        <w:t>organizations</w:t>
      </w:r>
      <w:r w:rsidRPr="0005598B">
        <w:rPr>
          <w:rFonts w:ascii="Arial" w:hAnsi="Arial" w:cs="Arial"/>
          <w:sz w:val="24"/>
          <w:szCs w:val="24"/>
        </w:rPr>
        <w:t xml:space="preserve">. The involvement of these many stakeholders enhances the </w:t>
      </w:r>
      <w:r w:rsidR="003236FD" w:rsidRPr="0005598B">
        <w:rPr>
          <w:rFonts w:ascii="Arial" w:hAnsi="Arial" w:cs="Arial"/>
          <w:sz w:val="24"/>
          <w:szCs w:val="24"/>
        </w:rPr>
        <w:t>programmed</w:t>
      </w:r>
      <w:r w:rsidRPr="0005598B">
        <w:rPr>
          <w:rFonts w:ascii="Arial" w:hAnsi="Arial" w:cs="Arial"/>
          <w:sz w:val="24"/>
          <w:szCs w:val="24"/>
        </w:rPr>
        <w:t xml:space="preserve"> with diverse viewpoints and experience.</w:t>
      </w:r>
    </w:p>
    <w:p w14:paraId="69344B70" w14:textId="77777777" w:rsidR="00757485" w:rsidRPr="0005598B" w:rsidRDefault="00000000" w:rsidP="0005598B">
      <w:pPr>
        <w:rPr>
          <w:rFonts w:ascii="Arial" w:hAnsi="Arial" w:cs="Arial"/>
          <w:sz w:val="24"/>
          <w:szCs w:val="24"/>
        </w:rPr>
      </w:pPr>
      <w:r w:rsidRPr="0005598B">
        <w:rPr>
          <w:rFonts w:ascii="Arial" w:hAnsi="Arial" w:cs="Arial"/>
          <w:b/>
          <w:bCs/>
          <w:sz w:val="24"/>
          <w:szCs w:val="24"/>
        </w:rPr>
        <w:t>Advantages</w:t>
      </w:r>
    </w:p>
    <w:p w14:paraId="163F068B" w14:textId="11935418" w:rsidR="00757485" w:rsidRPr="0005598B" w:rsidRDefault="00000000" w:rsidP="0005598B">
      <w:pPr>
        <w:rPr>
          <w:rFonts w:ascii="Arial" w:hAnsi="Arial" w:cs="Arial"/>
          <w:sz w:val="24"/>
          <w:szCs w:val="24"/>
        </w:rPr>
      </w:pPr>
      <w:r w:rsidRPr="0005598B">
        <w:rPr>
          <w:rFonts w:ascii="Arial" w:hAnsi="Arial" w:cs="Arial"/>
          <w:sz w:val="24"/>
          <w:szCs w:val="24"/>
        </w:rPr>
        <w:t xml:space="preserve">The benefits of the sustainable </w:t>
      </w:r>
      <w:r w:rsidR="003236FD" w:rsidRPr="0005598B">
        <w:rPr>
          <w:rFonts w:ascii="Arial" w:hAnsi="Arial" w:cs="Arial"/>
          <w:sz w:val="24"/>
          <w:szCs w:val="24"/>
        </w:rPr>
        <w:t>community’s</w:t>
      </w:r>
      <w:r w:rsidRPr="0005598B">
        <w:rPr>
          <w:rFonts w:ascii="Arial" w:hAnsi="Arial" w:cs="Arial"/>
          <w:sz w:val="24"/>
          <w:szCs w:val="24"/>
        </w:rPr>
        <w:t xml:space="preserve"> initiative are multifaceted. It seeks to promote personal growth by supporting life decisions based on ethical ideals (2012). It seeks to secure the long-term viability of these improvements by encouraging commitment and cultivating connections that lead to personal, community, and social reforms. Furthermore, the </w:t>
      </w:r>
      <w:r w:rsidR="003236FD" w:rsidRPr="0005598B">
        <w:rPr>
          <w:rFonts w:ascii="Arial" w:hAnsi="Arial" w:cs="Arial"/>
          <w:sz w:val="24"/>
          <w:szCs w:val="24"/>
        </w:rPr>
        <w:t>programmed</w:t>
      </w:r>
      <w:r w:rsidRPr="0005598B">
        <w:rPr>
          <w:rFonts w:ascii="Arial" w:hAnsi="Arial" w:cs="Arial"/>
          <w:sz w:val="24"/>
          <w:szCs w:val="24"/>
        </w:rPr>
        <w:t xml:space="preserve"> aims to provide safe spaces for discourse, bridge differences across communities, and increase trust between them. Finally, it tries to connect </w:t>
      </w:r>
      <w:r w:rsidR="003236FD" w:rsidRPr="0005598B">
        <w:rPr>
          <w:rFonts w:ascii="Arial" w:hAnsi="Arial" w:cs="Arial"/>
          <w:sz w:val="24"/>
          <w:szCs w:val="24"/>
        </w:rPr>
        <w:t>organizations</w:t>
      </w:r>
      <w:r w:rsidRPr="0005598B">
        <w:rPr>
          <w:rFonts w:ascii="Arial" w:hAnsi="Arial" w:cs="Arial"/>
          <w:sz w:val="24"/>
          <w:szCs w:val="24"/>
        </w:rPr>
        <w:t xml:space="preserve"> and individuals with similar social and political goals, using both bottom-up and top-down techniques to affect good change within communities.</w:t>
      </w:r>
    </w:p>
    <w:p w14:paraId="0AEAC9D5" w14:textId="77777777" w:rsidR="00757485" w:rsidRPr="0005598B" w:rsidRDefault="00000000" w:rsidP="0005598B">
      <w:pPr>
        <w:pStyle w:val="Heading2"/>
        <w:spacing w:line="240" w:lineRule="auto"/>
        <w:rPr>
          <w:rFonts w:ascii="Arial" w:hAnsi="Arial" w:cs="Arial"/>
          <w:sz w:val="24"/>
          <w:szCs w:val="24"/>
        </w:rPr>
      </w:pPr>
      <w:r w:rsidRPr="0005598B">
        <w:rPr>
          <w:rFonts w:ascii="Arial" w:hAnsi="Arial" w:cs="Arial"/>
          <w:sz w:val="24"/>
          <w:szCs w:val="24"/>
        </w:rPr>
        <w:t>Community engagement process</w:t>
      </w:r>
    </w:p>
    <w:p w14:paraId="6C4DA0DB" w14:textId="1C7117E0" w:rsidR="00757485" w:rsidRPr="0005598B" w:rsidRDefault="00000000" w:rsidP="0005598B">
      <w:pPr>
        <w:rPr>
          <w:rFonts w:ascii="Arial" w:hAnsi="Arial" w:cs="Arial"/>
          <w:sz w:val="24"/>
          <w:szCs w:val="24"/>
        </w:rPr>
      </w:pPr>
      <w:r w:rsidRPr="0005598B">
        <w:rPr>
          <w:rFonts w:ascii="Arial" w:hAnsi="Arial" w:cs="Arial"/>
          <w:sz w:val="24"/>
          <w:szCs w:val="24"/>
        </w:rPr>
        <w:t xml:space="preserve">To involve stakeholders, the sustainable </w:t>
      </w:r>
      <w:r w:rsidR="003236FD" w:rsidRPr="0005598B">
        <w:rPr>
          <w:rFonts w:ascii="Arial" w:hAnsi="Arial" w:cs="Arial"/>
          <w:sz w:val="24"/>
          <w:szCs w:val="24"/>
        </w:rPr>
        <w:t>community’s</w:t>
      </w:r>
      <w:r w:rsidRPr="0005598B">
        <w:rPr>
          <w:rFonts w:ascii="Arial" w:hAnsi="Arial" w:cs="Arial"/>
          <w:sz w:val="24"/>
          <w:szCs w:val="24"/>
        </w:rPr>
        <w:t xml:space="preserve"> initiative takes a diverse approach. This includes inclusive debate sessions, participatory workshops, and community forums designed to encourage varied stakeholders to express their opinions and co-create solutions. These encounters are supported by research approaches such as surveys, interviews, and data gathering to gain a thorough understanding of community needs. The program's capacity to promote a sense of ownership and involvement among stakeholders demonstrates the success of these techniques (Mar</w:t>
      </w:r>
      <w:r w:rsidRPr="0005598B">
        <w:rPr>
          <w:rFonts w:ascii="Arial" w:hAnsi="Arial" w:cs="Arial"/>
          <w:sz w:val="24"/>
          <w:szCs w:val="24"/>
        </w:rPr>
        <w:t xml:space="preserve">tini et al., 2017). Empirical research shows enhanced community involvement and stakeholder engagement throughout the program's numerous theme areas. Case studies, for example, show an increase in engagement in community-led initiatives following conversation sessions and workshops. Furthermore, the success indicators are determined by the tangible outcomes observed after the interaction. Community-led </w:t>
      </w:r>
      <w:r w:rsidR="0005598B" w:rsidRPr="0005598B">
        <w:rPr>
          <w:rFonts w:ascii="Arial" w:hAnsi="Arial" w:cs="Arial"/>
          <w:sz w:val="24"/>
          <w:szCs w:val="24"/>
        </w:rPr>
        <w:t>programs</w:t>
      </w:r>
      <w:r w:rsidRPr="0005598B">
        <w:rPr>
          <w:rFonts w:ascii="Arial" w:hAnsi="Arial" w:cs="Arial"/>
          <w:sz w:val="24"/>
          <w:szCs w:val="24"/>
        </w:rPr>
        <w:t xml:space="preserve"> addressing concerns such as sustainable living practices, enhanced intergenerational discussion, and trust-building measures between local government and grassroots groups are concrete examples.</w:t>
      </w:r>
    </w:p>
    <w:p w14:paraId="1C26FBF0" w14:textId="77777777" w:rsidR="008B1949" w:rsidRDefault="008B1949" w:rsidP="0005598B">
      <w:pPr>
        <w:rPr>
          <w:rFonts w:ascii="Arial" w:hAnsi="Arial" w:cs="Arial"/>
          <w:b/>
          <w:bCs/>
          <w:sz w:val="24"/>
          <w:szCs w:val="24"/>
        </w:rPr>
      </w:pPr>
    </w:p>
    <w:p w14:paraId="5DCBCB7A" w14:textId="77777777" w:rsidR="008B1949" w:rsidRDefault="008B1949" w:rsidP="0005598B">
      <w:pPr>
        <w:rPr>
          <w:rFonts w:ascii="Arial" w:hAnsi="Arial" w:cs="Arial"/>
          <w:b/>
          <w:bCs/>
          <w:sz w:val="24"/>
          <w:szCs w:val="24"/>
        </w:rPr>
      </w:pPr>
    </w:p>
    <w:p w14:paraId="26AE0CC5" w14:textId="77777777" w:rsidR="008B1949" w:rsidRDefault="008B1949" w:rsidP="0005598B">
      <w:pPr>
        <w:rPr>
          <w:rFonts w:ascii="Arial" w:hAnsi="Arial" w:cs="Arial"/>
          <w:b/>
          <w:bCs/>
          <w:sz w:val="24"/>
          <w:szCs w:val="24"/>
        </w:rPr>
      </w:pPr>
    </w:p>
    <w:p w14:paraId="7920DF66" w14:textId="6E49F7A3" w:rsidR="00757485" w:rsidRPr="0005598B" w:rsidRDefault="00000000" w:rsidP="0005598B">
      <w:pPr>
        <w:rPr>
          <w:rFonts w:ascii="Arial" w:hAnsi="Arial" w:cs="Arial"/>
          <w:b/>
          <w:bCs/>
          <w:sz w:val="24"/>
          <w:szCs w:val="24"/>
        </w:rPr>
      </w:pPr>
      <w:r w:rsidRPr="0005598B">
        <w:rPr>
          <w:rFonts w:ascii="Arial" w:hAnsi="Arial" w:cs="Arial"/>
          <w:b/>
          <w:bCs/>
          <w:sz w:val="24"/>
          <w:szCs w:val="24"/>
        </w:rPr>
        <w:lastRenderedPageBreak/>
        <w:t>Case Studies</w:t>
      </w:r>
    </w:p>
    <w:p w14:paraId="7D275731" w14:textId="77777777" w:rsidR="00757485" w:rsidRPr="0005598B" w:rsidRDefault="00000000" w:rsidP="0005598B">
      <w:pPr>
        <w:rPr>
          <w:rFonts w:ascii="Arial" w:hAnsi="Arial" w:cs="Arial"/>
          <w:sz w:val="24"/>
          <w:szCs w:val="24"/>
        </w:rPr>
      </w:pPr>
      <w:r w:rsidRPr="0005598B">
        <w:rPr>
          <w:rFonts w:ascii="Arial" w:hAnsi="Arial" w:cs="Arial"/>
          <w:sz w:val="24"/>
          <w:szCs w:val="24"/>
        </w:rPr>
        <w:t>Data from pre- and post-engagement session questionnaires demonstrate a considerable shift in stakeholder perspectives and levels of involvement (Knox &amp; Parkinson, 2020). For example, survey data found a 25% increase in community involvement following a series of seminars on sustainable living practices. Furthermore, case studies illustrate specific circumstances in which the engagement tactics produced genuine benefits. Following a community forum on trust-building efforts, for example, there was a conside</w:t>
      </w:r>
      <w:r w:rsidRPr="0005598B">
        <w:rPr>
          <w:rFonts w:ascii="Arial" w:hAnsi="Arial" w:cs="Arial"/>
          <w:sz w:val="24"/>
          <w:szCs w:val="24"/>
        </w:rPr>
        <w:t>rable increase in collaboration between local authorities and community members, resulting in a 30% drop in reported clashes between the two.</w:t>
      </w:r>
    </w:p>
    <w:p w14:paraId="6948FED7" w14:textId="77777777" w:rsidR="00757485" w:rsidRPr="0005598B" w:rsidRDefault="00757485" w:rsidP="0005598B">
      <w:pPr>
        <w:rPr>
          <w:rFonts w:ascii="Arial" w:hAnsi="Arial" w:cs="Arial"/>
          <w:sz w:val="24"/>
          <w:szCs w:val="24"/>
        </w:rPr>
      </w:pPr>
    </w:p>
    <w:p w14:paraId="30656AAE" w14:textId="38F8447A" w:rsidR="00757485" w:rsidRPr="0005598B" w:rsidRDefault="00000000" w:rsidP="0005598B">
      <w:pPr>
        <w:rPr>
          <w:rFonts w:ascii="Arial" w:hAnsi="Arial" w:cs="Arial"/>
          <w:sz w:val="24"/>
          <w:szCs w:val="24"/>
        </w:rPr>
      </w:pPr>
      <w:r w:rsidRPr="0005598B">
        <w:rPr>
          <w:rFonts w:ascii="Arial" w:hAnsi="Arial" w:cs="Arial"/>
          <w:sz w:val="24"/>
          <w:szCs w:val="24"/>
        </w:rPr>
        <w:t xml:space="preserve">The techniques used by the sustainable </w:t>
      </w:r>
      <w:r w:rsidR="003236FD" w:rsidRPr="0005598B">
        <w:rPr>
          <w:rFonts w:ascii="Arial" w:hAnsi="Arial" w:cs="Arial"/>
          <w:sz w:val="24"/>
          <w:szCs w:val="24"/>
        </w:rPr>
        <w:t>community’s</w:t>
      </w:r>
      <w:r w:rsidRPr="0005598B">
        <w:rPr>
          <w:rFonts w:ascii="Arial" w:hAnsi="Arial" w:cs="Arial"/>
          <w:sz w:val="24"/>
          <w:szCs w:val="24"/>
        </w:rPr>
        <w:t xml:space="preserve"> initiative to engage stakeholders have proven beneficial in </w:t>
      </w:r>
      <w:proofErr w:type="spellStart"/>
      <w:r w:rsidRPr="0005598B">
        <w:rPr>
          <w:rFonts w:ascii="Arial" w:hAnsi="Arial" w:cs="Arial"/>
          <w:sz w:val="24"/>
          <w:szCs w:val="24"/>
        </w:rPr>
        <w:t>catalysing</w:t>
      </w:r>
      <w:proofErr w:type="spellEnd"/>
      <w:r w:rsidRPr="0005598B">
        <w:rPr>
          <w:rFonts w:ascii="Arial" w:hAnsi="Arial" w:cs="Arial"/>
          <w:sz w:val="24"/>
          <w:szCs w:val="24"/>
        </w:rPr>
        <w:t xml:space="preserve"> community engagement, encouraging discourse, and delivering practical results. Empirical research and case studies support the usefulness of these tactics in improving community cohesiveness, developing trust, and promoting proactive community-led initiatives. These techniques demonstrate the program's potential to promote good change through inclusive stakeholder participation.</w:t>
      </w:r>
    </w:p>
    <w:p w14:paraId="3DBA5041" w14:textId="77777777" w:rsidR="00757485" w:rsidRPr="0005598B" w:rsidRDefault="00757485" w:rsidP="0005598B">
      <w:pPr>
        <w:rPr>
          <w:rFonts w:ascii="Arial" w:hAnsi="Arial" w:cs="Arial"/>
          <w:sz w:val="24"/>
          <w:szCs w:val="24"/>
        </w:rPr>
      </w:pPr>
    </w:p>
    <w:p w14:paraId="2FA5AC8C" w14:textId="77777777" w:rsidR="00757485" w:rsidRPr="0005598B" w:rsidRDefault="00000000" w:rsidP="0005598B">
      <w:pPr>
        <w:rPr>
          <w:rFonts w:ascii="Arial" w:hAnsi="Arial" w:cs="Arial"/>
          <w:b/>
          <w:bCs/>
          <w:sz w:val="24"/>
          <w:szCs w:val="24"/>
        </w:rPr>
      </w:pPr>
      <w:r w:rsidRPr="0005598B">
        <w:rPr>
          <w:rFonts w:ascii="Arial" w:hAnsi="Arial" w:cs="Arial"/>
          <w:b/>
          <w:bCs/>
          <w:sz w:val="24"/>
          <w:szCs w:val="24"/>
        </w:rPr>
        <w:t>Active engagement zones</w:t>
      </w:r>
    </w:p>
    <w:p w14:paraId="01D95606" w14:textId="77777777" w:rsidR="00757485" w:rsidRPr="0005598B" w:rsidRDefault="00757485" w:rsidP="0005598B">
      <w:pPr>
        <w:rPr>
          <w:rFonts w:ascii="Arial" w:hAnsi="Arial" w:cs="Arial"/>
          <w:sz w:val="24"/>
          <w:szCs w:val="24"/>
        </w:rPr>
      </w:pPr>
    </w:p>
    <w:p w14:paraId="09C5CB85" w14:textId="77777777" w:rsidR="00757485" w:rsidRPr="0005598B" w:rsidRDefault="00000000" w:rsidP="0005598B">
      <w:pPr>
        <w:rPr>
          <w:rFonts w:ascii="Arial" w:hAnsi="Arial" w:cs="Arial"/>
          <w:sz w:val="24"/>
          <w:szCs w:val="24"/>
        </w:rPr>
      </w:pPr>
      <w:r w:rsidRPr="0005598B">
        <w:rPr>
          <w:rFonts w:ascii="Arial" w:hAnsi="Arial" w:cs="Arial"/>
          <w:b/>
          <w:bCs/>
          <w:sz w:val="24"/>
          <w:szCs w:val="24"/>
        </w:rPr>
        <w:t>Intergenerational communication</w:t>
      </w:r>
    </w:p>
    <w:p w14:paraId="041D6EA9" w14:textId="7CCCE3A6" w:rsidR="00757485" w:rsidRPr="0005598B" w:rsidRDefault="00000000" w:rsidP="0005598B">
      <w:pPr>
        <w:rPr>
          <w:rFonts w:ascii="Arial" w:hAnsi="Arial" w:cs="Arial"/>
          <w:sz w:val="24"/>
          <w:szCs w:val="24"/>
        </w:rPr>
      </w:pPr>
      <w:r w:rsidRPr="0005598B">
        <w:rPr>
          <w:rFonts w:ascii="Arial" w:hAnsi="Arial" w:cs="Arial"/>
          <w:sz w:val="24"/>
          <w:szCs w:val="24"/>
        </w:rPr>
        <w:t xml:space="preserve">Zones were selected based on demographic variety, with the goal of bridging the age gap. Communities with senior citizen residences, youth </w:t>
      </w:r>
      <w:r w:rsidR="003236FD" w:rsidRPr="0005598B">
        <w:rPr>
          <w:rFonts w:ascii="Arial" w:hAnsi="Arial" w:cs="Arial"/>
          <w:sz w:val="24"/>
          <w:szCs w:val="24"/>
        </w:rPr>
        <w:t>centers</w:t>
      </w:r>
      <w:r w:rsidRPr="0005598B">
        <w:rPr>
          <w:rFonts w:ascii="Arial" w:hAnsi="Arial" w:cs="Arial"/>
          <w:sz w:val="24"/>
          <w:szCs w:val="24"/>
        </w:rPr>
        <w:t xml:space="preserve">, or broad generational representation were chosen. The purpose was to build understanding, empathy, and shared knowledge across different generations, while also </w:t>
      </w:r>
      <w:proofErr w:type="spellStart"/>
      <w:r w:rsidRPr="0005598B">
        <w:rPr>
          <w:rFonts w:ascii="Arial" w:hAnsi="Arial" w:cs="Arial"/>
          <w:sz w:val="24"/>
          <w:szCs w:val="24"/>
        </w:rPr>
        <w:t>recognising</w:t>
      </w:r>
      <w:proofErr w:type="spellEnd"/>
      <w:r w:rsidRPr="0005598B">
        <w:rPr>
          <w:rFonts w:ascii="Arial" w:hAnsi="Arial" w:cs="Arial"/>
          <w:sz w:val="24"/>
          <w:szCs w:val="24"/>
        </w:rPr>
        <w:t xml:space="preserve"> the contribution each age offers to the community. Variety of tactics were used, including </w:t>
      </w:r>
      <w:proofErr w:type="spellStart"/>
      <w:r w:rsidRPr="0005598B">
        <w:rPr>
          <w:rFonts w:ascii="Arial" w:hAnsi="Arial" w:cs="Arial"/>
          <w:sz w:val="24"/>
          <w:szCs w:val="24"/>
        </w:rPr>
        <w:t>organising</w:t>
      </w:r>
      <w:proofErr w:type="spellEnd"/>
      <w:r w:rsidRPr="0005598B">
        <w:rPr>
          <w:rFonts w:ascii="Arial" w:hAnsi="Arial" w:cs="Arial"/>
          <w:sz w:val="24"/>
          <w:szCs w:val="24"/>
        </w:rPr>
        <w:t xml:space="preserve"> community forums, storytelling events, and intergenerational workshops in which elders shared wisdom and youngsters provided fresh ideas. For continued contact and idea sharing, digital platforms or social media groups were employed.</w:t>
      </w:r>
    </w:p>
    <w:p w14:paraId="782AFC7C" w14:textId="77777777" w:rsidR="00757485" w:rsidRPr="0005598B" w:rsidRDefault="00000000" w:rsidP="0005598B">
      <w:pPr>
        <w:rPr>
          <w:rFonts w:ascii="Arial" w:hAnsi="Arial" w:cs="Arial"/>
          <w:sz w:val="24"/>
          <w:szCs w:val="24"/>
        </w:rPr>
      </w:pPr>
      <w:r w:rsidRPr="0005598B">
        <w:rPr>
          <w:rFonts w:ascii="Arial" w:hAnsi="Arial" w:cs="Arial"/>
          <w:b/>
          <w:bCs/>
          <w:sz w:val="24"/>
          <w:szCs w:val="24"/>
        </w:rPr>
        <w:t>Women's empowerment and leadership</w:t>
      </w:r>
    </w:p>
    <w:p w14:paraId="24250D59" w14:textId="14A57764" w:rsidR="00757485" w:rsidRPr="0005598B" w:rsidRDefault="00000000" w:rsidP="0005598B">
      <w:pPr>
        <w:rPr>
          <w:rFonts w:ascii="Arial" w:hAnsi="Arial" w:cs="Arial"/>
          <w:sz w:val="24"/>
          <w:szCs w:val="24"/>
        </w:rPr>
      </w:pPr>
      <w:r w:rsidRPr="0005598B">
        <w:rPr>
          <w:rFonts w:ascii="Arial" w:hAnsi="Arial" w:cs="Arial"/>
          <w:sz w:val="24"/>
          <w:szCs w:val="24"/>
        </w:rPr>
        <w:t>Z</w:t>
      </w:r>
      <w:r w:rsidRPr="0005598B">
        <w:rPr>
          <w:rFonts w:ascii="Arial" w:hAnsi="Arial" w:cs="Arial"/>
          <w:sz w:val="24"/>
          <w:szCs w:val="24"/>
        </w:rPr>
        <w:t xml:space="preserve">ones may have included communities with active women's groups fighting for change or places with underrepresentation of women in leadership roles. Rationale: Putting women in positions of authority broadens viewpoints, improves decision-making, and promotes gender equality in communities. Methodologies include seminars, and leadership training designed exclusively for women were held. Mentorship </w:t>
      </w:r>
      <w:r w:rsidR="003236FD" w:rsidRPr="0005598B">
        <w:rPr>
          <w:rFonts w:ascii="Arial" w:hAnsi="Arial" w:cs="Arial"/>
          <w:sz w:val="24"/>
          <w:szCs w:val="24"/>
        </w:rPr>
        <w:t>programmers</w:t>
      </w:r>
      <w:r w:rsidRPr="0005598B">
        <w:rPr>
          <w:rFonts w:ascii="Arial" w:hAnsi="Arial" w:cs="Arial"/>
          <w:sz w:val="24"/>
          <w:szCs w:val="24"/>
        </w:rPr>
        <w:t xml:space="preserve"> were formed, which paired prospective female leaders with experienced individuals to provide advice and support.</w:t>
      </w:r>
    </w:p>
    <w:p w14:paraId="3C7DDC49" w14:textId="77777777" w:rsidR="00757485" w:rsidRPr="0005598B" w:rsidRDefault="00757485" w:rsidP="0005598B">
      <w:pPr>
        <w:rPr>
          <w:rFonts w:ascii="Arial" w:hAnsi="Arial" w:cs="Arial"/>
          <w:sz w:val="24"/>
          <w:szCs w:val="24"/>
        </w:rPr>
      </w:pPr>
    </w:p>
    <w:p w14:paraId="4378A4E6" w14:textId="77777777" w:rsidR="00757485" w:rsidRPr="0005598B" w:rsidRDefault="00000000" w:rsidP="0005598B">
      <w:pPr>
        <w:rPr>
          <w:rFonts w:ascii="Arial" w:hAnsi="Arial" w:cs="Arial"/>
          <w:b/>
          <w:bCs/>
          <w:sz w:val="24"/>
          <w:szCs w:val="24"/>
        </w:rPr>
      </w:pPr>
      <w:r w:rsidRPr="0005598B">
        <w:rPr>
          <w:rFonts w:ascii="Arial" w:hAnsi="Arial" w:cs="Arial"/>
          <w:b/>
          <w:bCs/>
          <w:sz w:val="24"/>
          <w:szCs w:val="24"/>
        </w:rPr>
        <w:t>Creating links between host/migrant communities and policymakers</w:t>
      </w:r>
    </w:p>
    <w:p w14:paraId="065AF73B" w14:textId="77777777" w:rsidR="00757485" w:rsidRPr="0005598B" w:rsidRDefault="00757485" w:rsidP="0005598B">
      <w:pPr>
        <w:rPr>
          <w:rFonts w:ascii="Arial" w:hAnsi="Arial" w:cs="Arial"/>
          <w:sz w:val="24"/>
          <w:szCs w:val="24"/>
        </w:rPr>
      </w:pPr>
    </w:p>
    <w:p w14:paraId="6ACB4695" w14:textId="77777777" w:rsidR="00757485" w:rsidRPr="0005598B" w:rsidRDefault="00000000" w:rsidP="0005598B">
      <w:pPr>
        <w:rPr>
          <w:rFonts w:ascii="Arial" w:hAnsi="Arial" w:cs="Arial"/>
          <w:sz w:val="24"/>
          <w:szCs w:val="24"/>
        </w:rPr>
      </w:pPr>
      <w:r w:rsidRPr="0005598B">
        <w:rPr>
          <w:rFonts w:ascii="Arial" w:hAnsi="Arial" w:cs="Arial"/>
          <w:sz w:val="24"/>
          <w:szCs w:val="24"/>
        </w:rPr>
        <w:t>Zones were selected based on the existence of migrant communities or places suffering integration issues between host and migrant populations. The goal was to foster cultural understanding, decrease stereotypes, and work together on policies that benefit both host and migrant groups. Methodologies include putting on cultural festivals, talks, or policy roundtables with representatives from both communities and officials. These interactions fostered talks about common ground, cultural interchange, and policy</w:t>
      </w:r>
      <w:r w:rsidRPr="0005598B">
        <w:rPr>
          <w:rFonts w:ascii="Arial" w:hAnsi="Arial" w:cs="Arial"/>
          <w:sz w:val="24"/>
          <w:szCs w:val="24"/>
        </w:rPr>
        <w:t xml:space="preserve"> requirements.</w:t>
      </w:r>
    </w:p>
    <w:p w14:paraId="13C565FA" w14:textId="77777777" w:rsidR="008B1949" w:rsidRDefault="008B1949" w:rsidP="0005598B">
      <w:pPr>
        <w:rPr>
          <w:rFonts w:ascii="Arial" w:hAnsi="Arial" w:cs="Arial"/>
          <w:b/>
          <w:bCs/>
          <w:sz w:val="24"/>
          <w:szCs w:val="24"/>
        </w:rPr>
      </w:pPr>
    </w:p>
    <w:p w14:paraId="135FAC28" w14:textId="7E2CB269" w:rsidR="00757485" w:rsidRPr="0005598B" w:rsidRDefault="00000000" w:rsidP="0005598B">
      <w:pPr>
        <w:rPr>
          <w:rFonts w:ascii="Arial" w:hAnsi="Arial" w:cs="Arial"/>
          <w:b/>
          <w:bCs/>
          <w:sz w:val="24"/>
          <w:szCs w:val="24"/>
        </w:rPr>
      </w:pPr>
      <w:r w:rsidRPr="0005598B">
        <w:rPr>
          <w:rFonts w:ascii="Arial" w:hAnsi="Arial" w:cs="Arial"/>
          <w:b/>
          <w:bCs/>
          <w:sz w:val="24"/>
          <w:szCs w:val="24"/>
        </w:rPr>
        <w:lastRenderedPageBreak/>
        <w:t>Increasing youth and police trust</w:t>
      </w:r>
    </w:p>
    <w:p w14:paraId="585C2EE8" w14:textId="32F43ADB" w:rsidR="00757485" w:rsidRPr="0005598B" w:rsidRDefault="00000000" w:rsidP="0005598B">
      <w:pPr>
        <w:rPr>
          <w:rFonts w:ascii="Arial" w:hAnsi="Arial" w:cs="Arial"/>
          <w:sz w:val="24"/>
          <w:szCs w:val="24"/>
        </w:rPr>
      </w:pPr>
      <w:r w:rsidRPr="0005598B">
        <w:rPr>
          <w:rFonts w:ascii="Arial" w:hAnsi="Arial" w:cs="Arial"/>
          <w:sz w:val="24"/>
          <w:szCs w:val="24"/>
        </w:rPr>
        <w:t xml:space="preserve">Areas may have experienced distrust, high crime rates, or historical difficulties between law enforcement and youngsters. Building trust between these groups improves community safety, lowers conflict, and encourages good encounters between law enforcement and adolescents. Methodologies include </w:t>
      </w:r>
      <w:r w:rsidR="003236FD" w:rsidRPr="0005598B">
        <w:rPr>
          <w:rFonts w:ascii="Arial" w:hAnsi="Arial" w:cs="Arial"/>
          <w:sz w:val="24"/>
          <w:szCs w:val="24"/>
        </w:rPr>
        <w:t>programs</w:t>
      </w:r>
      <w:r w:rsidRPr="0005598B">
        <w:rPr>
          <w:rFonts w:ascii="Arial" w:hAnsi="Arial" w:cs="Arial"/>
          <w:sz w:val="24"/>
          <w:szCs w:val="24"/>
        </w:rPr>
        <w:t xml:space="preserve"> included collaborative community initiatives, sporting events, or workshops to build mutual understanding and tolerance. These projects attempted to </w:t>
      </w:r>
      <w:proofErr w:type="spellStart"/>
      <w:r w:rsidRPr="0005598B">
        <w:rPr>
          <w:rFonts w:ascii="Arial" w:hAnsi="Arial" w:cs="Arial"/>
          <w:sz w:val="24"/>
          <w:szCs w:val="24"/>
        </w:rPr>
        <w:t>humanise</w:t>
      </w:r>
      <w:proofErr w:type="spellEnd"/>
      <w:r w:rsidRPr="0005598B">
        <w:rPr>
          <w:rFonts w:ascii="Arial" w:hAnsi="Arial" w:cs="Arial"/>
          <w:sz w:val="24"/>
          <w:szCs w:val="24"/>
        </w:rPr>
        <w:t xml:space="preserve"> police officers and foster healthy interactions in non-threatening settings (2015).</w:t>
      </w:r>
    </w:p>
    <w:p w14:paraId="638052D8" w14:textId="77777777" w:rsidR="00757485" w:rsidRPr="0005598B" w:rsidRDefault="00000000" w:rsidP="0005598B">
      <w:pPr>
        <w:rPr>
          <w:rFonts w:ascii="Arial" w:hAnsi="Arial" w:cs="Arial"/>
          <w:b/>
          <w:bCs/>
          <w:sz w:val="24"/>
          <w:szCs w:val="24"/>
        </w:rPr>
      </w:pPr>
      <w:r w:rsidRPr="0005598B">
        <w:rPr>
          <w:rFonts w:ascii="Arial" w:hAnsi="Arial" w:cs="Arial"/>
          <w:b/>
          <w:bCs/>
          <w:sz w:val="24"/>
          <w:szCs w:val="24"/>
        </w:rPr>
        <w:t>Youth Empowerment and Mental Health</w:t>
      </w:r>
    </w:p>
    <w:p w14:paraId="4CF71D22" w14:textId="38167137" w:rsidR="00757485" w:rsidRPr="0005598B" w:rsidRDefault="00000000" w:rsidP="0005598B">
      <w:pPr>
        <w:rPr>
          <w:rFonts w:ascii="Arial" w:hAnsi="Arial" w:cs="Arial"/>
          <w:sz w:val="24"/>
          <w:szCs w:val="24"/>
        </w:rPr>
      </w:pPr>
      <w:r w:rsidRPr="0005598B">
        <w:rPr>
          <w:rFonts w:ascii="Arial" w:hAnsi="Arial" w:cs="Arial"/>
          <w:sz w:val="24"/>
          <w:szCs w:val="24"/>
        </w:rPr>
        <w:t xml:space="preserve">Zones dealing with juvenile mental health difficulties or regions without proper mental health services and awareness. Rationale is addressing mental health issues among youth is critical for their well-being and the overall health of the community. Methodologies include holding mental health seminars and running awareness campaigns in schools and community </w:t>
      </w:r>
      <w:r w:rsidR="003236FD" w:rsidRPr="0005598B">
        <w:rPr>
          <w:rFonts w:ascii="Arial" w:hAnsi="Arial" w:cs="Arial"/>
          <w:sz w:val="24"/>
          <w:szCs w:val="24"/>
        </w:rPr>
        <w:t>centers</w:t>
      </w:r>
      <w:r w:rsidRPr="0005598B">
        <w:rPr>
          <w:rFonts w:ascii="Arial" w:hAnsi="Arial" w:cs="Arial"/>
          <w:sz w:val="24"/>
          <w:szCs w:val="24"/>
        </w:rPr>
        <w:t>. Providing counselling services or safe locations for youth to address mental health issues, while building a supportive atmosphere (Setia et al., 2022).</w:t>
      </w:r>
    </w:p>
    <w:p w14:paraId="3F257413" w14:textId="77777777" w:rsidR="00757485" w:rsidRPr="0005598B" w:rsidRDefault="00757485" w:rsidP="0005598B">
      <w:pPr>
        <w:rPr>
          <w:rFonts w:ascii="Arial" w:hAnsi="Arial" w:cs="Arial"/>
          <w:sz w:val="24"/>
          <w:szCs w:val="24"/>
        </w:rPr>
      </w:pPr>
    </w:p>
    <w:p w14:paraId="1AE2C4C3" w14:textId="77777777" w:rsidR="00757485" w:rsidRPr="0005598B" w:rsidRDefault="00000000" w:rsidP="0005598B">
      <w:pPr>
        <w:pStyle w:val="Heading2"/>
        <w:spacing w:line="240" w:lineRule="auto"/>
        <w:rPr>
          <w:rFonts w:ascii="Arial" w:hAnsi="Arial" w:cs="Arial"/>
          <w:sz w:val="24"/>
          <w:szCs w:val="24"/>
        </w:rPr>
      </w:pPr>
      <w:r w:rsidRPr="0005598B">
        <w:rPr>
          <w:rFonts w:ascii="Arial" w:hAnsi="Arial" w:cs="Arial"/>
          <w:sz w:val="24"/>
          <w:szCs w:val="24"/>
        </w:rPr>
        <w:t>Stakeholder engagement strategies</w:t>
      </w:r>
    </w:p>
    <w:p w14:paraId="08A327BD" w14:textId="3E691F63" w:rsidR="00757485" w:rsidRPr="0005598B" w:rsidRDefault="00000000" w:rsidP="0005598B">
      <w:pPr>
        <w:rPr>
          <w:rFonts w:ascii="Arial" w:hAnsi="Arial" w:cs="Arial"/>
          <w:sz w:val="24"/>
          <w:szCs w:val="24"/>
        </w:rPr>
      </w:pPr>
      <w:r w:rsidRPr="0005598B">
        <w:rPr>
          <w:rFonts w:ascii="Arial" w:hAnsi="Arial" w:cs="Arial"/>
          <w:sz w:val="24"/>
          <w:szCs w:val="24"/>
        </w:rPr>
        <w:t xml:space="preserve">The project's success was built on effective stakeholder involvement, which was achieved through a comprehensive study of stakeholder connections and </w:t>
      </w:r>
      <w:proofErr w:type="spellStart"/>
      <w:r w:rsidRPr="0005598B">
        <w:rPr>
          <w:rFonts w:ascii="Arial" w:hAnsi="Arial" w:cs="Arial"/>
          <w:sz w:val="24"/>
          <w:szCs w:val="24"/>
        </w:rPr>
        <w:t>specialised</w:t>
      </w:r>
      <w:proofErr w:type="spellEnd"/>
      <w:r w:rsidRPr="0005598B">
        <w:rPr>
          <w:rFonts w:ascii="Arial" w:hAnsi="Arial" w:cs="Arial"/>
          <w:sz w:val="24"/>
          <w:szCs w:val="24"/>
        </w:rPr>
        <w:t xml:space="preserve"> engagement approaches (Heravi et al., 2015). The study team thoroughly examined the complicated web of interactions among numerous stakeholders, including youth, community leaders, policymakers, and non-governmental </w:t>
      </w:r>
      <w:proofErr w:type="spellStart"/>
      <w:r w:rsidR="003236FD" w:rsidRPr="0005598B">
        <w:rPr>
          <w:rFonts w:ascii="Arial" w:hAnsi="Arial" w:cs="Arial"/>
          <w:sz w:val="24"/>
          <w:szCs w:val="24"/>
        </w:rPr>
        <w:t>organi</w:t>
      </w:r>
      <w:r w:rsidR="003236FD">
        <w:rPr>
          <w:rFonts w:ascii="Arial" w:hAnsi="Arial" w:cs="Arial"/>
          <w:sz w:val="24"/>
          <w:szCs w:val="24"/>
        </w:rPr>
        <w:t>s</w:t>
      </w:r>
      <w:r w:rsidR="003236FD" w:rsidRPr="0005598B">
        <w:rPr>
          <w:rFonts w:ascii="Arial" w:hAnsi="Arial" w:cs="Arial"/>
          <w:sz w:val="24"/>
          <w:szCs w:val="24"/>
        </w:rPr>
        <w:t>ations</w:t>
      </w:r>
      <w:proofErr w:type="spellEnd"/>
      <w:r w:rsidRPr="0005598B">
        <w:rPr>
          <w:rFonts w:ascii="Arial" w:hAnsi="Arial" w:cs="Arial"/>
          <w:sz w:val="24"/>
          <w:szCs w:val="24"/>
        </w:rPr>
        <w:t>. Engagement tactics were fine-tuned by combining methodologies such as surveys, concentrated group discussions, and community forums. These techniques were designed to be consciously inclusive, ensuring that varied viewpoints were not just heard but also actively integrated into decision-making processes, generating a feeling of ownership and collaborative participation among all stakeholders.</w:t>
      </w:r>
    </w:p>
    <w:p w14:paraId="7638284B" w14:textId="77777777" w:rsidR="00757485" w:rsidRPr="0005598B" w:rsidRDefault="00000000" w:rsidP="0005598B">
      <w:pPr>
        <w:rPr>
          <w:rFonts w:ascii="Arial" w:hAnsi="Arial" w:cs="Arial"/>
          <w:b/>
          <w:bCs/>
          <w:sz w:val="24"/>
          <w:szCs w:val="24"/>
        </w:rPr>
      </w:pPr>
      <w:r w:rsidRPr="0005598B">
        <w:rPr>
          <w:rFonts w:ascii="Arial" w:hAnsi="Arial" w:cs="Arial"/>
          <w:b/>
          <w:bCs/>
          <w:sz w:val="24"/>
          <w:szCs w:val="24"/>
        </w:rPr>
        <w:t xml:space="preserve">Utilization of different social media </w:t>
      </w:r>
    </w:p>
    <w:p w14:paraId="636EACA5" w14:textId="77777777" w:rsidR="00757485" w:rsidRPr="0005598B" w:rsidRDefault="00000000" w:rsidP="0005598B">
      <w:pPr>
        <w:rPr>
          <w:rFonts w:ascii="Arial" w:hAnsi="Arial" w:cs="Arial"/>
          <w:sz w:val="24"/>
          <w:szCs w:val="24"/>
        </w:rPr>
      </w:pPr>
      <w:r w:rsidRPr="0005598B">
        <w:rPr>
          <w:rFonts w:ascii="Arial" w:hAnsi="Arial" w:cs="Arial"/>
          <w:sz w:val="24"/>
          <w:szCs w:val="24"/>
        </w:rPr>
        <w:t>The project's reach and effect were increased by the careful selection of several social media channels based on demographic relevance and interaction potential. Each platform was carefully chosen with the target audience's preferences and features in mind. These platforms' engagement techniques were broad, spanning engaging visual storytelling, interactive material, instructive articles, and live sessions. These efforts were made with the intention of encouraging community participation, encouraging meanin</w:t>
      </w:r>
      <w:r w:rsidRPr="0005598B">
        <w:rPr>
          <w:rFonts w:ascii="Arial" w:hAnsi="Arial" w:cs="Arial"/>
          <w:sz w:val="24"/>
          <w:szCs w:val="24"/>
        </w:rPr>
        <w:t>gful debate, and gathering useful input from the public. Promotional strategies such as targeted advertising, influencer collaborations, and hashtag campaigns were also used to promote awareness, stimulate user-generated content, and build a dynamic community around the initiative. Continuous monitoring of key performance indicators and audience engagement analysis gave essential insights, assisting the project team in adjusting and refining (2023).</w:t>
      </w:r>
    </w:p>
    <w:p w14:paraId="0A6E4C0B" w14:textId="77777777" w:rsidR="008B1949" w:rsidRDefault="008B1949" w:rsidP="0005598B">
      <w:pPr>
        <w:rPr>
          <w:rFonts w:ascii="Arial" w:hAnsi="Arial" w:cs="Arial"/>
          <w:b/>
          <w:bCs/>
          <w:sz w:val="24"/>
          <w:szCs w:val="24"/>
        </w:rPr>
      </w:pPr>
    </w:p>
    <w:p w14:paraId="27E22942" w14:textId="16E5D6CE" w:rsidR="00757485" w:rsidRPr="0005598B" w:rsidRDefault="00000000" w:rsidP="0005598B">
      <w:pPr>
        <w:rPr>
          <w:rFonts w:ascii="Arial" w:hAnsi="Arial" w:cs="Arial"/>
          <w:b/>
          <w:bCs/>
          <w:sz w:val="24"/>
          <w:szCs w:val="24"/>
        </w:rPr>
      </w:pPr>
      <w:r w:rsidRPr="0005598B">
        <w:rPr>
          <w:rFonts w:ascii="Arial" w:hAnsi="Arial" w:cs="Arial"/>
          <w:b/>
          <w:bCs/>
          <w:sz w:val="24"/>
          <w:szCs w:val="24"/>
        </w:rPr>
        <w:t xml:space="preserve">Diverse </w:t>
      </w:r>
      <w:r w:rsidRPr="0005598B">
        <w:rPr>
          <w:rFonts w:ascii="Arial" w:hAnsi="Arial" w:cs="Arial"/>
          <w:b/>
          <w:bCs/>
          <w:sz w:val="24"/>
          <w:szCs w:val="24"/>
        </w:rPr>
        <w:t>engagement venues</w:t>
      </w:r>
    </w:p>
    <w:p w14:paraId="2A55915C" w14:textId="4ADA9A73" w:rsidR="00757485" w:rsidRPr="0005598B" w:rsidRDefault="00000000" w:rsidP="0005598B">
      <w:pPr>
        <w:rPr>
          <w:rFonts w:ascii="Arial" w:hAnsi="Arial" w:cs="Arial"/>
          <w:sz w:val="24"/>
          <w:szCs w:val="24"/>
        </w:rPr>
      </w:pPr>
      <w:r w:rsidRPr="0005598B">
        <w:rPr>
          <w:rFonts w:ascii="Arial" w:hAnsi="Arial" w:cs="Arial"/>
          <w:sz w:val="24"/>
          <w:szCs w:val="24"/>
        </w:rPr>
        <w:t xml:space="preserve">The initiative created a wide range of interaction settings that were carefully chosen to promote inclusion, accessibility, and resonance across varied populations (2010). To involve a diverse cross-section of the community, traditional physical facilities such as community </w:t>
      </w:r>
      <w:r w:rsidR="003236FD" w:rsidRPr="0005598B">
        <w:rPr>
          <w:rFonts w:ascii="Arial" w:hAnsi="Arial" w:cs="Arial"/>
          <w:sz w:val="24"/>
          <w:szCs w:val="24"/>
        </w:rPr>
        <w:t>centers</w:t>
      </w:r>
      <w:r w:rsidRPr="0005598B">
        <w:rPr>
          <w:rFonts w:ascii="Arial" w:hAnsi="Arial" w:cs="Arial"/>
          <w:sz w:val="24"/>
          <w:szCs w:val="24"/>
        </w:rPr>
        <w:t xml:space="preserve">, town halls, and educational institutions were used. Virtual venues such as online forums, webinars, and social media platforms were </w:t>
      </w:r>
      <w:r w:rsidRPr="0005598B">
        <w:rPr>
          <w:rFonts w:ascii="Arial" w:hAnsi="Arial" w:cs="Arial"/>
          <w:sz w:val="24"/>
          <w:szCs w:val="24"/>
        </w:rPr>
        <w:lastRenderedPageBreak/>
        <w:t xml:space="preserve">integrated to guarantee inclusion, </w:t>
      </w:r>
      <w:proofErr w:type="spellStart"/>
      <w:r w:rsidRPr="0005598B">
        <w:rPr>
          <w:rFonts w:ascii="Arial" w:hAnsi="Arial" w:cs="Arial"/>
          <w:sz w:val="24"/>
          <w:szCs w:val="24"/>
        </w:rPr>
        <w:t>recognising</w:t>
      </w:r>
      <w:proofErr w:type="spellEnd"/>
      <w:r w:rsidRPr="0005598B">
        <w:rPr>
          <w:rFonts w:ascii="Arial" w:hAnsi="Arial" w:cs="Arial"/>
          <w:sz w:val="24"/>
          <w:szCs w:val="24"/>
        </w:rPr>
        <w:t xml:space="preserve"> the need of accommodating varied interests and accessibility among community members.</w:t>
      </w:r>
    </w:p>
    <w:p w14:paraId="2FB63BBB" w14:textId="77777777" w:rsidR="00757485" w:rsidRPr="0005598B" w:rsidRDefault="00000000" w:rsidP="0005598B">
      <w:pPr>
        <w:rPr>
          <w:rFonts w:ascii="Arial" w:hAnsi="Arial" w:cs="Arial"/>
          <w:b/>
          <w:bCs/>
          <w:sz w:val="24"/>
          <w:szCs w:val="24"/>
        </w:rPr>
      </w:pPr>
      <w:r w:rsidRPr="0005598B">
        <w:rPr>
          <w:rFonts w:ascii="Arial" w:hAnsi="Arial" w:cs="Arial"/>
          <w:b/>
          <w:bCs/>
          <w:sz w:val="24"/>
          <w:szCs w:val="24"/>
        </w:rPr>
        <w:t>Emphasis on variety, inclusiveness, and socio-cultural integration</w:t>
      </w:r>
    </w:p>
    <w:p w14:paraId="7D1E4F72" w14:textId="7E848789" w:rsidR="00757485" w:rsidRPr="0005598B" w:rsidRDefault="00000000" w:rsidP="0005598B">
      <w:pPr>
        <w:rPr>
          <w:rFonts w:ascii="Arial" w:hAnsi="Arial" w:cs="Arial"/>
          <w:sz w:val="24"/>
          <w:szCs w:val="24"/>
        </w:rPr>
      </w:pPr>
      <w:r w:rsidRPr="0005598B">
        <w:rPr>
          <w:rFonts w:ascii="Arial" w:hAnsi="Arial" w:cs="Arial"/>
          <w:sz w:val="24"/>
          <w:szCs w:val="24"/>
        </w:rPr>
        <w:t xml:space="preserve">The project's venues were purposefully built to celebrate and include the community's complex tapestry of cultures, beliefs, and identities. To </w:t>
      </w:r>
      <w:r w:rsidR="003236FD" w:rsidRPr="0005598B">
        <w:rPr>
          <w:rFonts w:ascii="Arial" w:hAnsi="Arial" w:cs="Arial"/>
          <w:sz w:val="24"/>
          <w:szCs w:val="24"/>
        </w:rPr>
        <w:t>honor</w:t>
      </w:r>
      <w:r w:rsidRPr="0005598B">
        <w:rPr>
          <w:rFonts w:ascii="Arial" w:hAnsi="Arial" w:cs="Arial"/>
          <w:sz w:val="24"/>
          <w:szCs w:val="24"/>
        </w:rPr>
        <w:t xml:space="preserve"> different traditions and develop cross-cultural understanding, culturally varied events, heritage festivals, and themed workshops were </w:t>
      </w:r>
      <w:proofErr w:type="spellStart"/>
      <w:r w:rsidRPr="0005598B">
        <w:rPr>
          <w:rFonts w:ascii="Arial" w:hAnsi="Arial" w:cs="Arial"/>
          <w:sz w:val="24"/>
          <w:szCs w:val="24"/>
        </w:rPr>
        <w:t>organised</w:t>
      </w:r>
      <w:proofErr w:type="spellEnd"/>
      <w:r w:rsidRPr="0005598B">
        <w:rPr>
          <w:rFonts w:ascii="Arial" w:hAnsi="Arial" w:cs="Arial"/>
          <w:sz w:val="24"/>
          <w:szCs w:val="24"/>
        </w:rPr>
        <w:t>. Language-specific sessions, guided by multilingual moderators, ensured fair participation, therefore solving the challenge of language barriers.</w:t>
      </w:r>
    </w:p>
    <w:p w14:paraId="0EDAB271" w14:textId="77777777" w:rsidR="00757485" w:rsidRPr="0005598B" w:rsidRDefault="00000000" w:rsidP="0005598B">
      <w:pPr>
        <w:rPr>
          <w:rFonts w:ascii="Arial" w:hAnsi="Arial" w:cs="Arial"/>
          <w:b/>
          <w:bCs/>
          <w:sz w:val="24"/>
          <w:szCs w:val="24"/>
        </w:rPr>
      </w:pPr>
      <w:r w:rsidRPr="0005598B">
        <w:rPr>
          <w:rFonts w:ascii="Arial" w:hAnsi="Arial" w:cs="Arial"/>
          <w:b/>
          <w:bCs/>
          <w:sz w:val="24"/>
          <w:szCs w:val="24"/>
        </w:rPr>
        <w:t>Collaboration and partnerships among different agencies</w:t>
      </w:r>
    </w:p>
    <w:p w14:paraId="76FC4D6C" w14:textId="77777777" w:rsidR="00757485" w:rsidRPr="0005598B" w:rsidRDefault="00000000" w:rsidP="0005598B">
      <w:pPr>
        <w:rPr>
          <w:rFonts w:ascii="Arial" w:hAnsi="Arial" w:cs="Arial"/>
          <w:sz w:val="24"/>
          <w:szCs w:val="24"/>
        </w:rPr>
      </w:pPr>
      <w:r w:rsidRPr="0005598B">
        <w:rPr>
          <w:rFonts w:ascii="Arial" w:hAnsi="Arial" w:cs="Arial"/>
          <w:sz w:val="24"/>
          <w:szCs w:val="24"/>
        </w:rPr>
        <w:t xml:space="preserve">The initiative flourished on strong collaboration across many agencies, building strategic relationships with local administrations, non-governmental </w:t>
      </w:r>
      <w:proofErr w:type="spellStart"/>
      <w:r w:rsidRPr="0005598B">
        <w:rPr>
          <w:rFonts w:ascii="Arial" w:hAnsi="Arial" w:cs="Arial"/>
          <w:sz w:val="24"/>
          <w:szCs w:val="24"/>
        </w:rPr>
        <w:t>organisations</w:t>
      </w:r>
      <w:proofErr w:type="spellEnd"/>
      <w:r w:rsidRPr="0005598B">
        <w:rPr>
          <w:rFonts w:ascii="Arial" w:hAnsi="Arial" w:cs="Arial"/>
          <w:sz w:val="24"/>
          <w:szCs w:val="24"/>
        </w:rPr>
        <w:t xml:space="preserve">, educational institutions, and grassroots </w:t>
      </w:r>
      <w:proofErr w:type="spellStart"/>
      <w:r w:rsidRPr="0005598B">
        <w:rPr>
          <w:rFonts w:ascii="Arial" w:hAnsi="Arial" w:cs="Arial"/>
          <w:sz w:val="24"/>
          <w:szCs w:val="24"/>
        </w:rPr>
        <w:t>organisations</w:t>
      </w:r>
      <w:proofErr w:type="spellEnd"/>
      <w:r w:rsidRPr="0005598B">
        <w:rPr>
          <w:rFonts w:ascii="Arial" w:hAnsi="Arial" w:cs="Arial"/>
          <w:sz w:val="24"/>
          <w:szCs w:val="24"/>
        </w:rPr>
        <w:t>. Collaborative workshops, collaborative planning sessions, and task groups were critical in bringing together resources, skills, and networks. These collaborations improved the project's engagement venues by bringing in new perspectives, pooling resources, and magnifying outreach efforts (Brame, 1970). Furthermore, the multi-agency partnership enabled a comprehensive strategy to addressing multiple community concerns.</w:t>
      </w:r>
    </w:p>
    <w:p w14:paraId="65BF17EB" w14:textId="77777777" w:rsidR="008B1949" w:rsidRDefault="008B1949" w:rsidP="0005598B">
      <w:pPr>
        <w:rPr>
          <w:rFonts w:ascii="Arial" w:hAnsi="Arial" w:cs="Arial"/>
          <w:b/>
          <w:bCs/>
          <w:sz w:val="24"/>
          <w:szCs w:val="24"/>
        </w:rPr>
      </w:pPr>
    </w:p>
    <w:p w14:paraId="4833272A" w14:textId="4468061B" w:rsidR="00757485" w:rsidRPr="0005598B" w:rsidRDefault="00000000" w:rsidP="0005598B">
      <w:pPr>
        <w:rPr>
          <w:rFonts w:ascii="Arial" w:hAnsi="Arial" w:cs="Arial"/>
          <w:b/>
          <w:bCs/>
          <w:sz w:val="24"/>
          <w:szCs w:val="24"/>
        </w:rPr>
      </w:pPr>
      <w:r w:rsidRPr="0005598B">
        <w:rPr>
          <w:rFonts w:ascii="Arial" w:hAnsi="Arial" w:cs="Arial"/>
          <w:b/>
          <w:bCs/>
          <w:sz w:val="24"/>
          <w:szCs w:val="24"/>
        </w:rPr>
        <w:t>Post-project continuation strategies</w:t>
      </w:r>
    </w:p>
    <w:p w14:paraId="6D72448E" w14:textId="58E677D3" w:rsidR="00757485" w:rsidRPr="0005598B" w:rsidRDefault="00000000" w:rsidP="0005598B">
      <w:pPr>
        <w:rPr>
          <w:rFonts w:ascii="Arial" w:hAnsi="Arial" w:cs="Arial"/>
          <w:sz w:val="24"/>
          <w:szCs w:val="24"/>
        </w:rPr>
      </w:pPr>
      <w:r w:rsidRPr="0005598B">
        <w:rPr>
          <w:rFonts w:ascii="Arial" w:hAnsi="Arial" w:cs="Arial"/>
          <w:sz w:val="24"/>
          <w:szCs w:val="24"/>
        </w:rPr>
        <w:t>Post-project plans attempt to promote continuous community participation through a variety of techniques, including the establishment of legacy initiatives such as seminars or forums, the empowerment of rising community leaders, the maintenance of an active online presence, and the sharing of recorded best practices. Fostering long-term collaborations with stakeholders, pushing for legislative changes, empowering the community through resource access and training, and regularly reviewing and changing tactic</w:t>
      </w:r>
      <w:r w:rsidRPr="0005598B">
        <w:rPr>
          <w:rFonts w:ascii="Arial" w:hAnsi="Arial" w:cs="Arial"/>
          <w:sz w:val="24"/>
          <w:szCs w:val="24"/>
        </w:rPr>
        <w:t xml:space="preserve">s based on community input are all part of sustainability initiatives. These </w:t>
      </w:r>
      <w:r w:rsidR="003236FD" w:rsidRPr="0005598B">
        <w:rPr>
          <w:rFonts w:ascii="Arial" w:hAnsi="Arial" w:cs="Arial"/>
          <w:sz w:val="24"/>
          <w:szCs w:val="24"/>
        </w:rPr>
        <w:t>programs</w:t>
      </w:r>
      <w:r w:rsidRPr="0005598B">
        <w:rPr>
          <w:rFonts w:ascii="Arial" w:hAnsi="Arial" w:cs="Arial"/>
          <w:sz w:val="24"/>
          <w:szCs w:val="24"/>
        </w:rPr>
        <w:t xml:space="preserve"> attempt to have a long-term impact by encouraging community involvement, resilience, and self-sufficiency (2009).</w:t>
      </w:r>
    </w:p>
    <w:p w14:paraId="3EE41BFA" w14:textId="77777777" w:rsidR="008B1949" w:rsidRDefault="008B1949" w:rsidP="0005598B">
      <w:pPr>
        <w:rPr>
          <w:rFonts w:ascii="Arial" w:hAnsi="Arial" w:cs="Arial"/>
          <w:b/>
          <w:bCs/>
          <w:sz w:val="24"/>
          <w:szCs w:val="24"/>
        </w:rPr>
      </w:pPr>
    </w:p>
    <w:p w14:paraId="63D0D6FE" w14:textId="77777777" w:rsidR="008B1949" w:rsidRDefault="008B1949" w:rsidP="0005598B">
      <w:pPr>
        <w:rPr>
          <w:rFonts w:ascii="Arial" w:hAnsi="Arial" w:cs="Arial"/>
          <w:b/>
          <w:bCs/>
          <w:sz w:val="24"/>
          <w:szCs w:val="24"/>
        </w:rPr>
      </w:pPr>
    </w:p>
    <w:p w14:paraId="53BCF4AB" w14:textId="5012298D" w:rsidR="00757485" w:rsidRPr="0005598B" w:rsidRDefault="00000000" w:rsidP="0005598B">
      <w:pPr>
        <w:rPr>
          <w:rFonts w:ascii="Arial" w:hAnsi="Arial" w:cs="Arial"/>
          <w:b/>
          <w:bCs/>
          <w:sz w:val="24"/>
          <w:szCs w:val="24"/>
        </w:rPr>
      </w:pPr>
      <w:r w:rsidRPr="0005598B">
        <w:rPr>
          <w:rFonts w:ascii="Arial" w:hAnsi="Arial" w:cs="Arial"/>
          <w:b/>
          <w:bCs/>
          <w:sz w:val="24"/>
          <w:szCs w:val="24"/>
        </w:rPr>
        <w:t>Conclusion</w:t>
      </w:r>
    </w:p>
    <w:p w14:paraId="13033258" w14:textId="509AD24C" w:rsidR="00757485" w:rsidRPr="0005598B" w:rsidRDefault="00000000" w:rsidP="0005598B">
      <w:pPr>
        <w:rPr>
          <w:rFonts w:ascii="Arial" w:hAnsi="Arial" w:cs="Arial"/>
          <w:sz w:val="24"/>
          <w:szCs w:val="24"/>
        </w:rPr>
      </w:pPr>
      <w:r w:rsidRPr="0005598B">
        <w:rPr>
          <w:rFonts w:ascii="Arial" w:hAnsi="Arial" w:cs="Arial"/>
          <w:sz w:val="24"/>
          <w:szCs w:val="24"/>
        </w:rPr>
        <w:t xml:space="preserve">Diverse tactics were used throughout this community involvement effort, with an emphasis on intergenerational discourse, women's leadership, linking communities, establishing trust, and mental health empowerment. Stakeholder participation was critical, with considerable use of social media channels to increase outreach and promote diversity. The venues differed, </w:t>
      </w:r>
      <w:proofErr w:type="spellStart"/>
      <w:r w:rsidRPr="0005598B">
        <w:rPr>
          <w:rFonts w:ascii="Arial" w:hAnsi="Arial" w:cs="Arial"/>
          <w:sz w:val="24"/>
          <w:szCs w:val="24"/>
        </w:rPr>
        <w:t>emphasising</w:t>
      </w:r>
      <w:proofErr w:type="spellEnd"/>
      <w:r w:rsidRPr="0005598B">
        <w:rPr>
          <w:rFonts w:ascii="Arial" w:hAnsi="Arial" w:cs="Arial"/>
          <w:sz w:val="24"/>
          <w:szCs w:val="24"/>
        </w:rPr>
        <w:t xml:space="preserve"> different contexts for participation and </w:t>
      </w:r>
      <w:proofErr w:type="spellStart"/>
      <w:r w:rsidRPr="0005598B">
        <w:rPr>
          <w:rFonts w:ascii="Arial" w:hAnsi="Arial" w:cs="Arial"/>
          <w:sz w:val="24"/>
          <w:szCs w:val="24"/>
        </w:rPr>
        <w:t>emphasising</w:t>
      </w:r>
      <w:proofErr w:type="spellEnd"/>
      <w:r w:rsidRPr="0005598B">
        <w:rPr>
          <w:rFonts w:ascii="Arial" w:hAnsi="Arial" w:cs="Arial"/>
          <w:sz w:val="24"/>
          <w:szCs w:val="24"/>
        </w:rPr>
        <w:t xml:space="preserve"> the value of diversity, inclusivity, and multi-agency collaboration. Following the completion of the project, the focus will be on maintaining momentum through legacy projects, advocacy, and ongoing community empowerment. The findings highlight the importance of comprehensive methods, inclusive techniques, and continuing adaptation in community participation. Future </w:t>
      </w:r>
      <w:r w:rsidR="003236FD" w:rsidRPr="0005598B">
        <w:rPr>
          <w:rFonts w:ascii="Arial" w:hAnsi="Arial" w:cs="Arial"/>
          <w:sz w:val="24"/>
          <w:szCs w:val="24"/>
        </w:rPr>
        <w:t>endeavors</w:t>
      </w:r>
      <w:r w:rsidRPr="0005598B">
        <w:rPr>
          <w:rFonts w:ascii="Arial" w:hAnsi="Arial" w:cs="Arial"/>
          <w:sz w:val="24"/>
          <w:szCs w:val="24"/>
        </w:rPr>
        <w:t xml:space="preserve"> should take these lessons to heart, </w:t>
      </w:r>
      <w:proofErr w:type="spellStart"/>
      <w:r w:rsidRPr="0005598B">
        <w:rPr>
          <w:rFonts w:ascii="Arial" w:hAnsi="Arial" w:cs="Arial"/>
          <w:sz w:val="24"/>
          <w:szCs w:val="24"/>
        </w:rPr>
        <w:t>emphasising</w:t>
      </w:r>
      <w:proofErr w:type="spellEnd"/>
      <w:r w:rsidRPr="0005598B">
        <w:rPr>
          <w:rFonts w:ascii="Arial" w:hAnsi="Arial" w:cs="Arial"/>
          <w:sz w:val="24"/>
          <w:szCs w:val="24"/>
        </w:rPr>
        <w:t xml:space="preserve"> ongoing stakeholder involvement, embracing diversity, and lobbying for policies that empower communities, guaranteeing lasting and effective improvements to the UK's community engagement environment.</w:t>
      </w:r>
    </w:p>
    <w:p w14:paraId="7CAF14DC" w14:textId="77777777" w:rsidR="00757485" w:rsidRPr="0005598B" w:rsidRDefault="00757485" w:rsidP="0005598B">
      <w:pPr>
        <w:rPr>
          <w:rFonts w:ascii="Arial" w:hAnsi="Arial" w:cs="Arial"/>
          <w:sz w:val="24"/>
          <w:szCs w:val="24"/>
        </w:rPr>
      </w:pPr>
    </w:p>
    <w:p w14:paraId="63C03348" w14:textId="77777777" w:rsidR="00757485" w:rsidRPr="0005598B" w:rsidRDefault="00757485" w:rsidP="0005598B">
      <w:pPr>
        <w:rPr>
          <w:rFonts w:ascii="Arial" w:hAnsi="Arial" w:cs="Arial"/>
          <w:sz w:val="24"/>
          <w:szCs w:val="24"/>
        </w:rPr>
      </w:pPr>
    </w:p>
    <w:p w14:paraId="5F7C38A1" w14:textId="77777777" w:rsidR="00757485" w:rsidRPr="0005598B" w:rsidRDefault="00757485" w:rsidP="0005598B">
      <w:pPr>
        <w:rPr>
          <w:rFonts w:ascii="Arial" w:hAnsi="Arial" w:cs="Arial"/>
          <w:sz w:val="24"/>
          <w:szCs w:val="24"/>
        </w:rPr>
      </w:pPr>
    </w:p>
    <w:p w14:paraId="3B9572C6" w14:textId="77777777" w:rsidR="00757485" w:rsidRPr="0005598B" w:rsidRDefault="00757485" w:rsidP="0005598B">
      <w:pPr>
        <w:rPr>
          <w:rFonts w:ascii="Arial" w:hAnsi="Arial" w:cs="Arial"/>
          <w:sz w:val="24"/>
          <w:szCs w:val="24"/>
        </w:rPr>
      </w:pPr>
    </w:p>
    <w:p w14:paraId="7ED1C701" w14:textId="77777777" w:rsidR="0005598B" w:rsidRDefault="0005598B" w:rsidP="0005598B">
      <w:pPr>
        <w:pStyle w:val="Heading2"/>
        <w:spacing w:line="240" w:lineRule="auto"/>
        <w:rPr>
          <w:rFonts w:ascii="Arial" w:hAnsi="Arial" w:cs="Arial"/>
          <w:sz w:val="24"/>
          <w:szCs w:val="24"/>
        </w:rPr>
      </w:pPr>
    </w:p>
    <w:p w14:paraId="51D7E9D6" w14:textId="77777777" w:rsidR="003236FD" w:rsidRDefault="003236FD" w:rsidP="0005598B">
      <w:pPr>
        <w:pStyle w:val="Heading2"/>
        <w:spacing w:line="240" w:lineRule="auto"/>
        <w:rPr>
          <w:rFonts w:ascii="Arial" w:hAnsi="Arial" w:cs="Arial"/>
          <w:sz w:val="24"/>
          <w:szCs w:val="24"/>
        </w:rPr>
      </w:pPr>
    </w:p>
    <w:p w14:paraId="6F60DA30" w14:textId="5E828FEA" w:rsidR="00757485" w:rsidRPr="0005598B" w:rsidRDefault="00000000" w:rsidP="0005598B">
      <w:pPr>
        <w:pStyle w:val="Heading2"/>
        <w:spacing w:line="240" w:lineRule="auto"/>
        <w:rPr>
          <w:rFonts w:ascii="Arial" w:hAnsi="Arial" w:cs="Arial"/>
          <w:sz w:val="24"/>
          <w:szCs w:val="24"/>
        </w:rPr>
      </w:pPr>
      <w:r w:rsidRPr="0005598B">
        <w:rPr>
          <w:rFonts w:ascii="Arial" w:hAnsi="Arial" w:cs="Arial"/>
          <w:sz w:val="24"/>
          <w:szCs w:val="24"/>
        </w:rPr>
        <w:t>References List</w:t>
      </w:r>
    </w:p>
    <w:p w14:paraId="719F4F7B"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(2010a) </w:t>
      </w:r>
      <w:proofErr w:type="spellStart"/>
      <w:r w:rsidRPr="0005598B">
        <w:rPr>
          <w:rFonts w:ascii="Arial" w:hAnsi="Arial" w:cs="Arial"/>
          <w:i/>
          <w:iCs/>
        </w:rPr>
        <w:t>Analysing</w:t>
      </w:r>
      <w:proofErr w:type="spellEnd"/>
      <w:r w:rsidRPr="0005598B">
        <w:rPr>
          <w:rFonts w:ascii="Arial" w:hAnsi="Arial" w:cs="Arial"/>
          <w:i/>
          <w:iCs/>
        </w:rPr>
        <w:t xml:space="preserve"> and measuring social inclusion in a global context</w:t>
      </w:r>
      <w:r w:rsidRPr="0005598B">
        <w:rPr>
          <w:rFonts w:ascii="Arial" w:hAnsi="Arial" w:cs="Arial"/>
        </w:rPr>
        <w:t xml:space="preserve">. Available at: https://www.un.org/esa/socdev/publications/measuring-social-inclusion.pdf (Accessed: 01 January 2024). </w:t>
      </w:r>
    </w:p>
    <w:p w14:paraId="07B91F0B"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(2010b) </w:t>
      </w:r>
      <w:r w:rsidRPr="0005598B">
        <w:rPr>
          <w:rFonts w:ascii="Arial" w:hAnsi="Arial" w:cs="Arial"/>
          <w:i/>
          <w:iCs/>
        </w:rPr>
        <w:t>Community mobilization - community-based rehabilitation: CBR guidelines ...</w:t>
      </w:r>
      <w:r w:rsidRPr="0005598B">
        <w:rPr>
          <w:rFonts w:ascii="Arial" w:hAnsi="Arial" w:cs="Arial"/>
        </w:rPr>
        <w:t xml:space="preserve"> Available at: https://www.ncbi.nlm.nih.gov/books/NBK310937/ (Accessed: 01 January 2024). </w:t>
      </w:r>
    </w:p>
    <w:p w14:paraId="63E89820"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(2015) </w:t>
      </w:r>
      <w:r w:rsidRPr="0005598B">
        <w:rPr>
          <w:rFonts w:ascii="Arial" w:hAnsi="Arial" w:cs="Arial"/>
          <w:i/>
          <w:iCs/>
        </w:rPr>
        <w:t>Importance of police-community - department of justice</w:t>
      </w:r>
      <w:r w:rsidRPr="0005598B">
        <w:rPr>
          <w:rFonts w:ascii="Arial" w:hAnsi="Arial" w:cs="Arial"/>
        </w:rPr>
        <w:t xml:space="preserve">. Available at: https://www.justice.gov/file/1437336/download (Accessed: 01 January 2024). </w:t>
      </w:r>
    </w:p>
    <w:p w14:paraId="6D20E721"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Brame, C. (1970) </w:t>
      </w:r>
      <w:r w:rsidRPr="0005598B">
        <w:rPr>
          <w:rFonts w:ascii="Arial" w:hAnsi="Arial" w:cs="Arial"/>
          <w:i/>
          <w:iCs/>
        </w:rPr>
        <w:t>Group work: Using cooperative learning groups effectively</w:t>
      </w:r>
      <w:r w:rsidRPr="0005598B">
        <w:rPr>
          <w:rFonts w:ascii="Arial" w:hAnsi="Arial" w:cs="Arial"/>
        </w:rPr>
        <w:t xml:space="preserve">, </w:t>
      </w:r>
      <w:r w:rsidRPr="0005598B">
        <w:rPr>
          <w:rFonts w:ascii="Arial" w:hAnsi="Arial" w:cs="Arial"/>
          <w:i/>
          <w:iCs/>
        </w:rPr>
        <w:t>Vanderbilt University</w:t>
      </w:r>
      <w:r w:rsidRPr="0005598B">
        <w:rPr>
          <w:rFonts w:ascii="Arial" w:hAnsi="Arial" w:cs="Arial"/>
        </w:rPr>
        <w:t xml:space="preserve">. Available at: https://cft.vanderbilt.edu/guides-sub-pages/setting-up-and-facilitating-group-work-using-cooperative-learning-groups-effectively/ (Accessed: 01 January 2024). </w:t>
      </w:r>
    </w:p>
    <w:p w14:paraId="224FBF39" w14:textId="77777777" w:rsidR="00757485" w:rsidRPr="0005598B" w:rsidRDefault="00000000" w:rsidP="0005598B">
      <w:pPr>
        <w:pStyle w:val="NormalWeb"/>
        <w:ind w:left="567" w:hanging="567"/>
        <w:rPr>
          <w:rFonts w:ascii="Arial" w:hAnsi="Arial" w:cs="Arial"/>
        </w:rPr>
      </w:pPr>
      <w:proofErr w:type="spellStart"/>
      <w:r w:rsidRPr="0005598B">
        <w:rPr>
          <w:rFonts w:ascii="Arial" w:hAnsi="Arial" w:cs="Arial"/>
        </w:rPr>
        <w:t>Desbrow</w:t>
      </w:r>
      <w:proofErr w:type="spellEnd"/>
      <w:r w:rsidRPr="0005598B">
        <w:rPr>
          <w:rFonts w:ascii="Arial" w:hAnsi="Arial" w:cs="Arial"/>
        </w:rPr>
        <w:t xml:space="preserve">, P.C. (2016) </w:t>
      </w:r>
      <w:r w:rsidRPr="0005598B">
        <w:rPr>
          <w:rFonts w:ascii="Arial" w:hAnsi="Arial" w:cs="Arial"/>
          <w:i/>
          <w:iCs/>
        </w:rPr>
        <w:t>Home</w:t>
      </w:r>
      <w:r w:rsidRPr="0005598B">
        <w:rPr>
          <w:rFonts w:ascii="Arial" w:hAnsi="Arial" w:cs="Arial"/>
        </w:rPr>
        <w:t xml:space="preserve">, </w:t>
      </w:r>
      <w:r w:rsidRPr="0005598B">
        <w:rPr>
          <w:rFonts w:ascii="Arial" w:hAnsi="Arial" w:cs="Arial"/>
          <w:i/>
          <w:iCs/>
        </w:rPr>
        <w:t>Leadership</w:t>
      </w:r>
      <w:r w:rsidRPr="0005598B">
        <w:rPr>
          <w:rFonts w:ascii="Arial" w:hAnsi="Arial" w:cs="Arial"/>
        </w:rPr>
        <w:t xml:space="preserve">. Available at: https://sites.psu.edu/leadership/2016/03/12/transformational-leadership-through-power-and-influence/ (Accessed: 01 January 2024). </w:t>
      </w:r>
    </w:p>
    <w:p w14:paraId="6867A647" w14:textId="5A9D22A2" w:rsidR="00757485" w:rsidRPr="0005598B" w:rsidRDefault="00000000" w:rsidP="0005598B">
      <w:pPr>
        <w:pStyle w:val="NormalWeb"/>
        <w:ind w:left="567" w:hanging="567"/>
        <w:rPr>
          <w:rFonts w:ascii="Arial" w:hAnsi="Arial" w:cs="Arial"/>
        </w:rPr>
      </w:pPr>
      <w:r w:rsidRPr="0005598B">
        <w:rPr>
          <w:rFonts w:ascii="Arial" w:hAnsi="Arial" w:cs="Arial"/>
        </w:rPr>
        <w:t xml:space="preserve">Heravi, A., Coffey, V. and </w:t>
      </w:r>
      <w:proofErr w:type="spellStart"/>
      <w:r w:rsidRPr="0005598B">
        <w:rPr>
          <w:rFonts w:ascii="Arial" w:hAnsi="Arial" w:cs="Arial"/>
        </w:rPr>
        <w:t>Trigunarsyah</w:t>
      </w:r>
      <w:proofErr w:type="spellEnd"/>
      <w:r w:rsidRPr="0005598B">
        <w:rPr>
          <w:rFonts w:ascii="Arial" w:hAnsi="Arial" w:cs="Arial"/>
        </w:rPr>
        <w:t xml:space="preserve">, B. (2015) ‘Evaluating the level of stakeholder involvement during the project planning processes of building projects’, </w:t>
      </w:r>
      <w:r w:rsidRPr="0005598B">
        <w:rPr>
          <w:rFonts w:ascii="Arial" w:hAnsi="Arial" w:cs="Arial"/>
          <w:i/>
          <w:iCs/>
        </w:rPr>
        <w:t>International Journal of Project Management</w:t>
      </w:r>
      <w:r w:rsidRPr="0005598B">
        <w:rPr>
          <w:rFonts w:ascii="Arial" w:hAnsi="Arial" w:cs="Arial"/>
        </w:rPr>
        <w:t xml:space="preserve">, 33(5), pp. 985–997. </w:t>
      </w:r>
      <w:r w:rsidR="00DC456C" w:rsidRPr="0005598B">
        <w:rPr>
          <w:rFonts w:ascii="Arial" w:hAnsi="Arial" w:cs="Arial"/>
        </w:rPr>
        <w:t>Doi: 10.1016/j.ijproman</w:t>
      </w:r>
      <w:r w:rsidRPr="0005598B">
        <w:rPr>
          <w:rFonts w:ascii="Arial" w:hAnsi="Arial" w:cs="Arial"/>
        </w:rPr>
        <w:t xml:space="preserve">.2014.12.007. </w:t>
      </w:r>
    </w:p>
    <w:p w14:paraId="6B62D0F3"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Knox, K. and Parkinson, J. (2020) ‘Plural rationality approach to stakeholder engagement’, </w:t>
      </w:r>
      <w:r w:rsidRPr="0005598B">
        <w:rPr>
          <w:rFonts w:ascii="Arial" w:hAnsi="Arial" w:cs="Arial"/>
          <w:i/>
          <w:iCs/>
        </w:rPr>
        <w:t>Stakeholder Involvement in Social Marketing</w:t>
      </w:r>
      <w:r w:rsidRPr="0005598B">
        <w:rPr>
          <w:rFonts w:ascii="Arial" w:hAnsi="Arial" w:cs="Arial"/>
        </w:rPr>
        <w:t xml:space="preserve">, pp. 150–175. doi:10.4324/9780429055898-10. </w:t>
      </w:r>
    </w:p>
    <w:p w14:paraId="48F6EE57" w14:textId="77777777" w:rsidR="00757485" w:rsidRPr="0005598B" w:rsidRDefault="00000000" w:rsidP="0005598B">
      <w:pPr>
        <w:pStyle w:val="NormalWeb"/>
        <w:ind w:left="567" w:hanging="567"/>
        <w:rPr>
          <w:rFonts w:ascii="Arial" w:hAnsi="Arial" w:cs="Arial"/>
        </w:rPr>
      </w:pPr>
      <w:r w:rsidRPr="0005598B">
        <w:rPr>
          <w:rFonts w:ascii="Arial" w:hAnsi="Arial" w:cs="Arial"/>
        </w:rPr>
        <w:t>Martini, U., Buffa, F. and Notaro</w:t>
      </w:r>
      <w:r w:rsidRPr="0005598B">
        <w:rPr>
          <w:rFonts w:ascii="Arial" w:hAnsi="Arial" w:cs="Arial"/>
        </w:rPr>
        <w:t xml:space="preserve">, S. (2017) ‘Community participation, natural resource management and the creation of innovative tourism products: Evidence from Italian networks of reserves in the Alps’, </w:t>
      </w:r>
      <w:r w:rsidRPr="0005598B">
        <w:rPr>
          <w:rFonts w:ascii="Arial" w:hAnsi="Arial" w:cs="Arial"/>
          <w:i/>
          <w:iCs/>
        </w:rPr>
        <w:t>Sustainability</w:t>
      </w:r>
      <w:r w:rsidRPr="0005598B">
        <w:rPr>
          <w:rFonts w:ascii="Arial" w:hAnsi="Arial" w:cs="Arial"/>
        </w:rPr>
        <w:t xml:space="preserve">, 9(12), p. 2314. doi:10.3390/su9122314. </w:t>
      </w:r>
    </w:p>
    <w:p w14:paraId="44226762"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Setia, S. </w:t>
      </w:r>
      <w:r w:rsidRPr="0005598B">
        <w:rPr>
          <w:rFonts w:ascii="Arial" w:hAnsi="Arial" w:cs="Arial"/>
          <w:i/>
          <w:iCs/>
        </w:rPr>
        <w:t>et al.</w:t>
      </w:r>
      <w:r w:rsidRPr="0005598B">
        <w:rPr>
          <w:rFonts w:ascii="Arial" w:hAnsi="Arial" w:cs="Arial"/>
        </w:rPr>
        <w:t xml:space="preserve"> (2022) ‘Success4life youth empowerment for promoting well-being and Boosting Mental Health: Protocol for an experimental study’, </w:t>
      </w:r>
      <w:r w:rsidRPr="0005598B">
        <w:rPr>
          <w:rFonts w:ascii="Arial" w:hAnsi="Arial" w:cs="Arial"/>
          <w:i/>
          <w:iCs/>
        </w:rPr>
        <w:t>JMIR Research Protocols</w:t>
      </w:r>
      <w:r w:rsidRPr="0005598B">
        <w:rPr>
          <w:rFonts w:ascii="Arial" w:hAnsi="Arial" w:cs="Arial"/>
        </w:rPr>
        <w:t xml:space="preserve">, 11(9). doi:10.2196/38463. </w:t>
      </w:r>
    </w:p>
    <w:p w14:paraId="76E4E407" w14:textId="77777777" w:rsidR="00757485" w:rsidRPr="0005598B" w:rsidRDefault="00000000" w:rsidP="0005598B">
      <w:pPr>
        <w:pStyle w:val="NormalWeb"/>
        <w:ind w:left="567" w:hanging="567"/>
        <w:rPr>
          <w:rFonts w:ascii="Arial" w:hAnsi="Arial" w:cs="Arial"/>
        </w:rPr>
      </w:pPr>
      <w:r w:rsidRPr="0005598B">
        <w:rPr>
          <w:rFonts w:ascii="Arial" w:hAnsi="Arial" w:cs="Arial"/>
          <w:i/>
          <w:iCs/>
        </w:rPr>
        <w:t>Sustainable communities</w:t>
      </w:r>
      <w:r w:rsidRPr="0005598B">
        <w:rPr>
          <w:rFonts w:ascii="Arial" w:hAnsi="Arial" w:cs="Arial"/>
        </w:rPr>
        <w:t xml:space="preserve"> (2023) </w:t>
      </w:r>
      <w:r w:rsidRPr="0005598B">
        <w:rPr>
          <w:rFonts w:ascii="Arial" w:hAnsi="Arial" w:cs="Arial"/>
          <w:i/>
          <w:iCs/>
        </w:rPr>
        <w:t>Initiatives of Change UK</w:t>
      </w:r>
      <w:r w:rsidRPr="0005598B">
        <w:rPr>
          <w:rFonts w:ascii="Arial" w:hAnsi="Arial" w:cs="Arial"/>
        </w:rPr>
        <w:t xml:space="preserve">. Available at: https://iofc.org.uk/initiatives/sustainable-communities/ (Accessed: 01 January 2024). </w:t>
      </w:r>
    </w:p>
    <w:p w14:paraId="460CE10C" w14:textId="77777777" w:rsidR="00757485" w:rsidRPr="0005598B" w:rsidRDefault="00000000" w:rsidP="0005598B">
      <w:pPr>
        <w:pStyle w:val="NormalWeb"/>
        <w:ind w:left="567" w:hanging="567"/>
        <w:rPr>
          <w:rFonts w:ascii="Arial" w:hAnsi="Arial" w:cs="Arial"/>
        </w:rPr>
      </w:pPr>
      <w:r w:rsidRPr="0005598B">
        <w:rPr>
          <w:rFonts w:ascii="Arial" w:hAnsi="Arial" w:cs="Arial"/>
        </w:rPr>
        <w:lastRenderedPageBreak/>
        <w:t xml:space="preserve">Thameem (2023) </w:t>
      </w:r>
      <w:r w:rsidRPr="0005598B">
        <w:rPr>
          <w:rFonts w:ascii="Arial" w:hAnsi="Arial" w:cs="Arial"/>
          <w:i/>
          <w:iCs/>
        </w:rPr>
        <w:t>Cultivating connections: A guide to building strong relationships</w:t>
      </w:r>
      <w:r w:rsidRPr="0005598B">
        <w:rPr>
          <w:rFonts w:ascii="Arial" w:hAnsi="Arial" w:cs="Arial"/>
        </w:rPr>
        <w:t xml:space="preserve">, </w:t>
      </w:r>
      <w:r w:rsidRPr="0005598B">
        <w:rPr>
          <w:rFonts w:ascii="Arial" w:hAnsi="Arial" w:cs="Arial"/>
          <w:i/>
          <w:iCs/>
        </w:rPr>
        <w:t xml:space="preserve">Lessons </w:t>
      </w:r>
      <w:proofErr w:type="gramStart"/>
      <w:r w:rsidRPr="0005598B">
        <w:rPr>
          <w:rFonts w:ascii="Arial" w:hAnsi="Arial" w:cs="Arial"/>
          <w:i/>
          <w:iCs/>
        </w:rPr>
        <w:t>Of</w:t>
      </w:r>
      <w:proofErr w:type="gramEnd"/>
      <w:r w:rsidRPr="0005598B">
        <w:rPr>
          <w:rFonts w:ascii="Arial" w:hAnsi="Arial" w:cs="Arial"/>
          <w:i/>
          <w:iCs/>
        </w:rPr>
        <w:t xml:space="preserve"> Life</w:t>
      </w:r>
      <w:r w:rsidRPr="0005598B">
        <w:rPr>
          <w:rFonts w:ascii="Arial" w:hAnsi="Arial" w:cs="Arial"/>
        </w:rPr>
        <w:t xml:space="preserve">. Available at: https://lessonsoflife101.com/cultivating-connections-a-guide-to-building-strong-relationships/ (Accessed: 01 January 2024). </w:t>
      </w:r>
    </w:p>
    <w:p w14:paraId="7722509D" w14:textId="77777777" w:rsidR="00757485" w:rsidRPr="0005598B" w:rsidRDefault="00000000" w:rsidP="0005598B">
      <w:pPr>
        <w:pStyle w:val="NormalWeb"/>
        <w:ind w:left="567" w:hanging="567"/>
        <w:rPr>
          <w:rFonts w:ascii="Arial" w:hAnsi="Arial" w:cs="Arial"/>
        </w:rPr>
      </w:pPr>
      <w:r w:rsidRPr="0005598B">
        <w:rPr>
          <w:rFonts w:ascii="Arial" w:hAnsi="Arial" w:cs="Arial"/>
          <w:i/>
          <w:iCs/>
        </w:rPr>
        <w:t>What are the benefits of sustainable development?</w:t>
      </w:r>
      <w:r w:rsidRPr="0005598B">
        <w:rPr>
          <w:rFonts w:ascii="Arial" w:hAnsi="Arial" w:cs="Arial"/>
        </w:rPr>
        <w:t xml:space="preserve"> (2012) </w:t>
      </w:r>
      <w:r w:rsidRPr="0005598B">
        <w:rPr>
          <w:rFonts w:ascii="Arial" w:hAnsi="Arial" w:cs="Arial"/>
          <w:i/>
          <w:iCs/>
        </w:rPr>
        <w:t>Enel X</w:t>
      </w:r>
      <w:r w:rsidRPr="0005598B">
        <w:rPr>
          <w:rFonts w:ascii="Arial" w:hAnsi="Arial" w:cs="Arial"/>
        </w:rPr>
        <w:t xml:space="preserve">. Available at: https://corporate.enelx.com/en/question-and-answers/benefits-of-sustainable-development (Accessed: 01 January 2024). </w:t>
      </w:r>
    </w:p>
    <w:p w14:paraId="7A7B8D45" w14:textId="77777777" w:rsidR="00757485" w:rsidRPr="0005598B" w:rsidRDefault="00000000" w:rsidP="0005598B">
      <w:pPr>
        <w:pStyle w:val="NormalWeb"/>
        <w:ind w:left="567" w:hanging="567"/>
        <w:rPr>
          <w:rFonts w:ascii="Arial" w:hAnsi="Arial" w:cs="Arial"/>
        </w:rPr>
      </w:pPr>
      <w:r w:rsidRPr="0005598B">
        <w:rPr>
          <w:rFonts w:ascii="Arial" w:hAnsi="Arial" w:cs="Arial"/>
          <w:i/>
          <w:iCs/>
        </w:rPr>
        <w:t>What is influencer marketing: How to develop your strategy</w:t>
      </w:r>
      <w:r w:rsidRPr="0005598B">
        <w:rPr>
          <w:rFonts w:ascii="Arial" w:hAnsi="Arial" w:cs="Arial"/>
        </w:rPr>
        <w:t xml:space="preserve"> (2023) </w:t>
      </w:r>
      <w:r w:rsidRPr="0005598B">
        <w:rPr>
          <w:rFonts w:ascii="Arial" w:hAnsi="Arial" w:cs="Arial"/>
          <w:i/>
          <w:iCs/>
        </w:rPr>
        <w:t>Sprout Social</w:t>
      </w:r>
      <w:r w:rsidRPr="0005598B">
        <w:rPr>
          <w:rFonts w:ascii="Arial" w:hAnsi="Arial" w:cs="Arial"/>
        </w:rPr>
        <w:t xml:space="preserve">. Available at: https://sproutsocial.com/insights/influencer-marketing/ (Accessed: 01 January 2024). </w:t>
      </w:r>
    </w:p>
    <w:p w14:paraId="70E78208"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‘Building urban habitats’ (2022) </w:t>
      </w:r>
      <w:r w:rsidRPr="0005598B">
        <w:rPr>
          <w:rFonts w:ascii="Arial" w:hAnsi="Arial" w:cs="Arial"/>
          <w:i/>
          <w:iCs/>
        </w:rPr>
        <w:t>Living with Yards</w:t>
      </w:r>
      <w:r w:rsidRPr="0005598B">
        <w:rPr>
          <w:rFonts w:ascii="Arial" w:hAnsi="Arial" w:cs="Arial"/>
        </w:rPr>
        <w:t xml:space="preserve">, pp. 27–52. doi:10.1515/9780228009771-003. </w:t>
      </w:r>
    </w:p>
    <w:p w14:paraId="7C745162" w14:textId="77777777" w:rsidR="00757485" w:rsidRPr="0005598B" w:rsidRDefault="00000000" w:rsidP="0005598B">
      <w:pPr>
        <w:pStyle w:val="NormalWeb"/>
        <w:ind w:left="567" w:hanging="567"/>
        <w:rPr>
          <w:rFonts w:ascii="Arial" w:hAnsi="Arial" w:cs="Arial"/>
        </w:rPr>
      </w:pPr>
      <w:r w:rsidRPr="0005598B">
        <w:rPr>
          <w:rFonts w:ascii="Arial" w:hAnsi="Arial" w:cs="Arial"/>
        </w:rPr>
        <w:t xml:space="preserve">‘Project Management plans’ (2009) </w:t>
      </w:r>
      <w:r w:rsidRPr="0005598B">
        <w:rPr>
          <w:rFonts w:ascii="Arial" w:hAnsi="Arial" w:cs="Arial"/>
          <w:i/>
          <w:iCs/>
        </w:rPr>
        <w:t>The Complete Project Management Methodology and Toolkit</w:t>
      </w:r>
      <w:r w:rsidRPr="0005598B">
        <w:rPr>
          <w:rFonts w:ascii="Arial" w:hAnsi="Arial" w:cs="Arial"/>
        </w:rPr>
        <w:t xml:space="preserve">, pp. 131–138. doi:10.1201/9781439801550-14. </w:t>
      </w:r>
    </w:p>
    <w:p w14:paraId="15630CC6" w14:textId="77777777" w:rsidR="00757485" w:rsidRPr="0005598B" w:rsidRDefault="00757485" w:rsidP="0005598B">
      <w:pPr>
        <w:rPr>
          <w:rFonts w:ascii="Arial" w:hAnsi="Arial" w:cs="Arial"/>
          <w:sz w:val="24"/>
          <w:szCs w:val="24"/>
        </w:rPr>
      </w:pPr>
    </w:p>
    <w:p w14:paraId="13EDB843" w14:textId="77777777" w:rsidR="00757485" w:rsidRPr="0005598B" w:rsidRDefault="00757485" w:rsidP="0005598B">
      <w:pPr>
        <w:rPr>
          <w:rFonts w:ascii="Arial" w:hAnsi="Arial" w:cs="Arial"/>
          <w:sz w:val="24"/>
          <w:szCs w:val="24"/>
        </w:rPr>
      </w:pPr>
    </w:p>
    <w:p w14:paraId="21C29BE3" w14:textId="77777777" w:rsidR="00757485" w:rsidRPr="0005598B" w:rsidRDefault="00757485" w:rsidP="0005598B">
      <w:pPr>
        <w:rPr>
          <w:rFonts w:ascii="Arial" w:hAnsi="Arial" w:cs="Arial"/>
          <w:b/>
          <w:bCs/>
          <w:sz w:val="24"/>
          <w:szCs w:val="24"/>
        </w:rPr>
      </w:pPr>
    </w:p>
    <w:p w14:paraId="41E31A1F" w14:textId="77777777" w:rsidR="00757485" w:rsidRPr="0005598B" w:rsidRDefault="00757485" w:rsidP="0005598B">
      <w:pPr>
        <w:rPr>
          <w:rFonts w:ascii="Arial" w:hAnsi="Arial" w:cs="Arial"/>
          <w:b/>
          <w:bCs/>
          <w:sz w:val="24"/>
          <w:szCs w:val="24"/>
        </w:rPr>
      </w:pPr>
    </w:p>
    <w:p w14:paraId="406DFC1E" w14:textId="77777777" w:rsidR="00757485" w:rsidRPr="0005598B" w:rsidRDefault="00757485" w:rsidP="0005598B">
      <w:pPr>
        <w:rPr>
          <w:rFonts w:ascii="Arial" w:hAnsi="Arial" w:cs="Arial"/>
          <w:b/>
          <w:bCs/>
          <w:sz w:val="24"/>
          <w:szCs w:val="24"/>
        </w:rPr>
      </w:pPr>
    </w:p>
    <w:p w14:paraId="566DD11B" w14:textId="77777777" w:rsidR="00757485" w:rsidRPr="0005598B" w:rsidRDefault="00757485" w:rsidP="0005598B">
      <w:pPr>
        <w:rPr>
          <w:rFonts w:ascii="Arial" w:hAnsi="Arial" w:cs="Arial"/>
          <w:b/>
          <w:bCs/>
          <w:sz w:val="24"/>
          <w:szCs w:val="24"/>
        </w:rPr>
      </w:pPr>
    </w:p>
    <w:p w14:paraId="4DFBDA37" w14:textId="77777777" w:rsidR="00757485" w:rsidRPr="0005598B" w:rsidRDefault="00757485" w:rsidP="0005598B">
      <w:pPr>
        <w:rPr>
          <w:rFonts w:ascii="Arial" w:hAnsi="Arial" w:cs="Arial"/>
          <w:b/>
          <w:bCs/>
          <w:sz w:val="24"/>
          <w:szCs w:val="24"/>
        </w:rPr>
      </w:pPr>
    </w:p>
    <w:sectPr w:rsidR="00757485" w:rsidRPr="0005598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E82A7D2"/>
    <w:multiLevelType w:val="singleLevel"/>
    <w:tmpl w:val="DE82A7D2"/>
    <w:lvl w:ilvl="0">
      <w:start w:val="1"/>
      <w:numFmt w:val="bullet"/>
      <w:lvlText w:val=""/>
      <w:lvlJc w:val="left"/>
      <w:pPr>
        <w:tabs>
          <w:tab w:val="left" w:pos="420"/>
        </w:tabs>
        <w:ind w:left="420" w:hanging="420"/>
      </w:pPr>
      <w:rPr>
        <w:rFonts w:ascii="Wingdings" w:hAnsi="Wingdings" w:hint="default"/>
      </w:rPr>
    </w:lvl>
  </w:abstractNum>
  <w:num w:numId="1" w16cid:durableId="1226456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A850D3F"/>
    <w:rsid w:val="0005598B"/>
    <w:rsid w:val="003236FD"/>
    <w:rsid w:val="003306A3"/>
    <w:rsid w:val="004B0078"/>
    <w:rsid w:val="00757485"/>
    <w:rsid w:val="008B1949"/>
    <w:rsid w:val="008E1C54"/>
    <w:rsid w:val="00DC456C"/>
    <w:rsid w:val="053B1AE7"/>
    <w:rsid w:val="14DD1FEE"/>
    <w:rsid w:val="4A850D3F"/>
    <w:rsid w:val="51CE6571"/>
    <w:rsid w:val="6D3D05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97AD52"/>
  <w15:docId w15:val="{C936CE49-FAA1-EC41-AEF0-D47412F0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pPr>
      <w:spacing w:beforeAutospacing="1" w:afterAutospacing="1"/>
    </w:pPr>
    <w:rPr>
      <w:sz w:val="24"/>
      <w:szCs w:val="24"/>
      <w:lang w:val="en-US" w:eastAsia="zh-CN"/>
    </w:rPr>
  </w:style>
  <w:style w:type="paragraph" w:styleId="TOC1">
    <w:name w:val="toc 1"/>
    <w:basedOn w:val="Normal"/>
    <w:next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2779</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monao</dc:creator>
  <cp:lastModifiedBy>Vasile Viorel Bozga (2219837)</cp:lastModifiedBy>
  <cp:revision>2</cp:revision>
  <dcterms:created xsi:type="dcterms:W3CDTF">2024-01-02T09:41:00Z</dcterms:created>
  <dcterms:modified xsi:type="dcterms:W3CDTF">2024-01-02T09:41:00Z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1033-12.2.0.13359</vt:lpwstr>
  </property>
  <property fmtid="{D5CDD505-2E9C-101B-9397-08002B2CF9AE}" pid="3" name="ICV">
    <vt:lpwstr>65A75BC11FC8438EAA82F6A024E4195C_13</vt:lpwstr>
  </property>
</Properties>
</file>