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9105881"/>
        <w:docPartObj>
          <w:docPartGallery w:val="Cover Pages"/>
          <w:docPartUnique/>
        </w:docPartObj>
      </w:sdtPr>
      <w:sdtContent>
        <w:p w14:paraId="003CD104" w14:textId="7C002F7E" w:rsidR="00F0203B" w:rsidRDefault="00F0203B">
          <w:r>
            <w:rPr>
              <w:noProof/>
            </w:rPr>
            <mc:AlternateContent>
              <mc:Choice Requires="wpg">
                <w:drawing>
                  <wp:anchor distT="0" distB="0" distL="114300" distR="114300" simplePos="0" relativeHeight="251658240" behindDoc="1" locked="0" layoutInCell="1" allowOverlap="1" wp14:anchorId="382B2A0B" wp14:editId="6AF8CC8D">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1CD270" w14:textId="3D577D7D" w:rsidR="00F0203B" w:rsidRDefault="00F0203B">
                                      <w:pPr>
                                        <w:pStyle w:val="NoSpacing"/>
                                        <w:spacing w:before="120"/>
                                        <w:jc w:val="center"/>
                                        <w:rPr>
                                          <w:color w:val="FFFFFF" w:themeColor="background1"/>
                                        </w:rPr>
                                      </w:pPr>
                                      <w:r>
                                        <w:rPr>
                                          <w:color w:val="FFFFFF" w:themeColor="background1"/>
                                        </w:rPr>
                                        <w:t>Shane Groves</w:t>
                                      </w:r>
                                    </w:p>
                                  </w:sdtContent>
                                </w:sdt>
                                <w:p w14:paraId="69C1D11A" w14:textId="4A42FD84" w:rsidR="00F0203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0203B">
                                        <w:rPr>
                                          <w:caps/>
                                          <w:color w:val="FFFFFF" w:themeColor="background1"/>
                                        </w:rPr>
                                        <w:t>UWTSD</w:t>
                                      </w:r>
                                    </w:sdtContent>
                                  </w:sdt>
                                  <w:r w:rsidR="00F0203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0203B">
                                        <w:rPr>
                                          <w:color w:val="FFFFFF" w:themeColor="background1"/>
                                        </w:rPr>
                                        <w:t>2413879@student.uwtsd.ac.uk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C489E2" w14:textId="04F9AE8E" w:rsidR="00F0203B" w:rsidRDefault="00F0203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Research and Case Scenario in Data Security and Compliance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2B2A0B"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1CD270" w14:textId="3D577D7D" w:rsidR="00F0203B" w:rsidRDefault="00F0203B">
                                <w:pPr>
                                  <w:pStyle w:val="NoSpacing"/>
                                  <w:spacing w:before="120"/>
                                  <w:jc w:val="center"/>
                                  <w:rPr>
                                    <w:color w:val="FFFFFF" w:themeColor="background1"/>
                                  </w:rPr>
                                </w:pPr>
                                <w:r>
                                  <w:rPr>
                                    <w:color w:val="FFFFFF" w:themeColor="background1"/>
                                  </w:rPr>
                                  <w:t>Shane Groves</w:t>
                                </w:r>
                              </w:p>
                            </w:sdtContent>
                          </w:sdt>
                          <w:p w14:paraId="69C1D11A" w14:textId="4A42FD84" w:rsidR="00F0203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0203B">
                                  <w:rPr>
                                    <w:caps/>
                                    <w:color w:val="FFFFFF" w:themeColor="background1"/>
                                  </w:rPr>
                                  <w:t>UWTSD</w:t>
                                </w:r>
                              </w:sdtContent>
                            </w:sdt>
                            <w:r w:rsidR="00F0203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0203B">
                                  <w:rPr>
                                    <w:color w:val="FFFFFF" w:themeColor="background1"/>
                                  </w:rPr>
                                  <w:t>2413879@student.uwtsd.ac.uk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C489E2" w14:textId="04F9AE8E" w:rsidR="00F0203B" w:rsidRDefault="00F0203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Research and Case Scenario in Data Security and Compliance</w:t>
                                </w:r>
                              </w:p>
                            </w:sdtContent>
                          </w:sdt>
                        </w:txbxContent>
                      </v:textbox>
                    </v:shape>
                    <w10:wrap anchorx="page" anchory="page"/>
                  </v:group>
                </w:pict>
              </mc:Fallback>
            </mc:AlternateContent>
          </w:r>
        </w:p>
        <w:p w14:paraId="5989D7D3" w14:textId="1D0C22B6" w:rsidR="00F0203B" w:rsidRDefault="00F0203B">
          <w:r>
            <w:br w:type="page"/>
          </w:r>
        </w:p>
      </w:sdtContent>
    </w:sdt>
    <w:sdt>
      <w:sdtPr>
        <w:rPr>
          <w:rFonts w:asciiTheme="minorHAnsi" w:eastAsiaTheme="minorHAnsi" w:hAnsiTheme="minorHAnsi" w:cstheme="minorBidi"/>
          <w:color w:val="auto"/>
          <w:kern w:val="2"/>
          <w:sz w:val="24"/>
          <w:szCs w:val="24"/>
          <w:lang w:val="en-GB"/>
          <w14:ligatures w14:val="standardContextual"/>
        </w:rPr>
        <w:id w:val="-2030019812"/>
        <w:docPartObj>
          <w:docPartGallery w:val="Table of Contents"/>
          <w:docPartUnique/>
        </w:docPartObj>
      </w:sdtPr>
      <w:sdtEndPr>
        <w:rPr>
          <w:b/>
          <w:bCs/>
          <w:noProof/>
        </w:rPr>
      </w:sdtEndPr>
      <w:sdtContent>
        <w:p w14:paraId="06F5A703" w14:textId="4E73974D" w:rsidR="00A56519" w:rsidRDefault="00A56519">
          <w:pPr>
            <w:pStyle w:val="TOCHeading"/>
          </w:pPr>
          <w:r>
            <w:t>Table of Contents</w:t>
          </w:r>
        </w:p>
        <w:p w14:paraId="2504F605" w14:textId="3C2918E9" w:rsidR="00A93C46" w:rsidRDefault="00A565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76425" w:history="1">
            <w:r w:rsidR="00A93C46" w:rsidRPr="000D2B12">
              <w:rPr>
                <w:rStyle w:val="Hyperlink"/>
                <w:noProof/>
              </w:rPr>
              <w:t>Introduction:</w:t>
            </w:r>
            <w:r w:rsidR="00A93C46">
              <w:rPr>
                <w:noProof/>
                <w:webHidden/>
              </w:rPr>
              <w:tab/>
            </w:r>
            <w:r w:rsidR="00A93C46">
              <w:rPr>
                <w:noProof/>
                <w:webHidden/>
              </w:rPr>
              <w:fldChar w:fldCharType="begin"/>
            </w:r>
            <w:r w:rsidR="00A93C46">
              <w:rPr>
                <w:noProof/>
                <w:webHidden/>
              </w:rPr>
              <w:instrText xml:space="preserve"> PAGEREF _Toc235976425 \h </w:instrText>
            </w:r>
            <w:r w:rsidR="00A93C46">
              <w:rPr>
                <w:noProof/>
                <w:webHidden/>
              </w:rPr>
            </w:r>
            <w:r w:rsidR="00A93C46">
              <w:rPr>
                <w:noProof/>
                <w:webHidden/>
              </w:rPr>
              <w:fldChar w:fldCharType="separate"/>
            </w:r>
            <w:r w:rsidR="00A93C46">
              <w:rPr>
                <w:noProof/>
                <w:webHidden/>
              </w:rPr>
              <w:t>1</w:t>
            </w:r>
            <w:r w:rsidR="00A93C46">
              <w:rPr>
                <w:noProof/>
                <w:webHidden/>
              </w:rPr>
              <w:fldChar w:fldCharType="end"/>
            </w:r>
          </w:hyperlink>
        </w:p>
        <w:p w14:paraId="4A5EE765" w14:textId="0D81F33D" w:rsidR="00A93C46" w:rsidRDefault="00A93C46">
          <w:pPr>
            <w:pStyle w:val="TOC1"/>
            <w:tabs>
              <w:tab w:val="right" w:leader="dot" w:pos="9016"/>
            </w:tabs>
            <w:rPr>
              <w:rFonts w:eastAsiaTheme="minorEastAsia"/>
              <w:noProof/>
              <w:lang w:eastAsia="en-GB"/>
            </w:rPr>
          </w:pPr>
          <w:hyperlink w:anchor="_Toc235976426" w:history="1">
            <w:r w:rsidRPr="000D2B12">
              <w:rPr>
                <w:rStyle w:val="Hyperlink"/>
                <w:noProof/>
              </w:rPr>
              <w:t>Task 1 – Securing Cloud and Hybrid Environments: Strategies for Mitigating Risks through Cloud Security Posture Management and Zero Trust Principles  Introduction</w:t>
            </w:r>
            <w:r>
              <w:rPr>
                <w:noProof/>
                <w:webHidden/>
              </w:rPr>
              <w:tab/>
            </w:r>
            <w:r>
              <w:rPr>
                <w:noProof/>
                <w:webHidden/>
              </w:rPr>
              <w:fldChar w:fldCharType="begin"/>
            </w:r>
            <w:r>
              <w:rPr>
                <w:noProof/>
                <w:webHidden/>
              </w:rPr>
              <w:instrText xml:space="preserve"> PAGEREF _Toc235976426 \h </w:instrText>
            </w:r>
            <w:r>
              <w:rPr>
                <w:noProof/>
                <w:webHidden/>
              </w:rPr>
            </w:r>
            <w:r>
              <w:rPr>
                <w:noProof/>
                <w:webHidden/>
              </w:rPr>
              <w:fldChar w:fldCharType="separate"/>
            </w:r>
            <w:r>
              <w:rPr>
                <w:noProof/>
                <w:webHidden/>
              </w:rPr>
              <w:t>2</w:t>
            </w:r>
            <w:r>
              <w:rPr>
                <w:noProof/>
                <w:webHidden/>
              </w:rPr>
              <w:fldChar w:fldCharType="end"/>
            </w:r>
          </w:hyperlink>
        </w:p>
        <w:p w14:paraId="35DFF5C5" w14:textId="0AD44937" w:rsidR="00A93C46" w:rsidRDefault="00A93C46">
          <w:pPr>
            <w:pStyle w:val="TOC2"/>
            <w:tabs>
              <w:tab w:val="right" w:leader="dot" w:pos="9016"/>
            </w:tabs>
            <w:rPr>
              <w:rFonts w:eastAsiaTheme="minorEastAsia"/>
              <w:noProof/>
              <w:lang w:eastAsia="en-GB"/>
            </w:rPr>
          </w:pPr>
          <w:hyperlink w:anchor="_Toc235976427" w:history="1">
            <w:r w:rsidRPr="000D2B12">
              <w:rPr>
                <w:rStyle w:val="Hyperlink"/>
                <w:noProof/>
              </w:rPr>
              <w:t>The Evolution of Cloud and Hybrid Environments</w:t>
            </w:r>
            <w:r>
              <w:rPr>
                <w:noProof/>
                <w:webHidden/>
              </w:rPr>
              <w:tab/>
            </w:r>
            <w:r>
              <w:rPr>
                <w:noProof/>
                <w:webHidden/>
              </w:rPr>
              <w:fldChar w:fldCharType="begin"/>
            </w:r>
            <w:r>
              <w:rPr>
                <w:noProof/>
                <w:webHidden/>
              </w:rPr>
              <w:instrText xml:space="preserve"> PAGEREF _Toc235976427 \h </w:instrText>
            </w:r>
            <w:r>
              <w:rPr>
                <w:noProof/>
                <w:webHidden/>
              </w:rPr>
            </w:r>
            <w:r>
              <w:rPr>
                <w:noProof/>
                <w:webHidden/>
              </w:rPr>
              <w:fldChar w:fldCharType="separate"/>
            </w:r>
            <w:r>
              <w:rPr>
                <w:noProof/>
                <w:webHidden/>
              </w:rPr>
              <w:t>3</w:t>
            </w:r>
            <w:r>
              <w:rPr>
                <w:noProof/>
                <w:webHidden/>
              </w:rPr>
              <w:fldChar w:fldCharType="end"/>
            </w:r>
          </w:hyperlink>
        </w:p>
        <w:p w14:paraId="6BE44581" w14:textId="3F12382D" w:rsidR="00A93C46" w:rsidRDefault="00A93C46">
          <w:pPr>
            <w:pStyle w:val="TOC2"/>
            <w:tabs>
              <w:tab w:val="right" w:leader="dot" w:pos="9016"/>
            </w:tabs>
            <w:rPr>
              <w:rFonts w:eastAsiaTheme="minorEastAsia"/>
              <w:noProof/>
              <w:lang w:eastAsia="en-GB"/>
            </w:rPr>
          </w:pPr>
          <w:hyperlink w:anchor="_Toc235976428" w:history="1">
            <w:r w:rsidRPr="000D2B12">
              <w:rPr>
                <w:rStyle w:val="Hyperlink"/>
                <w:noProof/>
              </w:rPr>
              <w:t>Cybersecurity Threats in Cloud and Hybrid Environments</w:t>
            </w:r>
            <w:r>
              <w:rPr>
                <w:noProof/>
                <w:webHidden/>
              </w:rPr>
              <w:tab/>
            </w:r>
            <w:r>
              <w:rPr>
                <w:noProof/>
                <w:webHidden/>
              </w:rPr>
              <w:fldChar w:fldCharType="begin"/>
            </w:r>
            <w:r>
              <w:rPr>
                <w:noProof/>
                <w:webHidden/>
              </w:rPr>
              <w:instrText xml:space="preserve"> PAGEREF _Toc235976428 \h </w:instrText>
            </w:r>
            <w:r>
              <w:rPr>
                <w:noProof/>
                <w:webHidden/>
              </w:rPr>
            </w:r>
            <w:r>
              <w:rPr>
                <w:noProof/>
                <w:webHidden/>
              </w:rPr>
              <w:fldChar w:fldCharType="separate"/>
            </w:r>
            <w:r>
              <w:rPr>
                <w:noProof/>
                <w:webHidden/>
              </w:rPr>
              <w:t>3</w:t>
            </w:r>
            <w:r>
              <w:rPr>
                <w:noProof/>
                <w:webHidden/>
              </w:rPr>
              <w:fldChar w:fldCharType="end"/>
            </w:r>
          </w:hyperlink>
        </w:p>
        <w:p w14:paraId="2F4B55E2" w14:textId="1A56F3E3" w:rsidR="00A93C46" w:rsidRDefault="00A93C46">
          <w:pPr>
            <w:pStyle w:val="TOC2"/>
            <w:tabs>
              <w:tab w:val="right" w:leader="dot" w:pos="9016"/>
            </w:tabs>
            <w:rPr>
              <w:rFonts w:eastAsiaTheme="minorEastAsia"/>
              <w:noProof/>
              <w:lang w:eastAsia="en-GB"/>
            </w:rPr>
          </w:pPr>
          <w:hyperlink w:anchor="_Toc235976429" w:history="1">
            <w:r w:rsidRPr="000D2B12">
              <w:rPr>
                <w:rStyle w:val="Hyperlink"/>
                <w:noProof/>
              </w:rPr>
              <w:t>Zero Trust Architecture as a Modern Security Approach</w:t>
            </w:r>
            <w:r>
              <w:rPr>
                <w:noProof/>
                <w:webHidden/>
              </w:rPr>
              <w:tab/>
            </w:r>
            <w:r>
              <w:rPr>
                <w:noProof/>
                <w:webHidden/>
              </w:rPr>
              <w:fldChar w:fldCharType="begin"/>
            </w:r>
            <w:r>
              <w:rPr>
                <w:noProof/>
                <w:webHidden/>
              </w:rPr>
              <w:instrText xml:space="preserve"> PAGEREF _Toc235976429 \h </w:instrText>
            </w:r>
            <w:r>
              <w:rPr>
                <w:noProof/>
                <w:webHidden/>
              </w:rPr>
            </w:r>
            <w:r>
              <w:rPr>
                <w:noProof/>
                <w:webHidden/>
              </w:rPr>
              <w:fldChar w:fldCharType="separate"/>
            </w:r>
            <w:r>
              <w:rPr>
                <w:noProof/>
                <w:webHidden/>
              </w:rPr>
              <w:t>6</w:t>
            </w:r>
            <w:r>
              <w:rPr>
                <w:noProof/>
                <w:webHidden/>
              </w:rPr>
              <w:fldChar w:fldCharType="end"/>
            </w:r>
          </w:hyperlink>
        </w:p>
        <w:p w14:paraId="782A87DB" w14:textId="1AA28B53" w:rsidR="00A93C46" w:rsidRDefault="00A93C46">
          <w:pPr>
            <w:pStyle w:val="TOC2"/>
            <w:tabs>
              <w:tab w:val="right" w:leader="dot" w:pos="9016"/>
            </w:tabs>
            <w:rPr>
              <w:rFonts w:eastAsiaTheme="minorEastAsia"/>
              <w:noProof/>
              <w:lang w:eastAsia="en-GB"/>
            </w:rPr>
          </w:pPr>
          <w:hyperlink w:anchor="_Toc235976430" w:history="1">
            <w:r w:rsidRPr="000D2B12">
              <w:rPr>
                <w:rStyle w:val="Hyperlink"/>
                <w:noProof/>
              </w:rPr>
              <w:t>Conclusion</w:t>
            </w:r>
            <w:r>
              <w:rPr>
                <w:noProof/>
                <w:webHidden/>
              </w:rPr>
              <w:tab/>
            </w:r>
            <w:r>
              <w:rPr>
                <w:noProof/>
                <w:webHidden/>
              </w:rPr>
              <w:fldChar w:fldCharType="begin"/>
            </w:r>
            <w:r>
              <w:rPr>
                <w:noProof/>
                <w:webHidden/>
              </w:rPr>
              <w:instrText xml:space="preserve"> PAGEREF _Toc235976430 \h </w:instrText>
            </w:r>
            <w:r>
              <w:rPr>
                <w:noProof/>
                <w:webHidden/>
              </w:rPr>
            </w:r>
            <w:r>
              <w:rPr>
                <w:noProof/>
                <w:webHidden/>
              </w:rPr>
              <w:fldChar w:fldCharType="separate"/>
            </w:r>
            <w:r>
              <w:rPr>
                <w:noProof/>
                <w:webHidden/>
              </w:rPr>
              <w:t>7</w:t>
            </w:r>
            <w:r>
              <w:rPr>
                <w:noProof/>
                <w:webHidden/>
              </w:rPr>
              <w:fldChar w:fldCharType="end"/>
            </w:r>
          </w:hyperlink>
        </w:p>
        <w:p w14:paraId="12AAC4B6" w14:textId="4EC50001" w:rsidR="00A93C46" w:rsidRDefault="00A93C46">
          <w:pPr>
            <w:pStyle w:val="TOC1"/>
            <w:tabs>
              <w:tab w:val="right" w:leader="dot" w:pos="9016"/>
            </w:tabs>
            <w:rPr>
              <w:rFonts w:eastAsiaTheme="minorEastAsia"/>
              <w:noProof/>
              <w:lang w:eastAsia="en-GB"/>
            </w:rPr>
          </w:pPr>
          <w:hyperlink w:anchor="_Toc235976431" w:history="1">
            <w:r w:rsidRPr="000D2B12">
              <w:rPr>
                <w:rStyle w:val="Hyperlink"/>
                <w:noProof/>
              </w:rPr>
              <w:t>Task 2</w:t>
            </w:r>
            <w:r>
              <w:rPr>
                <w:noProof/>
                <w:webHidden/>
              </w:rPr>
              <w:tab/>
            </w:r>
            <w:r>
              <w:rPr>
                <w:noProof/>
                <w:webHidden/>
              </w:rPr>
              <w:fldChar w:fldCharType="begin"/>
            </w:r>
            <w:r>
              <w:rPr>
                <w:noProof/>
                <w:webHidden/>
              </w:rPr>
              <w:instrText xml:space="preserve"> PAGEREF _Toc235976431 \h </w:instrText>
            </w:r>
            <w:r>
              <w:rPr>
                <w:noProof/>
                <w:webHidden/>
              </w:rPr>
            </w:r>
            <w:r>
              <w:rPr>
                <w:noProof/>
                <w:webHidden/>
              </w:rPr>
              <w:fldChar w:fldCharType="separate"/>
            </w:r>
            <w:r>
              <w:rPr>
                <w:noProof/>
                <w:webHidden/>
              </w:rPr>
              <w:t>8</w:t>
            </w:r>
            <w:r>
              <w:rPr>
                <w:noProof/>
                <w:webHidden/>
              </w:rPr>
              <w:fldChar w:fldCharType="end"/>
            </w:r>
          </w:hyperlink>
        </w:p>
        <w:p w14:paraId="3C49402D" w14:textId="25D9A3CF" w:rsidR="00A93C46" w:rsidRDefault="00A93C46">
          <w:pPr>
            <w:pStyle w:val="TOC2"/>
            <w:tabs>
              <w:tab w:val="right" w:leader="dot" w:pos="9016"/>
            </w:tabs>
            <w:rPr>
              <w:rFonts w:eastAsiaTheme="minorEastAsia"/>
              <w:noProof/>
              <w:lang w:eastAsia="en-GB"/>
            </w:rPr>
          </w:pPr>
          <w:hyperlink w:anchor="_Toc235976432" w:history="1">
            <w:r w:rsidRPr="000D2B12">
              <w:rPr>
                <w:rStyle w:val="Hyperlink"/>
                <w:noProof/>
              </w:rPr>
              <w:t>Work</w:t>
            </w:r>
            <w:r w:rsidRPr="000D2B12">
              <w:rPr>
                <w:rStyle w:val="Hyperlink"/>
                <w:noProof/>
              </w:rPr>
              <w:noBreakHyphen/>
              <w:t>Stream 1: Organisational Design &amp; Resourcing</w:t>
            </w:r>
            <w:r>
              <w:rPr>
                <w:noProof/>
                <w:webHidden/>
              </w:rPr>
              <w:tab/>
            </w:r>
            <w:r>
              <w:rPr>
                <w:noProof/>
                <w:webHidden/>
              </w:rPr>
              <w:fldChar w:fldCharType="begin"/>
            </w:r>
            <w:r>
              <w:rPr>
                <w:noProof/>
                <w:webHidden/>
              </w:rPr>
              <w:instrText xml:space="preserve"> PAGEREF _Toc235976432 \h </w:instrText>
            </w:r>
            <w:r>
              <w:rPr>
                <w:noProof/>
                <w:webHidden/>
              </w:rPr>
            </w:r>
            <w:r>
              <w:rPr>
                <w:noProof/>
                <w:webHidden/>
              </w:rPr>
              <w:fldChar w:fldCharType="separate"/>
            </w:r>
            <w:r>
              <w:rPr>
                <w:noProof/>
                <w:webHidden/>
              </w:rPr>
              <w:t>8</w:t>
            </w:r>
            <w:r>
              <w:rPr>
                <w:noProof/>
                <w:webHidden/>
              </w:rPr>
              <w:fldChar w:fldCharType="end"/>
            </w:r>
          </w:hyperlink>
        </w:p>
        <w:p w14:paraId="612FD1D1" w14:textId="799C1100" w:rsidR="00A93C46" w:rsidRDefault="00A93C46">
          <w:pPr>
            <w:pStyle w:val="TOC2"/>
            <w:tabs>
              <w:tab w:val="right" w:leader="dot" w:pos="9016"/>
            </w:tabs>
            <w:rPr>
              <w:rFonts w:eastAsiaTheme="minorEastAsia"/>
              <w:noProof/>
              <w:lang w:eastAsia="en-GB"/>
            </w:rPr>
          </w:pPr>
          <w:hyperlink w:anchor="_Toc235976433" w:history="1">
            <w:r w:rsidRPr="000D2B12">
              <w:rPr>
                <w:rStyle w:val="Hyperlink"/>
                <w:noProof/>
              </w:rPr>
              <w:t>Work Stream 2: Policy Framework Development</w:t>
            </w:r>
            <w:r>
              <w:rPr>
                <w:noProof/>
                <w:webHidden/>
              </w:rPr>
              <w:tab/>
            </w:r>
            <w:r>
              <w:rPr>
                <w:noProof/>
                <w:webHidden/>
              </w:rPr>
              <w:fldChar w:fldCharType="begin"/>
            </w:r>
            <w:r>
              <w:rPr>
                <w:noProof/>
                <w:webHidden/>
              </w:rPr>
              <w:instrText xml:space="preserve"> PAGEREF _Toc235976433 \h </w:instrText>
            </w:r>
            <w:r>
              <w:rPr>
                <w:noProof/>
                <w:webHidden/>
              </w:rPr>
            </w:r>
            <w:r>
              <w:rPr>
                <w:noProof/>
                <w:webHidden/>
              </w:rPr>
              <w:fldChar w:fldCharType="separate"/>
            </w:r>
            <w:r>
              <w:rPr>
                <w:noProof/>
                <w:webHidden/>
              </w:rPr>
              <w:t>10</w:t>
            </w:r>
            <w:r>
              <w:rPr>
                <w:noProof/>
                <w:webHidden/>
              </w:rPr>
              <w:fldChar w:fldCharType="end"/>
            </w:r>
          </w:hyperlink>
        </w:p>
        <w:p w14:paraId="0291261B" w14:textId="3D5A52DE" w:rsidR="00A93C46" w:rsidRDefault="00A93C46">
          <w:pPr>
            <w:pStyle w:val="TOC2"/>
            <w:tabs>
              <w:tab w:val="right" w:leader="dot" w:pos="9016"/>
            </w:tabs>
            <w:rPr>
              <w:rFonts w:eastAsiaTheme="minorEastAsia"/>
              <w:noProof/>
              <w:lang w:eastAsia="en-GB"/>
            </w:rPr>
          </w:pPr>
          <w:hyperlink w:anchor="_Toc235976434" w:history="1">
            <w:r w:rsidRPr="000D2B12">
              <w:rPr>
                <w:rStyle w:val="Hyperlink"/>
                <w:noProof/>
              </w:rPr>
              <w:t>Work Stream 3: Regulatory Compliance Strategy</w:t>
            </w:r>
            <w:r>
              <w:rPr>
                <w:noProof/>
                <w:webHidden/>
              </w:rPr>
              <w:tab/>
            </w:r>
            <w:r>
              <w:rPr>
                <w:noProof/>
                <w:webHidden/>
              </w:rPr>
              <w:fldChar w:fldCharType="begin"/>
            </w:r>
            <w:r>
              <w:rPr>
                <w:noProof/>
                <w:webHidden/>
              </w:rPr>
              <w:instrText xml:space="preserve"> PAGEREF _Toc235976434 \h </w:instrText>
            </w:r>
            <w:r>
              <w:rPr>
                <w:noProof/>
                <w:webHidden/>
              </w:rPr>
            </w:r>
            <w:r>
              <w:rPr>
                <w:noProof/>
                <w:webHidden/>
              </w:rPr>
              <w:fldChar w:fldCharType="separate"/>
            </w:r>
            <w:r>
              <w:rPr>
                <w:noProof/>
                <w:webHidden/>
              </w:rPr>
              <w:t>10</w:t>
            </w:r>
            <w:r>
              <w:rPr>
                <w:noProof/>
                <w:webHidden/>
              </w:rPr>
              <w:fldChar w:fldCharType="end"/>
            </w:r>
          </w:hyperlink>
        </w:p>
        <w:p w14:paraId="156F91DC" w14:textId="589E398D" w:rsidR="00A93C46" w:rsidRDefault="00A93C46">
          <w:pPr>
            <w:pStyle w:val="TOC2"/>
            <w:tabs>
              <w:tab w:val="right" w:leader="dot" w:pos="9016"/>
            </w:tabs>
            <w:rPr>
              <w:rFonts w:eastAsiaTheme="minorEastAsia"/>
              <w:noProof/>
              <w:lang w:eastAsia="en-GB"/>
            </w:rPr>
          </w:pPr>
          <w:hyperlink w:anchor="_Toc235976435" w:history="1">
            <w:r w:rsidRPr="000D2B12">
              <w:rPr>
                <w:rStyle w:val="Hyperlink"/>
                <w:noProof/>
              </w:rPr>
              <w:t>Work Stream 4: Technical Standards &amp; Architecture</w:t>
            </w:r>
            <w:r>
              <w:rPr>
                <w:noProof/>
                <w:webHidden/>
              </w:rPr>
              <w:tab/>
            </w:r>
            <w:r>
              <w:rPr>
                <w:noProof/>
                <w:webHidden/>
              </w:rPr>
              <w:fldChar w:fldCharType="begin"/>
            </w:r>
            <w:r>
              <w:rPr>
                <w:noProof/>
                <w:webHidden/>
              </w:rPr>
              <w:instrText xml:space="preserve"> PAGEREF _Toc235976435 \h </w:instrText>
            </w:r>
            <w:r>
              <w:rPr>
                <w:noProof/>
                <w:webHidden/>
              </w:rPr>
            </w:r>
            <w:r>
              <w:rPr>
                <w:noProof/>
                <w:webHidden/>
              </w:rPr>
              <w:fldChar w:fldCharType="separate"/>
            </w:r>
            <w:r>
              <w:rPr>
                <w:noProof/>
                <w:webHidden/>
              </w:rPr>
              <w:t>11</w:t>
            </w:r>
            <w:r>
              <w:rPr>
                <w:noProof/>
                <w:webHidden/>
              </w:rPr>
              <w:fldChar w:fldCharType="end"/>
            </w:r>
          </w:hyperlink>
        </w:p>
        <w:p w14:paraId="743B534D" w14:textId="6E9714DC" w:rsidR="00A93C46" w:rsidRDefault="00A93C46">
          <w:pPr>
            <w:pStyle w:val="TOC2"/>
            <w:tabs>
              <w:tab w:val="right" w:leader="dot" w:pos="9016"/>
            </w:tabs>
            <w:rPr>
              <w:rFonts w:eastAsiaTheme="minorEastAsia"/>
              <w:noProof/>
              <w:lang w:eastAsia="en-GB"/>
            </w:rPr>
          </w:pPr>
          <w:hyperlink w:anchor="_Toc235976436" w:history="1">
            <w:r w:rsidRPr="000D2B12">
              <w:rPr>
                <w:rStyle w:val="Hyperlink"/>
                <w:noProof/>
              </w:rPr>
              <w:t>Work Stream 5: Strategic Risk Assessment</w:t>
            </w:r>
            <w:r>
              <w:rPr>
                <w:noProof/>
                <w:webHidden/>
              </w:rPr>
              <w:tab/>
            </w:r>
            <w:r>
              <w:rPr>
                <w:noProof/>
                <w:webHidden/>
              </w:rPr>
              <w:fldChar w:fldCharType="begin"/>
            </w:r>
            <w:r>
              <w:rPr>
                <w:noProof/>
                <w:webHidden/>
              </w:rPr>
              <w:instrText xml:space="preserve"> PAGEREF _Toc235976436 \h </w:instrText>
            </w:r>
            <w:r>
              <w:rPr>
                <w:noProof/>
                <w:webHidden/>
              </w:rPr>
            </w:r>
            <w:r>
              <w:rPr>
                <w:noProof/>
                <w:webHidden/>
              </w:rPr>
              <w:fldChar w:fldCharType="separate"/>
            </w:r>
            <w:r>
              <w:rPr>
                <w:noProof/>
                <w:webHidden/>
              </w:rPr>
              <w:t>12</w:t>
            </w:r>
            <w:r>
              <w:rPr>
                <w:noProof/>
                <w:webHidden/>
              </w:rPr>
              <w:fldChar w:fldCharType="end"/>
            </w:r>
          </w:hyperlink>
        </w:p>
        <w:p w14:paraId="22F7B287" w14:textId="15344930" w:rsidR="00A93C46" w:rsidRDefault="00A93C46">
          <w:pPr>
            <w:pStyle w:val="TOC3"/>
            <w:tabs>
              <w:tab w:val="right" w:leader="dot" w:pos="9016"/>
            </w:tabs>
            <w:rPr>
              <w:rFonts w:eastAsiaTheme="minorEastAsia"/>
              <w:noProof/>
              <w:lang w:eastAsia="en-GB"/>
            </w:rPr>
          </w:pPr>
          <w:hyperlink w:anchor="_Toc235976437" w:history="1">
            <w:r w:rsidRPr="000D2B12">
              <w:rPr>
                <w:rStyle w:val="Hyperlink"/>
                <w:noProof/>
              </w:rPr>
              <w:t>Risk Register Table</w:t>
            </w:r>
            <w:r>
              <w:rPr>
                <w:noProof/>
                <w:webHidden/>
              </w:rPr>
              <w:tab/>
            </w:r>
            <w:r>
              <w:rPr>
                <w:noProof/>
                <w:webHidden/>
              </w:rPr>
              <w:fldChar w:fldCharType="begin"/>
            </w:r>
            <w:r>
              <w:rPr>
                <w:noProof/>
                <w:webHidden/>
              </w:rPr>
              <w:instrText xml:space="preserve"> PAGEREF _Toc235976437 \h </w:instrText>
            </w:r>
            <w:r>
              <w:rPr>
                <w:noProof/>
                <w:webHidden/>
              </w:rPr>
            </w:r>
            <w:r>
              <w:rPr>
                <w:noProof/>
                <w:webHidden/>
              </w:rPr>
              <w:fldChar w:fldCharType="separate"/>
            </w:r>
            <w:r>
              <w:rPr>
                <w:noProof/>
                <w:webHidden/>
              </w:rPr>
              <w:t>13</w:t>
            </w:r>
            <w:r>
              <w:rPr>
                <w:noProof/>
                <w:webHidden/>
              </w:rPr>
              <w:fldChar w:fldCharType="end"/>
            </w:r>
          </w:hyperlink>
        </w:p>
        <w:p w14:paraId="13889AC5" w14:textId="1FA0C03D" w:rsidR="00A93C46" w:rsidRDefault="00A93C46">
          <w:pPr>
            <w:pStyle w:val="TOC2"/>
            <w:tabs>
              <w:tab w:val="right" w:leader="dot" w:pos="9016"/>
            </w:tabs>
            <w:rPr>
              <w:rFonts w:eastAsiaTheme="minorEastAsia"/>
              <w:noProof/>
              <w:lang w:eastAsia="en-GB"/>
            </w:rPr>
          </w:pPr>
          <w:hyperlink w:anchor="_Toc235976438" w:history="1">
            <w:r w:rsidRPr="000D2B12">
              <w:rPr>
                <w:rStyle w:val="Hyperlink"/>
                <w:noProof/>
              </w:rPr>
              <w:t>Work Stream 6: Incident Response &amp; Business Continuity</w:t>
            </w:r>
            <w:r>
              <w:rPr>
                <w:noProof/>
                <w:webHidden/>
              </w:rPr>
              <w:tab/>
            </w:r>
            <w:r>
              <w:rPr>
                <w:noProof/>
                <w:webHidden/>
              </w:rPr>
              <w:fldChar w:fldCharType="begin"/>
            </w:r>
            <w:r>
              <w:rPr>
                <w:noProof/>
                <w:webHidden/>
              </w:rPr>
              <w:instrText xml:space="preserve"> PAGEREF _Toc235976438 \h </w:instrText>
            </w:r>
            <w:r>
              <w:rPr>
                <w:noProof/>
                <w:webHidden/>
              </w:rPr>
            </w:r>
            <w:r>
              <w:rPr>
                <w:noProof/>
                <w:webHidden/>
              </w:rPr>
              <w:fldChar w:fldCharType="separate"/>
            </w:r>
            <w:r>
              <w:rPr>
                <w:noProof/>
                <w:webHidden/>
              </w:rPr>
              <w:t>13</w:t>
            </w:r>
            <w:r>
              <w:rPr>
                <w:noProof/>
                <w:webHidden/>
              </w:rPr>
              <w:fldChar w:fldCharType="end"/>
            </w:r>
          </w:hyperlink>
        </w:p>
        <w:p w14:paraId="7AA6341B" w14:textId="743FAB03" w:rsidR="00A93C46" w:rsidRDefault="00A93C46">
          <w:pPr>
            <w:pStyle w:val="TOC2"/>
            <w:tabs>
              <w:tab w:val="right" w:leader="dot" w:pos="9016"/>
            </w:tabs>
            <w:rPr>
              <w:rFonts w:eastAsiaTheme="minorEastAsia"/>
              <w:noProof/>
              <w:lang w:eastAsia="en-GB"/>
            </w:rPr>
          </w:pPr>
          <w:hyperlink w:anchor="_Toc235976439" w:history="1">
            <w:r w:rsidRPr="000D2B12">
              <w:rPr>
                <w:rStyle w:val="Hyperlink"/>
                <w:noProof/>
              </w:rPr>
              <w:t>Work Stream 7: Governance &amp; Strategic Roadmap</w:t>
            </w:r>
            <w:r>
              <w:rPr>
                <w:noProof/>
                <w:webHidden/>
              </w:rPr>
              <w:tab/>
            </w:r>
            <w:r>
              <w:rPr>
                <w:noProof/>
                <w:webHidden/>
              </w:rPr>
              <w:fldChar w:fldCharType="begin"/>
            </w:r>
            <w:r>
              <w:rPr>
                <w:noProof/>
                <w:webHidden/>
              </w:rPr>
              <w:instrText xml:space="preserve"> PAGEREF _Toc235976439 \h </w:instrText>
            </w:r>
            <w:r>
              <w:rPr>
                <w:noProof/>
                <w:webHidden/>
              </w:rPr>
            </w:r>
            <w:r>
              <w:rPr>
                <w:noProof/>
                <w:webHidden/>
              </w:rPr>
              <w:fldChar w:fldCharType="separate"/>
            </w:r>
            <w:r>
              <w:rPr>
                <w:noProof/>
                <w:webHidden/>
              </w:rPr>
              <w:t>14</w:t>
            </w:r>
            <w:r>
              <w:rPr>
                <w:noProof/>
                <w:webHidden/>
              </w:rPr>
              <w:fldChar w:fldCharType="end"/>
            </w:r>
          </w:hyperlink>
        </w:p>
        <w:p w14:paraId="5529E705" w14:textId="4832710C" w:rsidR="00A93C46" w:rsidRDefault="00A93C46">
          <w:pPr>
            <w:pStyle w:val="TOC3"/>
            <w:tabs>
              <w:tab w:val="right" w:leader="dot" w:pos="9016"/>
            </w:tabs>
            <w:rPr>
              <w:rFonts w:eastAsiaTheme="minorEastAsia"/>
              <w:noProof/>
              <w:lang w:eastAsia="en-GB"/>
            </w:rPr>
          </w:pPr>
          <w:hyperlink w:anchor="_Toc235976440" w:history="1">
            <w:r w:rsidRPr="000D2B12">
              <w:rPr>
                <w:rStyle w:val="Hyperlink"/>
                <w:noProof/>
              </w:rPr>
              <w:t>12</w:t>
            </w:r>
            <w:r w:rsidRPr="000D2B12">
              <w:rPr>
                <w:rStyle w:val="Hyperlink"/>
                <w:noProof/>
              </w:rPr>
              <w:noBreakHyphen/>
              <w:t>Month Strategic Roadmap (Summary)</w:t>
            </w:r>
            <w:r>
              <w:rPr>
                <w:noProof/>
                <w:webHidden/>
              </w:rPr>
              <w:tab/>
            </w:r>
            <w:r>
              <w:rPr>
                <w:noProof/>
                <w:webHidden/>
              </w:rPr>
              <w:fldChar w:fldCharType="begin"/>
            </w:r>
            <w:r>
              <w:rPr>
                <w:noProof/>
                <w:webHidden/>
              </w:rPr>
              <w:instrText xml:space="preserve"> PAGEREF _Toc235976440 \h </w:instrText>
            </w:r>
            <w:r>
              <w:rPr>
                <w:noProof/>
                <w:webHidden/>
              </w:rPr>
            </w:r>
            <w:r>
              <w:rPr>
                <w:noProof/>
                <w:webHidden/>
              </w:rPr>
              <w:fldChar w:fldCharType="separate"/>
            </w:r>
            <w:r>
              <w:rPr>
                <w:noProof/>
                <w:webHidden/>
              </w:rPr>
              <w:t>15</w:t>
            </w:r>
            <w:r>
              <w:rPr>
                <w:noProof/>
                <w:webHidden/>
              </w:rPr>
              <w:fldChar w:fldCharType="end"/>
            </w:r>
          </w:hyperlink>
        </w:p>
        <w:p w14:paraId="4390845B" w14:textId="58EFD33D" w:rsidR="00A93C46" w:rsidRDefault="00A93C46">
          <w:pPr>
            <w:pStyle w:val="TOC2"/>
            <w:tabs>
              <w:tab w:val="right" w:leader="dot" w:pos="9016"/>
            </w:tabs>
            <w:rPr>
              <w:rFonts w:eastAsiaTheme="minorEastAsia"/>
              <w:noProof/>
              <w:lang w:eastAsia="en-GB"/>
            </w:rPr>
          </w:pPr>
          <w:hyperlink w:anchor="_Toc235976441" w:history="1">
            <w:r w:rsidRPr="000D2B12">
              <w:rPr>
                <w:rStyle w:val="Hyperlink"/>
                <w:noProof/>
              </w:rPr>
              <w:t>Technical Architecture Diagram (Zero Trust + CSPM + NIST CSF)</w:t>
            </w:r>
            <w:r>
              <w:rPr>
                <w:noProof/>
                <w:webHidden/>
              </w:rPr>
              <w:tab/>
            </w:r>
            <w:r>
              <w:rPr>
                <w:noProof/>
                <w:webHidden/>
              </w:rPr>
              <w:fldChar w:fldCharType="begin"/>
            </w:r>
            <w:r>
              <w:rPr>
                <w:noProof/>
                <w:webHidden/>
              </w:rPr>
              <w:instrText xml:space="preserve"> PAGEREF _Toc235976441 \h </w:instrText>
            </w:r>
            <w:r>
              <w:rPr>
                <w:noProof/>
                <w:webHidden/>
              </w:rPr>
            </w:r>
            <w:r>
              <w:rPr>
                <w:noProof/>
                <w:webHidden/>
              </w:rPr>
              <w:fldChar w:fldCharType="separate"/>
            </w:r>
            <w:r>
              <w:rPr>
                <w:noProof/>
                <w:webHidden/>
              </w:rPr>
              <w:t>15</w:t>
            </w:r>
            <w:r>
              <w:rPr>
                <w:noProof/>
                <w:webHidden/>
              </w:rPr>
              <w:fldChar w:fldCharType="end"/>
            </w:r>
          </w:hyperlink>
        </w:p>
        <w:p w14:paraId="1A327339" w14:textId="09F0B336" w:rsidR="00A93C46" w:rsidRDefault="00A93C46">
          <w:pPr>
            <w:pStyle w:val="TOC2"/>
            <w:tabs>
              <w:tab w:val="right" w:leader="dot" w:pos="9016"/>
            </w:tabs>
            <w:rPr>
              <w:rFonts w:eastAsiaTheme="minorEastAsia"/>
              <w:noProof/>
              <w:lang w:eastAsia="en-GB"/>
            </w:rPr>
          </w:pPr>
          <w:hyperlink w:anchor="_Toc235976442" w:history="1">
            <w:r w:rsidRPr="000D2B12">
              <w:rPr>
                <w:rStyle w:val="Hyperlink"/>
                <w:noProof/>
              </w:rPr>
              <w:t>Organisational Chart for the Information Security Unit</w:t>
            </w:r>
            <w:r>
              <w:rPr>
                <w:noProof/>
                <w:webHidden/>
              </w:rPr>
              <w:tab/>
            </w:r>
            <w:r>
              <w:rPr>
                <w:noProof/>
                <w:webHidden/>
              </w:rPr>
              <w:fldChar w:fldCharType="begin"/>
            </w:r>
            <w:r>
              <w:rPr>
                <w:noProof/>
                <w:webHidden/>
              </w:rPr>
              <w:instrText xml:space="preserve"> PAGEREF _Toc235976442 \h </w:instrText>
            </w:r>
            <w:r>
              <w:rPr>
                <w:noProof/>
                <w:webHidden/>
              </w:rPr>
            </w:r>
            <w:r>
              <w:rPr>
                <w:noProof/>
                <w:webHidden/>
              </w:rPr>
              <w:fldChar w:fldCharType="separate"/>
            </w:r>
            <w:r>
              <w:rPr>
                <w:noProof/>
                <w:webHidden/>
              </w:rPr>
              <w:t>16</w:t>
            </w:r>
            <w:r>
              <w:rPr>
                <w:noProof/>
                <w:webHidden/>
              </w:rPr>
              <w:fldChar w:fldCharType="end"/>
            </w:r>
          </w:hyperlink>
        </w:p>
        <w:p w14:paraId="1C7B1538" w14:textId="1A226F05" w:rsidR="00A93C46" w:rsidRDefault="00A93C46">
          <w:pPr>
            <w:pStyle w:val="TOC1"/>
            <w:tabs>
              <w:tab w:val="right" w:leader="dot" w:pos="9016"/>
            </w:tabs>
            <w:rPr>
              <w:rFonts w:eastAsiaTheme="minorEastAsia"/>
              <w:noProof/>
              <w:lang w:eastAsia="en-GB"/>
            </w:rPr>
          </w:pPr>
          <w:hyperlink w:anchor="_Toc235976443" w:history="1">
            <w:r w:rsidRPr="000D2B12">
              <w:rPr>
                <w:rStyle w:val="Hyperlink"/>
                <w:noProof/>
              </w:rPr>
              <w:t>References</w:t>
            </w:r>
            <w:r>
              <w:rPr>
                <w:noProof/>
                <w:webHidden/>
              </w:rPr>
              <w:tab/>
            </w:r>
            <w:r>
              <w:rPr>
                <w:noProof/>
                <w:webHidden/>
              </w:rPr>
              <w:fldChar w:fldCharType="begin"/>
            </w:r>
            <w:r>
              <w:rPr>
                <w:noProof/>
                <w:webHidden/>
              </w:rPr>
              <w:instrText xml:space="preserve"> PAGEREF _Toc235976443 \h </w:instrText>
            </w:r>
            <w:r>
              <w:rPr>
                <w:noProof/>
                <w:webHidden/>
              </w:rPr>
            </w:r>
            <w:r>
              <w:rPr>
                <w:noProof/>
                <w:webHidden/>
              </w:rPr>
              <w:fldChar w:fldCharType="separate"/>
            </w:r>
            <w:r>
              <w:rPr>
                <w:noProof/>
                <w:webHidden/>
              </w:rPr>
              <w:t>17</w:t>
            </w:r>
            <w:r>
              <w:rPr>
                <w:noProof/>
                <w:webHidden/>
              </w:rPr>
              <w:fldChar w:fldCharType="end"/>
            </w:r>
          </w:hyperlink>
        </w:p>
        <w:p w14:paraId="1914D218" w14:textId="38E9D212" w:rsidR="00A56519" w:rsidRDefault="00A56519">
          <w:r>
            <w:rPr>
              <w:b/>
              <w:bCs/>
              <w:noProof/>
            </w:rPr>
            <w:fldChar w:fldCharType="end"/>
          </w:r>
        </w:p>
      </w:sdtContent>
    </w:sdt>
    <w:p w14:paraId="74E3D7E2" w14:textId="35D97D81" w:rsidR="00A56519" w:rsidRPr="00A56519" w:rsidRDefault="00A56519" w:rsidP="00A56519">
      <w:r>
        <w:rPr>
          <w:rStyle w:val="Heading1Char"/>
        </w:rPr>
        <w:br/>
      </w:r>
      <w:r>
        <w:rPr>
          <w:rStyle w:val="Heading1Char"/>
        </w:rPr>
        <w:br/>
      </w:r>
      <w:bookmarkStart w:id="0" w:name="_Toc235976425"/>
      <w:r w:rsidRPr="00A56519">
        <w:rPr>
          <w:rStyle w:val="Heading1Char"/>
        </w:rPr>
        <w:t>Introduction:</w:t>
      </w:r>
      <w:bookmarkEnd w:id="0"/>
      <w:r>
        <w:br/>
      </w:r>
      <w:r>
        <w:br/>
      </w:r>
      <w:r w:rsidRPr="00A56519">
        <w:t xml:space="preserve">Organisations are increasingly relying on cloud computing, artificial intelligence (AI), and digital technologies to support their day-to-day operations. While these technologies have improved efficiency and innovation, they have also created new challenges </w:t>
      </w:r>
      <w:proofErr w:type="gramStart"/>
      <w:r w:rsidR="00836D5D">
        <w:t>in regard to</w:t>
      </w:r>
      <w:proofErr w:type="gramEnd"/>
      <w:r w:rsidR="00836D5D">
        <w:t xml:space="preserve"> </w:t>
      </w:r>
      <w:r w:rsidRPr="00A56519">
        <w:t xml:space="preserve">protecting sensitive information and ensuring that data is managed securely. As organisations become more connected, they must address evolving </w:t>
      </w:r>
      <w:r w:rsidR="00836D5D">
        <w:t>and increasing r</w:t>
      </w:r>
      <w:r w:rsidRPr="00A56519">
        <w:t xml:space="preserve">isks while meeting regulatory requirements such as the </w:t>
      </w:r>
      <w:r w:rsidRPr="00A56519">
        <w:lastRenderedPageBreak/>
        <w:t>General Data Protection Regulation (GDPR) and the Digital Operational Resilience Act (DORA).</w:t>
      </w:r>
    </w:p>
    <w:p w14:paraId="63DDE7C5" w14:textId="77777777" w:rsidR="00A56519" w:rsidRPr="00A56519" w:rsidRDefault="00A56519" w:rsidP="00A56519">
      <w:r w:rsidRPr="00A56519">
        <w:t>This report is divided into two connected tasks. Task 1 investigates a current issue in data security by reviewing recent academic literature, industry reports, and real-world case studies. The research examines the challenges faced by modern organisations and evaluates current approaches for protecting information assets, managing risk, and supporting regulatory compliance.</w:t>
      </w:r>
    </w:p>
    <w:p w14:paraId="53115558" w14:textId="77777777" w:rsidR="00A56519" w:rsidRPr="00A56519" w:rsidRDefault="00A56519" w:rsidP="00A56519">
      <w:r w:rsidRPr="00A56519">
        <w:t>Task 2 builds on the findings from Task 1 by applying them to a practical business scenario. Acting as the Chief Information Security Officer (CISO) for Aegis FinTech Innovations Ltd., the report presents a proposal for establishing a dedicated Information Security Unit. The proposal covers organisational design, policy development, compliance, technical security, risk management, incident response, and governance. The recommendations are supported by the research carried out in Task 1 to ensure they are practical, evidence-based, and aligned with current industry best practice.</w:t>
      </w:r>
    </w:p>
    <w:p w14:paraId="1BDC089D" w14:textId="3F32AF47" w:rsidR="00BC0F2A" w:rsidRDefault="00983518" w:rsidP="00983518">
      <w:pPr>
        <w:pStyle w:val="Heading1"/>
        <w:rPr>
          <w:rStyle w:val="Heading2Char"/>
        </w:rPr>
      </w:pPr>
      <w:r>
        <w:br/>
      </w:r>
      <w:r>
        <w:br/>
      </w:r>
      <w:bookmarkStart w:id="1" w:name="_Toc235976426"/>
      <w:r>
        <w:t>Task 1</w:t>
      </w:r>
      <w:r w:rsidR="008E2C09">
        <w:t xml:space="preserve"> – </w:t>
      </w:r>
      <w:r w:rsidR="002B47CA" w:rsidRPr="002B47CA">
        <w:t>Securing Cloud and Hybrid Environments: Strategies for Mitigating Risks through Cloud Security Posture Management and Zero Trust Principles</w:t>
      </w:r>
      <w:r w:rsidR="008E2C09">
        <w:br/>
      </w:r>
      <w:r w:rsidR="008E2C09">
        <w:br/>
      </w:r>
      <w:r w:rsidR="008E2C09" w:rsidRPr="008E2C09">
        <w:rPr>
          <w:rStyle w:val="Heading2Char"/>
        </w:rPr>
        <w:t>Introduction</w:t>
      </w:r>
      <w:bookmarkEnd w:id="1"/>
    </w:p>
    <w:p w14:paraId="7583D847" w14:textId="77777777" w:rsidR="008E2C09" w:rsidRDefault="008E2C09" w:rsidP="008E2C09"/>
    <w:p w14:paraId="1FAA7F38" w14:textId="79F23EBB" w:rsidR="00787D50" w:rsidRPr="00DA215F" w:rsidRDefault="002E3FD6" w:rsidP="00DA215F">
      <w:r w:rsidRPr="002E3FD6">
        <w:t>Cloud computing now underpins most organisational operations, enabling scalability, flexibility, and cost efficiency. Hybrid environments</w:t>
      </w:r>
      <w:r w:rsidR="001F15E2">
        <w:t xml:space="preserve"> </w:t>
      </w:r>
      <w:r w:rsidRPr="002E3FD6">
        <w:t>combining on</w:t>
      </w:r>
      <w:r w:rsidRPr="002E3FD6">
        <w:noBreakHyphen/>
        <w:t>premises systems with public and private cloud services</w:t>
      </w:r>
      <w:r w:rsidR="001F15E2">
        <w:t xml:space="preserve"> </w:t>
      </w:r>
      <w:r w:rsidRPr="002E3FD6">
        <w:t>have become the dominant model, particularly in regulated sectors such as financial services. However, these distributed infrastructures introduce new security challenges, including misconfiguration, identity compromise, ransomware, and third</w:t>
      </w:r>
      <w:r w:rsidRPr="002E3FD6">
        <w:noBreakHyphen/>
        <w:t>party risk. Traditional perimeter</w:t>
      </w:r>
      <w:r w:rsidRPr="002E3FD6">
        <w:noBreakHyphen/>
        <w:t>based security models are no longer adequate, prompting organisations to adopt modern approaches such as Zero Trust Architecture (ZTA), Cloud Security Posture Management (CSPM), and continuous monitoring.</w:t>
      </w:r>
      <w:sdt>
        <w:sdtPr>
          <w:id w:val="1527748287"/>
          <w:citation/>
        </w:sdtPr>
        <w:sdtContent>
          <w:r w:rsidR="00E87369">
            <w:fldChar w:fldCharType="begin"/>
          </w:r>
          <w:r w:rsidR="00E87369">
            <w:instrText xml:space="preserve"> CITATION Gar23 \l 2057 </w:instrText>
          </w:r>
          <w:r w:rsidR="00E87369">
            <w:fldChar w:fldCharType="separate"/>
          </w:r>
          <w:r w:rsidR="00A93C46">
            <w:rPr>
              <w:noProof/>
            </w:rPr>
            <w:t xml:space="preserve"> </w:t>
          </w:r>
          <w:r w:rsidR="00A93C46" w:rsidRPr="00A93C46">
            <w:rPr>
              <w:noProof/>
            </w:rPr>
            <w:t>[1]</w:t>
          </w:r>
          <w:r w:rsidR="00E87369">
            <w:fldChar w:fldCharType="end"/>
          </w:r>
        </w:sdtContent>
      </w:sdt>
      <w:r w:rsidR="00E87369">
        <w:t xml:space="preserve"> </w:t>
      </w:r>
      <w:r w:rsidR="003D1A24">
        <w:t xml:space="preserve"> </w:t>
      </w:r>
      <w:r w:rsidRPr="002E3FD6">
        <w:t xml:space="preserve">This research critically evaluates these challenges and the effectiveness of contemporary security strategies, drawing on recent academic literature, industry </w:t>
      </w:r>
      <w:r w:rsidRPr="002E3FD6">
        <w:lastRenderedPageBreak/>
        <w:t>reports, and real</w:t>
      </w:r>
      <w:r w:rsidRPr="002E3FD6">
        <w:noBreakHyphen/>
        <w:t>world case studies. The findings directly inform the practical proposal developed in Task 2.</w:t>
      </w:r>
    </w:p>
    <w:p w14:paraId="356874DF" w14:textId="67C07199" w:rsidR="008E2C09" w:rsidRDefault="00787D50" w:rsidP="00787D50">
      <w:pPr>
        <w:pStyle w:val="Heading2"/>
      </w:pPr>
      <w:bookmarkStart w:id="2" w:name="_Toc235976427"/>
      <w:r>
        <w:t>The Evolution of Cloud and Hybrid Environments</w:t>
      </w:r>
      <w:bookmarkEnd w:id="2"/>
    </w:p>
    <w:p w14:paraId="12618AA2" w14:textId="77777777" w:rsidR="00787D50" w:rsidRDefault="00787D50" w:rsidP="00787D50"/>
    <w:p w14:paraId="4E9D0013" w14:textId="77777777" w:rsidR="00060153" w:rsidRPr="00060153" w:rsidRDefault="00060153" w:rsidP="00060153">
      <w:r w:rsidRPr="00060153">
        <w:t>As organisations continue to modernise their infrastructures, the shift toward cloud</w:t>
      </w:r>
      <w:r w:rsidRPr="00060153">
        <w:noBreakHyphen/>
        <w:t>native technologies has accelerated significantly. Containers, microservices, and serverless computing have become foundational components of digital transformation strategies, enabling rapid deployment cycles and scalable application architectures. However, these technologies also introduce new security considerations. Containerised workloads often rely on shared kernels, meaning a single vulnerability can affect multiple services simultaneously. Misconfigured Kubernetes clusters, exposed container registries, and insecure API gateways have been repeatedly identified as contributing factors in recent cloud breaches.</w:t>
      </w:r>
    </w:p>
    <w:p w14:paraId="7818ABD8" w14:textId="77777777" w:rsidR="00060153" w:rsidRPr="00060153" w:rsidRDefault="00060153" w:rsidP="00060153">
      <w:r w:rsidRPr="00060153">
        <w:t>The adoption of multi</w:t>
      </w:r>
      <w:r w:rsidRPr="00060153">
        <w:noBreakHyphen/>
        <w:t>cloud strategies further complicates security operations. Many organisations distribute workloads across AWS, Azure, and Google Cloud to avoid vendor lock</w:t>
      </w:r>
      <w:r w:rsidRPr="00060153">
        <w:noBreakHyphen/>
        <w:t>in or optimise performance, but this approach increases the complexity of managing identity permissions, network segmentation, and configuration baselines. Each cloud provider implements its own security model, terminology, and tooling, requiring security teams to maintain expertise across multiple platforms. This fragmentation can lead to inconsistent policy enforcement and gaps in visibility, particularly when monitoring tools are not fully integrated.</w:t>
      </w:r>
    </w:p>
    <w:p w14:paraId="5F856CDF" w14:textId="19A84EE3" w:rsidR="00787D50" w:rsidRDefault="00060153" w:rsidP="002556C9">
      <w:r w:rsidRPr="00060153">
        <w:t>Additionally, hybrid environments often include legacy on</w:t>
      </w:r>
      <w:r w:rsidRPr="00060153">
        <w:noBreakHyphen/>
        <w:t>premises systems that were not designed with modern security principles in mind. These systems may lack support for strong authentication, encryption, or automated monitoring, making them attractive targets for attackers seeking initial access. Integrating legacy systems with cloud services requires careful planning to ensure that identity controls, logging mechanisms, and network boundaries remain consistent across the entire environment. Without this alignment, organisations risk creating weak points that adversaries can exploit.</w:t>
      </w:r>
      <w:sdt>
        <w:sdtPr>
          <w:id w:val="2022355809"/>
          <w:citation/>
        </w:sdtPr>
        <w:sdtContent>
          <w:r w:rsidR="002A64EE">
            <w:fldChar w:fldCharType="begin"/>
          </w:r>
          <w:r w:rsidR="002A64EE">
            <w:instrText xml:space="preserve"> CITATION Ama23 \l 2057 </w:instrText>
          </w:r>
          <w:r w:rsidR="002A64EE">
            <w:fldChar w:fldCharType="separate"/>
          </w:r>
          <w:r w:rsidR="00A93C46">
            <w:rPr>
              <w:noProof/>
            </w:rPr>
            <w:t xml:space="preserve"> </w:t>
          </w:r>
          <w:r w:rsidR="00A93C46" w:rsidRPr="00A93C46">
            <w:rPr>
              <w:noProof/>
            </w:rPr>
            <w:t>[2]</w:t>
          </w:r>
          <w:r w:rsidR="002A64EE">
            <w:fldChar w:fldCharType="end"/>
          </w:r>
        </w:sdtContent>
      </w:sdt>
    </w:p>
    <w:p w14:paraId="60BAA6BF" w14:textId="2A629E99" w:rsidR="00793B6B" w:rsidRDefault="00793B6B" w:rsidP="00793B6B">
      <w:pPr>
        <w:pStyle w:val="Heading2"/>
      </w:pPr>
      <w:bookmarkStart w:id="3" w:name="_Toc235976428"/>
      <w:r w:rsidRPr="00793B6B">
        <w:t>Cybersecurity Threats in Cloud and Hybrid Environments</w:t>
      </w:r>
      <w:bookmarkEnd w:id="3"/>
    </w:p>
    <w:p w14:paraId="09A2B0C2" w14:textId="77777777" w:rsidR="00793B6B" w:rsidRDefault="00793B6B" w:rsidP="00793B6B"/>
    <w:p w14:paraId="3BBD9D95" w14:textId="54632737" w:rsidR="00776BD4" w:rsidRPr="00776BD4" w:rsidRDefault="00776BD4" w:rsidP="00776BD4">
      <w:r w:rsidRPr="00776BD4">
        <w:t xml:space="preserve">The widespread adoption of cloud and hybrid infrastructures has significantly expanded the range and complexity of cybersecurity threats facing modern organisations. As critical systems, applications, and sensitive data become </w:t>
      </w:r>
      <w:r w:rsidR="00897659">
        <w:t xml:space="preserve">increasingly </w:t>
      </w:r>
      <w:r w:rsidRPr="00776BD4">
        <w:t xml:space="preserve">distributed across multiple environments, attackers have developed more </w:t>
      </w:r>
      <w:r w:rsidR="00897659">
        <w:t>advanced</w:t>
      </w:r>
      <w:r w:rsidRPr="00776BD4">
        <w:t xml:space="preserve"> methods of exploiting weaknesses in cloud security. Unlike traditional cyberattacks that primarily targeted network perimeters, many modern threats focus on exploiting misconfigurations, compromised user identities, third-party services, and clou</w:t>
      </w:r>
      <w:r w:rsidR="00E3517A">
        <w:t xml:space="preserve">d </w:t>
      </w:r>
      <w:r w:rsidRPr="00776BD4">
        <w:lastRenderedPageBreak/>
        <w:t>technologies. Understanding these threats is essential for organisations seeking to develop effective security strategies and maintain compliance with regulatory requirements.</w:t>
      </w:r>
    </w:p>
    <w:p w14:paraId="745334F1" w14:textId="6127B076" w:rsidR="00776BD4" w:rsidRPr="00776BD4" w:rsidRDefault="00776BD4" w:rsidP="00776BD4">
      <w:r w:rsidRPr="00776BD4">
        <w:t>One of the most significant risks associated with cloud environments is cloud misconfiguration. Cloud platforms provide organisations with extensive flexibility when deploying infrastructure and services; however, incorrectly configured storage buckets, virtual machines, databases, or identity permissions can unintentionally expose sensitive information to unauthorised users. Because cloud environments are continuously changing as organisations deploy new applications and services, maintaining secure configurations can be challenging. Consequently, human error remains one of the leading causes of cloud-related data breaches, highlighting the importance of continuous monitoring and effective configuration management.</w:t>
      </w:r>
      <w:r w:rsidR="007C746C">
        <w:t xml:space="preserve"> </w:t>
      </w:r>
      <w:sdt>
        <w:sdtPr>
          <w:id w:val="1608304506"/>
          <w:citation/>
        </w:sdtPr>
        <w:sdtContent>
          <w:r w:rsidR="007C746C">
            <w:fldChar w:fldCharType="begin"/>
          </w:r>
          <w:r w:rsidR="007C746C">
            <w:instrText xml:space="preserve"> CITATION ENI22 \l 2057 </w:instrText>
          </w:r>
          <w:r w:rsidR="007C746C">
            <w:fldChar w:fldCharType="separate"/>
          </w:r>
          <w:r w:rsidR="00A93C46" w:rsidRPr="00A93C46">
            <w:rPr>
              <w:noProof/>
            </w:rPr>
            <w:t>[3]</w:t>
          </w:r>
          <w:r w:rsidR="007C746C">
            <w:fldChar w:fldCharType="end"/>
          </w:r>
        </w:sdtContent>
      </w:sdt>
    </w:p>
    <w:p w14:paraId="3722FD42" w14:textId="4606F5C7" w:rsidR="00776BD4" w:rsidRPr="00776BD4" w:rsidRDefault="00776BD4" w:rsidP="00776BD4">
      <w:r w:rsidRPr="00776BD4">
        <w:t>Identity and Access Management (IAM) has also become a major security concern within hybrid cloud environments. As organisations increasingly rely on remote working and cloud-based applications, user identities have become a primary target for cybercriminals. Attackers commonly exploit phishing emails, stolen credentials, password reuse, and multi-factor authentication (MFA) fatigue attacks to gain access to cloud resources. Once valid user credentials have been compromised, attackers may be able to bypass traditional network defences and move laterally between systems without immediate detection. This shift from network-based attacks towards identity-based attacks demonstrates the limitations of traditional perimeter security models.</w:t>
      </w:r>
      <w:r w:rsidR="00A374EA">
        <w:t xml:space="preserve"> </w:t>
      </w:r>
      <w:sdt>
        <w:sdtPr>
          <w:id w:val="360793005"/>
          <w:citation/>
        </w:sdtPr>
        <w:sdtContent>
          <w:r w:rsidR="00A374EA">
            <w:fldChar w:fldCharType="begin"/>
          </w:r>
          <w:r w:rsidR="00A374EA">
            <w:instrText xml:space="preserve"> CITATION Cro24 \l 2057 </w:instrText>
          </w:r>
          <w:r w:rsidR="00A374EA">
            <w:fldChar w:fldCharType="separate"/>
          </w:r>
          <w:r w:rsidR="00A93C46" w:rsidRPr="00A93C46">
            <w:rPr>
              <w:noProof/>
            </w:rPr>
            <w:t>[4]</w:t>
          </w:r>
          <w:r w:rsidR="00A374EA">
            <w:fldChar w:fldCharType="end"/>
          </w:r>
        </w:sdtContent>
      </w:sdt>
    </w:p>
    <w:p w14:paraId="545AA29E" w14:textId="2DF76EB9" w:rsidR="00776BD4" w:rsidRPr="00776BD4" w:rsidRDefault="00776BD4" w:rsidP="00776BD4">
      <w:r w:rsidRPr="00776BD4">
        <w:t>Ransomware continues to represent one of the most disruptive threats facing organisations operating within cloud environments. Modern ransomware groups no longer focus solely on encrypting data but increasingly employ double extortion techniques, where confidential information is stolen before encryption occurs.</w:t>
      </w:r>
      <w:sdt>
        <w:sdtPr>
          <w:id w:val="983201472"/>
          <w:citation/>
        </w:sdtPr>
        <w:sdtContent>
          <w:r w:rsidR="006640DB">
            <w:fldChar w:fldCharType="begin"/>
          </w:r>
          <w:r w:rsidR="006640DB">
            <w:instrText xml:space="preserve"> CITATION MAA16 \l 2057 </w:instrText>
          </w:r>
          <w:r w:rsidR="006640DB">
            <w:fldChar w:fldCharType="separate"/>
          </w:r>
          <w:r w:rsidR="00A93C46">
            <w:rPr>
              <w:noProof/>
            </w:rPr>
            <w:t xml:space="preserve"> </w:t>
          </w:r>
          <w:r w:rsidR="00A93C46" w:rsidRPr="00A93C46">
            <w:rPr>
              <w:noProof/>
            </w:rPr>
            <w:t>[5]</w:t>
          </w:r>
          <w:r w:rsidR="006640DB">
            <w:fldChar w:fldCharType="end"/>
          </w:r>
        </w:sdtContent>
      </w:sdt>
      <w:r w:rsidRPr="00776BD4">
        <w:t xml:space="preserve"> Victims are then threatened with the public release of sensitive data unless additional ransom payments are made. Financial institutions, healthcare organisations, and government agencies have become particularly attractive targets due to the critical nature of their operations and the significant financial impact caused by service disruption. These attacks demonstrate that effective cybersecurity strategies must focus not only on preventing attacks but also on improving organisational resilience and recovery capabilities.</w:t>
      </w:r>
    </w:p>
    <w:p w14:paraId="341D78D7" w14:textId="7DF919C9" w:rsidR="00776BD4" w:rsidRPr="00776BD4" w:rsidRDefault="00776BD4" w:rsidP="00776BD4">
      <w:r w:rsidRPr="00776BD4">
        <w:t>The growing reliance on third-party cloud providers and software vendors has further increased organisational exposure to cyber threats. Many organisations depend upon Software as a Service (SaaS), Infrastructure as a Service (IaaS), and Platform as a Service (PaaS) providers to deliver essential business functions. Although these providers generally maintain robust security measures, vulnerabilities within software supply chains or weaknesses in vendor security practices can affect multiple organisations simultaneously.</w:t>
      </w:r>
      <w:sdt>
        <w:sdtPr>
          <w:id w:val="-760756097"/>
          <w:citation/>
        </w:sdtPr>
        <w:sdtContent>
          <w:r w:rsidR="006A27F0">
            <w:fldChar w:fldCharType="begin"/>
          </w:r>
          <w:r w:rsidR="006A27F0">
            <w:instrText xml:space="preserve"> CITATION IBM24 \l 2057 </w:instrText>
          </w:r>
          <w:r w:rsidR="006A27F0">
            <w:fldChar w:fldCharType="separate"/>
          </w:r>
          <w:r w:rsidR="00A93C46">
            <w:rPr>
              <w:noProof/>
            </w:rPr>
            <w:t xml:space="preserve"> </w:t>
          </w:r>
          <w:r w:rsidR="00A93C46" w:rsidRPr="00A93C46">
            <w:rPr>
              <w:noProof/>
            </w:rPr>
            <w:t>[6]</w:t>
          </w:r>
          <w:r w:rsidR="006A27F0">
            <w:fldChar w:fldCharType="end"/>
          </w:r>
        </w:sdtContent>
      </w:sdt>
      <w:r w:rsidRPr="00776BD4">
        <w:t xml:space="preserve"> As a result, organisations must extend their security </w:t>
      </w:r>
      <w:r w:rsidRPr="00776BD4">
        <w:lastRenderedPageBreak/>
        <w:t>governance beyond internal systems and carefully assess the risks associated with external suppliers and cloud service providers.</w:t>
      </w:r>
    </w:p>
    <w:p w14:paraId="69B1AA18" w14:textId="2906FBDF" w:rsidR="00776BD4" w:rsidRPr="00776BD4" w:rsidRDefault="00776BD4" w:rsidP="00776BD4">
      <w:r w:rsidRPr="00776BD4">
        <w:t>Another emerging challenge involves securing Application Programming Interfaces (APIs), which enable communication between cloud applications, services, and external systems. APIs play an essential role in supporting automation and data exchange within modern cloud architectures; however, insecure authentication mechanisms, excessive permissions, or inadequate monitoring can provide attackers with opportunities to access sensitive information or exploit critical business services. As organisations continue to adopt cloud-native applications and microservices, securing APIs has become an increasingly important component of overall cloud security.</w:t>
      </w:r>
      <w:sdt>
        <w:sdtPr>
          <w:id w:val="1857923440"/>
          <w:citation/>
        </w:sdtPr>
        <w:sdtContent>
          <w:r w:rsidR="008915DF">
            <w:fldChar w:fldCharType="begin"/>
          </w:r>
          <w:r w:rsidR="008915DF">
            <w:instrText xml:space="preserve"> CITATION alA19 \l 2057 </w:instrText>
          </w:r>
          <w:r w:rsidR="008915DF">
            <w:fldChar w:fldCharType="separate"/>
          </w:r>
          <w:r w:rsidR="00A93C46">
            <w:rPr>
              <w:noProof/>
            </w:rPr>
            <w:t xml:space="preserve"> </w:t>
          </w:r>
          <w:r w:rsidR="00A93C46" w:rsidRPr="00A93C46">
            <w:rPr>
              <w:noProof/>
            </w:rPr>
            <w:t>[7]</w:t>
          </w:r>
          <w:r w:rsidR="008915DF">
            <w:fldChar w:fldCharType="end"/>
          </w:r>
        </w:sdtContent>
      </w:sdt>
    </w:p>
    <w:p w14:paraId="5FD73A53" w14:textId="6FC0A3EB" w:rsidR="00776BD4" w:rsidRPr="00776BD4" w:rsidRDefault="00776BD4" w:rsidP="00776BD4">
      <w:r w:rsidRPr="00776BD4">
        <w:t>Insider threats also remain a significant concern within cloud and hybrid environments. These threats may arise from malicious employees intentionally abusing privileged access or from accidental mistakes made by authorised users. The increasing adoption of hybrid working has expanded the number of devices and locations from which employees access organisational resources, increasing the likelihood of accidental data exposure or compromised endpoints. Consequently, organisations must ensure that access to cloud resources is appropriately managed, monitored, and regularly reviewed to reduce the risk posed by both intentional and unintentional insider activity.</w:t>
      </w:r>
      <w:sdt>
        <w:sdtPr>
          <w:id w:val="-506980883"/>
          <w:citation/>
        </w:sdtPr>
        <w:sdtContent>
          <w:r w:rsidR="00AA5D89">
            <w:fldChar w:fldCharType="begin"/>
          </w:r>
          <w:r w:rsidR="00AA5D89">
            <w:instrText xml:space="preserve"> CITATION Cro24 \l 2057 </w:instrText>
          </w:r>
          <w:r w:rsidR="00AA5D89">
            <w:fldChar w:fldCharType="separate"/>
          </w:r>
          <w:r w:rsidR="00A93C46">
            <w:rPr>
              <w:noProof/>
            </w:rPr>
            <w:t xml:space="preserve"> </w:t>
          </w:r>
          <w:r w:rsidR="00A93C46" w:rsidRPr="00A93C46">
            <w:rPr>
              <w:noProof/>
            </w:rPr>
            <w:t>[4]</w:t>
          </w:r>
          <w:r w:rsidR="00AA5D89">
            <w:fldChar w:fldCharType="end"/>
          </w:r>
        </w:sdtContent>
      </w:sdt>
    </w:p>
    <w:p w14:paraId="10C8F85A" w14:textId="77777777" w:rsidR="00892642" w:rsidRPr="00E028A1" w:rsidRDefault="00892642" w:rsidP="00E028A1">
      <w:r w:rsidRPr="00E028A1">
        <w:t>Collectively, these threats demonstrate that cloud and hybrid environments require a fundamentally different approach to cybersecurity than traditional on-premises infrastructures. Reliance on perimeter-based security alone is no longer sufficient to protect distributed systems and cloud-hosted resources. Instead, organisations must adopt security strategies that provide continuous visibility, strengthen identity management, automate the detection of security weaknesses, and support rapid incident response. The following section examines how approaches such as Zero Trust Architecture and Cloud Security Posture Management (CSPM) have emerged as key technologies for addressing these evolving security challenges.</w:t>
      </w:r>
    </w:p>
    <w:p w14:paraId="08EC3DAF" w14:textId="77777777" w:rsidR="00892642" w:rsidRPr="00E028A1" w:rsidRDefault="00892642" w:rsidP="00E028A1">
      <w:r w:rsidRPr="00E028A1">
        <w:t xml:space="preserve">Recent threat intelligence reports show a clear shift in attacker behaviour, with many groups now specifically targeting cloud identity systems and automation pipelines. Threat actors such as Scattered Spider, </w:t>
      </w:r>
      <w:proofErr w:type="spellStart"/>
      <w:r w:rsidRPr="00E028A1">
        <w:t>BlackCat</w:t>
      </w:r>
      <w:proofErr w:type="spellEnd"/>
      <w:r w:rsidRPr="00E028A1">
        <w:t>, and UNC3944 have demonstrated the ability to bypass multi</w:t>
      </w:r>
      <w:r w:rsidRPr="00E028A1">
        <w:noBreakHyphen/>
        <w:t>factor authentication through techniques such as MFA fatigue, real</w:t>
      </w:r>
      <w:r w:rsidRPr="00E028A1">
        <w:noBreakHyphen/>
        <w:t>time phishing proxies, and SIM</w:t>
      </w:r>
      <w:r w:rsidRPr="00E028A1">
        <w:noBreakHyphen/>
        <w:t>swapping attacks. These methods allow adversaries to obtain valid credentials and access cloud resources without triggering traditional perimeter</w:t>
      </w:r>
      <w:r w:rsidRPr="00E028A1">
        <w:noBreakHyphen/>
        <w:t>based alerts. Once inside an environment, attackers frequently exploit overly permissive IAM roles, unsecured API endpoints, or misconfigured storage buckets to escalate privileges and move laterally across hybrid infrastructures.</w:t>
      </w:r>
    </w:p>
    <w:p w14:paraId="6A0723C2" w14:textId="77777777" w:rsidR="00892642" w:rsidRPr="00E028A1" w:rsidRDefault="00892642" w:rsidP="00E028A1">
      <w:r w:rsidRPr="00E028A1">
        <w:lastRenderedPageBreak/>
        <w:t>Ransomware groups have also adapted their operations to cloud environments. Instead of relying solely on encryption, modern campaigns often involve data exfiltration, credential harvesting, and the use of cloud</w:t>
      </w:r>
      <w:r w:rsidRPr="00E028A1">
        <w:noBreakHyphen/>
        <w:t>native tools such as PowerShell, AWS CLI, and Azure automation features to blend in with legitimate administrative activity. This makes detection significantly more challenging, particularly for organisations that lack continuous monitoring or behavioural analytics. Double</w:t>
      </w:r>
      <w:r w:rsidRPr="00E028A1">
        <w:noBreakHyphen/>
        <w:t>extortion techniques, where attackers threaten to leak stolen data, have become increasingly common and pose severe reputational and regulatory risks for financial institutions.</w:t>
      </w:r>
    </w:p>
    <w:p w14:paraId="2EF3CABB" w14:textId="77777777" w:rsidR="00892642" w:rsidRPr="00E028A1" w:rsidRDefault="00892642" w:rsidP="00E028A1">
      <w:r w:rsidRPr="00E028A1">
        <w:t>Supply</w:t>
      </w:r>
      <w:r w:rsidRPr="00E028A1">
        <w:noBreakHyphen/>
        <w:t xml:space="preserve">chain attacks represent another major concern for organisations operating within hybrid environments. Incidents such as SolarWinds and the </w:t>
      </w:r>
      <w:proofErr w:type="spellStart"/>
      <w:r w:rsidRPr="00E028A1">
        <w:t>MOVEit</w:t>
      </w:r>
      <w:proofErr w:type="spellEnd"/>
      <w:r w:rsidRPr="00E028A1">
        <w:t xml:space="preserve"> breach demonstrate how vulnerabilities within third</w:t>
      </w:r>
      <w:r w:rsidRPr="00E028A1">
        <w:noBreakHyphen/>
        <w:t>party software can compromise thousands of organisations simultaneously. In cloud ecosystems, supply</w:t>
      </w:r>
      <w:r w:rsidRPr="00E028A1">
        <w:noBreakHyphen/>
        <w:t>chain risks extend to SaaS platforms, managed service providers, container registries, and CI/CD pipelines. A single compromised dependency can introduce malicious code into production systems, bypassing traditional security controls.</w:t>
      </w:r>
    </w:p>
    <w:p w14:paraId="59B52812" w14:textId="77777777" w:rsidR="00892642" w:rsidRPr="00E028A1" w:rsidRDefault="00892642" w:rsidP="00E028A1">
      <w:pPr>
        <w:rPr>
          <w:b/>
          <w:bCs/>
        </w:rPr>
      </w:pPr>
      <w:r w:rsidRPr="00E028A1">
        <w:t>These developments highlight that attackers increasingly understand how organisations configure and operate cloud platforms. As a result, effective cloud security requires proactive monitoring, strong identity governance, automated configuration assessment, and rapid incident response capabilities.</w:t>
      </w:r>
    </w:p>
    <w:p w14:paraId="49A9BA96" w14:textId="77777777" w:rsidR="00420F69" w:rsidRDefault="00420F69" w:rsidP="00420F69">
      <w:pPr>
        <w:pStyle w:val="Heading2"/>
      </w:pPr>
    </w:p>
    <w:p w14:paraId="2B8FA910" w14:textId="3F501AFA" w:rsidR="00793B6B" w:rsidRDefault="00420F69" w:rsidP="00420F69">
      <w:pPr>
        <w:pStyle w:val="Heading2"/>
      </w:pPr>
      <w:bookmarkStart w:id="4" w:name="_Toc235976429"/>
      <w:r w:rsidRPr="00420F69">
        <w:t>Zero Trust Architecture as a Modern Security Approach</w:t>
      </w:r>
      <w:bookmarkEnd w:id="4"/>
    </w:p>
    <w:p w14:paraId="197FE4DF" w14:textId="77777777" w:rsidR="00420F69" w:rsidRDefault="00420F69" w:rsidP="00420F69"/>
    <w:p w14:paraId="62D59744" w14:textId="48D0FAB5" w:rsidR="00420F69" w:rsidRDefault="0081538D" w:rsidP="002556C9">
      <w:r w:rsidRPr="0081538D">
        <w:t>Zero Trust replaces implicit trust with continuous verification of users, devices, and applications.</w:t>
      </w:r>
      <w:sdt>
        <w:sdtPr>
          <w:id w:val="-265853747"/>
          <w:citation/>
        </w:sdtPr>
        <w:sdtContent>
          <w:r w:rsidR="008B188C">
            <w:fldChar w:fldCharType="begin"/>
          </w:r>
          <w:r w:rsidR="008B188C">
            <w:instrText xml:space="preserve"> CITATION JKi101 \l 2057 </w:instrText>
          </w:r>
          <w:r w:rsidR="008B188C">
            <w:fldChar w:fldCharType="separate"/>
          </w:r>
          <w:r w:rsidR="00A93C46">
            <w:rPr>
              <w:noProof/>
            </w:rPr>
            <w:t xml:space="preserve"> </w:t>
          </w:r>
          <w:r w:rsidR="00A93C46" w:rsidRPr="00A93C46">
            <w:rPr>
              <w:noProof/>
            </w:rPr>
            <w:t>[8]</w:t>
          </w:r>
          <w:r w:rsidR="008B188C">
            <w:fldChar w:fldCharType="end"/>
          </w:r>
        </w:sdtContent>
      </w:sdt>
      <w:r w:rsidR="008B188C">
        <w:t xml:space="preserve"> </w:t>
      </w:r>
      <w:r w:rsidRPr="0081538D">
        <w:t xml:space="preserve"> Least</w:t>
      </w:r>
      <w:r w:rsidRPr="0081538D">
        <w:noBreakHyphen/>
        <w:t>privilege access ensures users receive only the permissions required for their role, reducing the impact of compromised accounts. Micro</w:t>
      </w:r>
      <w:r w:rsidRPr="0081538D">
        <w:noBreakHyphen/>
        <w:t>segmentation restricts lateral movement, isolating workloads across hybrid environments. Continuous monitoring through SIEM and behavioural analytics provides real</w:t>
      </w:r>
      <w:r w:rsidRPr="0081538D">
        <w:noBreakHyphen/>
        <w:t>time visibility and supports rapid detection of unusual activity. Zero Trust Network Access (ZTNA) offers secure remote access by granting application</w:t>
      </w:r>
      <w:r w:rsidRPr="0081538D">
        <w:noBreakHyphen/>
        <w:t>specific permissions rather than broad network access. Zero Trust aligns with GDPR and DORA requirements for strong access controls and continuous oversight. Although implementation can be challenging</w:t>
      </w:r>
      <w:r w:rsidR="0047000F">
        <w:t xml:space="preserve"> </w:t>
      </w:r>
      <w:r w:rsidRPr="0081538D">
        <w:t>particularly with legacy systems</w:t>
      </w:r>
      <w:r w:rsidR="0047000F">
        <w:t xml:space="preserve"> </w:t>
      </w:r>
      <w:r w:rsidRPr="0081538D">
        <w:t>the model significantly improves resilience. Combined with CSPM, Zero Trust provides a comprehensive approach to securing cloud environments by ensuring both secure configurations and controlled access.</w:t>
      </w:r>
    </w:p>
    <w:p w14:paraId="269C6E21" w14:textId="77777777" w:rsidR="0047000F" w:rsidRPr="0047000F" w:rsidRDefault="0047000F" w:rsidP="0047000F">
      <w:r w:rsidRPr="0047000F">
        <w:t xml:space="preserve">While Zero Trust is often described as a security model, in practice it represents a fundamental shift in how organisations design and operate modern digital </w:t>
      </w:r>
      <w:r w:rsidRPr="0047000F">
        <w:lastRenderedPageBreak/>
        <w:t>infrastructures. Rather than relying on network location or traditional perimeter boundaries, Zero Trust evaluates every access request using contextual signals such as user identity, device posture, behavioural patterns, and the sensitivity of the requested resource. This approach is particularly effective within cloud and hybrid environments, where workloads are highly distributed and traditional network segmentation is difficult to maintain.</w:t>
      </w:r>
    </w:p>
    <w:p w14:paraId="5A39A760" w14:textId="77777777" w:rsidR="0047000F" w:rsidRPr="0047000F" w:rsidRDefault="0047000F" w:rsidP="0047000F">
      <w:r w:rsidRPr="0047000F">
        <w:t>A key enabler of Zero Trust is strong identity governance. Organisations must ensure that user accounts, service identities, and machine credentials are tightly controlled, regularly reviewed, and assigned only the minimum permissions required for operational tasks. Privileged Access Management (PAM) solutions further reduce risk by enforcing strict controls over administrative actions, providing session monitoring, and preventing unauthorised privilege escalation.</w:t>
      </w:r>
    </w:p>
    <w:p w14:paraId="70D70156" w14:textId="77777777" w:rsidR="0047000F" w:rsidRPr="0047000F" w:rsidRDefault="0047000F" w:rsidP="0047000F">
      <w:r w:rsidRPr="0047000F">
        <w:t>Network micro</w:t>
      </w:r>
      <w:r w:rsidRPr="0047000F">
        <w:noBreakHyphen/>
        <w:t>segmentation also plays a critical role in Zero Trust adoption. By dividing environments into smaller, isolated zones, organisations can significantly limit lateral movement and reduce the blast radius of compromised accounts. This is especially important in hybrid environments where attackers may attempt to pivot between cloud workloads and on</w:t>
      </w:r>
      <w:r w:rsidRPr="0047000F">
        <w:noBreakHyphen/>
        <w:t>premises systems.</w:t>
      </w:r>
    </w:p>
    <w:p w14:paraId="035B3CED" w14:textId="77777777" w:rsidR="0047000F" w:rsidRPr="0047000F" w:rsidRDefault="0047000F" w:rsidP="0047000F">
      <w:r w:rsidRPr="0047000F">
        <w:t>Continuous monitoring and behavioural analytics strengthen Zero Trust by enabling organisations to detect anomalies such as unusual login locations, unexpected privilege changes, or suspicious API activity. When combined with CSPM, these capabilities ensure that cloud resources remain securely configured while access decisions are continuously evaluated.</w:t>
      </w:r>
    </w:p>
    <w:p w14:paraId="5E3D0D2A" w14:textId="14E96D69" w:rsidR="0047000F" w:rsidRPr="0047000F" w:rsidRDefault="0047000F" w:rsidP="0047000F">
      <w:r w:rsidRPr="0047000F">
        <w:t>Although Zero Trust implementation can be complex</w:t>
      </w:r>
      <w:r>
        <w:t xml:space="preserve"> </w:t>
      </w:r>
      <w:r w:rsidRPr="0047000F">
        <w:t>particularly for organisations with legacy systems</w:t>
      </w:r>
      <w:r>
        <w:t xml:space="preserve"> </w:t>
      </w:r>
      <w:r w:rsidRPr="0047000F">
        <w:t>the model provides a scalable and adaptive foundation for securing modern cloud infrastructures.</w:t>
      </w:r>
    </w:p>
    <w:p w14:paraId="2321F51B" w14:textId="77777777" w:rsidR="0047000F" w:rsidRDefault="0047000F" w:rsidP="002556C9"/>
    <w:p w14:paraId="186BCB66" w14:textId="6BB92667" w:rsidR="008D1FE7" w:rsidRDefault="008D1FE7" w:rsidP="008D1FE7">
      <w:pPr>
        <w:pStyle w:val="Heading2"/>
      </w:pPr>
      <w:bookmarkStart w:id="5" w:name="_Toc235976430"/>
      <w:r>
        <w:t>Conclusion</w:t>
      </w:r>
      <w:bookmarkEnd w:id="5"/>
    </w:p>
    <w:p w14:paraId="4B9C574D" w14:textId="77777777" w:rsidR="008D1FE7" w:rsidRDefault="008D1FE7" w:rsidP="008D1FE7"/>
    <w:p w14:paraId="4BFB1D2D" w14:textId="0706326A" w:rsidR="003403A1" w:rsidRPr="003403A1" w:rsidRDefault="003403A1" w:rsidP="003403A1">
      <w:r w:rsidRPr="003403A1">
        <w:t>Securing cloud and hybrid environments requires organisations to adopt security strategies that go far beyond traditional perimeter</w:t>
      </w:r>
      <w:r w:rsidRPr="003403A1">
        <w:noBreakHyphen/>
        <w:t>based models. The research presented throughout this paper demonstrates that modern threats</w:t>
      </w:r>
      <w:r>
        <w:t xml:space="preserve"> </w:t>
      </w:r>
      <w:r w:rsidRPr="003403A1">
        <w:t>such as misconfiguration, identity compromise, ransomware, supply</w:t>
      </w:r>
      <w:r w:rsidRPr="003403A1">
        <w:noBreakHyphen/>
        <w:t>chain vulnerabilities, and insecure APIs</w:t>
      </w:r>
      <w:r>
        <w:t xml:space="preserve"> </w:t>
      </w:r>
      <w:r w:rsidRPr="003403A1">
        <w:t>are fundamentally shaped by the distributed nature of cloud infrastructures. These risks cannot be mitigated through isolated technical controls; instead, organisations must implement integrated security frameworks that provide continuous visibility, strong identity governance, automated configuration assessment, and rapid incident response.</w:t>
      </w:r>
    </w:p>
    <w:p w14:paraId="7B9B1917" w14:textId="77777777" w:rsidR="003403A1" w:rsidRPr="003403A1" w:rsidRDefault="003403A1" w:rsidP="003403A1">
      <w:r w:rsidRPr="003403A1">
        <w:lastRenderedPageBreak/>
        <w:t>Zero Trust Architecture and Cloud Security Posture Management (CSPM) have emerged as two of the most effective approaches for addressing these challenges. Zero Trust strengthens identity verification, enforces least</w:t>
      </w:r>
      <w:r w:rsidRPr="003403A1">
        <w:noBreakHyphen/>
        <w:t>privilege access, and limits lateral movement, while CSPM ensures that cloud resources remain securely configured and compliant with organisational policies. When combined with continuous monitoring, behavioural analytics, and secure development practices, these approaches provide a comprehensive foundation for protecting sensitive data and supporting regulatory compliance.</w:t>
      </w:r>
    </w:p>
    <w:p w14:paraId="081E8E15" w14:textId="77777777" w:rsidR="003403A1" w:rsidRPr="003403A1" w:rsidRDefault="003403A1" w:rsidP="003403A1">
      <w:r w:rsidRPr="003403A1">
        <w:t>The findings of this research directly inform the practical proposal developed in Task 2. The organisational design, policy framework, compliance roadmap, technical architecture, and incident response strategy presented in Task 2 are grounded in the evidence identified throughout this analysis. By applying contemporary security principles to the operational context of Aegis FinTech Innovations Ltd., the proposal demonstrates how research</w:t>
      </w:r>
      <w:r w:rsidRPr="003403A1">
        <w:noBreakHyphen/>
        <w:t>driven insights can be translated into actionable security strategies that support business growth, regulatory obligations, and long</w:t>
      </w:r>
      <w:r w:rsidRPr="003403A1">
        <w:noBreakHyphen/>
        <w:t>term operational resilience.</w:t>
      </w:r>
    </w:p>
    <w:p w14:paraId="173D5F86" w14:textId="77777777" w:rsidR="003403A1" w:rsidRPr="003403A1" w:rsidRDefault="003403A1" w:rsidP="003403A1">
      <w:r w:rsidRPr="003403A1">
        <w:t>Ultimately, this research highlights that securing cloud and hybrid environments is not a single technical challenge but an ongoing organisational commitment requiring continuous improvement, proactive governance, and alignment with industry best practice.</w:t>
      </w:r>
    </w:p>
    <w:p w14:paraId="476FC3CF" w14:textId="77777777" w:rsidR="008D1FE7" w:rsidRDefault="008D1FE7" w:rsidP="008D1FE7"/>
    <w:p w14:paraId="5ECC0474" w14:textId="7810D142" w:rsidR="0094761C" w:rsidRDefault="0094761C" w:rsidP="0094761C">
      <w:pPr>
        <w:pStyle w:val="Heading1"/>
      </w:pPr>
      <w:bookmarkStart w:id="6" w:name="_Toc235976431"/>
      <w:r>
        <w:t>Task 2</w:t>
      </w:r>
      <w:bookmarkEnd w:id="6"/>
    </w:p>
    <w:p w14:paraId="73AA06E4" w14:textId="77777777" w:rsidR="0094761C" w:rsidRDefault="0094761C" w:rsidP="0094761C"/>
    <w:p w14:paraId="4A37D3D5" w14:textId="78177AF5" w:rsidR="0094761C" w:rsidRDefault="00334178" w:rsidP="00334178">
      <w:pPr>
        <w:pStyle w:val="Heading2"/>
      </w:pPr>
      <w:bookmarkStart w:id="7" w:name="_Toc235976432"/>
      <w:r w:rsidRPr="00334178">
        <w:t>Work</w:t>
      </w:r>
      <w:r w:rsidRPr="00334178">
        <w:noBreakHyphen/>
        <w:t>Stream 1: Organisational Design &amp; Resourcing</w:t>
      </w:r>
      <w:bookmarkEnd w:id="7"/>
    </w:p>
    <w:p w14:paraId="7CDE36FE" w14:textId="77777777" w:rsidR="00334178" w:rsidRDefault="00334178" w:rsidP="00334178"/>
    <w:p w14:paraId="351EBC94" w14:textId="18DC12EB" w:rsidR="001F3783" w:rsidRDefault="001F3783" w:rsidP="00075406">
      <w:r w:rsidRPr="001F3783">
        <w:t>As Aegis FinTech expands into the European Union, establishing a dedicated Information Security Unit is essential. The risks identified in Task</w:t>
      </w:r>
      <w:r w:rsidRPr="001F3783">
        <w:rPr>
          <w:rFonts w:ascii="Arial" w:hAnsi="Arial" w:cs="Arial"/>
        </w:rPr>
        <w:t> </w:t>
      </w:r>
      <w:r w:rsidRPr="001F3783">
        <w:t>1</w:t>
      </w:r>
      <w:r>
        <w:rPr>
          <w:rFonts w:ascii="Aptos" w:hAnsi="Aptos" w:cs="Aptos"/>
        </w:rPr>
        <w:t xml:space="preserve"> </w:t>
      </w:r>
      <w:r w:rsidRPr="001F3783">
        <w:t>cloud misconfiguration, identity</w:t>
      </w:r>
      <w:r w:rsidRPr="001F3783">
        <w:noBreakHyphen/>
        <w:t>based attacks, ransomware, and third</w:t>
      </w:r>
      <w:r w:rsidRPr="001F3783">
        <w:noBreakHyphen/>
        <w:t xml:space="preserve">party </w:t>
      </w:r>
      <w:r>
        <w:t xml:space="preserve">dependencies </w:t>
      </w:r>
      <w:r w:rsidR="00932C06">
        <w:t>s</w:t>
      </w:r>
      <w:r w:rsidRPr="001F3783">
        <w:t>how that specialised roles are required to secure cloud and hybrid environments.</w:t>
      </w:r>
    </w:p>
    <w:p w14:paraId="22637BD5" w14:textId="77777777" w:rsidR="00177F84" w:rsidRDefault="00177F84" w:rsidP="0057711D">
      <w:r w:rsidRPr="00177F84">
        <w:t>The Information Security Unit will operate under the Chief Information Security Officer (CISO) and include roles covering cloud security, identity governance, regulatory compliance, and secure development. This structure ensures Aegis FinTech can anticipate, protect against, detect, and respond to modern cyber threats.</w:t>
      </w:r>
    </w:p>
    <w:p w14:paraId="408B0588" w14:textId="05373774" w:rsidR="0057711D" w:rsidRPr="0057711D" w:rsidRDefault="00AB45B1" w:rsidP="0057711D">
      <w:r w:rsidRPr="00AB45B1">
        <w:t xml:space="preserve">A Cloud Security Architect will design and maintain secure cloud and hybrid environments, helping reduce misconfiguration risks and strengthen secure </w:t>
      </w:r>
      <w:r w:rsidRPr="00AB45B1">
        <w:lastRenderedPageBreak/>
        <w:t>configuration baselines</w:t>
      </w:r>
      <w:r w:rsidR="0057711D" w:rsidRPr="0057711D">
        <w:t>.</w:t>
      </w:r>
      <w:sdt>
        <w:sdtPr>
          <w:id w:val="-315415678"/>
          <w:citation/>
        </w:sdtPr>
        <w:sdtContent>
          <w:r w:rsidR="0059665E">
            <w:fldChar w:fldCharType="begin"/>
          </w:r>
          <w:r w:rsidR="0059665E">
            <w:instrText xml:space="preserve"> CITATION ENI22 \l 2057 </w:instrText>
          </w:r>
          <w:r w:rsidR="0059665E">
            <w:fldChar w:fldCharType="separate"/>
          </w:r>
          <w:r w:rsidR="00A93C46">
            <w:rPr>
              <w:noProof/>
            </w:rPr>
            <w:t xml:space="preserve"> </w:t>
          </w:r>
          <w:r w:rsidR="00A93C46" w:rsidRPr="00A93C46">
            <w:rPr>
              <w:noProof/>
            </w:rPr>
            <w:t>[3]</w:t>
          </w:r>
          <w:r w:rsidR="0059665E">
            <w:fldChar w:fldCharType="end"/>
          </w:r>
        </w:sdtContent>
      </w:sdt>
      <w:r w:rsidR="0057711D" w:rsidRPr="0057711D">
        <w:t xml:space="preserve"> The Cloud Security Architect will oversee CSPM tools, ensure secure configuration baselines, and support the implementation of Zero Trust controls across cloud platforms such as AWS and Azure. Their work will directly reduce the likelihood of configuration drift and unauthorised access.</w:t>
      </w:r>
    </w:p>
    <w:p w14:paraId="30601430" w14:textId="086110F2" w:rsidR="0057711D" w:rsidRPr="0057711D" w:rsidRDefault="0057711D" w:rsidP="0057711D">
      <w:r w:rsidRPr="0057711D">
        <w:t xml:space="preserve">A </w:t>
      </w:r>
      <w:proofErr w:type="spellStart"/>
      <w:r w:rsidRPr="0057711D">
        <w:t>DevSecOps</w:t>
      </w:r>
      <w:proofErr w:type="spellEnd"/>
      <w:r w:rsidRPr="0057711D">
        <w:t xml:space="preserve"> Engineer will integrate security practices into the development and deployment lifecycle. As Aegis FinTech develops an AI</w:t>
      </w:r>
      <w:r w:rsidRPr="0057711D">
        <w:noBreakHyphen/>
        <w:t>powered analytics platform, secure coding, automated testing, and continuous monitoring are critical.</w:t>
      </w:r>
      <w:sdt>
        <w:sdtPr>
          <w:id w:val="872969704"/>
          <w:citation/>
        </w:sdtPr>
        <w:sdtContent>
          <w:r w:rsidR="0015030A">
            <w:fldChar w:fldCharType="begin"/>
          </w:r>
          <w:r w:rsidR="0015030A">
            <w:instrText xml:space="preserve"> CITATION Mic23 \l 2057 </w:instrText>
          </w:r>
          <w:r w:rsidR="0015030A">
            <w:fldChar w:fldCharType="separate"/>
          </w:r>
          <w:r w:rsidR="00A93C46">
            <w:rPr>
              <w:noProof/>
            </w:rPr>
            <w:t xml:space="preserve"> </w:t>
          </w:r>
          <w:r w:rsidR="00A93C46" w:rsidRPr="00A93C46">
            <w:rPr>
              <w:noProof/>
            </w:rPr>
            <w:t>[9]</w:t>
          </w:r>
          <w:r w:rsidR="0015030A">
            <w:fldChar w:fldCharType="end"/>
          </w:r>
        </w:sdtContent>
      </w:sdt>
      <w:r w:rsidRPr="0057711D">
        <w:t xml:space="preserve"> The </w:t>
      </w:r>
      <w:proofErr w:type="spellStart"/>
      <w:r w:rsidRPr="0057711D">
        <w:t>DevSecOps</w:t>
      </w:r>
      <w:proofErr w:type="spellEnd"/>
      <w:r w:rsidRPr="0057711D">
        <w:t xml:space="preserve"> Engineer will ensure that security controls are embedded into CI/CD pipelines, reducing vulnerabilities in applications and supporting rapid, secure deployment. This role aligns with the need for automation and continuous visibility highlighted in Task</w:t>
      </w:r>
      <w:r w:rsidRPr="0057711D">
        <w:rPr>
          <w:rFonts w:ascii="Arial" w:hAnsi="Arial" w:cs="Arial"/>
        </w:rPr>
        <w:t> </w:t>
      </w:r>
      <w:r w:rsidRPr="0057711D">
        <w:t>1.</w:t>
      </w:r>
    </w:p>
    <w:p w14:paraId="70F350D9" w14:textId="0EDD97E8" w:rsidR="0057711D" w:rsidRPr="0057711D" w:rsidRDefault="0057711D" w:rsidP="0057711D">
      <w:r w:rsidRPr="0057711D">
        <w:t>A Security Operations Analyst (SOC Analyst) will monitor security events, investigate alerts, and support incident response activities. Task</w:t>
      </w:r>
      <w:r w:rsidRPr="0057711D">
        <w:rPr>
          <w:rFonts w:ascii="Arial" w:hAnsi="Arial" w:cs="Arial"/>
        </w:rPr>
        <w:t> </w:t>
      </w:r>
      <w:r w:rsidRPr="0057711D">
        <w:t>1 emphasised the importance of continuous monitoring and rapid detection of unusual behaviour,</w:t>
      </w:r>
      <w:sdt>
        <w:sdtPr>
          <w:id w:val="-1109668482"/>
          <w:citation/>
        </w:sdtPr>
        <w:sdtContent>
          <w:r w:rsidR="00543A00">
            <w:fldChar w:fldCharType="begin"/>
          </w:r>
          <w:r w:rsidR="00543A00">
            <w:instrText xml:space="preserve"> CITATION NIS24 \l 2057 </w:instrText>
          </w:r>
          <w:r w:rsidR="00543A00">
            <w:fldChar w:fldCharType="separate"/>
          </w:r>
          <w:r w:rsidR="00A93C46">
            <w:rPr>
              <w:noProof/>
            </w:rPr>
            <w:t xml:space="preserve"> </w:t>
          </w:r>
          <w:r w:rsidR="00A93C46" w:rsidRPr="00A93C46">
            <w:rPr>
              <w:noProof/>
            </w:rPr>
            <w:t>[10]</w:t>
          </w:r>
          <w:r w:rsidR="00543A00">
            <w:fldChar w:fldCharType="end"/>
          </w:r>
        </w:sdtContent>
      </w:sdt>
      <w:r w:rsidRPr="0057711D">
        <w:t xml:space="preserve"> particularly within cloud environments. The SOC Analyst will use SIEM tools to identify potential threats, support forensic investigations, and escalate incidents when necessary. This role strengthens Aegis FinTech</w:t>
      </w:r>
      <w:r w:rsidRPr="0057711D">
        <w:rPr>
          <w:rFonts w:ascii="Aptos" w:hAnsi="Aptos" w:cs="Aptos"/>
        </w:rPr>
        <w:t>’</w:t>
      </w:r>
      <w:r w:rsidRPr="0057711D">
        <w:t>s ability to detect and respond to attacks such as ransomware or identity</w:t>
      </w:r>
      <w:r w:rsidRPr="0057711D">
        <w:noBreakHyphen/>
        <w:t>based breaches.</w:t>
      </w:r>
    </w:p>
    <w:p w14:paraId="417185C0" w14:textId="2E39F52D" w:rsidR="0057711D" w:rsidRPr="0057711D" w:rsidRDefault="0057711D" w:rsidP="0057711D">
      <w:r w:rsidRPr="0057711D">
        <w:t>A Data Protection Officer (DPO) is required to ensure compliance with GDPR and DORA as Aegis FinTech expands into the EU. Task</w:t>
      </w:r>
      <w:r w:rsidRPr="0057711D">
        <w:rPr>
          <w:rFonts w:ascii="Arial" w:hAnsi="Arial" w:cs="Arial"/>
        </w:rPr>
        <w:t> </w:t>
      </w:r>
      <w:r w:rsidRPr="0057711D">
        <w:t>1 highlighted the importance of regulatory alignment and strong access controls. The DPO will oversee data protection policies, conduct Data Protection Impact Assessments (DPIAs), and ensure that personal data is processed securely and lawfully. This role is mandatory for organisations that handle large volumes of personal data, particularly within financial services.</w:t>
      </w:r>
    </w:p>
    <w:p w14:paraId="3B24E666" w14:textId="12DF2631" w:rsidR="0057711D" w:rsidRPr="0057711D" w:rsidRDefault="0057711D" w:rsidP="0057711D">
      <w:r w:rsidRPr="0057711D">
        <w:t>An AI Security Specialist will support the secure development and deployment of AI models used within the analytics platform. Although Task</w:t>
      </w:r>
      <w:r w:rsidRPr="0057711D">
        <w:rPr>
          <w:rFonts w:ascii="Arial" w:hAnsi="Arial" w:cs="Arial"/>
        </w:rPr>
        <w:t> </w:t>
      </w:r>
      <w:r w:rsidRPr="0057711D">
        <w:t>1 focused on cloud and hybrid environments, the research also highlighted the growing risks associated with identity</w:t>
      </w:r>
      <w:r w:rsidRPr="0057711D">
        <w:noBreakHyphen/>
        <w:t>based attacks, API vulnerabilities, and data exposure. As Aegis FinTech relies heavily on AI, this role will ensure that training data, model outputs, and AI pipelines are protected from threats such as data poisoning, model theft, and unauthorised access.</w:t>
      </w:r>
      <w:sdt>
        <w:sdtPr>
          <w:id w:val="305512247"/>
          <w:citation/>
        </w:sdtPr>
        <w:sdtContent>
          <w:r w:rsidR="00543274">
            <w:fldChar w:fldCharType="begin"/>
          </w:r>
          <w:r w:rsidR="00543274">
            <w:instrText xml:space="preserve"> CITATION Cro24 \l 2057 </w:instrText>
          </w:r>
          <w:r w:rsidR="00543274">
            <w:fldChar w:fldCharType="separate"/>
          </w:r>
          <w:r w:rsidR="00A93C46">
            <w:rPr>
              <w:noProof/>
            </w:rPr>
            <w:t xml:space="preserve"> </w:t>
          </w:r>
          <w:r w:rsidR="00A93C46" w:rsidRPr="00A93C46">
            <w:rPr>
              <w:noProof/>
            </w:rPr>
            <w:t>[4]</w:t>
          </w:r>
          <w:r w:rsidR="00543274">
            <w:fldChar w:fldCharType="end"/>
          </w:r>
        </w:sdtContent>
      </w:sdt>
    </w:p>
    <w:p w14:paraId="11A7B41E" w14:textId="77777777" w:rsidR="0057711D" w:rsidRPr="0057711D" w:rsidRDefault="0057711D" w:rsidP="0057711D">
      <w:r w:rsidRPr="0057711D">
        <w:t>Finally, a Third</w:t>
      </w:r>
      <w:r w:rsidRPr="0057711D">
        <w:noBreakHyphen/>
        <w:t>Party Risk Manager will oversee the security of external vendors, cloud providers, and SaaS platforms. Task</w:t>
      </w:r>
      <w:r w:rsidRPr="0057711D">
        <w:rPr>
          <w:rFonts w:ascii="Arial" w:hAnsi="Arial" w:cs="Arial"/>
        </w:rPr>
        <w:t> </w:t>
      </w:r>
      <w:r w:rsidRPr="0057711D">
        <w:t>1 identified third</w:t>
      </w:r>
      <w:r w:rsidRPr="0057711D">
        <w:noBreakHyphen/>
        <w:t>party risk as a major challenge within hybrid environments. This role will ensure that suppliers meet security requirements, conduct regular assessments, and maintain compliance with regulatory standards such as DORA</w:t>
      </w:r>
      <w:r w:rsidRPr="0057711D">
        <w:rPr>
          <w:rFonts w:ascii="Aptos" w:hAnsi="Aptos" w:cs="Aptos"/>
        </w:rPr>
        <w:t>’</w:t>
      </w:r>
      <w:r w:rsidRPr="0057711D">
        <w:t>s ICT third</w:t>
      </w:r>
      <w:r w:rsidRPr="0057711D">
        <w:noBreakHyphen/>
        <w:t>party risk management obligations.</w:t>
      </w:r>
    </w:p>
    <w:p w14:paraId="5FC58B33" w14:textId="0F43250F" w:rsidR="0057711D" w:rsidRPr="0057711D" w:rsidRDefault="0057711D" w:rsidP="0057711D">
      <w:r w:rsidRPr="0057711D">
        <w:t xml:space="preserve">Collectively, these roles form a modern, resilient Information Security Unit capable of supporting Aegis FinTech’s growth and regulatory obligations. The organisational design </w:t>
      </w:r>
      <w:r w:rsidRPr="0057711D">
        <w:lastRenderedPageBreak/>
        <w:t>directly reflects the findings from Task</w:t>
      </w:r>
      <w:r w:rsidRPr="0057711D">
        <w:rPr>
          <w:rFonts w:ascii="Arial" w:hAnsi="Arial" w:cs="Arial"/>
        </w:rPr>
        <w:t> </w:t>
      </w:r>
      <w:r w:rsidRPr="0057711D">
        <w:t>1, ensuring that the unit is equipped to manage cloud security, identity governance, regulatory compliance, and secure development practices. This structure provides a strong foundation for the remaining work</w:t>
      </w:r>
      <w:r w:rsidRPr="0057711D">
        <w:noBreakHyphen/>
        <w:t>streams, including policy development, compliance strategy, technical architecture, and incident response.</w:t>
      </w:r>
    </w:p>
    <w:p w14:paraId="5176628D" w14:textId="77777777" w:rsidR="00F008DD" w:rsidRDefault="00F008DD" w:rsidP="00334178"/>
    <w:p w14:paraId="08CE88CA" w14:textId="77777777" w:rsidR="00F008DD" w:rsidRPr="00F008DD" w:rsidRDefault="00F008DD" w:rsidP="00F008DD">
      <w:pPr>
        <w:pStyle w:val="Heading2"/>
      </w:pPr>
      <w:bookmarkStart w:id="8" w:name="_Toc235976433"/>
      <w:r w:rsidRPr="00F008DD">
        <w:t>Work Stream 2: Policy Framework Development</w:t>
      </w:r>
      <w:bookmarkEnd w:id="8"/>
    </w:p>
    <w:p w14:paraId="0B563B47" w14:textId="77777777" w:rsidR="00D14EFA" w:rsidRPr="00D14EFA" w:rsidRDefault="00D14EFA" w:rsidP="00D14EFA">
      <w:r w:rsidRPr="00D14EFA">
        <w:t>Aegis FinTech must introduce clear security policies to protect its AI</w:t>
      </w:r>
      <w:r w:rsidRPr="00D14EFA">
        <w:noBreakHyphen/>
        <w:t>driven financial analytics platform. Task</w:t>
      </w:r>
      <w:r w:rsidRPr="00D14EFA">
        <w:rPr>
          <w:rFonts w:ascii="Arial" w:hAnsi="Arial" w:cs="Arial"/>
        </w:rPr>
        <w:t> </w:t>
      </w:r>
      <w:r w:rsidRPr="00D14EFA">
        <w:t>1 highlighted cloud misconfiguration, identity</w:t>
      </w:r>
      <w:r w:rsidRPr="00D14EFA">
        <w:noBreakHyphen/>
        <w:t>based attacks, and third</w:t>
      </w:r>
      <w:r w:rsidRPr="00D14EFA">
        <w:noBreakHyphen/>
        <w:t>party risks as major challenges in cloud and hybrid environments, making a structured policy framework essential for supporting Zero Trust and CSPM.</w:t>
      </w:r>
    </w:p>
    <w:p w14:paraId="38BA379E" w14:textId="77777777" w:rsidR="00F008DD" w:rsidRPr="00F008DD" w:rsidRDefault="00F008DD" w:rsidP="00F63D15">
      <w:pPr>
        <w:pStyle w:val="Heading4"/>
      </w:pPr>
      <w:r w:rsidRPr="00F008DD">
        <w:t>Acceptable Use Policy for AI and Cloud Services</w:t>
      </w:r>
    </w:p>
    <w:p w14:paraId="38E3106A" w14:textId="62AFB31B" w:rsidR="009F1070" w:rsidRPr="009F1070" w:rsidRDefault="009F1070" w:rsidP="009F1070">
      <w:r w:rsidRPr="009F1070">
        <w:t xml:space="preserve">Employees may only use approved cloud platforms and AI </w:t>
      </w:r>
      <w:r w:rsidR="00FB2B61" w:rsidRPr="009F1070">
        <w:t>tools and</w:t>
      </w:r>
      <w:r w:rsidRPr="009F1070">
        <w:t xml:space="preserve"> must not upload confidential information to unauthorised services. Access to cloud resources should follow least</w:t>
      </w:r>
      <w:r w:rsidRPr="009F1070">
        <w:noBreakHyphen/>
        <w:t>privilege principles, supported by mandatory multi</w:t>
      </w:r>
      <w:r w:rsidRPr="009F1070">
        <w:noBreakHyphen/>
        <w:t>factor authentication. These requirements reinforce Zero Trust principles discussed in Task</w:t>
      </w:r>
      <w:r w:rsidRPr="009F1070">
        <w:rPr>
          <w:rFonts w:ascii="Arial" w:hAnsi="Arial" w:cs="Arial"/>
        </w:rPr>
        <w:t> </w:t>
      </w:r>
      <w:r w:rsidRPr="009F1070">
        <w:t>1</w:t>
      </w:r>
      <w:sdt>
        <w:sdtPr>
          <w:id w:val="978810538"/>
          <w:citation/>
        </w:sdtPr>
        <w:sdtContent>
          <w:r w:rsidR="006B628A">
            <w:fldChar w:fldCharType="begin"/>
          </w:r>
          <w:r w:rsidR="006B628A">
            <w:instrText xml:space="preserve"> CITATION Gar23 \l 2057 </w:instrText>
          </w:r>
          <w:r w:rsidR="006B628A">
            <w:fldChar w:fldCharType="separate"/>
          </w:r>
          <w:r w:rsidR="00A93C46">
            <w:rPr>
              <w:noProof/>
            </w:rPr>
            <w:t xml:space="preserve"> </w:t>
          </w:r>
          <w:r w:rsidR="00A93C46" w:rsidRPr="00A93C46">
            <w:rPr>
              <w:noProof/>
            </w:rPr>
            <w:t>[1]</w:t>
          </w:r>
          <w:r w:rsidR="006B628A">
            <w:fldChar w:fldCharType="end"/>
          </w:r>
        </w:sdtContent>
      </w:sdt>
      <w:r w:rsidRPr="009F1070">
        <w:t xml:space="preserve"> by reducing unauthorised access and protecting sensitive financial data.</w:t>
      </w:r>
    </w:p>
    <w:p w14:paraId="718B6BF3" w14:textId="77777777" w:rsidR="00F008DD" w:rsidRPr="00F008DD" w:rsidRDefault="00F008DD" w:rsidP="00F63D15">
      <w:pPr>
        <w:pStyle w:val="Heading4"/>
      </w:pPr>
      <w:r w:rsidRPr="00F008DD">
        <w:t>Hybrid Work and Remote Access Security Policy</w:t>
      </w:r>
    </w:p>
    <w:p w14:paraId="58A19026" w14:textId="77777777" w:rsidR="0089730C" w:rsidRPr="0089730C" w:rsidRDefault="0089730C" w:rsidP="0089730C">
      <w:r w:rsidRPr="0089730C">
        <w:t>Hybrid working requires secure access from any location. Remote access should use Zero Trust Network Access (ZTNA) rather than traditional VPNs. All company devices must use encryption, receive regular updates, and run endpoint protection. Authorised personal devices must meet organisational standards. Continuous monitoring helps identify suspicious behaviour and mitigate identity</w:t>
      </w:r>
      <w:r w:rsidRPr="0089730C">
        <w:noBreakHyphen/>
        <w:t>based attacks highlighted in Task</w:t>
      </w:r>
      <w:r w:rsidRPr="0089730C">
        <w:rPr>
          <w:rFonts w:ascii="Arial" w:hAnsi="Arial" w:cs="Arial"/>
        </w:rPr>
        <w:t> </w:t>
      </w:r>
      <w:r w:rsidRPr="0089730C">
        <w:t>1.</w:t>
      </w:r>
    </w:p>
    <w:p w14:paraId="39EBD4F3" w14:textId="77777777" w:rsidR="00F008DD" w:rsidRPr="00F63D15" w:rsidRDefault="00F008DD" w:rsidP="00F63D15">
      <w:pPr>
        <w:pStyle w:val="Heading4"/>
      </w:pPr>
      <w:r w:rsidRPr="00F63D15">
        <w:t>Third-Party and Cloud Vendor Risk Management Policy</w:t>
      </w:r>
    </w:p>
    <w:p w14:paraId="10AF6880" w14:textId="77777777" w:rsidR="00602B49" w:rsidRPr="00602B49" w:rsidRDefault="00602B49" w:rsidP="00602B49">
      <w:r w:rsidRPr="00602B49">
        <w:t>As identified in Task</w:t>
      </w:r>
      <w:r w:rsidRPr="00602B49">
        <w:rPr>
          <w:rFonts w:ascii="Arial" w:hAnsi="Arial" w:cs="Arial"/>
        </w:rPr>
        <w:t> </w:t>
      </w:r>
      <w:r w:rsidRPr="00602B49">
        <w:t>1, reliance on third</w:t>
      </w:r>
      <w:r w:rsidRPr="00602B49">
        <w:noBreakHyphen/>
        <w:t>party cloud providers increases organisational exposure. All suppliers must undergo security assessments and demonstrate compliance with recognised standards. CSPM tools should monitor cloud providers for misconfigurations and compliance issues. Contracts must define responsibilities for data protection, breach notification, and regulatory alignment with GDPR and DORA.</w:t>
      </w:r>
    </w:p>
    <w:p w14:paraId="4498CBF4" w14:textId="77777777" w:rsidR="00776442" w:rsidRPr="00776442" w:rsidRDefault="00776442" w:rsidP="00776442">
      <w:r w:rsidRPr="00776442">
        <w:t>Together, these policies establish clear security expectations for employees and suppliers, strengthen cloud governance, and support regulatory compliance as Aegis FinTech expands into the European Union.</w:t>
      </w:r>
    </w:p>
    <w:p w14:paraId="3B48983F" w14:textId="77777777" w:rsidR="00341889" w:rsidRDefault="00341889" w:rsidP="00F008DD"/>
    <w:p w14:paraId="16BEB513" w14:textId="77777777" w:rsidR="00341889" w:rsidRPr="00341889" w:rsidRDefault="00341889" w:rsidP="00341889">
      <w:pPr>
        <w:pStyle w:val="Heading2"/>
      </w:pPr>
      <w:bookmarkStart w:id="9" w:name="_Toc235976434"/>
      <w:r w:rsidRPr="00341889">
        <w:t>Work Stream 3: Regulatory Compliance Strategy</w:t>
      </w:r>
      <w:bookmarkEnd w:id="9"/>
    </w:p>
    <w:p w14:paraId="2D356476" w14:textId="3EB629B6" w:rsidR="00341889" w:rsidRPr="00341889" w:rsidRDefault="00F94A7E" w:rsidP="00341889">
      <w:r w:rsidRPr="00F94A7E">
        <w:t>As Aegis FinTech expands into the EU, compliance with GDPR and DORA becomes essential to avoid financial penalties and reputational harm. Task</w:t>
      </w:r>
      <w:r w:rsidRPr="00F94A7E">
        <w:rPr>
          <w:rFonts w:ascii="Arial" w:hAnsi="Arial" w:cs="Arial"/>
        </w:rPr>
        <w:t> </w:t>
      </w:r>
      <w:r w:rsidRPr="00F94A7E">
        <w:t xml:space="preserve">1 highlighted that </w:t>
      </w:r>
      <w:r w:rsidRPr="00F94A7E">
        <w:lastRenderedPageBreak/>
        <w:t>cloud and hybrid environments require strong data protection and operational resilience, so Aegis FinTech should adopt a phased compliance roadmap</w:t>
      </w:r>
      <w:r w:rsidR="00341889" w:rsidRPr="00341889">
        <w:t>.</w:t>
      </w:r>
      <w:sdt>
        <w:sdtPr>
          <w:id w:val="-447083320"/>
          <w:citation/>
        </w:sdtPr>
        <w:sdtContent>
          <w:r w:rsidR="00CC3CF4">
            <w:fldChar w:fldCharType="begin"/>
          </w:r>
          <w:r w:rsidR="00CC3CF4">
            <w:instrText xml:space="preserve"> CITATION NIS20 \l 2057 </w:instrText>
          </w:r>
          <w:r w:rsidR="00CC3CF4">
            <w:fldChar w:fldCharType="separate"/>
          </w:r>
          <w:r w:rsidR="00A93C46">
            <w:rPr>
              <w:noProof/>
            </w:rPr>
            <w:t xml:space="preserve"> </w:t>
          </w:r>
          <w:r w:rsidR="00A93C46" w:rsidRPr="00A93C46">
            <w:rPr>
              <w:noProof/>
            </w:rPr>
            <w:t>[11]</w:t>
          </w:r>
          <w:r w:rsidR="00CC3CF4">
            <w:fldChar w:fldCharType="end"/>
          </w:r>
        </w:sdtContent>
      </w:sdt>
    </w:p>
    <w:p w14:paraId="051827FC" w14:textId="77777777" w:rsidR="00FA6DE0" w:rsidRPr="00FA6DE0" w:rsidRDefault="00FA6DE0" w:rsidP="00FA6DE0">
      <w:r w:rsidRPr="00FA6DE0">
        <w:t>In the first three months, the organisation should appoint a Data Protection Officer (DPO), complete a data inventory, and conduct DPIAs for high</w:t>
      </w:r>
      <w:r w:rsidRPr="00FA6DE0">
        <w:noBreakHyphen/>
        <w:t>risk processing, including AI systems. CSPM tools should review existing cloud environments for weaknesses and policy gaps.</w:t>
      </w:r>
    </w:p>
    <w:p w14:paraId="7F57C9A7" w14:textId="2C8AA347" w:rsidR="00341889" w:rsidRPr="00341889" w:rsidRDefault="00BD068F" w:rsidP="00341889">
      <w:r w:rsidRPr="00BD068F">
        <w:t>Between months four and eight, Aegis FinTech should implement GDPR</w:t>
      </w:r>
      <w:r w:rsidRPr="00BD068F">
        <w:noBreakHyphen/>
        <w:t xml:space="preserve"> and DORA</w:t>
      </w:r>
      <w:r w:rsidRPr="00BD068F">
        <w:noBreakHyphen/>
        <w:t>aligned controls such as encryption, MFA, IAM, continuous monitoring, and incident reporting. Staff should receive regular cybersecurity and data protection training</w:t>
      </w:r>
      <w:r w:rsidR="00341889" w:rsidRPr="00341889">
        <w:t>.</w:t>
      </w:r>
      <w:sdt>
        <w:sdtPr>
          <w:id w:val="-418792555"/>
          <w:citation/>
        </w:sdtPr>
        <w:sdtContent>
          <w:r w:rsidR="00C70F4C">
            <w:fldChar w:fldCharType="begin"/>
          </w:r>
          <w:r w:rsidR="00C70F4C">
            <w:instrText xml:space="preserve"> CITATION ISO22 \l 2057 </w:instrText>
          </w:r>
          <w:r w:rsidR="00C70F4C">
            <w:fldChar w:fldCharType="separate"/>
          </w:r>
          <w:r w:rsidR="00A93C46">
            <w:rPr>
              <w:noProof/>
            </w:rPr>
            <w:t xml:space="preserve"> </w:t>
          </w:r>
          <w:r w:rsidR="00A93C46" w:rsidRPr="00A93C46">
            <w:rPr>
              <w:noProof/>
            </w:rPr>
            <w:t>[12]</w:t>
          </w:r>
          <w:r w:rsidR="00C70F4C">
            <w:fldChar w:fldCharType="end"/>
          </w:r>
        </w:sdtContent>
      </w:sdt>
      <w:r w:rsidR="00341889" w:rsidRPr="00341889">
        <w:t xml:space="preserve"> These controls directly support the Zero Trust principles discussed in Task 1 by strengthening identity verification and reducing unauthorised access to organisational resources.</w:t>
      </w:r>
    </w:p>
    <w:p w14:paraId="65E00161" w14:textId="7A83B266" w:rsidR="00341889" w:rsidRPr="00341889" w:rsidRDefault="00737FFC" w:rsidP="00341889">
      <w:r w:rsidRPr="00737FFC">
        <w:t>In the final phase, the organisation should run internal audits, test incident response procedures, and reassess third</w:t>
      </w:r>
      <w:r w:rsidRPr="00737FFC">
        <w:noBreakHyphen/>
        <w:t>party suppliers to confirm ongoing compliance.</w:t>
      </w:r>
      <w:r>
        <w:t xml:space="preserve"> </w:t>
      </w:r>
      <w:r w:rsidR="00341889" w:rsidRPr="00341889">
        <w:t>This phased compliance strategy provides Aegis FinTech with a practical approach to achieving GDPR and DORA compliance while supporting the cloud security and operational resilience recommendations presented throughout Task 1.</w:t>
      </w:r>
    </w:p>
    <w:p w14:paraId="4A27D143" w14:textId="77777777" w:rsidR="00341889" w:rsidRDefault="00341889" w:rsidP="00F008DD"/>
    <w:p w14:paraId="3E5A9F28" w14:textId="77777777" w:rsidR="0056750E" w:rsidRPr="0056750E" w:rsidRDefault="0056750E" w:rsidP="0056750E">
      <w:pPr>
        <w:pStyle w:val="Heading2"/>
      </w:pPr>
      <w:bookmarkStart w:id="10" w:name="_Toc235976435"/>
      <w:r w:rsidRPr="0056750E">
        <w:t>Work Stream 4: Technical Standards &amp; Architecture</w:t>
      </w:r>
      <w:bookmarkEnd w:id="10"/>
    </w:p>
    <w:p w14:paraId="77C192F8" w14:textId="79D523B3" w:rsidR="00E151D1" w:rsidRPr="00E151D1" w:rsidRDefault="00E151D1" w:rsidP="00E151D1">
      <w:r w:rsidRPr="00E151D1">
        <w:t>Traditional perimeter security is insufficient for cloud and hybrid environments, so Aegis FinTech should adopt NIST CSF 2.0 as its cybersecurity foundation. The framework’s six functions</w:t>
      </w:r>
      <w:r>
        <w:t xml:space="preserve">. </w:t>
      </w:r>
      <w:r w:rsidRPr="00E151D1">
        <w:t>Govern, Identify, Protect, Detect, Respond, and Recover</w:t>
      </w:r>
      <w:r>
        <w:t xml:space="preserve"> </w:t>
      </w:r>
      <w:r w:rsidRPr="00E151D1">
        <w:t>support risk</w:t>
      </w:r>
      <w:r w:rsidRPr="00E151D1">
        <w:noBreakHyphen/>
        <w:t>based security and align with the continuous monitoring and identity</w:t>
      </w:r>
      <w:r w:rsidRPr="00E151D1">
        <w:noBreakHyphen/>
        <w:t>focused controls highlighted in Task</w:t>
      </w:r>
      <w:r w:rsidRPr="00E151D1">
        <w:rPr>
          <w:rFonts w:ascii="Arial" w:hAnsi="Arial" w:cs="Arial"/>
        </w:rPr>
        <w:t> </w:t>
      </w:r>
      <w:r w:rsidRPr="00E151D1">
        <w:t>1.</w:t>
      </w:r>
    </w:p>
    <w:p w14:paraId="3EAF1F4C" w14:textId="77777777" w:rsidR="005867D5" w:rsidRPr="005867D5" w:rsidRDefault="005867D5" w:rsidP="005867D5">
      <w:r w:rsidRPr="005867D5">
        <w:t>NIST CSF 2.0 complements Zero Trust principles by requiring organisations to verify access, enforce least</w:t>
      </w:r>
      <w:r w:rsidRPr="005867D5">
        <w:noBreakHyphen/>
        <w:t>privilege permissions, and maintain strong identity governance. The proposed architecture should therefore be built around Zero Trust. [13] MFA and IAM reduce unauthorised access, while least</w:t>
      </w:r>
      <w:r w:rsidRPr="005867D5">
        <w:noBreakHyphen/>
        <w:t>privilege controls limit the impact of compromised accounts.</w:t>
      </w:r>
    </w:p>
    <w:p w14:paraId="6F3F7123" w14:textId="77777777" w:rsidR="0056750E" w:rsidRPr="0056750E" w:rsidRDefault="0056750E" w:rsidP="0056750E">
      <w:r w:rsidRPr="0056750E">
        <w:t>Cloud Security Posture Management (CSPM) should be deployed to continuously assess cloud resources hosted within platforms such as Amazon Web Services (AWS) and Microsoft Azure. CSPM tools automatically identify cloud misconfigurations, insecure storage, excessive permissions, and compliance issues before they can be exploited by attackers. As identified in Task 1, cloud misconfiguration remains one of the leading causes of cloud related data breaches. Continuous monitoring through CSPM therefore provides Aegis FinTech with greater visibility of its cloud environment while supporting ongoing compliance with GDPR and DORA.</w:t>
      </w:r>
    </w:p>
    <w:p w14:paraId="6FE42FE4" w14:textId="0713DA5F" w:rsidR="0056750E" w:rsidRPr="0056750E" w:rsidRDefault="0056750E" w:rsidP="0056750E">
      <w:r w:rsidRPr="0056750E">
        <w:lastRenderedPageBreak/>
        <w:t>Security Information and Event Management (SIEM) should form the centre of the organisation's security monitoring capability. Log data collected from cloud platforms, endpoints, firewalls, identity services, and applications should be forwarded to the SIEM where security events can be analysed in real time.</w:t>
      </w:r>
      <w:sdt>
        <w:sdtPr>
          <w:id w:val="2081561270"/>
          <w:citation/>
        </w:sdtPr>
        <w:sdtContent>
          <w:r w:rsidR="009569F1">
            <w:fldChar w:fldCharType="begin"/>
          </w:r>
          <w:r w:rsidR="009569F1">
            <w:instrText xml:space="preserve"> CITATION MIT23 \l 2057 </w:instrText>
          </w:r>
          <w:r w:rsidR="009569F1">
            <w:fldChar w:fldCharType="separate"/>
          </w:r>
          <w:r w:rsidR="00A93C46">
            <w:rPr>
              <w:noProof/>
            </w:rPr>
            <w:t xml:space="preserve"> </w:t>
          </w:r>
          <w:r w:rsidR="00A93C46" w:rsidRPr="00A93C46">
            <w:rPr>
              <w:noProof/>
            </w:rPr>
            <w:t>[13]</w:t>
          </w:r>
          <w:r w:rsidR="009569F1">
            <w:fldChar w:fldCharType="end"/>
          </w:r>
        </w:sdtContent>
      </w:sdt>
      <w:r w:rsidRPr="0056750E">
        <w:t xml:space="preserve"> The Security Operations Analyst proposed in Work Stream 1 will use the SIEM to detect suspicious activity, investigate security alerts, and coordinate incident response activities. This approach supports the continuous monitoring recommendations discussed in Task 1 while improving the organisation's ability to identify and respond to cyber threats.</w:t>
      </w:r>
    </w:p>
    <w:p w14:paraId="200E387D" w14:textId="77777777" w:rsidR="0056750E" w:rsidRPr="0056750E" w:rsidRDefault="0056750E" w:rsidP="0056750E">
      <w:r w:rsidRPr="0056750E">
        <w:t>The proposed architecture should also include Zero Trust Network Access (ZTNA) to provide secure remote access for employees working from different locations. Unlike traditional VPN solutions, ZTNA grants users access only to the applications and services they require rather than the entire corporate network. This significantly reduces the attack surface and limits lateral movement should an attacker successfully compromise a user account. Endpoint Detection and Response (EDR) software should also be deployed across all corporate devices to identify malicious behaviour, isolate compromised systems, and support forensic investigations following security incidents.</w:t>
      </w:r>
    </w:p>
    <w:p w14:paraId="20AC2CF5" w14:textId="77777777" w:rsidR="0060503C" w:rsidRPr="0060503C" w:rsidRDefault="0060503C" w:rsidP="0060503C">
      <w:r w:rsidRPr="0060503C">
        <w:t>Overall, the proposed architecture provides layered security for Aegis FinTech’s cloud and hybrid environment. Combining NIST CSF 2.0, Zero Trust, CSPM, SIEM, IAM, MFA, ZTNA, and EDR strengthens the organisation’s ability to prevent, detect, and respond to cyber threats. This approach aligns with Task</w:t>
      </w:r>
      <w:r w:rsidRPr="0060503C">
        <w:rPr>
          <w:rFonts w:ascii="Arial" w:hAnsi="Arial" w:cs="Arial"/>
        </w:rPr>
        <w:t> </w:t>
      </w:r>
      <w:r w:rsidRPr="0060503C">
        <w:t>1 and supports regulatory compliance, protection of financial data, and long</w:t>
      </w:r>
      <w:r w:rsidRPr="0060503C">
        <w:noBreakHyphen/>
        <w:t>term operational resilience.</w:t>
      </w:r>
    </w:p>
    <w:p w14:paraId="45251822" w14:textId="77777777" w:rsidR="0002122E" w:rsidRDefault="0002122E" w:rsidP="00334178"/>
    <w:p w14:paraId="7CBB8649" w14:textId="678224FF" w:rsidR="00107A31" w:rsidRDefault="0002122E" w:rsidP="0002122E">
      <w:pPr>
        <w:pStyle w:val="Heading2"/>
      </w:pPr>
      <w:bookmarkStart w:id="11" w:name="_Toc235976436"/>
      <w:r w:rsidRPr="0002122E">
        <w:t>Work Stream 5: Strategic Risk Assessment</w:t>
      </w:r>
      <w:bookmarkEnd w:id="11"/>
    </w:p>
    <w:p w14:paraId="2E82754E" w14:textId="77777777" w:rsidR="0002122E" w:rsidRDefault="0002122E" w:rsidP="0002122E"/>
    <w:p w14:paraId="1D7E2838" w14:textId="77777777" w:rsidR="00857EE6" w:rsidRPr="00857EE6" w:rsidRDefault="00857EE6" w:rsidP="00857EE6">
      <w:r w:rsidRPr="00857EE6">
        <w:t>Aegis FinTech must adopt a structured, evidence</w:t>
      </w:r>
      <w:r w:rsidRPr="00857EE6">
        <w:noBreakHyphen/>
        <w:t>based approach to identifying and managing cybersecurity risks as it expands its cloud operations and prepares for EU regulatory oversight. Task</w:t>
      </w:r>
      <w:r w:rsidRPr="00857EE6">
        <w:rPr>
          <w:rFonts w:ascii="Arial" w:hAnsi="Arial" w:cs="Arial"/>
        </w:rPr>
        <w:t> </w:t>
      </w:r>
      <w:r w:rsidRPr="00857EE6">
        <w:t>1 highlighted several high</w:t>
      </w:r>
      <w:r w:rsidRPr="00857EE6">
        <w:noBreakHyphen/>
        <w:t>impact threats relevant to hybrid environments, which must be assessed in terms of likelihood, impact, and alignment with GDPR and DORA.</w:t>
      </w:r>
    </w:p>
    <w:p w14:paraId="1E03D61D" w14:textId="77777777" w:rsidR="009A760C" w:rsidRPr="009A760C" w:rsidRDefault="009A760C" w:rsidP="009A760C">
      <w:r w:rsidRPr="009A760C">
        <w:t>Cloud misconfiguration is a common cause of breaches, often resulting from incorrect permissions or insecure defaults. As noted in Task</w:t>
      </w:r>
      <w:r w:rsidRPr="009A760C">
        <w:rPr>
          <w:rFonts w:ascii="Arial" w:hAnsi="Arial" w:cs="Arial"/>
        </w:rPr>
        <w:t> </w:t>
      </w:r>
      <w:r w:rsidRPr="009A760C">
        <w:t>1, human error frequently contributes to misconfiguration, making CSPM and regular configuration reviews essential mitigation measures.</w:t>
      </w:r>
    </w:p>
    <w:p w14:paraId="32757BFA" w14:textId="3AB11DCD" w:rsidR="00DA38D3" w:rsidRPr="00DA38D3" w:rsidRDefault="0002122E" w:rsidP="00DA38D3">
      <w:r w:rsidRPr="0002122E">
        <w:t>Supply chain compromise represents another critical risk.</w:t>
      </w:r>
      <w:sdt>
        <w:sdtPr>
          <w:id w:val="413056242"/>
          <w:citation/>
        </w:sdtPr>
        <w:sdtContent>
          <w:r w:rsidR="00430B0A">
            <w:fldChar w:fldCharType="begin"/>
          </w:r>
          <w:r w:rsidR="00430B0A">
            <w:instrText xml:space="preserve"> CITATION ENI21 \l 2057 </w:instrText>
          </w:r>
          <w:r w:rsidR="00430B0A">
            <w:fldChar w:fldCharType="separate"/>
          </w:r>
          <w:r w:rsidR="00A93C46">
            <w:rPr>
              <w:noProof/>
            </w:rPr>
            <w:t xml:space="preserve"> </w:t>
          </w:r>
          <w:r w:rsidR="00A93C46" w:rsidRPr="00A93C46">
            <w:rPr>
              <w:noProof/>
            </w:rPr>
            <w:t>[14]</w:t>
          </w:r>
          <w:r w:rsidR="00430B0A">
            <w:fldChar w:fldCharType="end"/>
          </w:r>
        </w:sdtContent>
      </w:sdt>
      <w:r w:rsidRPr="0002122E">
        <w:t xml:space="preserve"> </w:t>
      </w:r>
      <w:r w:rsidR="00DA38D3" w:rsidRPr="00DA38D3">
        <w:t>Aegis FinTech relies on SaaS, PaaS, and cloud providers, meaning vulnerabilities in third</w:t>
      </w:r>
      <w:r w:rsidR="00DA38D3" w:rsidRPr="00DA38D3">
        <w:noBreakHyphen/>
        <w:t>party systems could directly affect operations. Task</w:t>
      </w:r>
      <w:r w:rsidR="00DA38D3" w:rsidRPr="00DA38D3">
        <w:rPr>
          <w:rFonts w:ascii="Arial" w:hAnsi="Arial" w:cs="Arial"/>
        </w:rPr>
        <w:t> </w:t>
      </w:r>
      <w:r w:rsidR="00DA38D3" w:rsidRPr="00DA38D3">
        <w:t>1 emphasised the need for strong vendor governance, including regular supplier assessments and continuous monitoring.</w:t>
      </w:r>
    </w:p>
    <w:p w14:paraId="41458FD0" w14:textId="1EBB3017" w:rsidR="0002122E" w:rsidRPr="0002122E" w:rsidRDefault="0002122E" w:rsidP="0002122E">
      <w:r w:rsidRPr="0002122E">
        <w:lastRenderedPageBreak/>
        <w:t xml:space="preserve">AI data poisoning is an emerging threat relevant to Aegis FinTech’s analytics platform. </w:t>
      </w:r>
      <w:sdt>
        <w:sdtPr>
          <w:id w:val="-1026785155"/>
          <w:citation/>
        </w:sdtPr>
        <w:sdtContent>
          <w:r w:rsidR="006A5D1C">
            <w:fldChar w:fldCharType="begin"/>
          </w:r>
          <w:r w:rsidR="006A5D1C">
            <w:instrText xml:space="preserve"> CITATION YLi20 \l 2057 </w:instrText>
          </w:r>
          <w:r w:rsidR="006A5D1C">
            <w:fldChar w:fldCharType="separate"/>
          </w:r>
          <w:r w:rsidR="00A93C46" w:rsidRPr="00A93C46">
            <w:rPr>
              <w:noProof/>
            </w:rPr>
            <w:t>[15]</w:t>
          </w:r>
          <w:r w:rsidR="006A5D1C">
            <w:fldChar w:fldCharType="end"/>
          </w:r>
        </w:sdtContent>
      </w:sdt>
      <w:r w:rsidRPr="0002122E">
        <w:t>Attackers may attempt to manipulate training data or model outputs, leading to inaccurate financial insights or compromised decision</w:t>
      </w:r>
      <w:r w:rsidRPr="0002122E">
        <w:noBreakHyphen/>
        <w:t>making. Task</w:t>
      </w:r>
      <w:r w:rsidRPr="0002122E">
        <w:rPr>
          <w:rFonts w:ascii="Arial" w:hAnsi="Arial" w:cs="Arial"/>
        </w:rPr>
        <w:t> </w:t>
      </w:r>
      <w:r w:rsidRPr="0002122E">
        <w:t>1 highlighted the importance of protecting APIs, identity systems, and data pipelines. Strong access controls, data validation, and secure AI development practices are required to mitigate this risk.</w:t>
      </w:r>
    </w:p>
    <w:p w14:paraId="32690726" w14:textId="65930343" w:rsidR="0002122E" w:rsidRDefault="0002122E" w:rsidP="0002122E">
      <w:pPr>
        <w:pStyle w:val="Heading3"/>
      </w:pPr>
    </w:p>
    <w:p w14:paraId="7CC04C47" w14:textId="6A8C95BD" w:rsidR="0002122E" w:rsidRDefault="0002122E" w:rsidP="0002122E">
      <w:pPr>
        <w:pStyle w:val="Heading3"/>
      </w:pPr>
      <w:bookmarkStart w:id="12" w:name="_Toc235976437"/>
      <w:r>
        <w:t>Risk Register Table</w:t>
      </w:r>
      <w:bookmarkEnd w:id="12"/>
    </w:p>
    <w:p w14:paraId="3800FF7E" w14:textId="77777777" w:rsidR="0002122E" w:rsidRDefault="0002122E" w:rsidP="0002122E"/>
    <w:tbl>
      <w:tblPr>
        <w:tblStyle w:val="TableGrid"/>
        <w:tblW w:w="0" w:type="auto"/>
        <w:tblLook w:val="04A0" w:firstRow="1" w:lastRow="0" w:firstColumn="1" w:lastColumn="0" w:noHBand="0" w:noVBand="1"/>
      </w:tblPr>
      <w:tblGrid>
        <w:gridCol w:w="2054"/>
        <w:gridCol w:w="1784"/>
        <w:gridCol w:w="1676"/>
        <w:gridCol w:w="1725"/>
        <w:gridCol w:w="1777"/>
      </w:tblGrid>
      <w:tr w:rsidR="00FB5B3C" w14:paraId="60030E7E" w14:textId="77777777" w:rsidTr="00FB5B3C">
        <w:tc>
          <w:tcPr>
            <w:tcW w:w="1803" w:type="dxa"/>
          </w:tcPr>
          <w:p w14:paraId="00650925" w14:textId="03A360D4" w:rsidR="00FB5B3C" w:rsidRPr="00FB5B3C" w:rsidRDefault="00FB5B3C" w:rsidP="0002122E">
            <w:pPr>
              <w:rPr>
                <w:b/>
                <w:bCs/>
              </w:rPr>
            </w:pPr>
            <w:r w:rsidRPr="00FB5B3C">
              <w:rPr>
                <w:b/>
                <w:bCs/>
              </w:rPr>
              <w:t>Risk</w:t>
            </w:r>
          </w:p>
        </w:tc>
        <w:tc>
          <w:tcPr>
            <w:tcW w:w="1803" w:type="dxa"/>
          </w:tcPr>
          <w:p w14:paraId="3F1C8FAE" w14:textId="49CA396E" w:rsidR="00FB5B3C" w:rsidRPr="00FB5B3C" w:rsidRDefault="00FB5B3C" w:rsidP="0002122E">
            <w:pPr>
              <w:rPr>
                <w:b/>
                <w:bCs/>
              </w:rPr>
            </w:pPr>
            <w:r>
              <w:rPr>
                <w:b/>
                <w:bCs/>
              </w:rPr>
              <w:t>Description</w:t>
            </w:r>
          </w:p>
        </w:tc>
        <w:tc>
          <w:tcPr>
            <w:tcW w:w="1803" w:type="dxa"/>
          </w:tcPr>
          <w:p w14:paraId="45C0EBBD" w14:textId="0694CCC9" w:rsidR="00FB5B3C" w:rsidRPr="00FB5B3C" w:rsidRDefault="00FB5B3C" w:rsidP="0002122E">
            <w:pPr>
              <w:rPr>
                <w:b/>
                <w:bCs/>
              </w:rPr>
            </w:pPr>
            <w:r w:rsidRPr="00FB5B3C">
              <w:rPr>
                <w:b/>
                <w:bCs/>
              </w:rPr>
              <w:t>Impact</w:t>
            </w:r>
          </w:p>
        </w:tc>
        <w:tc>
          <w:tcPr>
            <w:tcW w:w="1803" w:type="dxa"/>
          </w:tcPr>
          <w:p w14:paraId="15209E9C" w14:textId="4DC62465" w:rsidR="00FB5B3C" w:rsidRPr="00FB5B3C" w:rsidRDefault="00FB5B3C" w:rsidP="0002122E">
            <w:pPr>
              <w:rPr>
                <w:b/>
                <w:bCs/>
              </w:rPr>
            </w:pPr>
            <w:r w:rsidRPr="00FB5B3C">
              <w:rPr>
                <w:b/>
                <w:bCs/>
              </w:rPr>
              <w:t>Likelihood</w:t>
            </w:r>
          </w:p>
        </w:tc>
        <w:tc>
          <w:tcPr>
            <w:tcW w:w="1804" w:type="dxa"/>
          </w:tcPr>
          <w:p w14:paraId="1F717E32" w14:textId="449B79F5" w:rsidR="00FB5B3C" w:rsidRPr="00FB5B3C" w:rsidRDefault="00FB5B3C" w:rsidP="0002122E">
            <w:pPr>
              <w:rPr>
                <w:b/>
                <w:bCs/>
              </w:rPr>
            </w:pPr>
            <w:r w:rsidRPr="00FB5B3C">
              <w:rPr>
                <w:b/>
                <w:bCs/>
              </w:rPr>
              <w:t>Mitigation Strategy</w:t>
            </w:r>
          </w:p>
        </w:tc>
      </w:tr>
      <w:tr w:rsidR="00FB5B3C" w14:paraId="77D806C6" w14:textId="77777777" w:rsidTr="00FB5B3C">
        <w:tc>
          <w:tcPr>
            <w:tcW w:w="1803" w:type="dxa"/>
          </w:tcPr>
          <w:p w14:paraId="704FD8CE" w14:textId="3ED58697" w:rsidR="00FB5B3C" w:rsidRPr="00FB5B3C" w:rsidRDefault="00FB5B3C" w:rsidP="0002122E">
            <w:pPr>
              <w:rPr>
                <w:b/>
                <w:bCs/>
              </w:rPr>
            </w:pPr>
            <w:r>
              <w:rPr>
                <w:b/>
                <w:bCs/>
              </w:rPr>
              <w:t>Cloud Misconfiguration</w:t>
            </w:r>
          </w:p>
        </w:tc>
        <w:tc>
          <w:tcPr>
            <w:tcW w:w="1803" w:type="dxa"/>
          </w:tcPr>
          <w:p w14:paraId="423D394B" w14:textId="629475CF" w:rsidR="00FB5B3C" w:rsidRDefault="0096773F" w:rsidP="0002122E">
            <w:r>
              <w:t xml:space="preserve">Incorrect </w:t>
            </w:r>
            <w:r w:rsidRPr="0096773F">
              <w:t>settings exposing data or services</w:t>
            </w:r>
          </w:p>
        </w:tc>
        <w:tc>
          <w:tcPr>
            <w:tcW w:w="1803" w:type="dxa"/>
          </w:tcPr>
          <w:p w14:paraId="41CBBFCC" w14:textId="2E029D6C" w:rsidR="00FB5B3C" w:rsidRDefault="00DC6AF9" w:rsidP="0002122E">
            <w:r>
              <w:t>High</w:t>
            </w:r>
          </w:p>
        </w:tc>
        <w:tc>
          <w:tcPr>
            <w:tcW w:w="1803" w:type="dxa"/>
          </w:tcPr>
          <w:p w14:paraId="4089CEE0" w14:textId="3C9E2014" w:rsidR="00FB5B3C" w:rsidRDefault="00DC6AF9" w:rsidP="0002122E">
            <w:r>
              <w:t>Medium</w:t>
            </w:r>
          </w:p>
        </w:tc>
        <w:tc>
          <w:tcPr>
            <w:tcW w:w="1804" w:type="dxa"/>
          </w:tcPr>
          <w:p w14:paraId="01D23215" w14:textId="268AAA18" w:rsidR="00FB5B3C" w:rsidRDefault="00DC6AF9" w:rsidP="0002122E">
            <w:r w:rsidRPr="00DC6AF9">
              <w:t>CSPM, secure baselines, regular audits</w:t>
            </w:r>
          </w:p>
        </w:tc>
      </w:tr>
      <w:tr w:rsidR="00FB5B3C" w14:paraId="055353BC" w14:textId="77777777" w:rsidTr="00FB5B3C">
        <w:tc>
          <w:tcPr>
            <w:tcW w:w="1803" w:type="dxa"/>
          </w:tcPr>
          <w:p w14:paraId="3588CE26" w14:textId="35BCFF65" w:rsidR="00FB5B3C" w:rsidRPr="00FB5B3C" w:rsidRDefault="0096773F" w:rsidP="0002122E">
            <w:pPr>
              <w:rPr>
                <w:b/>
                <w:bCs/>
              </w:rPr>
            </w:pPr>
            <w:r>
              <w:rPr>
                <w:b/>
                <w:bCs/>
              </w:rPr>
              <w:t>Supply Chain Compromise</w:t>
            </w:r>
          </w:p>
        </w:tc>
        <w:tc>
          <w:tcPr>
            <w:tcW w:w="1803" w:type="dxa"/>
          </w:tcPr>
          <w:p w14:paraId="5C5947B8" w14:textId="1208D9F1" w:rsidR="00FB5B3C" w:rsidRDefault="0096773F" w:rsidP="0002122E">
            <w:r w:rsidRPr="0096773F">
              <w:t>Vulnerabilities in SaaS/cloud vendors</w:t>
            </w:r>
          </w:p>
        </w:tc>
        <w:tc>
          <w:tcPr>
            <w:tcW w:w="1803" w:type="dxa"/>
          </w:tcPr>
          <w:p w14:paraId="6821355C" w14:textId="3EEF1190" w:rsidR="00FB5B3C" w:rsidRDefault="00DC6AF9" w:rsidP="0002122E">
            <w:r>
              <w:t>High</w:t>
            </w:r>
          </w:p>
        </w:tc>
        <w:tc>
          <w:tcPr>
            <w:tcW w:w="1803" w:type="dxa"/>
          </w:tcPr>
          <w:p w14:paraId="5D08EA41" w14:textId="10C0270F" w:rsidR="00FB5B3C" w:rsidRDefault="00DC6AF9" w:rsidP="0002122E">
            <w:r>
              <w:t>Medium</w:t>
            </w:r>
          </w:p>
        </w:tc>
        <w:tc>
          <w:tcPr>
            <w:tcW w:w="1804" w:type="dxa"/>
          </w:tcPr>
          <w:p w14:paraId="3A0FA5AB" w14:textId="3A7B4356" w:rsidR="00FB5B3C" w:rsidRDefault="00DC6AF9" w:rsidP="0002122E">
            <w:r w:rsidRPr="00DC6AF9">
              <w:t>Vendor assessments, contractual controls, continuous monitoring</w:t>
            </w:r>
          </w:p>
        </w:tc>
      </w:tr>
      <w:tr w:rsidR="00FB5B3C" w14:paraId="068DAA64" w14:textId="77777777" w:rsidTr="00FB5B3C">
        <w:tc>
          <w:tcPr>
            <w:tcW w:w="1803" w:type="dxa"/>
          </w:tcPr>
          <w:p w14:paraId="68C01921" w14:textId="24282C53" w:rsidR="00FB5B3C" w:rsidRPr="0096773F" w:rsidRDefault="0096773F" w:rsidP="0002122E">
            <w:pPr>
              <w:rPr>
                <w:b/>
                <w:bCs/>
              </w:rPr>
            </w:pPr>
            <w:r w:rsidRPr="0096773F">
              <w:rPr>
                <w:b/>
                <w:bCs/>
              </w:rPr>
              <w:t>AI Data Poisoning</w:t>
            </w:r>
          </w:p>
        </w:tc>
        <w:tc>
          <w:tcPr>
            <w:tcW w:w="1803" w:type="dxa"/>
          </w:tcPr>
          <w:p w14:paraId="2C90EBEB" w14:textId="5D9D1D9A" w:rsidR="00FB5B3C" w:rsidRDefault="00DC6AF9" w:rsidP="0002122E">
            <w:r w:rsidRPr="00DC6AF9">
              <w:t>Manipulation of training data or model outputs</w:t>
            </w:r>
          </w:p>
        </w:tc>
        <w:tc>
          <w:tcPr>
            <w:tcW w:w="1803" w:type="dxa"/>
          </w:tcPr>
          <w:p w14:paraId="4EB7638C" w14:textId="6B8D9517" w:rsidR="00FB5B3C" w:rsidRDefault="00DC6AF9" w:rsidP="0002122E">
            <w:r>
              <w:t>Medium</w:t>
            </w:r>
          </w:p>
        </w:tc>
        <w:tc>
          <w:tcPr>
            <w:tcW w:w="1803" w:type="dxa"/>
          </w:tcPr>
          <w:p w14:paraId="6C72CF25" w14:textId="6CFA61F7" w:rsidR="00FB5B3C" w:rsidRDefault="00DC6AF9" w:rsidP="0002122E">
            <w:r>
              <w:t>Low</w:t>
            </w:r>
          </w:p>
        </w:tc>
        <w:tc>
          <w:tcPr>
            <w:tcW w:w="180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480"/>
            </w:tblGrid>
            <w:tr w:rsidR="00DC6AF9" w:rsidRPr="00DC6AF9" w14:paraId="4A3A2F48" w14:textId="77777777">
              <w:trPr>
                <w:tblCellSpacing w:w="15" w:type="dxa"/>
              </w:trPr>
              <w:tc>
                <w:tcPr>
                  <w:tcW w:w="0" w:type="auto"/>
                  <w:vAlign w:val="center"/>
                  <w:hideMark/>
                </w:tcPr>
                <w:p w14:paraId="327BB4FE" w14:textId="77777777" w:rsidR="00DC6AF9" w:rsidRPr="00DC6AF9" w:rsidRDefault="00DC6AF9" w:rsidP="00DC6AF9">
                  <w:pPr>
                    <w:spacing w:after="0" w:line="240" w:lineRule="auto"/>
                    <w:rPr>
                      <w:rFonts w:eastAsia="Times New Roman" w:cs="Times New Roman"/>
                      <w:kern w:val="0"/>
                      <w:lang w:eastAsia="en-GB"/>
                      <w14:ligatures w14:val="none"/>
                    </w:rPr>
                  </w:pPr>
                </w:p>
              </w:tc>
              <w:tc>
                <w:tcPr>
                  <w:tcW w:w="0" w:type="auto"/>
                  <w:vAlign w:val="center"/>
                  <w:hideMark/>
                </w:tcPr>
                <w:p w14:paraId="4EDB32D7" w14:textId="77777777" w:rsidR="00DC6AF9" w:rsidRPr="00DC6AF9" w:rsidRDefault="00DC6AF9" w:rsidP="00DC6AF9">
                  <w:pPr>
                    <w:spacing w:after="0" w:line="240" w:lineRule="auto"/>
                    <w:rPr>
                      <w:rFonts w:eastAsia="Times New Roman" w:cs="Times New Roman"/>
                      <w:kern w:val="0"/>
                      <w:lang w:eastAsia="en-GB"/>
                      <w14:ligatures w14:val="none"/>
                    </w:rPr>
                  </w:pPr>
                  <w:r w:rsidRPr="00DC6AF9">
                    <w:rPr>
                      <w:rFonts w:eastAsia="Times New Roman" w:cs="Times New Roman"/>
                      <w:kern w:val="0"/>
                      <w:lang w:eastAsia="en-GB"/>
                      <w14:ligatures w14:val="none"/>
                    </w:rPr>
                    <w:t>Data validation, IAM controls, secure AI pipelines</w:t>
                  </w:r>
                </w:p>
              </w:tc>
            </w:tr>
          </w:tbl>
          <w:p w14:paraId="0B819DC1" w14:textId="77777777" w:rsidR="00FB5B3C" w:rsidRDefault="00FB5B3C" w:rsidP="0002122E"/>
        </w:tc>
      </w:tr>
    </w:tbl>
    <w:p w14:paraId="21EB7989" w14:textId="77777777" w:rsidR="0002122E" w:rsidRDefault="0002122E" w:rsidP="0002122E"/>
    <w:p w14:paraId="43E86AF0" w14:textId="45736953" w:rsidR="00075EDC" w:rsidRDefault="00075EDC" w:rsidP="00075EDC">
      <w:pPr>
        <w:pStyle w:val="Heading2"/>
      </w:pPr>
      <w:bookmarkStart w:id="13" w:name="_Toc235976438"/>
      <w:r w:rsidRPr="00075EDC">
        <w:t>Work Stream 6: Incident Response &amp; Business Continuity</w:t>
      </w:r>
      <w:bookmarkEnd w:id="13"/>
    </w:p>
    <w:p w14:paraId="38B644F7" w14:textId="77777777" w:rsidR="00075EDC" w:rsidRDefault="00075EDC" w:rsidP="00075EDC"/>
    <w:p w14:paraId="20B1D1D2" w14:textId="77777777" w:rsidR="00D3340C" w:rsidRDefault="00D3340C" w:rsidP="00EB3E93">
      <w:r w:rsidRPr="00D3340C">
        <w:t>Aegis FinTech must maintain a strong incident response and business continuity capability to remain resilient against modern cyber threats, particularly ransomware. Task</w:t>
      </w:r>
      <w:r w:rsidRPr="00D3340C">
        <w:rPr>
          <w:rFonts w:ascii="Arial" w:hAnsi="Arial" w:cs="Arial"/>
        </w:rPr>
        <w:t> </w:t>
      </w:r>
      <w:r w:rsidRPr="00D3340C">
        <w:t>1 highlighted the rise of double</w:t>
      </w:r>
      <w:r w:rsidRPr="00D3340C">
        <w:noBreakHyphen/>
        <w:t>extortion attacks on financial organisations, making rapid detection, containment, communication, and recovery using immutable backups essential.</w:t>
      </w:r>
    </w:p>
    <w:p w14:paraId="04E5C3C1" w14:textId="77777777" w:rsidR="002E491B" w:rsidRPr="002E491B" w:rsidRDefault="002E491B" w:rsidP="002E491B">
      <w:r w:rsidRPr="002E491B">
        <w:t xml:space="preserve">The organisation should adopt a structured Ransomware Response Playbook aligned with the NIST CSF Detect, Respond, and Recover functions. Early detection is supported by SIEM monitoring, behavioural analytics, and Endpoint Detection and Response (EDR), which identify unusual encryption activity or lateral movement. These </w:t>
      </w:r>
      <w:r w:rsidRPr="002E491B">
        <w:lastRenderedPageBreak/>
        <w:t>capabilities reflect Task</w:t>
      </w:r>
      <w:r w:rsidRPr="002E491B">
        <w:rPr>
          <w:rFonts w:ascii="Arial" w:hAnsi="Arial" w:cs="Arial"/>
        </w:rPr>
        <w:t> </w:t>
      </w:r>
      <w:r w:rsidRPr="002E491B">
        <w:t>1</w:t>
      </w:r>
      <w:r w:rsidRPr="002E491B">
        <w:rPr>
          <w:rFonts w:ascii="Aptos" w:hAnsi="Aptos" w:cs="Aptos"/>
        </w:rPr>
        <w:t>’</w:t>
      </w:r>
      <w:r w:rsidRPr="002E491B">
        <w:t>s emphasis on continuous monitoring and rapid identification of identity</w:t>
      </w:r>
      <w:r w:rsidRPr="002E491B">
        <w:noBreakHyphen/>
        <w:t>based attacks.</w:t>
      </w:r>
    </w:p>
    <w:p w14:paraId="200B8754" w14:textId="374FF1CE" w:rsidR="00EB3E93" w:rsidRPr="00EB3E93" w:rsidRDefault="00EB3E93" w:rsidP="00EB3E93">
      <w:r w:rsidRPr="00EB3E93">
        <w:t>Once ransomware activity is detected, containment must occur immediately. Compromised accounts should be disabled, affected endpoints isolated, and network segmentation enforced to prevent further spread. Zero Trust principles</w:t>
      </w:r>
      <w:r w:rsidR="00566811">
        <w:t xml:space="preserve">, </w:t>
      </w:r>
      <w:r w:rsidRPr="00EB3E93">
        <w:t>particularly least</w:t>
      </w:r>
      <w:r w:rsidRPr="00EB3E93">
        <w:noBreakHyphen/>
        <w:t>privilege access and continuous verification</w:t>
      </w:r>
      <w:r w:rsidR="00072CEC">
        <w:t xml:space="preserve">, </w:t>
      </w:r>
      <w:r w:rsidRPr="00EB3E93">
        <w:t>reduce the attacker’s ability to move laterally, addressing the TTPs discussed in Task</w:t>
      </w:r>
      <w:r w:rsidRPr="00EB3E93">
        <w:rPr>
          <w:rFonts w:ascii="Arial" w:hAnsi="Arial" w:cs="Arial"/>
        </w:rPr>
        <w:t> </w:t>
      </w:r>
      <w:r w:rsidRPr="00EB3E93">
        <w:t>1.</w:t>
      </w:r>
    </w:p>
    <w:p w14:paraId="755370F0" w14:textId="77777777" w:rsidR="00EB3E93" w:rsidRPr="00EB3E93" w:rsidRDefault="00EB3E93" w:rsidP="00EB3E93">
      <w:r w:rsidRPr="00EB3E93">
        <w:t>A clear communication plan is essential. The CISO should notify the CEO, CTO, DPO, and Security Operations Analyst, while the DPO assesses GDPR breach</w:t>
      </w:r>
      <w:r w:rsidRPr="00EB3E93">
        <w:noBreakHyphen/>
        <w:t>notification requirements. If personal data is compromised, regulators and affected customers must be informed within legally mandated timeframes. Internal communication should guide employees on safe system usage and prevent accidental propagation of the attack.</w:t>
      </w:r>
    </w:p>
    <w:p w14:paraId="372105FE" w14:textId="77777777" w:rsidR="00AF5F1D" w:rsidRPr="00AF5F1D" w:rsidRDefault="00AF5F1D" w:rsidP="00AF5F1D">
      <w:r w:rsidRPr="00AF5F1D">
        <w:t>Recovery must rely on immutable offline backups to ensure clean restoration. Backup integrity should be tested regularly, with critical systems prioritised to minimise downtime. Post</w:t>
      </w:r>
      <w:r w:rsidRPr="00AF5F1D">
        <w:noBreakHyphen/>
        <w:t>incident reviews should analyse root causes, update policies, and strengthen controls such as MFA, IAM, and CSPM.</w:t>
      </w:r>
    </w:p>
    <w:p w14:paraId="061C179A" w14:textId="77777777" w:rsidR="00EB3E93" w:rsidRPr="00EB3E93" w:rsidRDefault="00EB3E93" w:rsidP="00EB3E93">
      <w:r w:rsidRPr="00EB3E93">
        <w:t>This playbook ensures Aegis FinTech can anticipate, contain, and recover from ransomware attacks using the evidence</w:t>
      </w:r>
      <w:r w:rsidRPr="00EB3E93">
        <w:noBreakHyphen/>
        <w:t>based strategies identified in Task</w:t>
      </w:r>
      <w:r w:rsidRPr="00EB3E93">
        <w:rPr>
          <w:rFonts w:ascii="Arial" w:hAnsi="Arial" w:cs="Arial"/>
        </w:rPr>
        <w:t> </w:t>
      </w:r>
      <w:r w:rsidRPr="00EB3E93">
        <w:t>1.</w:t>
      </w:r>
    </w:p>
    <w:p w14:paraId="3777130A" w14:textId="77777777" w:rsidR="00075EDC" w:rsidRDefault="00075EDC" w:rsidP="00075EDC"/>
    <w:p w14:paraId="71914087" w14:textId="73152984" w:rsidR="00EB3E93" w:rsidRDefault="00EB3E93" w:rsidP="00EB3E93">
      <w:pPr>
        <w:pStyle w:val="Heading2"/>
      </w:pPr>
      <w:bookmarkStart w:id="14" w:name="_Toc235976439"/>
      <w:r w:rsidRPr="00EB3E93">
        <w:t>Work Stream 7: Governance &amp; Strategic Roadmap</w:t>
      </w:r>
      <w:bookmarkEnd w:id="14"/>
    </w:p>
    <w:p w14:paraId="395BAACB" w14:textId="77777777" w:rsidR="00EB3E93" w:rsidRDefault="00EB3E93" w:rsidP="00EB3E93"/>
    <w:p w14:paraId="32C195D0" w14:textId="77777777" w:rsidR="00CB2807" w:rsidRDefault="00CB2807" w:rsidP="00EB3E93">
      <w:r w:rsidRPr="00CB2807">
        <w:t>Strong governance ensures Aegis FinTech’s security strategy remains aligned with organisational objectives, regulatory requirements, and the evolving threat landscape identified in Task</w:t>
      </w:r>
      <w:r w:rsidRPr="00CB2807">
        <w:rPr>
          <w:rFonts w:ascii="Arial" w:hAnsi="Arial" w:cs="Arial"/>
        </w:rPr>
        <w:t> </w:t>
      </w:r>
      <w:r w:rsidRPr="00CB2807">
        <w:t>1. As the company expands into the EU and increases its reliance on cloud</w:t>
      </w:r>
      <w:r w:rsidRPr="00CB2807">
        <w:noBreakHyphen/>
        <w:t>based AI analytics, a formal governance structure will provide oversight, accountability, and strategic direction for the Information Security Unit.</w:t>
      </w:r>
    </w:p>
    <w:p w14:paraId="5936E3D6" w14:textId="313754EB" w:rsidR="00EB3E93" w:rsidRPr="00EB3E93" w:rsidRDefault="00EB3E93" w:rsidP="00EB3E93">
      <w:r w:rsidRPr="00EB3E93">
        <w:t xml:space="preserve">A </w:t>
      </w:r>
      <w:r w:rsidRPr="00072CEC">
        <w:t>Cyber Security Steering Committee</w:t>
      </w:r>
      <w:r w:rsidRPr="00EB3E93">
        <w:t xml:space="preserve"> should be established to oversee security initiatives, approve major investments, and monitor compliance with GDPR and DORA. The committee should be chaired by the CEO and include the CISO, CFO, CTO, Head of Legal, Data Protection Officer, and the Cloud Security Architect. This multidisciplinary membership ensures that decisions consider financial constraints, regulatory obligations, technical feasibility, and operational impact. The committee should meet monthly to review security performance, assess emerging risks, and evaluate progress against the strategic roadmap. This governance model directly supports the </w:t>
      </w:r>
      <w:r w:rsidRPr="000B19D8">
        <w:t xml:space="preserve">Govern </w:t>
      </w:r>
      <w:r w:rsidRPr="00EB3E93">
        <w:t>function of NIST CSF 2.0 and reinforces the Zero Trust principles highlighted in Task</w:t>
      </w:r>
      <w:r w:rsidRPr="00EB3E93">
        <w:rPr>
          <w:rFonts w:ascii="Arial" w:hAnsi="Arial" w:cs="Arial"/>
        </w:rPr>
        <w:t> </w:t>
      </w:r>
      <w:r w:rsidRPr="00EB3E93">
        <w:t>1.</w:t>
      </w:r>
    </w:p>
    <w:p w14:paraId="7A24E6EA" w14:textId="5F88C323" w:rsidR="00E75A59" w:rsidRPr="00E75A59" w:rsidRDefault="00E75A59" w:rsidP="00E75A59">
      <w:r w:rsidRPr="00E75A59">
        <w:lastRenderedPageBreak/>
        <w:t xml:space="preserve">To guide implementation, Aegis FinTech should adopt </w:t>
      </w:r>
      <w:r w:rsidRPr="00E75A59">
        <w:t>12</w:t>
      </w:r>
      <w:r w:rsidRPr="00E75A59">
        <w:noBreakHyphen/>
        <w:t>month strategic roadmap prioritising initiatives</w:t>
      </w:r>
      <w:r w:rsidRPr="00E75A59">
        <w:t xml:space="preserve"> based on Task</w:t>
      </w:r>
      <w:r w:rsidRPr="00E75A59">
        <w:rPr>
          <w:rFonts w:ascii="Arial" w:hAnsi="Arial" w:cs="Arial"/>
        </w:rPr>
        <w:t> </w:t>
      </w:r>
      <w:r w:rsidRPr="00E75A59">
        <w:t>1 risks. The first quarter should focus on foundational controls such as CSPM, MFA, and identity governance. The second quarter should introduce enhanced monitoring through SIEM optimisation, behavioural analytics, and EDR rollout to strengthen detection and response against ransomware and insider threats.</w:t>
      </w:r>
    </w:p>
    <w:p w14:paraId="14701B05" w14:textId="77777777" w:rsidR="00EB3E93" w:rsidRDefault="00EB3E93" w:rsidP="00EB3E93">
      <w:r w:rsidRPr="00EB3E93">
        <w:t>During the third quarter, the organisation should focus on regulatory alignment by completing GDPR and DORA compliance audits, reviewing third</w:t>
      </w:r>
      <w:r w:rsidRPr="00EB3E93">
        <w:noBreakHyphen/>
        <w:t>party suppliers, and updating contractual obligations. This phase reflects the importance of supply</w:t>
      </w:r>
      <w:r w:rsidRPr="00EB3E93">
        <w:noBreakHyphen/>
        <w:t>chain security highlighted in Task</w:t>
      </w:r>
      <w:r w:rsidRPr="00EB3E93">
        <w:rPr>
          <w:rFonts w:ascii="Arial" w:hAnsi="Arial" w:cs="Arial"/>
        </w:rPr>
        <w:t> </w:t>
      </w:r>
      <w:r w:rsidRPr="00EB3E93">
        <w:t>1. The final quarter should concentrate on resilience, including incident response exercises, backup recovery testing, and refinement of Zero Trust Network Access (ZTNA) policies. These activities ensure the organisation can withstand and recover from attacks such as ransomware or AI data poisoning.</w:t>
      </w:r>
    </w:p>
    <w:p w14:paraId="08F48336" w14:textId="77777777" w:rsidR="009A6E5F" w:rsidRPr="00EB3E93" w:rsidRDefault="009A6E5F" w:rsidP="009A6E5F">
      <w:pPr>
        <w:pStyle w:val="Heading3"/>
      </w:pPr>
    </w:p>
    <w:p w14:paraId="6E693BA2" w14:textId="52F28328" w:rsidR="00EB3E93" w:rsidRDefault="009A6E5F" w:rsidP="009A6E5F">
      <w:pPr>
        <w:pStyle w:val="Heading3"/>
      </w:pPr>
      <w:bookmarkStart w:id="15" w:name="_Toc235976440"/>
      <w:r w:rsidRPr="009A6E5F">
        <w:t>12</w:t>
      </w:r>
      <w:r w:rsidRPr="009A6E5F">
        <w:noBreakHyphen/>
        <w:t>Month Strategic Roadmap (Summary)</w:t>
      </w:r>
      <w:bookmarkEnd w:id="15"/>
    </w:p>
    <w:p w14:paraId="529A1712" w14:textId="77777777" w:rsidR="009A6E5F" w:rsidRDefault="009A6E5F" w:rsidP="009A6E5F"/>
    <w:tbl>
      <w:tblPr>
        <w:tblStyle w:val="TableGrid"/>
        <w:tblW w:w="0" w:type="auto"/>
        <w:tblLook w:val="04A0" w:firstRow="1" w:lastRow="0" w:firstColumn="1" w:lastColumn="0" w:noHBand="0" w:noVBand="1"/>
      </w:tblPr>
      <w:tblGrid>
        <w:gridCol w:w="2254"/>
        <w:gridCol w:w="2254"/>
        <w:gridCol w:w="2254"/>
        <w:gridCol w:w="2254"/>
      </w:tblGrid>
      <w:tr w:rsidR="009A6E5F" w14:paraId="204D894B" w14:textId="77777777" w:rsidTr="009A6E5F">
        <w:tc>
          <w:tcPr>
            <w:tcW w:w="2254" w:type="dxa"/>
          </w:tcPr>
          <w:p w14:paraId="45C98810" w14:textId="4722F0D7" w:rsidR="009A6E5F" w:rsidRPr="009A6E5F" w:rsidRDefault="009A6E5F" w:rsidP="009A6E5F">
            <w:pPr>
              <w:rPr>
                <w:b/>
                <w:bCs/>
              </w:rPr>
            </w:pPr>
            <w:r w:rsidRPr="009A6E5F">
              <w:rPr>
                <w:b/>
                <w:bCs/>
              </w:rPr>
              <w:t xml:space="preserve">Initiative </w:t>
            </w:r>
          </w:p>
        </w:tc>
        <w:tc>
          <w:tcPr>
            <w:tcW w:w="2254" w:type="dxa"/>
          </w:tcPr>
          <w:p w14:paraId="5F75B344" w14:textId="160E326B" w:rsidR="009A6E5F" w:rsidRPr="009A6E5F" w:rsidRDefault="009A6E5F" w:rsidP="009A6E5F">
            <w:pPr>
              <w:rPr>
                <w:b/>
                <w:bCs/>
              </w:rPr>
            </w:pPr>
            <w:r w:rsidRPr="009A6E5F">
              <w:rPr>
                <w:b/>
                <w:bCs/>
              </w:rPr>
              <w:t>Timeline</w:t>
            </w:r>
          </w:p>
        </w:tc>
        <w:tc>
          <w:tcPr>
            <w:tcW w:w="2254" w:type="dxa"/>
          </w:tcPr>
          <w:p w14:paraId="416B0F4B" w14:textId="3685908A" w:rsidR="009A6E5F" w:rsidRPr="009A6E5F" w:rsidRDefault="009A6E5F" w:rsidP="009A6E5F">
            <w:pPr>
              <w:rPr>
                <w:b/>
                <w:bCs/>
              </w:rPr>
            </w:pPr>
            <w:r w:rsidRPr="009A6E5F">
              <w:rPr>
                <w:b/>
                <w:bCs/>
              </w:rPr>
              <w:t>Primary Owner</w:t>
            </w:r>
          </w:p>
        </w:tc>
        <w:tc>
          <w:tcPr>
            <w:tcW w:w="2254" w:type="dxa"/>
          </w:tcPr>
          <w:p w14:paraId="4336970C" w14:textId="3FDF1431" w:rsidR="009A6E5F" w:rsidRPr="009A6E5F" w:rsidRDefault="009A6E5F" w:rsidP="009A6E5F">
            <w:pPr>
              <w:rPr>
                <w:b/>
                <w:bCs/>
              </w:rPr>
            </w:pPr>
            <w:r w:rsidRPr="009A6E5F">
              <w:rPr>
                <w:b/>
                <w:bCs/>
              </w:rPr>
              <w:t>Linked Task 1 Finding</w:t>
            </w:r>
          </w:p>
        </w:tc>
      </w:tr>
      <w:tr w:rsidR="009A6E5F" w14:paraId="7ECC3F1D" w14:textId="77777777" w:rsidTr="009A6E5F">
        <w:tc>
          <w:tcPr>
            <w:tcW w:w="2254" w:type="dxa"/>
          </w:tcPr>
          <w:p w14:paraId="5998C53B" w14:textId="209F1BE6" w:rsidR="009A6E5F" w:rsidRPr="009A6E5F" w:rsidRDefault="009A6E5F" w:rsidP="009A6E5F">
            <w:pPr>
              <w:rPr>
                <w:b/>
                <w:bCs/>
              </w:rPr>
            </w:pPr>
            <w:r w:rsidRPr="009A6E5F">
              <w:rPr>
                <w:b/>
                <w:bCs/>
              </w:rPr>
              <w:t>CSPM Deployment</w:t>
            </w:r>
          </w:p>
        </w:tc>
        <w:tc>
          <w:tcPr>
            <w:tcW w:w="2254" w:type="dxa"/>
          </w:tcPr>
          <w:p w14:paraId="54D3511C" w14:textId="373BFF09" w:rsidR="009A6E5F" w:rsidRDefault="009A6E5F" w:rsidP="009A6E5F">
            <w:r>
              <w:t>Q1</w:t>
            </w:r>
          </w:p>
        </w:tc>
        <w:tc>
          <w:tcPr>
            <w:tcW w:w="2254" w:type="dxa"/>
          </w:tcPr>
          <w:p w14:paraId="49DB6F7F" w14:textId="29D9B434" w:rsidR="009A6E5F" w:rsidRDefault="009A6E5F" w:rsidP="009A6E5F">
            <w:r>
              <w:t>C</w:t>
            </w:r>
            <w:r w:rsidR="008C7B3D">
              <w:t>loud Security Architect</w:t>
            </w:r>
          </w:p>
        </w:tc>
        <w:tc>
          <w:tcPr>
            <w:tcW w:w="2254" w:type="dxa"/>
          </w:tcPr>
          <w:p w14:paraId="02512A31" w14:textId="6381A95B" w:rsidR="009A6E5F" w:rsidRDefault="008C7B3D" w:rsidP="009A6E5F">
            <w:r>
              <w:t>Misconfiguration risk</w:t>
            </w:r>
          </w:p>
        </w:tc>
      </w:tr>
      <w:tr w:rsidR="009A6E5F" w14:paraId="45CCD68F" w14:textId="77777777" w:rsidTr="009A6E5F">
        <w:tc>
          <w:tcPr>
            <w:tcW w:w="2254" w:type="dxa"/>
          </w:tcPr>
          <w:p w14:paraId="7C9E26E8" w14:textId="332E9C85" w:rsidR="009A6E5F" w:rsidRPr="009A6E5F" w:rsidRDefault="009A6E5F" w:rsidP="009A6E5F">
            <w:pPr>
              <w:rPr>
                <w:b/>
                <w:bCs/>
              </w:rPr>
            </w:pPr>
            <w:r w:rsidRPr="009A6E5F">
              <w:rPr>
                <w:b/>
                <w:bCs/>
              </w:rPr>
              <w:t>MFA &amp; IAM Enhancements</w:t>
            </w:r>
          </w:p>
        </w:tc>
        <w:tc>
          <w:tcPr>
            <w:tcW w:w="2254" w:type="dxa"/>
          </w:tcPr>
          <w:p w14:paraId="5A478E49" w14:textId="0B48B636" w:rsidR="009A6E5F" w:rsidRDefault="009A6E5F" w:rsidP="009A6E5F">
            <w:r>
              <w:t>Q1</w:t>
            </w:r>
          </w:p>
        </w:tc>
        <w:tc>
          <w:tcPr>
            <w:tcW w:w="2254" w:type="dxa"/>
          </w:tcPr>
          <w:p w14:paraId="062A780A" w14:textId="5378C9FD" w:rsidR="009A6E5F" w:rsidRDefault="008C7B3D" w:rsidP="009A6E5F">
            <w:r>
              <w:t>CISO</w:t>
            </w:r>
          </w:p>
        </w:tc>
        <w:tc>
          <w:tcPr>
            <w:tcW w:w="2254" w:type="dxa"/>
          </w:tcPr>
          <w:p w14:paraId="264BD23B" w14:textId="2C9E9290" w:rsidR="009A6E5F" w:rsidRDefault="008C7B3D" w:rsidP="009A6E5F">
            <w:r>
              <w:t>Identity based attacks</w:t>
            </w:r>
          </w:p>
        </w:tc>
      </w:tr>
      <w:tr w:rsidR="009A6E5F" w14:paraId="007FECA8" w14:textId="77777777" w:rsidTr="009A6E5F">
        <w:tc>
          <w:tcPr>
            <w:tcW w:w="2254" w:type="dxa"/>
          </w:tcPr>
          <w:p w14:paraId="5E4FFD78" w14:textId="56A0D05A" w:rsidR="009A6E5F" w:rsidRPr="009A6E5F" w:rsidRDefault="009A6E5F" w:rsidP="009A6E5F">
            <w:pPr>
              <w:rPr>
                <w:b/>
                <w:bCs/>
              </w:rPr>
            </w:pPr>
            <w:r w:rsidRPr="009A6E5F">
              <w:rPr>
                <w:b/>
                <w:bCs/>
              </w:rPr>
              <w:t>SIEM &amp; EDR Rollout</w:t>
            </w:r>
          </w:p>
        </w:tc>
        <w:tc>
          <w:tcPr>
            <w:tcW w:w="2254" w:type="dxa"/>
          </w:tcPr>
          <w:p w14:paraId="3DBBD669" w14:textId="5C7A0C49" w:rsidR="009A6E5F" w:rsidRDefault="009A6E5F" w:rsidP="009A6E5F">
            <w:r>
              <w:t>Q2</w:t>
            </w:r>
          </w:p>
        </w:tc>
        <w:tc>
          <w:tcPr>
            <w:tcW w:w="2254" w:type="dxa"/>
          </w:tcPr>
          <w:p w14:paraId="6A1D509C" w14:textId="35DB9BE4" w:rsidR="009A6E5F" w:rsidRDefault="008C7B3D" w:rsidP="009A6E5F">
            <w:r>
              <w:t>SOC Analyst</w:t>
            </w:r>
          </w:p>
        </w:tc>
        <w:tc>
          <w:tcPr>
            <w:tcW w:w="2254" w:type="dxa"/>
          </w:tcPr>
          <w:p w14:paraId="01AA620B" w14:textId="7F94D909" w:rsidR="009A6E5F" w:rsidRDefault="008C7B3D" w:rsidP="009A6E5F">
            <w:r>
              <w:t>Continuous monitoring</w:t>
            </w:r>
          </w:p>
        </w:tc>
      </w:tr>
      <w:tr w:rsidR="009A6E5F" w14:paraId="530E72BA" w14:textId="77777777" w:rsidTr="009A6E5F">
        <w:tc>
          <w:tcPr>
            <w:tcW w:w="2254" w:type="dxa"/>
          </w:tcPr>
          <w:p w14:paraId="46A6A666" w14:textId="2AD0F445" w:rsidR="009A6E5F" w:rsidRPr="009A6E5F" w:rsidRDefault="009A6E5F" w:rsidP="009A6E5F">
            <w:pPr>
              <w:rPr>
                <w:b/>
                <w:bCs/>
              </w:rPr>
            </w:pPr>
            <w:r w:rsidRPr="009A6E5F">
              <w:rPr>
                <w:b/>
                <w:bCs/>
              </w:rPr>
              <w:t>GDPR/DORA Audit</w:t>
            </w:r>
          </w:p>
        </w:tc>
        <w:tc>
          <w:tcPr>
            <w:tcW w:w="2254" w:type="dxa"/>
          </w:tcPr>
          <w:p w14:paraId="024A7ED4" w14:textId="27CBCDAE" w:rsidR="009A6E5F" w:rsidRDefault="009A6E5F" w:rsidP="009A6E5F">
            <w:r>
              <w:t>Q3</w:t>
            </w:r>
          </w:p>
        </w:tc>
        <w:tc>
          <w:tcPr>
            <w:tcW w:w="2254" w:type="dxa"/>
          </w:tcPr>
          <w:p w14:paraId="7EF04156" w14:textId="0C89B49B" w:rsidR="009A6E5F" w:rsidRDefault="008C7B3D" w:rsidP="009A6E5F">
            <w:r>
              <w:t>DPO</w:t>
            </w:r>
          </w:p>
        </w:tc>
        <w:tc>
          <w:tcPr>
            <w:tcW w:w="2254" w:type="dxa"/>
          </w:tcPr>
          <w:p w14:paraId="62077488" w14:textId="050D63EE" w:rsidR="009A6E5F" w:rsidRDefault="008C7B3D" w:rsidP="009A6E5F">
            <w:r>
              <w:t>Regulatory compliance</w:t>
            </w:r>
          </w:p>
        </w:tc>
      </w:tr>
      <w:tr w:rsidR="009A6E5F" w14:paraId="0193A3D8" w14:textId="77777777" w:rsidTr="009A6E5F">
        <w:tc>
          <w:tcPr>
            <w:tcW w:w="2254" w:type="dxa"/>
          </w:tcPr>
          <w:p w14:paraId="6C5423EE" w14:textId="3314130D" w:rsidR="009A6E5F" w:rsidRPr="009A6E5F" w:rsidRDefault="009A6E5F" w:rsidP="009A6E5F">
            <w:pPr>
              <w:rPr>
                <w:b/>
                <w:bCs/>
              </w:rPr>
            </w:pPr>
            <w:r w:rsidRPr="009A6E5F">
              <w:rPr>
                <w:b/>
                <w:bCs/>
              </w:rPr>
              <w:t>Incident Response Exercises</w:t>
            </w:r>
          </w:p>
        </w:tc>
        <w:tc>
          <w:tcPr>
            <w:tcW w:w="2254" w:type="dxa"/>
          </w:tcPr>
          <w:p w14:paraId="72F363E9" w14:textId="633A4662" w:rsidR="009A6E5F" w:rsidRDefault="009A6E5F" w:rsidP="009A6E5F">
            <w:r>
              <w:t>Q4</w:t>
            </w:r>
          </w:p>
        </w:tc>
        <w:tc>
          <w:tcPr>
            <w:tcW w:w="2254" w:type="dxa"/>
          </w:tcPr>
          <w:p w14:paraId="7E4CC49F" w14:textId="6C658272" w:rsidR="009A6E5F" w:rsidRDefault="008C7B3D" w:rsidP="009A6E5F">
            <w:r>
              <w:t>CISO</w:t>
            </w:r>
          </w:p>
        </w:tc>
        <w:tc>
          <w:tcPr>
            <w:tcW w:w="2254" w:type="dxa"/>
          </w:tcPr>
          <w:p w14:paraId="62200604" w14:textId="3EE6D26B" w:rsidR="009A6E5F" w:rsidRDefault="008C7B3D" w:rsidP="009A6E5F">
            <w:r>
              <w:t>Ransomware resilience</w:t>
            </w:r>
          </w:p>
        </w:tc>
      </w:tr>
    </w:tbl>
    <w:p w14:paraId="05102AF5" w14:textId="77777777" w:rsidR="009A6E5F" w:rsidRDefault="009A6E5F" w:rsidP="009A6E5F"/>
    <w:p w14:paraId="45CADE38" w14:textId="77777777" w:rsidR="000B19D8" w:rsidRDefault="000B19D8" w:rsidP="004933BE">
      <w:pPr>
        <w:pStyle w:val="Heading2"/>
      </w:pPr>
      <w:bookmarkStart w:id="16" w:name="_Toc235976441"/>
    </w:p>
    <w:p w14:paraId="4F611766" w14:textId="77777777" w:rsidR="000B19D8" w:rsidRDefault="000B19D8" w:rsidP="004933BE">
      <w:pPr>
        <w:pStyle w:val="Heading2"/>
      </w:pPr>
    </w:p>
    <w:p w14:paraId="4B47D043" w14:textId="77777777" w:rsidR="000B19D8" w:rsidRDefault="000B19D8" w:rsidP="004933BE">
      <w:pPr>
        <w:pStyle w:val="Heading2"/>
      </w:pPr>
    </w:p>
    <w:p w14:paraId="261DF22E" w14:textId="77777777" w:rsidR="000B19D8" w:rsidRDefault="000B19D8" w:rsidP="004933BE">
      <w:pPr>
        <w:pStyle w:val="Heading2"/>
      </w:pPr>
    </w:p>
    <w:p w14:paraId="7544CB30" w14:textId="77777777" w:rsidR="000B19D8" w:rsidRDefault="000B19D8" w:rsidP="004933BE">
      <w:pPr>
        <w:pStyle w:val="Heading2"/>
      </w:pPr>
    </w:p>
    <w:p w14:paraId="27A3CEA4" w14:textId="65E09F1B" w:rsidR="008C7B3D" w:rsidRDefault="004933BE" w:rsidP="004933BE">
      <w:pPr>
        <w:pStyle w:val="Heading2"/>
      </w:pPr>
      <w:r w:rsidRPr="004933BE">
        <w:t>Technical Architecture Diagram (Zero Trust + CSPM + NIST CSF)</w:t>
      </w:r>
      <w:bookmarkEnd w:id="16"/>
    </w:p>
    <w:p w14:paraId="7B5E4381" w14:textId="0ED29E13" w:rsidR="004933BE" w:rsidRDefault="0086240A" w:rsidP="004933BE">
      <w:r w:rsidRPr="0086240A">
        <w:rPr>
          <w:noProof/>
        </w:rPr>
        <mc:AlternateContent>
          <mc:Choice Requires="wps">
            <w:drawing>
              <wp:anchor distT="0" distB="0" distL="114300" distR="114300" simplePos="0" relativeHeight="251660288" behindDoc="0" locked="0" layoutInCell="1" allowOverlap="1" wp14:anchorId="003FD1B3" wp14:editId="3C7680AB">
                <wp:simplePos x="0" y="0"/>
                <wp:positionH relativeFrom="column">
                  <wp:posOffset>479425</wp:posOffset>
                </wp:positionH>
                <wp:positionV relativeFrom="paragraph">
                  <wp:posOffset>158115</wp:posOffset>
                </wp:positionV>
                <wp:extent cx="3962400" cy="400110"/>
                <wp:effectExtent l="0" t="0" r="0" b="0"/>
                <wp:wrapNone/>
                <wp:docPr id="4" name="TextBox 3">
                  <a:extLst xmlns:a="http://schemas.openxmlformats.org/drawingml/2006/main">
                    <a:ext uri="{FF2B5EF4-FFF2-40B4-BE49-F238E27FC236}">
                      <a16:creationId xmlns:a16="http://schemas.microsoft.com/office/drawing/2014/main" id="{4682543D-EEEA-81AC-2959-6F9E92272B04}"/>
                    </a:ext>
                  </a:extLst>
                </wp:docPr>
                <wp:cNvGraphicFramePr/>
                <a:graphic xmlns:a="http://schemas.openxmlformats.org/drawingml/2006/main">
                  <a:graphicData uri="http://schemas.microsoft.com/office/word/2010/wordprocessingShape">
                    <wps:wsp>
                      <wps:cNvSpPr txBox="1"/>
                      <wps:spPr>
                        <a:xfrm>
                          <a:off x="0" y="0"/>
                          <a:ext cx="3962400" cy="400110"/>
                        </a:xfrm>
                        <a:prstGeom prst="rect">
                          <a:avLst/>
                        </a:prstGeom>
                        <a:noFill/>
                      </wps:spPr>
                      <wps:txbx>
                        <w:txbxContent>
                          <w:p w14:paraId="6CE9F069"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Zero Trust Layer             </w:t>
                            </w:r>
                          </w:p>
                          <w:p w14:paraId="65B8DF02"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MFA             IAM          Least Privilege            ZTNA  </w:t>
                            </w:r>
                          </w:p>
                        </w:txbxContent>
                      </wps:txbx>
                      <wps:bodyPr wrap="square" rtlCol="0">
                        <a:spAutoFit/>
                      </wps:bodyPr>
                    </wps:wsp>
                  </a:graphicData>
                </a:graphic>
              </wp:anchor>
            </w:drawing>
          </mc:Choice>
          <mc:Fallback>
            <w:pict>
              <v:shape w14:anchorId="003FD1B3" id="TextBox 3" o:spid="_x0000_s1030" type="#_x0000_t202" style="position:absolute;margin-left:37.75pt;margin-top:12.45pt;width:312pt;height:31.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" filled="f" stroked="f">
                <v:textbox style="mso-fit-shape-to-text:t">
                  <w:txbxContent>
                    <w:p w14:paraId="6CE9F069"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Zero Trust Layer             </w:t>
                      </w:r>
                    </w:p>
                    <w:p w14:paraId="65B8DF02"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MFA             IAM          Least Privilege            ZTNA  </w:t>
                      </w:r>
                    </w:p>
                  </w:txbxContent>
                </v:textbox>
              </v:shape>
            </w:pict>
          </mc:Fallback>
        </mc:AlternateContent>
      </w:r>
    </w:p>
    <w:p w14:paraId="4F2107E7" w14:textId="77777777" w:rsidR="0086240A" w:rsidRDefault="0086240A" w:rsidP="004933BE"/>
    <w:p w14:paraId="452BC9C7" w14:textId="35606C21" w:rsidR="0086240A" w:rsidRDefault="0086240A" w:rsidP="004933BE">
      <w:r w:rsidRPr="0086240A">
        <w:rPr>
          <w:noProof/>
        </w:rPr>
        <mc:AlternateContent>
          <mc:Choice Requires="wps">
            <w:drawing>
              <wp:anchor distT="0" distB="0" distL="114300" distR="114300" simplePos="0" relativeHeight="251670528" behindDoc="0" locked="0" layoutInCell="1" allowOverlap="1" wp14:anchorId="26EB7E07" wp14:editId="0594CE28">
                <wp:simplePos x="0" y="0"/>
                <wp:positionH relativeFrom="column">
                  <wp:posOffset>321310</wp:posOffset>
                </wp:positionH>
                <wp:positionV relativeFrom="paragraph">
                  <wp:posOffset>4100195</wp:posOffset>
                </wp:positionV>
                <wp:extent cx="3521075" cy="830997"/>
                <wp:effectExtent l="0" t="0" r="0" b="0"/>
                <wp:wrapNone/>
                <wp:docPr id="28" name="TextBox 27">
                  <a:extLst xmlns:a="http://schemas.openxmlformats.org/drawingml/2006/main">
                    <a:ext uri="{FF2B5EF4-FFF2-40B4-BE49-F238E27FC236}">
                      <a16:creationId xmlns:a16="http://schemas.microsoft.com/office/drawing/2014/main" id="{34E3587D-75EA-362F-E7FB-36381BE7FF19}"/>
                    </a:ext>
                  </a:extLst>
                </wp:docPr>
                <wp:cNvGraphicFramePr/>
                <a:graphic xmlns:a="http://schemas.openxmlformats.org/drawingml/2006/main">
                  <a:graphicData uri="http://schemas.microsoft.com/office/word/2010/wordprocessingShape">
                    <wps:wsp>
                      <wps:cNvSpPr txBox="1"/>
                      <wps:spPr>
                        <a:xfrm>
                          <a:off x="0" y="0"/>
                          <a:ext cx="3521075" cy="830997"/>
                        </a:xfrm>
                        <a:prstGeom prst="rect">
                          <a:avLst/>
                        </a:prstGeom>
                        <a:noFill/>
                      </wps:spPr>
                      <wps:txbx>
                        <w:txbxContent>
                          <w:p w14:paraId="7659C649"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Immutable Backup &amp; Recovery Systems                     </w:t>
                            </w:r>
                          </w:p>
                          <w:p w14:paraId="6D18CD43"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Offline backups       Recovery testing       Ransomware resilience                </w:t>
                            </w:r>
                          </w:p>
                        </w:txbxContent>
                      </wps:txbx>
                      <wps:bodyPr wrap="square" rtlCol="0">
                        <a:spAutoFit/>
                      </wps:bodyPr>
                    </wps:wsp>
                  </a:graphicData>
                </a:graphic>
              </wp:anchor>
            </w:drawing>
          </mc:Choice>
          <mc:Fallback>
            <w:pict>
              <v:shape w14:anchorId="26EB7E07" id="TextBox 27" o:spid="_x0000_s1031" type="#_x0000_t202" style="position:absolute;margin-left:25.3pt;margin-top:322.85pt;width:277.25pt;height:65.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" filled="f" stroked="f">
                <v:textbox style="mso-fit-shape-to-text:t">
                  <w:txbxContent>
                    <w:p w14:paraId="7659C649"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Immutable Backup &amp; Recovery Systems                     </w:t>
                      </w:r>
                    </w:p>
                    <w:p w14:paraId="6D18CD43"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Offline backups       Recovery testing       Ransomware resilience                </w:t>
                      </w:r>
                    </w:p>
                  </w:txbxContent>
                </v:textbox>
              </v:shape>
            </w:pict>
          </mc:Fallback>
        </mc:AlternateContent>
      </w:r>
      <w:r w:rsidRPr="0086240A">
        <w:rPr>
          <w:noProof/>
        </w:rPr>
        <mc:AlternateContent>
          <mc:Choice Requires="wps">
            <w:drawing>
              <wp:anchor distT="0" distB="0" distL="114300" distR="114300" simplePos="0" relativeHeight="251669504" behindDoc="0" locked="0" layoutInCell="1" allowOverlap="1" wp14:anchorId="162CF96D" wp14:editId="13772C1B">
                <wp:simplePos x="0" y="0"/>
                <wp:positionH relativeFrom="leftMargin">
                  <wp:posOffset>2943225</wp:posOffset>
                </wp:positionH>
                <wp:positionV relativeFrom="paragraph">
                  <wp:posOffset>3773170</wp:posOffset>
                </wp:positionV>
                <wp:extent cx="0" cy="290764"/>
                <wp:effectExtent l="76200" t="0" r="57150" b="52705"/>
                <wp:wrapNone/>
                <wp:docPr id="26" name="Straight Arrow Connector 25">
                  <a:extLst xmlns:a="http://schemas.openxmlformats.org/drawingml/2006/main">
                    <a:ext uri="{FF2B5EF4-FFF2-40B4-BE49-F238E27FC236}">
                      <a16:creationId xmlns:a16="http://schemas.microsoft.com/office/drawing/2014/main" id="{ACC7389D-664A-C24D-FE08-F380541D9BB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907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81880FB" id="_x0000_t32" coordsize="21600,21600" o:spt="32" o:oned="t" path="m,l21600,21600e" filled="f">
                <v:path arrowok="t" fillok="f" o:connecttype="none"/>
                <o:lock v:ext="edit" shapetype="t"/>
              </v:shapetype>
              <v:shape id="Straight Arrow Connector 25" o:spid="_x0000_s1026" type="#_x0000_t32" style="position:absolute;margin-left:231.75pt;margin-top:297.1pt;width:0;height:22.9pt;z-index:251669504;visibility:visible;mso-wrap-style:square;mso-wrap-distance-left:9pt;mso-wrap-distance-top:0;mso-wrap-distance-right:9pt;mso-wrap-distance-bottom:0;mso-position-horizontal:absolute;mso-position-horizontal-relative:left-margin-area;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" strokecolor="#156082 [3204]" strokeweight="1pt">
                <v:stroke endarrow="block" joinstyle="miter"/>
                <o:lock v:ext="edit" shapetype="f"/>
                <w10:wrap anchorx="margin"/>
              </v:shape>
            </w:pict>
          </mc:Fallback>
        </mc:AlternateContent>
      </w:r>
      <w:r w:rsidRPr="0086240A">
        <w:rPr>
          <w:noProof/>
        </w:rPr>
        <mc:AlternateContent>
          <mc:Choice Requires="wps">
            <w:drawing>
              <wp:anchor distT="0" distB="0" distL="114300" distR="114300" simplePos="0" relativeHeight="251668480" behindDoc="0" locked="0" layoutInCell="1" allowOverlap="1" wp14:anchorId="23E98CBA" wp14:editId="5FFC6254">
                <wp:simplePos x="0" y="0"/>
                <wp:positionH relativeFrom="column">
                  <wp:posOffset>381000</wp:posOffset>
                </wp:positionH>
                <wp:positionV relativeFrom="paragraph">
                  <wp:posOffset>3122930</wp:posOffset>
                </wp:positionV>
                <wp:extent cx="3384550" cy="830997"/>
                <wp:effectExtent l="0" t="0" r="0" b="0"/>
                <wp:wrapNone/>
                <wp:docPr id="22" name="TextBox 21">
                  <a:extLst xmlns:a="http://schemas.openxmlformats.org/drawingml/2006/main">
                    <a:ext uri="{FF2B5EF4-FFF2-40B4-BE49-F238E27FC236}">
                      <a16:creationId xmlns:a16="http://schemas.microsoft.com/office/drawing/2014/main" id="{914BF826-9EAD-E48A-900D-6080253B2424}"/>
                    </a:ext>
                  </a:extLst>
                </wp:docPr>
                <wp:cNvGraphicFramePr/>
                <a:graphic xmlns:a="http://schemas.openxmlformats.org/drawingml/2006/main">
                  <a:graphicData uri="http://schemas.microsoft.com/office/word/2010/wordprocessingShape">
                    <wps:wsp>
                      <wps:cNvSpPr txBox="1"/>
                      <wps:spPr>
                        <a:xfrm>
                          <a:off x="0" y="0"/>
                          <a:ext cx="3384550" cy="830997"/>
                        </a:xfrm>
                        <a:prstGeom prst="rect">
                          <a:avLst/>
                        </a:prstGeom>
                        <a:noFill/>
                      </wps:spPr>
                      <wps:txbx>
                        <w:txbxContent>
                          <w:p w14:paraId="31AE0724"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Endpoint Detection &amp; Response (EDR)                    </w:t>
                            </w:r>
                          </w:p>
                          <w:p w14:paraId="7C54C112"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Device telemetry            Malware detection          Isolation of compromised hosts </w:t>
                            </w:r>
                          </w:p>
                        </w:txbxContent>
                      </wps:txbx>
                      <wps:bodyPr wrap="square" rtlCol="0">
                        <a:spAutoFit/>
                      </wps:bodyPr>
                    </wps:wsp>
                  </a:graphicData>
                </a:graphic>
              </wp:anchor>
            </w:drawing>
          </mc:Choice>
          <mc:Fallback>
            <w:pict>
              <v:shape w14:anchorId="23E98CBA" id="TextBox 21" o:spid="_x0000_s1032" type="#_x0000_t202" style="position:absolute;margin-left:30pt;margin-top:245.9pt;width:266.5pt;height:65.4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" filled="f" stroked="f">
                <v:textbox style="mso-fit-shape-to-text:t">
                  <w:txbxContent>
                    <w:p w14:paraId="31AE0724"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Endpoint Detection &amp; Response (EDR)                    </w:t>
                      </w:r>
                    </w:p>
                    <w:p w14:paraId="7C54C112"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Device telemetry            Malware detection          Isolation of compromised hosts </w:t>
                      </w:r>
                    </w:p>
                  </w:txbxContent>
                </v:textbox>
              </v:shape>
            </w:pict>
          </mc:Fallback>
        </mc:AlternateContent>
      </w:r>
      <w:r w:rsidRPr="0086240A">
        <w:rPr>
          <w:noProof/>
        </w:rPr>
        <mc:AlternateContent>
          <mc:Choice Requires="wps">
            <w:drawing>
              <wp:anchor distT="0" distB="0" distL="114300" distR="114300" simplePos="0" relativeHeight="251671552" behindDoc="0" locked="0" layoutInCell="1" allowOverlap="1" wp14:anchorId="6763F4E2" wp14:editId="0D83E255">
                <wp:simplePos x="0" y="0"/>
                <wp:positionH relativeFrom="column">
                  <wp:posOffset>1999615</wp:posOffset>
                </wp:positionH>
                <wp:positionV relativeFrom="paragraph">
                  <wp:posOffset>2797810</wp:posOffset>
                </wp:positionV>
                <wp:extent cx="0" cy="321375"/>
                <wp:effectExtent l="76200" t="0" r="76200" b="59690"/>
                <wp:wrapNone/>
                <wp:docPr id="30" name="Straight Arrow Connector 29">
                  <a:extLst xmlns:a="http://schemas.openxmlformats.org/drawingml/2006/main">
                    <a:ext uri="{FF2B5EF4-FFF2-40B4-BE49-F238E27FC236}">
                      <a16:creationId xmlns:a16="http://schemas.microsoft.com/office/drawing/2014/main" id="{268B3C0D-43C1-4BAE-2871-793BD4D509BC}"/>
                    </a:ext>
                  </a:extLst>
                </wp:docPr>
                <wp:cNvGraphicFramePr/>
                <a:graphic xmlns:a="http://schemas.openxmlformats.org/drawingml/2006/main">
                  <a:graphicData uri="http://schemas.microsoft.com/office/word/2010/wordprocessingShape">
                    <wps:wsp>
                      <wps:cNvCnPr/>
                      <wps:spPr>
                        <a:xfrm>
                          <a:off x="0" y="0"/>
                          <a:ext cx="0" cy="3213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9688634" id="Straight Arrow Connector 29" o:spid="_x0000_s1026" type="#_x0000_t32" style="position:absolute;margin-left:157.45pt;margin-top:220.3pt;width:0;height:25.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" strokecolor="#156082 [3204]" strokeweight="1pt">
                <v:stroke endarrow="block" joinstyle="miter"/>
              </v:shape>
            </w:pict>
          </mc:Fallback>
        </mc:AlternateContent>
      </w:r>
      <w:r w:rsidRPr="0086240A">
        <w:rPr>
          <w:noProof/>
        </w:rPr>
        <mc:AlternateContent>
          <mc:Choice Requires="wps">
            <w:drawing>
              <wp:anchor distT="0" distB="0" distL="114300" distR="114300" simplePos="0" relativeHeight="251666432" behindDoc="0" locked="0" layoutInCell="1" allowOverlap="1" wp14:anchorId="50FA412C" wp14:editId="045F82CD">
                <wp:simplePos x="0" y="0"/>
                <wp:positionH relativeFrom="column">
                  <wp:posOffset>152400</wp:posOffset>
                </wp:positionH>
                <wp:positionV relativeFrom="paragraph">
                  <wp:posOffset>2157730</wp:posOffset>
                </wp:positionV>
                <wp:extent cx="3727448" cy="553998"/>
                <wp:effectExtent l="0" t="0" r="0" b="0"/>
                <wp:wrapNone/>
                <wp:docPr id="19" name="TextBox 18">
                  <a:extLst xmlns:a="http://schemas.openxmlformats.org/drawingml/2006/main">
                    <a:ext uri="{FF2B5EF4-FFF2-40B4-BE49-F238E27FC236}">
                      <a16:creationId xmlns:a16="http://schemas.microsoft.com/office/drawing/2014/main" id="{195BA56F-0B2F-C314-7DF8-671844708FFE}"/>
                    </a:ext>
                  </a:extLst>
                </wp:docPr>
                <wp:cNvGraphicFramePr/>
                <a:graphic xmlns:a="http://schemas.openxmlformats.org/drawingml/2006/main">
                  <a:graphicData uri="http://schemas.microsoft.com/office/word/2010/wordprocessingShape">
                    <wps:wsp>
                      <wps:cNvSpPr txBox="1"/>
                      <wps:spPr>
                        <a:xfrm>
                          <a:off x="0" y="0"/>
                          <a:ext cx="3727448" cy="553998"/>
                        </a:xfrm>
                        <a:prstGeom prst="rect">
                          <a:avLst/>
                        </a:prstGeom>
                        <a:noFill/>
                      </wps:spPr>
                      <wps:txbx>
                        <w:txbxContent>
                          <w:p w14:paraId="73F5B27A"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Security Information &amp; Event Management (SIEM)       </w:t>
                            </w:r>
                          </w:p>
                          <w:p w14:paraId="33CCEC3B"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Log ingestion          Behaviour analytics       Threat detection           Alert triage </w:t>
                            </w:r>
                          </w:p>
                        </w:txbxContent>
                      </wps:txbx>
                      <wps:bodyPr wrap="square" rtlCol="0">
                        <a:spAutoFit/>
                      </wps:bodyPr>
                    </wps:wsp>
                  </a:graphicData>
                </a:graphic>
              </wp:anchor>
            </w:drawing>
          </mc:Choice>
          <mc:Fallback>
            <w:pict>
              <v:shape w14:anchorId="50FA412C" id="TextBox 18" o:spid="_x0000_s1033" type="#_x0000_t202" style="position:absolute;margin-left:12pt;margin-top:169.9pt;width:293.5pt;height:4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" filled="f" stroked="f">
                <v:textbox style="mso-fit-shape-to-text:t">
                  <w:txbxContent>
                    <w:p w14:paraId="73F5B27A"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Security Information &amp; Event Management (SIEM)       </w:t>
                      </w:r>
                    </w:p>
                    <w:p w14:paraId="33CCEC3B"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Log ingestion          Behaviour analytics       Threat detection           Alert triage </w:t>
                      </w:r>
                    </w:p>
                  </w:txbxContent>
                </v:textbox>
              </v:shape>
            </w:pict>
          </mc:Fallback>
        </mc:AlternateContent>
      </w:r>
      <w:r w:rsidRPr="0086240A">
        <w:rPr>
          <w:noProof/>
        </w:rPr>
        <mc:AlternateContent>
          <mc:Choice Requires="wps">
            <w:drawing>
              <wp:anchor distT="0" distB="0" distL="114300" distR="114300" simplePos="0" relativeHeight="251667456" behindDoc="0" locked="0" layoutInCell="1" allowOverlap="1" wp14:anchorId="2A513CC1" wp14:editId="5AF3B7BF">
                <wp:simplePos x="0" y="0"/>
                <wp:positionH relativeFrom="margin">
                  <wp:posOffset>2000250</wp:posOffset>
                </wp:positionH>
                <wp:positionV relativeFrom="paragraph">
                  <wp:posOffset>1866265</wp:posOffset>
                </wp:positionV>
                <wp:extent cx="0" cy="288786"/>
                <wp:effectExtent l="76200" t="0" r="57150" b="54610"/>
                <wp:wrapNone/>
                <wp:docPr id="21" name="Straight Arrow Connector 20">
                  <a:extLst xmlns:a="http://schemas.openxmlformats.org/drawingml/2006/main">
                    <a:ext uri="{FF2B5EF4-FFF2-40B4-BE49-F238E27FC236}">
                      <a16:creationId xmlns:a16="http://schemas.microsoft.com/office/drawing/2014/main" id="{53762442-BA04-7AB8-2A0E-BC6C803380B4}"/>
                    </a:ext>
                  </a:extLst>
                </wp:docPr>
                <wp:cNvGraphicFramePr/>
                <a:graphic xmlns:a="http://schemas.openxmlformats.org/drawingml/2006/main">
                  <a:graphicData uri="http://schemas.microsoft.com/office/word/2010/wordprocessingShape">
                    <wps:wsp>
                      <wps:cNvCnPr/>
                      <wps:spPr>
                        <a:xfrm>
                          <a:off x="0" y="0"/>
                          <a:ext cx="0" cy="28878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3E78F25" id="Straight Arrow Connector 20" o:spid="_x0000_s1026" type="#_x0000_t32" style="position:absolute;margin-left:157.5pt;margin-top:146.95pt;width:0;height:22.75pt;z-index:25166745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" strokecolor="#156082 [3204]" strokeweight="1pt">
                <v:stroke endarrow="block" joinstyle="miter"/>
                <w10:wrap anchorx="margin"/>
              </v:shape>
            </w:pict>
          </mc:Fallback>
        </mc:AlternateContent>
      </w:r>
      <w:r w:rsidRPr="0086240A">
        <w:rPr>
          <w:noProof/>
        </w:rPr>
        <mc:AlternateContent>
          <mc:Choice Requires="wps">
            <w:drawing>
              <wp:anchor distT="0" distB="0" distL="114300" distR="114300" simplePos="0" relativeHeight="251665408" behindDoc="0" locked="0" layoutInCell="1" allowOverlap="1" wp14:anchorId="2BCDD2B0" wp14:editId="09957596">
                <wp:simplePos x="0" y="0"/>
                <wp:positionH relativeFrom="column">
                  <wp:posOffset>2054225</wp:posOffset>
                </wp:positionH>
                <wp:positionV relativeFrom="paragraph">
                  <wp:posOffset>1031240</wp:posOffset>
                </wp:positionV>
                <wp:extent cx="0" cy="254000"/>
                <wp:effectExtent l="76200" t="0" r="57150" b="50800"/>
                <wp:wrapNone/>
                <wp:docPr id="18" name="Straight Arrow Connector 17">
                  <a:extLst xmlns:a="http://schemas.openxmlformats.org/drawingml/2006/main">
                    <a:ext uri="{FF2B5EF4-FFF2-40B4-BE49-F238E27FC236}">
                      <a16:creationId xmlns:a16="http://schemas.microsoft.com/office/drawing/2014/main" id="{BDC4C36C-900B-9CF6-5937-1C925B82CC9C}"/>
                    </a:ext>
                  </a:extLst>
                </wp:docPr>
                <wp:cNvGraphicFramePr/>
                <a:graphic xmlns:a="http://schemas.openxmlformats.org/drawingml/2006/main">
                  <a:graphicData uri="http://schemas.microsoft.com/office/word/2010/wordprocessingShape">
                    <wps:wsp>
                      <wps:cNvCnPr/>
                      <wps:spPr>
                        <a:xfrm>
                          <a:off x="0" y="0"/>
                          <a:ext cx="0" cy="254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28C40B0" id="Straight Arrow Connector 17" o:spid="_x0000_s1026" type="#_x0000_t32" style="position:absolute;margin-left:161.75pt;margin-top:81.2pt;width:0;height:20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" strokecolor="#156082 [3204]" strokeweight="1pt">
                <v:stroke endarrow="block" joinstyle="miter"/>
              </v:shape>
            </w:pict>
          </mc:Fallback>
        </mc:AlternateContent>
      </w:r>
      <w:r w:rsidRPr="0086240A">
        <w:rPr>
          <w:noProof/>
        </w:rPr>
        <mc:AlternateContent>
          <mc:Choice Requires="wps">
            <w:drawing>
              <wp:anchor distT="0" distB="0" distL="114300" distR="114300" simplePos="0" relativeHeight="251664384" behindDoc="0" locked="0" layoutInCell="1" allowOverlap="1" wp14:anchorId="4F865245" wp14:editId="521A94C6">
                <wp:simplePos x="0" y="0"/>
                <wp:positionH relativeFrom="column">
                  <wp:posOffset>231775</wp:posOffset>
                </wp:positionH>
                <wp:positionV relativeFrom="paragraph">
                  <wp:posOffset>1282065</wp:posOffset>
                </wp:positionV>
                <wp:extent cx="3727448" cy="707886"/>
                <wp:effectExtent l="0" t="0" r="0" b="0"/>
                <wp:wrapNone/>
                <wp:docPr id="16" name="TextBox 15">
                  <a:extLst xmlns:a="http://schemas.openxmlformats.org/drawingml/2006/main">
                    <a:ext uri="{FF2B5EF4-FFF2-40B4-BE49-F238E27FC236}">
                      <a16:creationId xmlns:a16="http://schemas.microsoft.com/office/drawing/2014/main" id="{CC7A6B8F-25B0-CBAA-191A-8364215AC215}"/>
                    </a:ext>
                  </a:extLst>
                </wp:docPr>
                <wp:cNvGraphicFramePr/>
                <a:graphic xmlns:a="http://schemas.openxmlformats.org/drawingml/2006/main">
                  <a:graphicData uri="http://schemas.microsoft.com/office/word/2010/wordprocessingShape">
                    <wps:wsp>
                      <wps:cNvSpPr txBox="1"/>
                      <wps:spPr>
                        <a:xfrm>
                          <a:off x="0" y="0"/>
                          <a:ext cx="3727448" cy="707886"/>
                        </a:xfrm>
                        <a:prstGeom prst="rect">
                          <a:avLst/>
                        </a:prstGeom>
                        <a:noFill/>
                      </wps:spPr>
                      <wps:txbx>
                        <w:txbxContent>
                          <w:p w14:paraId="0A7BB145"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Cloud Security Posture Management (CSPM)           </w:t>
                            </w:r>
                          </w:p>
                          <w:p w14:paraId="464C5897"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Continuous config scanning                Misconfiguration alerts                        Compliance checks</w:t>
                            </w:r>
                          </w:p>
                        </w:txbxContent>
                      </wps:txbx>
                      <wps:bodyPr wrap="square" rtlCol="0">
                        <a:spAutoFit/>
                      </wps:bodyPr>
                    </wps:wsp>
                  </a:graphicData>
                </a:graphic>
              </wp:anchor>
            </w:drawing>
          </mc:Choice>
          <mc:Fallback>
            <w:pict>
              <v:shape w14:anchorId="4F865245" id="TextBox 15" o:spid="_x0000_s1034" type="#_x0000_t202" style="position:absolute;margin-left:18.25pt;margin-top:100.95pt;width:293.5pt;height:55.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" filled="f" stroked="f">
                <v:textbox style="mso-fit-shape-to-text:t">
                  <w:txbxContent>
                    <w:p w14:paraId="0A7BB145"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Cloud Security Posture Management (CSPM)           </w:t>
                      </w:r>
                    </w:p>
                    <w:p w14:paraId="464C5897"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 Continuous config scanning                Misconfiguration alerts                        Compliance checks</w:t>
                      </w:r>
                    </w:p>
                  </w:txbxContent>
                </v:textbox>
              </v:shape>
            </w:pict>
          </mc:Fallback>
        </mc:AlternateContent>
      </w:r>
      <w:r w:rsidRPr="0086240A">
        <w:rPr>
          <w:noProof/>
        </w:rPr>
        <mc:AlternateContent>
          <mc:Choice Requires="wps">
            <w:drawing>
              <wp:anchor distT="0" distB="0" distL="114300" distR="114300" simplePos="0" relativeHeight="251661312" behindDoc="0" locked="0" layoutInCell="1" allowOverlap="1" wp14:anchorId="157185E9" wp14:editId="2975A4E8">
                <wp:simplePos x="0" y="0"/>
                <wp:positionH relativeFrom="column">
                  <wp:posOffset>504825</wp:posOffset>
                </wp:positionH>
                <wp:positionV relativeFrom="paragraph">
                  <wp:posOffset>536575</wp:posOffset>
                </wp:positionV>
                <wp:extent cx="3727450" cy="677108"/>
                <wp:effectExtent l="0" t="0" r="0" b="0"/>
                <wp:wrapNone/>
                <wp:docPr id="6" name="TextBox 5">
                  <a:extLst xmlns:a="http://schemas.openxmlformats.org/drawingml/2006/main">
                    <a:ext uri="{FF2B5EF4-FFF2-40B4-BE49-F238E27FC236}">
                      <a16:creationId xmlns:a16="http://schemas.microsoft.com/office/drawing/2014/main" id="{57FCDD9F-4FF7-E553-9C7C-5B374B160F1C}"/>
                    </a:ext>
                  </a:extLst>
                </wp:docPr>
                <wp:cNvGraphicFramePr/>
                <a:graphic xmlns:a="http://schemas.openxmlformats.org/drawingml/2006/main">
                  <a:graphicData uri="http://schemas.microsoft.com/office/word/2010/wordprocessingShape">
                    <wps:wsp>
                      <wps:cNvSpPr txBox="1"/>
                      <wps:spPr>
                        <a:xfrm>
                          <a:off x="0" y="0"/>
                          <a:ext cx="3727450" cy="677108"/>
                        </a:xfrm>
                        <a:prstGeom prst="rect">
                          <a:avLst/>
                        </a:prstGeom>
                        <a:noFill/>
                      </wps:spPr>
                      <wps:txbx>
                        <w:txbxContent>
                          <w:p w14:paraId="00503B1A"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Identity &amp; Access Control                 </w:t>
                            </w:r>
                          </w:p>
                          <w:p w14:paraId="20F81316"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Azure AD        AWS IAM        SSO        Conditional Access Policies </w:t>
                            </w:r>
                          </w:p>
                          <w:p w14:paraId="68010723" w14:textId="77777777" w:rsidR="0086240A" w:rsidRDefault="0086240A" w:rsidP="0086240A">
                            <w:pPr>
                              <w:rPr>
                                <w:rFonts w:hAnsi="Aptos"/>
                                <w:color w:val="000000" w:themeColor="text1"/>
                                <w:kern w:val="24"/>
                                <w:sz w:val="36"/>
                                <w:szCs w:val="36"/>
                              </w:rPr>
                            </w:pPr>
                            <w:r>
                              <w:rPr>
                                <w:rFonts w:hAnsi="Aptos"/>
                                <w:color w:val="000000" w:themeColor="text1"/>
                                <w:kern w:val="24"/>
                                <w:sz w:val="36"/>
                                <w:szCs w:val="36"/>
                              </w:rPr>
                              <w:t xml:space="preserve"> </w:t>
                            </w:r>
                          </w:p>
                        </w:txbxContent>
                      </wps:txbx>
                      <wps:bodyPr wrap="square" rtlCol="0">
                        <a:spAutoFit/>
                      </wps:bodyPr>
                    </wps:wsp>
                  </a:graphicData>
                </a:graphic>
              </wp:anchor>
            </w:drawing>
          </mc:Choice>
          <mc:Fallback>
            <w:pict>
              <v:shape w14:anchorId="157185E9" id="TextBox 5" o:spid="_x0000_s1035" type="#_x0000_t202" style="position:absolute;margin-left:39.75pt;margin-top:42.25pt;width:293.5pt;height:53.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" filled="f" stroked="f">
                <v:textbox style="mso-fit-shape-to-text:t">
                  <w:txbxContent>
                    <w:p w14:paraId="00503B1A" w14:textId="77777777" w:rsidR="0086240A" w:rsidRDefault="0086240A" w:rsidP="0086240A">
                      <w:pPr>
                        <w:rPr>
                          <w:rFonts w:hAnsi="Aptos"/>
                          <w:color w:val="000000" w:themeColor="text1"/>
                          <w:kern w:val="24"/>
                          <w:sz w:val="20"/>
                          <w:szCs w:val="20"/>
                          <w14:ligatures w14:val="none"/>
                        </w:rPr>
                      </w:pPr>
                      <w:r>
                        <w:rPr>
                          <w:rFonts w:hAnsi="Aptos"/>
                          <w:color w:val="000000" w:themeColor="text1"/>
                          <w:kern w:val="24"/>
                          <w:sz w:val="20"/>
                          <w:szCs w:val="20"/>
                        </w:rPr>
                        <w:t xml:space="preserve">                              Identity &amp; Access Control                 </w:t>
                      </w:r>
                    </w:p>
                    <w:p w14:paraId="20F81316" w14:textId="77777777" w:rsidR="0086240A" w:rsidRDefault="0086240A" w:rsidP="0086240A">
                      <w:pPr>
                        <w:rPr>
                          <w:rFonts w:hAnsi="Aptos"/>
                          <w:color w:val="000000" w:themeColor="text1"/>
                          <w:kern w:val="24"/>
                          <w:sz w:val="20"/>
                          <w:szCs w:val="20"/>
                        </w:rPr>
                      </w:pPr>
                      <w:r>
                        <w:rPr>
                          <w:rFonts w:hAnsi="Aptos"/>
                          <w:color w:val="000000" w:themeColor="text1"/>
                          <w:kern w:val="24"/>
                          <w:sz w:val="20"/>
                          <w:szCs w:val="20"/>
                        </w:rPr>
                        <w:t xml:space="preserve">Azure AD        AWS IAM        SSO        Conditional Access Policies </w:t>
                      </w:r>
                    </w:p>
                    <w:p w14:paraId="68010723" w14:textId="77777777" w:rsidR="0086240A" w:rsidRDefault="0086240A" w:rsidP="0086240A">
                      <w:pPr>
                        <w:rPr>
                          <w:rFonts w:hAnsi="Aptos"/>
                          <w:color w:val="000000" w:themeColor="text1"/>
                          <w:kern w:val="24"/>
                          <w:sz w:val="36"/>
                          <w:szCs w:val="36"/>
                        </w:rPr>
                      </w:pPr>
                      <w:r>
                        <w:rPr>
                          <w:rFonts w:hAnsi="Aptos"/>
                          <w:color w:val="000000" w:themeColor="text1"/>
                          <w:kern w:val="24"/>
                          <w:sz w:val="36"/>
                          <w:szCs w:val="36"/>
                        </w:rPr>
                        <w:t xml:space="preserve"> </w:t>
                      </w:r>
                    </w:p>
                  </w:txbxContent>
                </v:textbox>
              </v:shape>
            </w:pict>
          </mc:Fallback>
        </mc:AlternateContent>
      </w:r>
      <w:r w:rsidRPr="0086240A">
        <w:rPr>
          <w:noProof/>
        </w:rPr>
        <mc:AlternateContent>
          <mc:Choice Requires="wps">
            <w:drawing>
              <wp:anchor distT="0" distB="0" distL="114300" distR="114300" simplePos="0" relativeHeight="251662336" behindDoc="0" locked="0" layoutInCell="1" allowOverlap="1" wp14:anchorId="6D49A840" wp14:editId="2F239210">
                <wp:simplePos x="0" y="0"/>
                <wp:positionH relativeFrom="column">
                  <wp:posOffset>1930400</wp:posOffset>
                </wp:positionH>
                <wp:positionV relativeFrom="paragraph">
                  <wp:posOffset>92710</wp:posOffset>
                </wp:positionV>
                <wp:extent cx="0" cy="355600"/>
                <wp:effectExtent l="76200" t="0" r="76200" b="63500"/>
                <wp:wrapNone/>
                <wp:docPr id="8" name="Straight Arrow Connector 7">
                  <a:extLst xmlns:a="http://schemas.openxmlformats.org/drawingml/2006/main">
                    <a:ext uri="{FF2B5EF4-FFF2-40B4-BE49-F238E27FC236}">
                      <a16:creationId xmlns:a16="http://schemas.microsoft.com/office/drawing/2014/main" id="{5F5DD4FC-F268-D916-FFFB-B274A1C60B2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55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2A968DC" id="Straight Arrow Connector 7" o:spid="_x0000_s1026" type="#_x0000_t32" style="position:absolute;margin-left:152pt;margin-top:7.3pt;width:0;height:2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" strokecolor="#156082 [3204]" strokeweight="1pt">
                <v:stroke endarrow="block" joinstyle="miter"/>
                <o:lock v:ext="edit" shapetype="f"/>
              </v:shape>
            </w:pict>
          </mc:Fallback>
        </mc:AlternateContent>
      </w:r>
      <w:r w:rsidRPr="0086240A">
        <w:rPr>
          <w:noProof/>
        </w:rPr>
        <mc:AlternateContent>
          <mc:Choice Requires="wps">
            <w:drawing>
              <wp:anchor distT="0" distB="0" distL="114300" distR="114300" simplePos="0" relativeHeight="251663360" behindDoc="0" locked="0" layoutInCell="1" allowOverlap="1" wp14:anchorId="524131FE" wp14:editId="22A5E59E">
                <wp:simplePos x="0" y="0"/>
                <wp:positionH relativeFrom="column">
                  <wp:posOffset>2536825</wp:posOffset>
                </wp:positionH>
                <wp:positionV relativeFrom="paragraph">
                  <wp:posOffset>130810</wp:posOffset>
                </wp:positionV>
                <wp:extent cx="0" cy="355600"/>
                <wp:effectExtent l="76200" t="0" r="76200" b="63500"/>
                <wp:wrapNone/>
                <wp:docPr id="10" name="Straight Arrow Connector 9">
                  <a:extLst xmlns:a="http://schemas.openxmlformats.org/drawingml/2006/main">
                    <a:ext uri="{FF2B5EF4-FFF2-40B4-BE49-F238E27FC236}">
                      <a16:creationId xmlns:a16="http://schemas.microsoft.com/office/drawing/2014/main" id="{9DBC5157-D925-6BA4-6CB5-649545C682B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55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8A7D28A" id="Straight Arrow Connector 9" o:spid="_x0000_s1026" type="#_x0000_t32" style="position:absolute;margin-left:199.75pt;margin-top:10.3pt;width:0;height:2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" strokecolor="#156082 [3204]" strokeweight="1pt">
                <v:stroke endarrow="block" joinstyle="miter"/>
                <o:lock v:ext="edit" shapetype="f"/>
              </v:shape>
            </w:pict>
          </mc:Fallback>
        </mc:AlternateContent>
      </w:r>
    </w:p>
    <w:p w14:paraId="11079C27" w14:textId="77777777" w:rsidR="00A60B16" w:rsidRPr="00A60B16" w:rsidRDefault="00A60B16" w:rsidP="00A60B16"/>
    <w:p w14:paraId="1251DA90" w14:textId="77777777" w:rsidR="00A60B16" w:rsidRPr="00A60B16" w:rsidRDefault="00A60B16" w:rsidP="00A60B16"/>
    <w:p w14:paraId="02061B94" w14:textId="77777777" w:rsidR="00A60B16" w:rsidRPr="00A60B16" w:rsidRDefault="00A60B16" w:rsidP="00A60B16"/>
    <w:p w14:paraId="612FD437" w14:textId="77777777" w:rsidR="00A60B16" w:rsidRPr="00A60B16" w:rsidRDefault="00A60B16" w:rsidP="00A60B16"/>
    <w:p w14:paraId="5EBE2889" w14:textId="77777777" w:rsidR="00A60B16" w:rsidRPr="00A60B16" w:rsidRDefault="00A60B16" w:rsidP="00A60B16"/>
    <w:p w14:paraId="0B7CB776" w14:textId="77777777" w:rsidR="00A60B16" w:rsidRPr="00A60B16" w:rsidRDefault="00A60B16" w:rsidP="00A60B16"/>
    <w:p w14:paraId="17351BF9" w14:textId="77777777" w:rsidR="00A60B16" w:rsidRPr="00A60B16" w:rsidRDefault="00A60B16" w:rsidP="00A60B16"/>
    <w:p w14:paraId="7DA25325" w14:textId="77777777" w:rsidR="00A60B16" w:rsidRPr="00A60B16" w:rsidRDefault="00A60B16" w:rsidP="00A60B16"/>
    <w:p w14:paraId="19E239D4" w14:textId="77777777" w:rsidR="00A60B16" w:rsidRPr="00A60B16" w:rsidRDefault="00A60B16" w:rsidP="00A60B16"/>
    <w:p w14:paraId="75490439" w14:textId="77777777" w:rsidR="00A60B16" w:rsidRPr="00A60B16" w:rsidRDefault="00A60B16" w:rsidP="00A60B16"/>
    <w:p w14:paraId="1C5CFE20" w14:textId="77777777" w:rsidR="00A60B16" w:rsidRPr="00A60B16" w:rsidRDefault="00A60B16" w:rsidP="00A60B16"/>
    <w:p w14:paraId="784AE28E" w14:textId="77777777" w:rsidR="00A60B16" w:rsidRPr="00A60B16" w:rsidRDefault="00A60B16" w:rsidP="00A60B16"/>
    <w:p w14:paraId="632DDDD3" w14:textId="77777777" w:rsidR="00A60B16" w:rsidRPr="00A60B16" w:rsidRDefault="00A60B16" w:rsidP="00A60B16"/>
    <w:p w14:paraId="3636A2EC" w14:textId="77777777" w:rsidR="00A60B16" w:rsidRPr="00A60B16" w:rsidRDefault="00A60B16" w:rsidP="00A60B16"/>
    <w:p w14:paraId="69587A2D" w14:textId="77777777" w:rsidR="00A60B16" w:rsidRDefault="00A60B16" w:rsidP="00A60B16"/>
    <w:p w14:paraId="686F507D" w14:textId="69116B8E" w:rsidR="00A60B16" w:rsidRDefault="00A60B16" w:rsidP="00A60B16">
      <w:pPr>
        <w:pStyle w:val="Heading2"/>
      </w:pPr>
      <w:bookmarkStart w:id="17" w:name="_Toc235976442"/>
      <w:r w:rsidRPr="00A60B16">
        <w:lastRenderedPageBreak/>
        <w:t>Organisational Chart for the Information Security Unit</w:t>
      </w:r>
      <w:bookmarkEnd w:id="17"/>
    </w:p>
    <w:p w14:paraId="4620FCD8" w14:textId="7948AA59" w:rsidR="00A60B16" w:rsidRDefault="00A60B16" w:rsidP="00A60B16">
      <w:r>
        <w:rPr>
          <w:noProof/>
        </w:rPr>
        <mc:AlternateContent>
          <mc:Choice Requires="wps">
            <w:drawing>
              <wp:anchor distT="0" distB="0" distL="114300" distR="114300" simplePos="0" relativeHeight="251673600" behindDoc="1" locked="0" layoutInCell="1" allowOverlap="1" wp14:anchorId="73BC043A" wp14:editId="724D7993">
                <wp:simplePos x="0" y="0"/>
                <wp:positionH relativeFrom="column">
                  <wp:posOffset>1228725</wp:posOffset>
                </wp:positionH>
                <wp:positionV relativeFrom="paragraph">
                  <wp:posOffset>137795</wp:posOffset>
                </wp:positionV>
                <wp:extent cx="2238375" cy="514350"/>
                <wp:effectExtent l="0" t="0" r="28575" b="19050"/>
                <wp:wrapTight wrapText="bothSides">
                  <wp:wrapPolygon edited="0">
                    <wp:start x="0" y="0"/>
                    <wp:lineTo x="0" y="21600"/>
                    <wp:lineTo x="21692" y="21600"/>
                    <wp:lineTo x="21692" y="0"/>
                    <wp:lineTo x="0" y="0"/>
                  </wp:wrapPolygon>
                </wp:wrapTight>
                <wp:docPr id="68760807" name="Text Box 10"/>
                <wp:cNvGraphicFramePr/>
                <a:graphic xmlns:a="http://schemas.openxmlformats.org/drawingml/2006/main">
                  <a:graphicData uri="http://schemas.microsoft.com/office/word/2010/wordprocessingShape">
                    <wps:wsp>
                      <wps:cNvSpPr txBox="1"/>
                      <wps:spPr>
                        <a:xfrm>
                          <a:off x="0" y="0"/>
                          <a:ext cx="2238375" cy="514350"/>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3329B733" w14:textId="342DF494" w:rsidR="00A60B16" w:rsidRDefault="00A60B16">
                            <w:r>
                              <w:t xml:space="preserve">                            CISO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BC043A" id="Text Box 10" o:spid="_x0000_s1036" type="#_x0000_t202" style="position:absolute;margin-left:96.75pt;margin-top:10.85pt;width:176.25pt;height:4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" fillcolor="#156082 [3204]" strokecolor="#030e13 [484]" strokeweight="1pt">
                <v:textbox>
                  <w:txbxContent>
                    <w:p w14:paraId="3329B733" w14:textId="342DF494" w:rsidR="00A60B16" w:rsidRDefault="00A60B16">
                      <w:r>
                        <w:t xml:space="preserve">                            CISO</w:t>
                      </w:r>
                    </w:p>
                  </w:txbxContent>
                </v:textbox>
                <w10:wrap type="tight"/>
              </v:shape>
            </w:pict>
          </mc:Fallback>
        </mc:AlternateContent>
      </w:r>
      <w:r>
        <w:rPr>
          <w:noProof/>
        </w:rPr>
        <mc:AlternateContent>
          <mc:Choice Requires="wps">
            <w:drawing>
              <wp:anchor distT="0" distB="0" distL="114300" distR="114300" simplePos="0" relativeHeight="251672576" behindDoc="0" locked="0" layoutInCell="1" allowOverlap="1" wp14:anchorId="17E5388B" wp14:editId="14564D17">
                <wp:simplePos x="0" y="0"/>
                <wp:positionH relativeFrom="column">
                  <wp:posOffset>1219200</wp:posOffset>
                </wp:positionH>
                <wp:positionV relativeFrom="paragraph">
                  <wp:posOffset>118745</wp:posOffset>
                </wp:positionV>
                <wp:extent cx="2257425" cy="533400"/>
                <wp:effectExtent l="0" t="0" r="28575" b="19050"/>
                <wp:wrapNone/>
                <wp:docPr id="1815741080" name="Rectangle 9"/>
                <wp:cNvGraphicFramePr/>
                <a:graphic xmlns:a="http://schemas.openxmlformats.org/drawingml/2006/main">
                  <a:graphicData uri="http://schemas.microsoft.com/office/word/2010/wordprocessingShape">
                    <wps:wsp>
                      <wps:cNvSpPr/>
                      <wps:spPr>
                        <a:xfrm>
                          <a:off x="0" y="0"/>
                          <a:ext cx="2257425" cy="533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72A2E5" id="Rectangle 9" o:spid="_x0000_s1026" style="position:absolute;margin-left:96pt;margin-top:9.35pt;width:177.75pt;height:4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" fillcolor="#156082 [3204]" strokecolor="#030e13 [484]" strokeweight="1pt"/>
            </w:pict>
          </mc:Fallback>
        </mc:AlternateContent>
      </w:r>
    </w:p>
    <w:p w14:paraId="21687E1C" w14:textId="56D5750F" w:rsidR="00A60B16" w:rsidRDefault="00AA59D5" w:rsidP="00A60B16">
      <w:r>
        <w:rPr>
          <w:noProof/>
        </w:rPr>
        <mc:AlternateContent>
          <mc:Choice Requires="wps">
            <w:drawing>
              <wp:anchor distT="0" distB="0" distL="114300" distR="114300" simplePos="0" relativeHeight="251689984" behindDoc="0" locked="0" layoutInCell="1" allowOverlap="1" wp14:anchorId="0EAA0EA8" wp14:editId="7170DAA2">
                <wp:simplePos x="0" y="0"/>
                <wp:positionH relativeFrom="column">
                  <wp:posOffset>-485775</wp:posOffset>
                </wp:positionH>
                <wp:positionV relativeFrom="paragraph">
                  <wp:posOffset>1983105</wp:posOffset>
                </wp:positionV>
                <wp:extent cx="1438275" cy="533400"/>
                <wp:effectExtent l="0" t="0" r="28575" b="19050"/>
                <wp:wrapNone/>
                <wp:docPr id="1613595172" name="Text Box 28"/>
                <wp:cNvGraphicFramePr/>
                <a:graphic xmlns:a="http://schemas.openxmlformats.org/drawingml/2006/main">
                  <a:graphicData uri="http://schemas.microsoft.com/office/word/2010/wordprocessingShape">
                    <wps:wsp>
                      <wps:cNvSpPr txBox="1"/>
                      <wps:spPr>
                        <a:xfrm>
                          <a:off x="0" y="0"/>
                          <a:ext cx="1438275" cy="533400"/>
                        </a:xfrm>
                        <a:prstGeom prst="rect">
                          <a:avLst/>
                        </a:prstGeom>
                        <a:solidFill>
                          <a:schemeClr val="lt1"/>
                        </a:solidFill>
                        <a:ln w="6350">
                          <a:solidFill>
                            <a:prstClr val="black"/>
                          </a:solidFill>
                        </a:ln>
                      </wps:spPr>
                      <wps:txbx>
                        <w:txbxContent>
                          <w:p w14:paraId="0BBED547" w14:textId="5FE97399" w:rsidR="00AA59D5" w:rsidRDefault="00AA59D5">
                            <w:r>
                              <w:t>Data Pro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AA0EA8" id="Text Box 28" o:spid="_x0000_s1037" type="#_x0000_t202" style="position:absolute;margin-left:-38.25pt;margin-top:156.15pt;width:113.25pt;height:42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" fillcolor="white [3201]" strokeweight=".5pt">
                <v:textbox>
                  <w:txbxContent>
                    <w:p w14:paraId="0BBED547" w14:textId="5FE97399" w:rsidR="00AA59D5" w:rsidRDefault="00AA59D5">
                      <w:r>
                        <w:t>Data Pro</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0DB0871E" wp14:editId="10EDB906">
                <wp:simplePos x="0" y="0"/>
                <wp:positionH relativeFrom="column">
                  <wp:posOffset>2324100</wp:posOffset>
                </wp:positionH>
                <wp:positionV relativeFrom="paragraph">
                  <wp:posOffset>1487805</wp:posOffset>
                </wp:positionV>
                <wp:extent cx="9525" cy="419100"/>
                <wp:effectExtent l="38100" t="0" r="66675" b="57150"/>
                <wp:wrapNone/>
                <wp:docPr id="1336827787" name="Straight Arrow Connector 27"/>
                <wp:cNvGraphicFramePr/>
                <a:graphic xmlns:a="http://schemas.openxmlformats.org/drawingml/2006/main">
                  <a:graphicData uri="http://schemas.microsoft.com/office/word/2010/wordprocessingShape">
                    <wps:wsp>
                      <wps:cNvCnPr/>
                      <wps:spPr>
                        <a:xfrm>
                          <a:off x="0" y="0"/>
                          <a:ext cx="95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BF948A" id="Straight Arrow Connector 27" o:spid="_x0000_s1026" type="#_x0000_t32" style="position:absolute;margin-left:183pt;margin-top:117.15pt;width:.75pt;height:3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0F60B226" wp14:editId="4B877744">
                <wp:simplePos x="0" y="0"/>
                <wp:positionH relativeFrom="column">
                  <wp:posOffset>1818640</wp:posOffset>
                </wp:positionH>
                <wp:positionV relativeFrom="paragraph">
                  <wp:posOffset>1954530</wp:posOffset>
                </wp:positionV>
                <wp:extent cx="1171575" cy="485775"/>
                <wp:effectExtent l="0" t="0" r="28575" b="28575"/>
                <wp:wrapNone/>
                <wp:docPr id="622140760" name="Text Box 25"/>
                <wp:cNvGraphicFramePr/>
                <a:graphic xmlns:a="http://schemas.openxmlformats.org/drawingml/2006/main">
                  <a:graphicData uri="http://schemas.microsoft.com/office/word/2010/wordprocessingShape">
                    <wps:wsp>
                      <wps:cNvSpPr txBox="1"/>
                      <wps:spPr>
                        <a:xfrm>
                          <a:off x="0" y="0"/>
                          <a:ext cx="1171575" cy="485775"/>
                        </a:xfrm>
                        <a:prstGeom prst="rect">
                          <a:avLst/>
                        </a:prstGeom>
                        <a:solidFill>
                          <a:schemeClr val="lt1"/>
                        </a:solidFill>
                        <a:ln w="6350">
                          <a:solidFill>
                            <a:prstClr val="black"/>
                          </a:solidFill>
                        </a:ln>
                      </wps:spPr>
                      <wps:txbx>
                        <w:txbxContent>
                          <w:p w14:paraId="6FBE4133" w14:textId="03397B4D" w:rsidR="00AA59D5" w:rsidRDefault="00AA59D5">
                            <w:r>
                              <w:t>AI Security Specialist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60B226" id="Text Box 25" o:spid="_x0000_s1038" type="#_x0000_t202" style="position:absolute;margin-left:143.2pt;margin-top:153.9pt;width:92.25pt;height:38.2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" fillcolor="white [3201]" strokeweight=".5pt">
                <v:textbox>
                  <w:txbxContent>
                    <w:p w14:paraId="6FBE4133" w14:textId="03397B4D" w:rsidR="00AA59D5" w:rsidRDefault="00AA59D5">
                      <w:r>
                        <w:t>AI Security Specialist</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11E49544" wp14:editId="1393E449">
                <wp:simplePos x="0" y="0"/>
                <wp:positionH relativeFrom="margin">
                  <wp:align>right</wp:align>
                </wp:positionH>
                <wp:positionV relativeFrom="paragraph">
                  <wp:posOffset>1945005</wp:posOffset>
                </wp:positionV>
                <wp:extent cx="1323975" cy="523875"/>
                <wp:effectExtent l="0" t="0" r="28575" b="28575"/>
                <wp:wrapNone/>
                <wp:docPr id="1889577638" name="Text Box 26"/>
                <wp:cNvGraphicFramePr/>
                <a:graphic xmlns:a="http://schemas.openxmlformats.org/drawingml/2006/main">
                  <a:graphicData uri="http://schemas.microsoft.com/office/word/2010/wordprocessingShape">
                    <wps:wsp>
                      <wps:cNvSpPr txBox="1"/>
                      <wps:spPr>
                        <a:xfrm>
                          <a:off x="0" y="0"/>
                          <a:ext cx="1323975" cy="523875"/>
                        </a:xfrm>
                        <a:prstGeom prst="rect">
                          <a:avLst/>
                        </a:prstGeom>
                        <a:solidFill>
                          <a:schemeClr val="lt1"/>
                        </a:solidFill>
                        <a:ln w="6350">
                          <a:solidFill>
                            <a:prstClr val="black"/>
                          </a:solidFill>
                        </a:ln>
                      </wps:spPr>
                      <wps:txbx>
                        <w:txbxContent>
                          <w:p w14:paraId="299926A5" w14:textId="6F905117" w:rsidR="00AA59D5" w:rsidRDefault="00AA59D5">
                            <w:r>
                              <w:t>Third-Party Risk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49544" id="Text Box 26" o:spid="_x0000_s1039" type="#_x0000_t202" style="position:absolute;margin-left:53.05pt;margin-top:153.15pt;width:104.25pt;height:41.25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" fillcolor="white [3201]" strokeweight=".5pt">
                <v:textbox>
                  <w:txbxContent>
                    <w:p w14:paraId="299926A5" w14:textId="6F905117" w:rsidR="00AA59D5" w:rsidRDefault="00AA59D5">
                      <w:r>
                        <w:t>Third-Party Risk Manager</w:t>
                      </w:r>
                    </w:p>
                  </w:txbxContent>
                </v:textbox>
                <w10:wrap anchorx="margin"/>
              </v:shape>
            </w:pict>
          </mc:Fallback>
        </mc:AlternateContent>
      </w:r>
      <w:r>
        <w:rPr>
          <w:noProof/>
        </w:rPr>
        <mc:AlternateContent>
          <mc:Choice Requires="wps">
            <w:drawing>
              <wp:anchor distT="0" distB="0" distL="114300" distR="114300" simplePos="0" relativeHeight="251685888" behindDoc="0" locked="0" layoutInCell="1" allowOverlap="1" wp14:anchorId="30985DC5" wp14:editId="6AD16AE7">
                <wp:simplePos x="0" y="0"/>
                <wp:positionH relativeFrom="column">
                  <wp:posOffset>5010150</wp:posOffset>
                </wp:positionH>
                <wp:positionV relativeFrom="paragraph">
                  <wp:posOffset>1716405</wp:posOffset>
                </wp:positionV>
                <wp:extent cx="19050" cy="238125"/>
                <wp:effectExtent l="57150" t="0" r="57150" b="47625"/>
                <wp:wrapNone/>
                <wp:docPr id="624543629" name="Straight Arrow Connector 24"/>
                <wp:cNvGraphicFramePr/>
                <a:graphic xmlns:a="http://schemas.openxmlformats.org/drawingml/2006/main">
                  <a:graphicData uri="http://schemas.microsoft.com/office/word/2010/wordprocessingShape">
                    <wps:wsp>
                      <wps:cNvCnPr/>
                      <wps:spPr>
                        <a:xfrm>
                          <a:off x="0" y="0"/>
                          <a:ext cx="19050"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C10127" id="Straight Arrow Connector 24" o:spid="_x0000_s1026" type="#_x0000_t32" style="position:absolute;margin-left:394.5pt;margin-top:135.15pt;width:1.5pt;height:18.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5241964A" wp14:editId="53EDC5B0">
                <wp:simplePos x="0" y="0"/>
                <wp:positionH relativeFrom="column">
                  <wp:posOffset>161925</wp:posOffset>
                </wp:positionH>
                <wp:positionV relativeFrom="paragraph">
                  <wp:posOffset>1697355</wp:posOffset>
                </wp:positionV>
                <wp:extent cx="0" cy="266700"/>
                <wp:effectExtent l="76200" t="0" r="57150" b="57150"/>
                <wp:wrapNone/>
                <wp:docPr id="343228222" name="Straight Arrow Connector 22"/>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5FCB69" id="Straight Arrow Connector 22" o:spid="_x0000_s1026" type="#_x0000_t32" style="position:absolute;margin-left:12.75pt;margin-top:133.65pt;width:0;height:21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" strokecolor="#156082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2BE05209" wp14:editId="22234D59">
                <wp:simplePos x="0" y="0"/>
                <wp:positionH relativeFrom="column">
                  <wp:posOffset>152400</wp:posOffset>
                </wp:positionH>
                <wp:positionV relativeFrom="paragraph">
                  <wp:posOffset>1678305</wp:posOffset>
                </wp:positionV>
                <wp:extent cx="4857750" cy="9525"/>
                <wp:effectExtent l="0" t="0" r="19050" b="28575"/>
                <wp:wrapNone/>
                <wp:docPr id="1870458656" name="Straight Connector 21"/>
                <wp:cNvGraphicFramePr/>
                <a:graphic xmlns:a="http://schemas.openxmlformats.org/drawingml/2006/main">
                  <a:graphicData uri="http://schemas.microsoft.com/office/word/2010/wordprocessingShape">
                    <wps:wsp>
                      <wps:cNvCnPr/>
                      <wps:spPr>
                        <a:xfrm>
                          <a:off x="0" y="0"/>
                          <a:ext cx="48577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6DF85C" id="Straight Connector 21"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132.15pt" to="394.5pt,13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" strokecolor="#156082 [3204]" strokeweight=".5pt">
                <v:stroke joinstyle="miter"/>
              </v:line>
            </w:pict>
          </mc:Fallback>
        </mc:AlternateContent>
      </w:r>
      <w:r w:rsidR="00A60B16">
        <w:rPr>
          <w:noProof/>
        </w:rPr>
        <mc:AlternateContent>
          <mc:Choice Requires="wps">
            <w:drawing>
              <wp:anchor distT="0" distB="0" distL="114300" distR="114300" simplePos="0" relativeHeight="251681792" behindDoc="0" locked="0" layoutInCell="1" allowOverlap="1" wp14:anchorId="33CC0FBE" wp14:editId="58F2E9C9">
                <wp:simplePos x="0" y="0"/>
                <wp:positionH relativeFrom="column">
                  <wp:posOffset>1819275</wp:posOffset>
                </wp:positionH>
                <wp:positionV relativeFrom="paragraph">
                  <wp:posOffset>811530</wp:posOffset>
                </wp:positionV>
                <wp:extent cx="1085850" cy="533400"/>
                <wp:effectExtent l="0" t="0" r="19050" b="19050"/>
                <wp:wrapNone/>
                <wp:docPr id="860872195" name="Text Box 18"/>
                <wp:cNvGraphicFramePr/>
                <a:graphic xmlns:a="http://schemas.openxmlformats.org/drawingml/2006/main">
                  <a:graphicData uri="http://schemas.microsoft.com/office/word/2010/wordprocessingShape">
                    <wps:wsp>
                      <wps:cNvSpPr txBox="1"/>
                      <wps:spPr>
                        <a:xfrm>
                          <a:off x="0" y="0"/>
                          <a:ext cx="1085850" cy="533400"/>
                        </a:xfrm>
                        <a:prstGeom prst="rect">
                          <a:avLst/>
                        </a:prstGeom>
                        <a:solidFill>
                          <a:schemeClr val="lt1"/>
                        </a:solidFill>
                        <a:ln w="6350">
                          <a:solidFill>
                            <a:prstClr val="black"/>
                          </a:solidFill>
                        </a:ln>
                      </wps:spPr>
                      <wps:txbx>
                        <w:txbxContent>
                          <w:p w14:paraId="61F168D4" w14:textId="0B88D447" w:rsidR="00A60B16" w:rsidRDefault="00A60B16">
                            <w:proofErr w:type="spellStart"/>
                            <w:r>
                              <w:t>DevSecOps</w:t>
                            </w:r>
                            <w:proofErr w:type="spellEnd"/>
                            <w:r>
                              <w:t xml:space="preserve"> Engineer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CC0FBE" id="Text Box 18" o:spid="_x0000_s1040" type="#_x0000_t202" style="position:absolute;margin-left:143.25pt;margin-top:63.9pt;width:85.5pt;height:4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" fillcolor="white [3201]" strokeweight=".5pt">
                <v:textbox>
                  <w:txbxContent>
                    <w:p w14:paraId="61F168D4" w14:textId="0B88D447" w:rsidR="00A60B16" w:rsidRDefault="00A60B16">
                      <w:proofErr w:type="spellStart"/>
                      <w:r>
                        <w:t>DevSecOps</w:t>
                      </w:r>
                      <w:proofErr w:type="spellEnd"/>
                      <w:r>
                        <w:t xml:space="preserve"> Engineer</w:t>
                      </w:r>
                    </w:p>
                  </w:txbxContent>
                </v:textbox>
              </v:shape>
            </w:pict>
          </mc:Fallback>
        </mc:AlternateContent>
      </w:r>
      <w:r w:rsidR="00A60B16">
        <w:rPr>
          <w:noProof/>
        </w:rPr>
        <mc:AlternateContent>
          <mc:Choice Requires="wps">
            <w:drawing>
              <wp:anchor distT="0" distB="0" distL="114300" distR="114300" simplePos="0" relativeHeight="251680768" behindDoc="0" locked="0" layoutInCell="1" allowOverlap="1" wp14:anchorId="22240233" wp14:editId="4927D07D">
                <wp:simplePos x="0" y="0"/>
                <wp:positionH relativeFrom="column">
                  <wp:posOffset>3819525</wp:posOffset>
                </wp:positionH>
                <wp:positionV relativeFrom="paragraph">
                  <wp:posOffset>582930</wp:posOffset>
                </wp:positionV>
                <wp:extent cx="952500" cy="390525"/>
                <wp:effectExtent l="0" t="0" r="19050" b="28575"/>
                <wp:wrapNone/>
                <wp:docPr id="1775141367" name="Text Box 17"/>
                <wp:cNvGraphicFramePr/>
                <a:graphic xmlns:a="http://schemas.openxmlformats.org/drawingml/2006/main">
                  <a:graphicData uri="http://schemas.microsoft.com/office/word/2010/wordprocessingShape">
                    <wps:wsp>
                      <wps:cNvSpPr txBox="1"/>
                      <wps:spPr>
                        <a:xfrm>
                          <a:off x="0" y="0"/>
                          <a:ext cx="952500" cy="390525"/>
                        </a:xfrm>
                        <a:prstGeom prst="rect">
                          <a:avLst/>
                        </a:prstGeom>
                        <a:solidFill>
                          <a:schemeClr val="lt1"/>
                        </a:solidFill>
                        <a:ln w="6350">
                          <a:solidFill>
                            <a:prstClr val="black"/>
                          </a:solidFill>
                        </a:ln>
                      </wps:spPr>
                      <wps:txbx>
                        <w:txbxContent>
                          <w:p w14:paraId="14635A0A" w14:textId="62E7138D" w:rsidR="00A60B16" w:rsidRDefault="00A60B16">
                            <w:r>
                              <w:t>SOC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40233" id="Text Box 17" o:spid="_x0000_s1041" type="#_x0000_t202" style="position:absolute;margin-left:300.75pt;margin-top:45.9pt;width:75pt;height:30.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" fillcolor="white [3201]" strokeweight=".5pt">
                <v:textbox>
                  <w:txbxContent>
                    <w:p w14:paraId="14635A0A" w14:textId="62E7138D" w:rsidR="00A60B16" w:rsidRDefault="00A60B16">
                      <w:r>
                        <w:t>SOC</w:t>
                      </w:r>
                    </w:p>
                  </w:txbxContent>
                </v:textbox>
              </v:shape>
            </w:pict>
          </mc:Fallback>
        </mc:AlternateContent>
      </w:r>
      <w:r w:rsidR="00A60B16">
        <w:rPr>
          <w:noProof/>
        </w:rPr>
        <mc:AlternateContent>
          <mc:Choice Requires="wps">
            <w:drawing>
              <wp:anchor distT="0" distB="0" distL="114300" distR="114300" simplePos="0" relativeHeight="251679744" behindDoc="0" locked="0" layoutInCell="1" allowOverlap="1" wp14:anchorId="4CDC0DD9" wp14:editId="56FD07E4">
                <wp:simplePos x="0" y="0"/>
                <wp:positionH relativeFrom="column">
                  <wp:posOffset>-400050</wp:posOffset>
                </wp:positionH>
                <wp:positionV relativeFrom="paragraph">
                  <wp:posOffset>459105</wp:posOffset>
                </wp:positionV>
                <wp:extent cx="1276350" cy="523875"/>
                <wp:effectExtent l="0" t="0" r="19050" b="28575"/>
                <wp:wrapNone/>
                <wp:docPr id="914643855" name="Text Box 16"/>
                <wp:cNvGraphicFramePr/>
                <a:graphic xmlns:a="http://schemas.openxmlformats.org/drawingml/2006/main">
                  <a:graphicData uri="http://schemas.microsoft.com/office/word/2010/wordprocessingShape">
                    <wps:wsp>
                      <wps:cNvSpPr txBox="1"/>
                      <wps:spPr>
                        <a:xfrm>
                          <a:off x="0" y="0"/>
                          <a:ext cx="1276350" cy="523875"/>
                        </a:xfrm>
                        <a:prstGeom prst="rect">
                          <a:avLst/>
                        </a:prstGeom>
                        <a:solidFill>
                          <a:schemeClr val="lt1"/>
                        </a:solidFill>
                        <a:ln w="6350">
                          <a:solidFill>
                            <a:prstClr val="black"/>
                          </a:solidFill>
                        </a:ln>
                      </wps:spPr>
                      <wps:txbx>
                        <w:txbxContent>
                          <w:p w14:paraId="07E97182" w14:textId="33F6E1CB" w:rsidR="00A60B16" w:rsidRDefault="00A60B16">
                            <w:r>
                              <w:t>Cloud Security Architect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DC0DD9" id="Text Box 16" o:spid="_x0000_s1042" type="#_x0000_t202" style="position:absolute;margin-left:-31.5pt;margin-top:36.15pt;width:100.5pt;height:41.2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" fillcolor="white [3201]" strokeweight=".5pt">
                <v:textbox>
                  <w:txbxContent>
                    <w:p w14:paraId="07E97182" w14:textId="33F6E1CB" w:rsidR="00A60B16" w:rsidRDefault="00A60B16">
                      <w:r>
                        <w:t>Cloud Security Architect</w:t>
                      </w:r>
                    </w:p>
                  </w:txbxContent>
                </v:textbox>
              </v:shape>
            </w:pict>
          </mc:Fallback>
        </mc:AlternateContent>
      </w:r>
      <w:r w:rsidR="00A60B16">
        <w:rPr>
          <w:noProof/>
        </w:rPr>
        <mc:AlternateContent>
          <mc:Choice Requires="wps">
            <w:drawing>
              <wp:anchor distT="0" distB="0" distL="114300" distR="114300" simplePos="0" relativeHeight="251677696" behindDoc="0" locked="0" layoutInCell="1" allowOverlap="1" wp14:anchorId="433E6936" wp14:editId="534A999B">
                <wp:simplePos x="0" y="0"/>
                <wp:positionH relativeFrom="column">
                  <wp:posOffset>3467100</wp:posOffset>
                </wp:positionH>
                <wp:positionV relativeFrom="paragraph">
                  <wp:posOffset>335280</wp:posOffset>
                </wp:positionV>
                <wp:extent cx="377825" cy="457200"/>
                <wp:effectExtent l="0" t="0" r="60325" b="95250"/>
                <wp:wrapNone/>
                <wp:docPr id="1940521834" name="Connector: Elbow 14"/>
                <wp:cNvGraphicFramePr/>
                <a:graphic xmlns:a="http://schemas.openxmlformats.org/drawingml/2006/main">
                  <a:graphicData uri="http://schemas.microsoft.com/office/word/2010/wordprocessingShape">
                    <wps:wsp>
                      <wps:cNvCnPr/>
                      <wps:spPr>
                        <a:xfrm>
                          <a:off x="0" y="0"/>
                          <a:ext cx="377825" cy="4572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1812B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26" type="#_x0000_t34" style="position:absolute;margin-left:273pt;margin-top:26.4pt;width:29.75pt;height:3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" strokecolor="#156082 [3204]" strokeweight=".5pt">
                <v:stroke endarrow="block"/>
              </v:shape>
            </w:pict>
          </mc:Fallback>
        </mc:AlternateContent>
      </w:r>
      <w:r w:rsidR="00A60B16">
        <w:rPr>
          <w:noProof/>
        </w:rPr>
        <mc:AlternateContent>
          <mc:Choice Requires="wps">
            <w:drawing>
              <wp:anchor distT="0" distB="0" distL="114300" distR="114300" simplePos="0" relativeHeight="251678720" behindDoc="0" locked="0" layoutInCell="1" allowOverlap="1" wp14:anchorId="5D7B9C58" wp14:editId="0685CA41">
                <wp:simplePos x="0" y="0"/>
                <wp:positionH relativeFrom="column">
                  <wp:posOffset>838200</wp:posOffset>
                </wp:positionH>
                <wp:positionV relativeFrom="paragraph">
                  <wp:posOffset>335280</wp:posOffset>
                </wp:positionV>
                <wp:extent cx="342900" cy="504825"/>
                <wp:effectExtent l="38100" t="0" r="19050" b="85725"/>
                <wp:wrapNone/>
                <wp:docPr id="519011943" name="Connector: Elbow 15"/>
                <wp:cNvGraphicFramePr/>
                <a:graphic xmlns:a="http://schemas.openxmlformats.org/drawingml/2006/main">
                  <a:graphicData uri="http://schemas.microsoft.com/office/word/2010/wordprocessingShape">
                    <wps:wsp>
                      <wps:cNvCnPr/>
                      <wps:spPr>
                        <a:xfrm flipH="1">
                          <a:off x="0" y="0"/>
                          <a:ext cx="342900" cy="5048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036E6C" id="Connector: Elbow 15" o:spid="_x0000_s1026" type="#_x0000_t34" style="position:absolute;margin-left:66pt;margin-top:26.4pt;width:27pt;height:39.7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" strokecolor="#156082 [3204]" strokeweight=".5pt">
                <v:stroke endarrow="block"/>
              </v:shape>
            </w:pict>
          </mc:Fallback>
        </mc:AlternateContent>
      </w:r>
      <w:r w:rsidR="00A60B16">
        <w:rPr>
          <w:noProof/>
        </w:rPr>
        <mc:AlternateContent>
          <mc:Choice Requires="wps">
            <w:drawing>
              <wp:anchor distT="0" distB="0" distL="114300" distR="114300" simplePos="0" relativeHeight="251674624" behindDoc="0" locked="0" layoutInCell="1" allowOverlap="1" wp14:anchorId="175F39D4" wp14:editId="1DBC0B27">
                <wp:simplePos x="0" y="0"/>
                <wp:positionH relativeFrom="column">
                  <wp:posOffset>2352675</wp:posOffset>
                </wp:positionH>
                <wp:positionV relativeFrom="paragraph">
                  <wp:posOffset>344805</wp:posOffset>
                </wp:positionV>
                <wp:extent cx="0" cy="485775"/>
                <wp:effectExtent l="76200" t="0" r="57150" b="47625"/>
                <wp:wrapNone/>
                <wp:docPr id="1111441423" name="Straight Arrow Connector 11"/>
                <wp:cNvGraphicFramePr/>
                <a:graphic xmlns:a="http://schemas.openxmlformats.org/drawingml/2006/main">
                  <a:graphicData uri="http://schemas.microsoft.com/office/word/2010/wordprocessingShape">
                    <wps:wsp>
                      <wps:cNvCnPr/>
                      <wps:spPr>
                        <a:xfrm>
                          <a:off x="0" y="0"/>
                          <a:ext cx="0"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52FC8C" id="Straight Arrow Connector 11" o:spid="_x0000_s1026" type="#_x0000_t32" style="position:absolute;margin-left:185.25pt;margin-top:27.15pt;width:0;height:38.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" strokecolor="#156082 [3204]" strokeweight=".5pt">
                <v:stroke endarrow="block" joinstyle="miter"/>
              </v:shape>
            </w:pict>
          </mc:Fallback>
        </mc:AlternateContent>
      </w:r>
    </w:p>
    <w:p w14:paraId="20FF6BF5" w14:textId="77777777" w:rsidR="002556C9" w:rsidRPr="002556C9" w:rsidRDefault="002556C9" w:rsidP="002556C9"/>
    <w:p w14:paraId="24E51C7E" w14:textId="77777777" w:rsidR="002556C9" w:rsidRPr="002556C9" w:rsidRDefault="002556C9" w:rsidP="002556C9"/>
    <w:p w14:paraId="277BDA15" w14:textId="77777777" w:rsidR="002556C9" w:rsidRPr="002556C9" w:rsidRDefault="002556C9" w:rsidP="002556C9"/>
    <w:p w14:paraId="6274E2BE" w14:textId="77777777" w:rsidR="002556C9" w:rsidRPr="002556C9" w:rsidRDefault="002556C9" w:rsidP="002556C9"/>
    <w:p w14:paraId="557FE37A" w14:textId="77777777" w:rsidR="002556C9" w:rsidRPr="002556C9" w:rsidRDefault="002556C9" w:rsidP="002556C9"/>
    <w:p w14:paraId="39D3E7AB" w14:textId="77777777" w:rsidR="002556C9" w:rsidRDefault="002556C9" w:rsidP="002556C9"/>
    <w:p w14:paraId="145D016E" w14:textId="402D028C" w:rsidR="002556C9" w:rsidRDefault="002556C9"/>
    <w:p w14:paraId="0F9BB279" w14:textId="116B5BAC" w:rsidR="002556C9" w:rsidRDefault="002556C9" w:rsidP="002556C9"/>
    <w:p w14:paraId="6D6FEB5C" w14:textId="77777777" w:rsidR="001A5C88" w:rsidRDefault="001A5C88" w:rsidP="002556C9"/>
    <w:p w14:paraId="4C993BF6" w14:textId="77777777" w:rsidR="001A5C88" w:rsidRDefault="001A5C88" w:rsidP="002556C9"/>
    <w:p w14:paraId="29E431A1" w14:textId="77777777" w:rsidR="001A5C88" w:rsidRDefault="001A5C88" w:rsidP="002556C9"/>
    <w:bookmarkStart w:id="18" w:name="_Toc235976443" w:displacedByCustomXml="next"/>
    <w:sdt>
      <w:sdtPr>
        <w:id w:val="1719472256"/>
        <w:docPartObj>
          <w:docPartGallery w:val="Bibliographies"/>
          <w:docPartUnique/>
        </w:docPartObj>
      </w:sdtPr>
      <w:sdtEndPr>
        <w:rPr>
          <w:rFonts w:asciiTheme="minorHAnsi" w:eastAsiaTheme="minorHAnsi" w:hAnsiTheme="minorHAnsi" w:cstheme="minorBidi"/>
          <w:color w:val="auto"/>
          <w:sz w:val="24"/>
          <w:szCs w:val="24"/>
        </w:rPr>
      </w:sdtEndPr>
      <w:sdtContent>
        <w:p w14:paraId="5767E8E5" w14:textId="0836A403" w:rsidR="001A5C88" w:rsidRDefault="001A5C88">
          <w:pPr>
            <w:pStyle w:val="Heading1"/>
          </w:pPr>
          <w:r>
            <w:t>References</w:t>
          </w:r>
          <w:bookmarkEnd w:id="18"/>
        </w:p>
        <w:sdt>
          <w:sdtPr>
            <w:id w:val="-573587230"/>
            <w:bibliography/>
          </w:sdtPr>
          <w:sdtContent>
            <w:p w14:paraId="62C698CA" w14:textId="77777777" w:rsidR="00A93C46" w:rsidRDefault="001A5C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A93C46" w14:paraId="5CF17840" w14:textId="77777777">
                <w:trPr>
                  <w:divId w:val="1656374057"/>
                  <w:tblCellSpacing w:w="15" w:type="dxa"/>
                </w:trPr>
                <w:tc>
                  <w:tcPr>
                    <w:tcW w:w="50" w:type="pct"/>
                    <w:hideMark/>
                  </w:tcPr>
                  <w:p w14:paraId="0E91FB45" w14:textId="0E11FA93" w:rsidR="00A93C46" w:rsidRDefault="00A93C46">
                    <w:pPr>
                      <w:pStyle w:val="Bibliography"/>
                      <w:rPr>
                        <w:noProof/>
                        <w:kern w:val="0"/>
                        <w14:ligatures w14:val="none"/>
                      </w:rPr>
                    </w:pPr>
                    <w:r>
                      <w:rPr>
                        <w:noProof/>
                      </w:rPr>
                      <w:t xml:space="preserve">[1] </w:t>
                    </w:r>
                  </w:p>
                </w:tc>
                <w:tc>
                  <w:tcPr>
                    <w:tcW w:w="0" w:type="auto"/>
                    <w:hideMark/>
                  </w:tcPr>
                  <w:p w14:paraId="11614DC7" w14:textId="77777777" w:rsidR="00A93C46" w:rsidRDefault="00A93C46">
                    <w:pPr>
                      <w:pStyle w:val="Bibliography"/>
                      <w:rPr>
                        <w:noProof/>
                      </w:rPr>
                    </w:pPr>
                    <w:r>
                      <w:rPr>
                        <w:noProof/>
                      </w:rPr>
                      <w:t>Gartner, “Implementing Zero Trust: Core Principles and Practical Guidance,” Gartner Research, 2023.</w:t>
                    </w:r>
                  </w:p>
                </w:tc>
              </w:tr>
              <w:tr w:rsidR="00A93C46" w14:paraId="6B5E5BCE" w14:textId="77777777">
                <w:trPr>
                  <w:divId w:val="1656374057"/>
                  <w:tblCellSpacing w:w="15" w:type="dxa"/>
                </w:trPr>
                <w:tc>
                  <w:tcPr>
                    <w:tcW w:w="50" w:type="pct"/>
                    <w:hideMark/>
                  </w:tcPr>
                  <w:p w14:paraId="369F087E" w14:textId="77777777" w:rsidR="00A93C46" w:rsidRDefault="00A93C46">
                    <w:pPr>
                      <w:pStyle w:val="Bibliography"/>
                      <w:rPr>
                        <w:noProof/>
                      </w:rPr>
                    </w:pPr>
                    <w:r>
                      <w:rPr>
                        <w:noProof/>
                      </w:rPr>
                      <w:t xml:space="preserve">[2] </w:t>
                    </w:r>
                  </w:p>
                </w:tc>
                <w:tc>
                  <w:tcPr>
                    <w:tcW w:w="0" w:type="auto"/>
                    <w:hideMark/>
                  </w:tcPr>
                  <w:p w14:paraId="0E158A11" w14:textId="77777777" w:rsidR="00A93C46" w:rsidRDefault="00A93C46">
                    <w:pPr>
                      <w:pStyle w:val="Bibliography"/>
                      <w:rPr>
                        <w:noProof/>
                      </w:rPr>
                    </w:pPr>
                    <w:r>
                      <w:rPr>
                        <w:noProof/>
                      </w:rPr>
                      <w:t xml:space="preserve">A. W. Services, </w:t>
                    </w:r>
                    <w:r>
                      <w:rPr>
                        <w:i/>
                        <w:iCs/>
                        <w:noProof/>
                      </w:rPr>
                      <w:t>AWS Well</w:t>
                    </w:r>
                    <w:r>
                      <w:rPr>
                        <w:i/>
                        <w:iCs/>
                        <w:noProof/>
                      </w:rPr>
                      <w:noBreakHyphen/>
                      <w:t xml:space="preserve">Architected Framework: Security Pillar, </w:t>
                    </w:r>
                    <w:r>
                      <w:rPr>
                        <w:noProof/>
                      </w:rPr>
                      <w:t xml:space="preserve">AWS Documentation, 2023. </w:t>
                    </w:r>
                  </w:p>
                </w:tc>
              </w:tr>
              <w:tr w:rsidR="00A93C46" w14:paraId="7AB42C0B" w14:textId="77777777">
                <w:trPr>
                  <w:divId w:val="1656374057"/>
                  <w:tblCellSpacing w:w="15" w:type="dxa"/>
                </w:trPr>
                <w:tc>
                  <w:tcPr>
                    <w:tcW w:w="50" w:type="pct"/>
                    <w:hideMark/>
                  </w:tcPr>
                  <w:p w14:paraId="1DF4DF6E" w14:textId="77777777" w:rsidR="00A93C46" w:rsidRDefault="00A93C46">
                    <w:pPr>
                      <w:pStyle w:val="Bibliography"/>
                      <w:rPr>
                        <w:noProof/>
                      </w:rPr>
                    </w:pPr>
                    <w:r>
                      <w:rPr>
                        <w:noProof/>
                      </w:rPr>
                      <w:t xml:space="preserve">[3] </w:t>
                    </w:r>
                  </w:p>
                </w:tc>
                <w:tc>
                  <w:tcPr>
                    <w:tcW w:w="0" w:type="auto"/>
                    <w:hideMark/>
                  </w:tcPr>
                  <w:p w14:paraId="562C4086" w14:textId="77777777" w:rsidR="00A93C46" w:rsidRDefault="00A93C46">
                    <w:pPr>
                      <w:pStyle w:val="Bibliography"/>
                      <w:rPr>
                        <w:noProof/>
                      </w:rPr>
                    </w:pPr>
                    <w:r>
                      <w:rPr>
                        <w:noProof/>
                      </w:rPr>
                      <w:t>ENISA, “Cloud Security Posture Management: Addressing Misconfigurations in the Cloud,” European Union Agency for Cybersecurity, Athens, 2022.</w:t>
                    </w:r>
                  </w:p>
                </w:tc>
              </w:tr>
              <w:tr w:rsidR="00A93C46" w14:paraId="26D59574" w14:textId="77777777">
                <w:trPr>
                  <w:divId w:val="1656374057"/>
                  <w:tblCellSpacing w:w="15" w:type="dxa"/>
                </w:trPr>
                <w:tc>
                  <w:tcPr>
                    <w:tcW w:w="50" w:type="pct"/>
                    <w:hideMark/>
                  </w:tcPr>
                  <w:p w14:paraId="6D0A9A41" w14:textId="77777777" w:rsidR="00A93C46" w:rsidRDefault="00A93C46">
                    <w:pPr>
                      <w:pStyle w:val="Bibliography"/>
                      <w:rPr>
                        <w:noProof/>
                      </w:rPr>
                    </w:pPr>
                    <w:r>
                      <w:rPr>
                        <w:noProof/>
                      </w:rPr>
                      <w:t xml:space="preserve">[4] </w:t>
                    </w:r>
                  </w:p>
                </w:tc>
                <w:tc>
                  <w:tcPr>
                    <w:tcW w:w="0" w:type="auto"/>
                    <w:hideMark/>
                  </w:tcPr>
                  <w:p w14:paraId="4ACC9DFB" w14:textId="77777777" w:rsidR="00A93C46" w:rsidRDefault="00A93C46">
                    <w:pPr>
                      <w:pStyle w:val="Bibliography"/>
                      <w:rPr>
                        <w:noProof/>
                      </w:rPr>
                    </w:pPr>
                    <w:r>
                      <w:rPr>
                        <w:noProof/>
                      </w:rPr>
                      <w:t>Crowdstrike, “2024 Global Threat Report,” CrowdStrike Inc, Austin, 2024.</w:t>
                    </w:r>
                  </w:p>
                </w:tc>
              </w:tr>
              <w:tr w:rsidR="00A93C46" w14:paraId="609105C8" w14:textId="77777777">
                <w:trPr>
                  <w:divId w:val="1656374057"/>
                  <w:tblCellSpacing w:w="15" w:type="dxa"/>
                </w:trPr>
                <w:tc>
                  <w:tcPr>
                    <w:tcW w:w="50" w:type="pct"/>
                    <w:hideMark/>
                  </w:tcPr>
                  <w:p w14:paraId="6AD352DD" w14:textId="77777777" w:rsidR="00A93C46" w:rsidRDefault="00A93C46">
                    <w:pPr>
                      <w:pStyle w:val="Bibliography"/>
                      <w:rPr>
                        <w:noProof/>
                      </w:rPr>
                    </w:pPr>
                    <w:r>
                      <w:rPr>
                        <w:noProof/>
                      </w:rPr>
                      <w:t xml:space="preserve">[5] </w:t>
                    </w:r>
                  </w:p>
                </w:tc>
                <w:tc>
                  <w:tcPr>
                    <w:tcW w:w="0" w:type="auto"/>
                    <w:hideMark/>
                  </w:tcPr>
                  <w:p w14:paraId="481ECC50" w14:textId="77777777" w:rsidR="00A93C46" w:rsidRDefault="00A93C46">
                    <w:pPr>
                      <w:pStyle w:val="Bibliography"/>
                      <w:rPr>
                        <w:noProof/>
                      </w:rPr>
                    </w:pPr>
                    <w:r>
                      <w:rPr>
                        <w:noProof/>
                      </w:rPr>
                      <w:t>M. A. M. a. S. Z. M. S. M. A. Al</w:t>
                    </w:r>
                    <w:r>
                      <w:rPr>
                        <w:noProof/>
                      </w:rPr>
                      <w:noBreakHyphen/>
                      <w:t xml:space="preserve">Rimy, “Ransomware threat success factors, taxonomy, and countermeasures,” </w:t>
                    </w:r>
                    <w:r>
                      <w:rPr>
                        <w:i/>
                        <w:iCs/>
                        <w:noProof/>
                      </w:rPr>
                      <w:t xml:space="preserve">Computers &amp; Security, </w:t>
                    </w:r>
                    <w:r>
                      <w:rPr>
                        <w:noProof/>
                      </w:rPr>
                      <w:t xml:space="preserve">vol. 74, pp. 144-166, 2016. </w:t>
                    </w:r>
                  </w:p>
                </w:tc>
              </w:tr>
              <w:tr w:rsidR="00A93C46" w14:paraId="3E4A6536" w14:textId="77777777">
                <w:trPr>
                  <w:divId w:val="1656374057"/>
                  <w:tblCellSpacing w:w="15" w:type="dxa"/>
                </w:trPr>
                <w:tc>
                  <w:tcPr>
                    <w:tcW w:w="50" w:type="pct"/>
                    <w:hideMark/>
                  </w:tcPr>
                  <w:p w14:paraId="3697B900" w14:textId="77777777" w:rsidR="00A93C46" w:rsidRDefault="00A93C46">
                    <w:pPr>
                      <w:pStyle w:val="Bibliography"/>
                      <w:rPr>
                        <w:noProof/>
                      </w:rPr>
                    </w:pPr>
                    <w:r>
                      <w:rPr>
                        <w:noProof/>
                      </w:rPr>
                      <w:t xml:space="preserve">[6] </w:t>
                    </w:r>
                  </w:p>
                </w:tc>
                <w:tc>
                  <w:tcPr>
                    <w:tcW w:w="0" w:type="auto"/>
                    <w:hideMark/>
                  </w:tcPr>
                  <w:p w14:paraId="75A10BB0" w14:textId="77777777" w:rsidR="00A93C46" w:rsidRDefault="00A93C46">
                    <w:pPr>
                      <w:pStyle w:val="Bibliography"/>
                      <w:rPr>
                        <w:noProof/>
                      </w:rPr>
                    </w:pPr>
                    <w:r>
                      <w:rPr>
                        <w:noProof/>
                      </w:rPr>
                      <w:t>I. S. X</w:t>
                    </w:r>
                    <w:r>
                      <w:rPr>
                        <w:noProof/>
                      </w:rPr>
                      <w:noBreakHyphen/>
                      <w:t>Force, “Threat Intelligence Index 2024,” IBM Corporation, 2024.</w:t>
                    </w:r>
                  </w:p>
                </w:tc>
              </w:tr>
              <w:tr w:rsidR="00A93C46" w14:paraId="4DC697BA" w14:textId="77777777">
                <w:trPr>
                  <w:divId w:val="1656374057"/>
                  <w:tblCellSpacing w:w="15" w:type="dxa"/>
                </w:trPr>
                <w:tc>
                  <w:tcPr>
                    <w:tcW w:w="50" w:type="pct"/>
                    <w:hideMark/>
                  </w:tcPr>
                  <w:p w14:paraId="47198F46" w14:textId="77777777" w:rsidR="00A93C46" w:rsidRDefault="00A93C46">
                    <w:pPr>
                      <w:pStyle w:val="Bibliography"/>
                      <w:rPr>
                        <w:noProof/>
                      </w:rPr>
                    </w:pPr>
                    <w:r>
                      <w:rPr>
                        <w:noProof/>
                      </w:rPr>
                      <w:lastRenderedPageBreak/>
                      <w:t xml:space="preserve">[7] </w:t>
                    </w:r>
                  </w:p>
                </w:tc>
                <w:tc>
                  <w:tcPr>
                    <w:tcW w:w="0" w:type="auto"/>
                    <w:hideMark/>
                  </w:tcPr>
                  <w:p w14:paraId="3A9A5549" w14:textId="77777777" w:rsidR="00A93C46" w:rsidRDefault="00A93C46">
                    <w:pPr>
                      <w:pStyle w:val="Bibliography"/>
                      <w:rPr>
                        <w:noProof/>
                      </w:rPr>
                    </w:pPr>
                    <w:r>
                      <w:rPr>
                        <w:noProof/>
                      </w:rPr>
                      <w:t xml:space="preserve">A. A. e. al, “A survey on advanced persistent threats,” </w:t>
                    </w:r>
                    <w:r>
                      <w:rPr>
                        <w:i/>
                        <w:iCs/>
                        <w:noProof/>
                      </w:rPr>
                      <w:t xml:space="preserve">IEEE Communications Surveys &amp; Tutorials, </w:t>
                    </w:r>
                    <w:r>
                      <w:rPr>
                        <w:noProof/>
                      </w:rPr>
                      <w:t xml:space="preserve">vol. 21, no. 2, pp. 1851-1877, 2019. </w:t>
                    </w:r>
                  </w:p>
                </w:tc>
              </w:tr>
              <w:tr w:rsidR="00A93C46" w14:paraId="3DA85F46" w14:textId="77777777">
                <w:trPr>
                  <w:divId w:val="1656374057"/>
                  <w:tblCellSpacing w:w="15" w:type="dxa"/>
                </w:trPr>
                <w:tc>
                  <w:tcPr>
                    <w:tcW w:w="50" w:type="pct"/>
                    <w:hideMark/>
                  </w:tcPr>
                  <w:p w14:paraId="56B79BFA" w14:textId="77777777" w:rsidR="00A93C46" w:rsidRDefault="00A93C46">
                    <w:pPr>
                      <w:pStyle w:val="Bibliography"/>
                      <w:rPr>
                        <w:noProof/>
                      </w:rPr>
                    </w:pPr>
                    <w:r>
                      <w:rPr>
                        <w:noProof/>
                      </w:rPr>
                      <w:t xml:space="preserve">[8] </w:t>
                    </w:r>
                  </w:p>
                </w:tc>
                <w:tc>
                  <w:tcPr>
                    <w:tcW w:w="0" w:type="auto"/>
                    <w:hideMark/>
                  </w:tcPr>
                  <w:p w14:paraId="5CE7A4C1" w14:textId="77777777" w:rsidR="00A93C46" w:rsidRDefault="00A93C46">
                    <w:pPr>
                      <w:pStyle w:val="Bibliography"/>
                      <w:rPr>
                        <w:noProof/>
                      </w:rPr>
                    </w:pPr>
                    <w:r>
                      <w:rPr>
                        <w:noProof/>
                      </w:rPr>
                      <w:t>J. Kindervag, “ No More Chewy Centers: Introducing the Zero Trust Model of Information Security,” Forrester Research, Cambridge, 2010.</w:t>
                    </w:r>
                  </w:p>
                </w:tc>
              </w:tr>
              <w:tr w:rsidR="00A93C46" w14:paraId="0F03DBC4" w14:textId="77777777">
                <w:trPr>
                  <w:divId w:val="1656374057"/>
                  <w:tblCellSpacing w:w="15" w:type="dxa"/>
                </w:trPr>
                <w:tc>
                  <w:tcPr>
                    <w:tcW w:w="50" w:type="pct"/>
                    <w:hideMark/>
                  </w:tcPr>
                  <w:p w14:paraId="7F5BCE20" w14:textId="77777777" w:rsidR="00A93C46" w:rsidRDefault="00A93C46">
                    <w:pPr>
                      <w:pStyle w:val="Bibliography"/>
                      <w:rPr>
                        <w:noProof/>
                      </w:rPr>
                    </w:pPr>
                    <w:r>
                      <w:rPr>
                        <w:noProof/>
                      </w:rPr>
                      <w:t xml:space="preserve">[9] </w:t>
                    </w:r>
                  </w:p>
                </w:tc>
                <w:tc>
                  <w:tcPr>
                    <w:tcW w:w="0" w:type="auto"/>
                    <w:hideMark/>
                  </w:tcPr>
                  <w:p w14:paraId="7FFFAFAF" w14:textId="77777777" w:rsidR="00A93C46" w:rsidRDefault="00A93C46">
                    <w:pPr>
                      <w:pStyle w:val="Bibliography"/>
                      <w:rPr>
                        <w:noProof/>
                      </w:rPr>
                    </w:pPr>
                    <w:r>
                      <w:rPr>
                        <w:noProof/>
                      </w:rPr>
                      <w:t xml:space="preserve">Microsoft, </w:t>
                    </w:r>
                    <w:r>
                      <w:rPr>
                        <w:i/>
                        <w:iCs/>
                        <w:noProof/>
                      </w:rPr>
                      <w:t xml:space="preserve">Azure Security Benchmark v3, </w:t>
                    </w:r>
                    <w:r>
                      <w:rPr>
                        <w:noProof/>
                      </w:rPr>
                      <w:t xml:space="preserve">Microsoft Corporation, 2023. </w:t>
                    </w:r>
                  </w:p>
                </w:tc>
              </w:tr>
              <w:tr w:rsidR="00A93C46" w14:paraId="3725C5EF" w14:textId="77777777">
                <w:trPr>
                  <w:divId w:val="1656374057"/>
                  <w:tblCellSpacing w:w="15" w:type="dxa"/>
                </w:trPr>
                <w:tc>
                  <w:tcPr>
                    <w:tcW w:w="50" w:type="pct"/>
                    <w:hideMark/>
                  </w:tcPr>
                  <w:p w14:paraId="2212A62D" w14:textId="77777777" w:rsidR="00A93C46" w:rsidRDefault="00A93C46">
                    <w:pPr>
                      <w:pStyle w:val="Bibliography"/>
                      <w:rPr>
                        <w:noProof/>
                      </w:rPr>
                    </w:pPr>
                    <w:r>
                      <w:rPr>
                        <w:noProof/>
                      </w:rPr>
                      <w:t xml:space="preserve">[10] </w:t>
                    </w:r>
                  </w:p>
                </w:tc>
                <w:tc>
                  <w:tcPr>
                    <w:tcW w:w="0" w:type="auto"/>
                    <w:hideMark/>
                  </w:tcPr>
                  <w:p w14:paraId="407DDA20" w14:textId="77777777" w:rsidR="00A93C46" w:rsidRDefault="00A93C46">
                    <w:pPr>
                      <w:pStyle w:val="Bibliography"/>
                      <w:rPr>
                        <w:noProof/>
                      </w:rPr>
                    </w:pPr>
                    <w:r>
                      <w:rPr>
                        <w:noProof/>
                      </w:rPr>
                      <w:t xml:space="preserve">NIST, </w:t>
                    </w:r>
                    <w:r>
                      <w:rPr>
                        <w:i/>
                        <w:iCs/>
                        <w:noProof/>
                      </w:rPr>
                      <w:t xml:space="preserve">NIST Cybersecurity Framework 2.0, </w:t>
                    </w:r>
                    <w:r>
                      <w:rPr>
                        <w:noProof/>
                      </w:rPr>
                      <w:t xml:space="preserve">National Institute of Standards and Technology, 2024. </w:t>
                    </w:r>
                  </w:p>
                </w:tc>
              </w:tr>
              <w:tr w:rsidR="00A93C46" w14:paraId="2193197B" w14:textId="77777777">
                <w:trPr>
                  <w:divId w:val="1656374057"/>
                  <w:tblCellSpacing w:w="15" w:type="dxa"/>
                </w:trPr>
                <w:tc>
                  <w:tcPr>
                    <w:tcW w:w="50" w:type="pct"/>
                    <w:hideMark/>
                  </w:tcPr>
                  <w:p w14:paraId="3F27202A" w14:textId="77777777" w:rsidR="00A93C46" w:rsidRDefault="00A93C46">
                    <w:pPr>
                      <w:pStyle w:val="Bibliography"/>
                      <w:rPr>
                        <w:noProof/>
                      </w:rPr>
                    </w:pPr>
                    <w:r>
                      <w:rPr>
                        <w:noProof/>
                      </w:rPr>
                      <w:t xml:space="preserve">[11] </w:t>
                    </w:r>
                  </w:p>
                </w:tc>
                <w:tc>
                  <w:tcPr>
                    <w:tcW w:w="0" w:type="auto"/>
                    <w:hideMark/>
                  </w:tcPr>
                  <w:p w14:paraId="5B09C9E4" w14:textId="77777777" w:rsidR="00A93C46" w:rsidRDefault="00A93C46">
                    <w:pPr>
                      <w:pStyle w:val="Bibliography"/>
                      <w:rPr>
                        <w:noProof/>
                      </w:rPr>
                    </w:pPr>
                    <w:r>
                      <w:rPr>
                        <w:noProof/>
                      </w:rPr>
                      <w:t xml:space="preserve">NIST, </w:t>
                    </w:r>
                    <w:r>
                      <w:rPr>
                        <w:i/>
                        <w:iCs/>
                        <w:noProof/>
                      </w:rPr>
                      <w:t xml:space="preserve">NIST Privacy Framework: A Tool for Improving Privacy Through Enterprise Risk Management, </w:t>
                    </w:r>
                    <w:r>
                      <w:rPr>
                        <w:noProof/>
                      </w:rPr>
                      <w:t xml:space="preserve">National Institute of Standards and Technology, 2020. </w:t>
                    </w:r>
                  </w:p>
                </w:tc>
              </w:tr>
              <w:tr w:rsidR="00A93C46" w14:paraId="11711EBA" w14:textId="77777777">
                <w:trPr>
                  <w:divId w:val="1656374057"/>
                  <w:tblCellSpacing w:w="15" w:type="dxa"/>
                </w:trPr>
                <w:tc>
                  <w:tcPr>
                    <w:tcW w:w="50" w:type="pct"/>
                    <w:hideMark/>
                  </w:tcPr>
                  <w:p w14:paraId="23453B82" w14:textId="77777777" w:rsidR="00A93C46" w:rsidRDefault="00A93C46">
                    <w:pPr>
                      <w:pStyle w:val="Bibliography"/>
                      <w:rPr>
                        <w:noProof/>
                      </w:rPr>
                    </w:pPr>
                    <w:r>
                      <w:rPr>
                        <w:noProof/>
                      </w:rPr>
                      <w:t xml:space="preserve">[12] </w:t>
                    </w:r>
                  </w:p>
                </w:tc>
                <w:tc>
                  <w:tcPr>
                    <w:tcW w:w="0" w:type="auto"/>
                    <w:hideMark/>
                  </w:tcPr>
                  <w:p w14:paraId="3208AA11" w14:textId="77777777" w:rsidR="00A93C46" w:rsidRDefault="00A93C46">
                    <w:pPr>
                      <w:pStyle w:val="Bibliography"/>
                      <w:rPr>
                        <w:noProof/>
                      </w:rPr>
                    </w:pPr>
                    <w:r>
                      <w:rPr>
                        <w:noProof/>
                      </w:rPr>
                      <w:t xml:space="preserve">ISO, </w:t>
                    </w:r>
                    <w:r>
                      <w:rPr>
                        <w:i/>
                        <w:iCs/>
                        <w:noProof/>
                      </w:rPr>
                      <w:t xml:space="preserve">ISO/IEC 27001: Information Security Management Systems Requirements, </w:t>
                    </w:r>
                    <w:r>
                      <w:rPr>
                        <w:noProof/>
                      </w:rPr>
                      <w:t xml:space="preserve">International Organization for Standardization, 2022. </w:t>
                    </w:r>
                  </w:p>
                </w:tc>
              </w:tr>
              <w:tr w:rsidR="00A93C46" w14:paraId="26FB4A89" w14:textId="77777777">
                <w:trPr>
                  <w:divId w:val="1656374057"/>
                  <w:tblCellSpacing w:w="15" w:type="dxa"/>
                </w:trPr>
                <w:tc>
                  <w:tcPr>
                    <w:tcW w:w="50" w:type="pct"/>
                    <w:hideMark/>
                  </w:tcPr>
                  <w:p w14:paraId="3BB48329" w14:textId="77777777" w:rsidR="00A93C46" w:rsidRDefault="00A93C46">
                    <w:pPr>
                      <w:pStyle w:val="Bibliography"/>
                      <w:rPr>
                        <w:noProof/>
                      </w:rPr>
                    </w:pPr>
                    <w:r>
                      <w:rPr>
                        <w:noProof/>
                      </w:rPr>
                      <w:t xml:space="preserve">[13] </w:t>
                    </w:r>
                  </w:p>
                </w:tc>
                <w:tc>
                  <w:tcPr>
                    <w:tcW w:w="0" w:type="auto"/>
                    <w:hideMark/>
                  </w:tcPr>
                  <w:p w14:paraId="1718A193" w14:textId="77777777" w:rsidR="00A93C46" w:rsidRDefault="00A93C46">
                    <w:pPr>
                      <w:pStyle w:val="Bibliography"/>
                      <w:rPr>
                        <w:noProof/>
                      </w:rPr>
                    </w:pPr>
                    <w:r>
                      <w:rPr>
                        <w:noProof/>
                      </w:rPr>
                      <w:t xml:space="preserve">M. Corporation, </w:t>
                    </w:r>
                    <w:r>
                      <w:rPr>
                        <w:i/>
                        <w:iCs/>
                        <w:noProof/>
                      </w:rPr>
                      <w:t xml:space="preserve">MITRE ATT&amp;CK Cloud Matrix, </w:t>
                    </w:r>
                    <w:r>
                      <w:rPr>
                        <w:noProof/>
                      </w:rPr>
                      <w:t xml:space="preserve">MITRE, 2023. </w:t>
                    </w:r>
                  </w:p>
                </w:tc>
              </w:tr>
              <w:tr w:rsidR="00A93C46" w14:paraId="2C6A1D7C" w14:textId="77777777">
                <w:trPr>
                  <w:divId w:val="1656374057"/>
                  <w:tblCellSpacing w:w="15" w:type="dxa"/>
                </w:trPr>
                <w:tc>
                  <w:tcPr>
                    <w:tcW w:w="50" w:type="pct"/>
                    <w:hideMark/>
                  </w:tcPr>
                  <w:p w14:paraId="11674436" w14:textId="77777777" w:rsidR="00A93C46" w:rsidRDefault="00A93C46">
                    <w:pPr>
                      <w:pStyle w:val="Bibliography"/>
                      <w:rPr>
                        <w:noProof/>
                      </w:rPr>
                    </w:pPr>
                    <w:r>
                      <w:rPr>
                        <w:noProof/>
                      </w:rPr>
                      <w:t xml:space="preserve">[14] </w:t>
                    </w:r>
                  </w:p>
                </w:tc>
                <w:tc>
                  <w:tcPr>
                    <w:tcW w:w="0" w:type="auto"/>
                    <w:hideMark/>
                  </w:tcPr>
                  <w:p w14:paraId="41B0884F" w14:textId="77777777" w:rsidR="00A93C46" w:rsidRDefault="00A93C46">
                    <w:pPr>
                      <w:pStyle w:val="Bibliography"/>
                      <w:rPr>
                        <w:noProof/>
                      </w:rPr>
                    </w:pPr>
                    <w:r>
                      <w:rPr>
                        <w:noProof/>
                      </w:rPr>
                      <w:t>ENISA, “Cybersecurity in the Supply Chain: Threats and Best Practices,” European Union Agency for Cybersecurity, Athens, 2021.</w:t>
                    </w:r>
                  </w:p>
                </w:tc>
              </w:tr>
              <w:tr w:rsidR="00A93C46" w14:paraId="22D633C1" w14:textId="77777777">
                <w:trPr>
                  <w:divId w:val="1656374057"/>
                  <w:tblCellSpacing w:w="15" w:type="dxa"/>
                </w:trPr>
                <w:tc>
                  <w:tcPr>
                    <w:tcW w:w="50" w:type="pct"/>
                    <w:hideMark/>
                  </w:tcPr>
                  <w:p w14:paraId="7DF9EF44" w14:textId="77777777" w:rsidR="00A93C46" w:rsidRDefault="00A93C46">
                    <w:pPr>
                      <w:pStyle w:val="Bibliography"/>
                      <w:rPr>
                        <w:noProof/>
                      </w:rPr>
                    </w:pPr>
                    <w:r>
                      <w:rPr>
                        <w:noProof/>
                      </w:rPr>
                      <w:t xml:space="preserve">[15] </w:t>
                    </w:r>
                  </w:p>
                </w:tc>
                <w:tc>
                  <w:tcPr>
                    <w:tcW w:w="0" w:type="auto"/>
                    <w:hideMark/>
                  </w:tcPr>
                  <w:p w14:paraId="785D0002" w14:textId="77777777" w:rsidR="00A93C46" w:rsidRDefault="00A93C46">
                    <w:pPr>
                      <w:pStyle w:val="Bibliography"/>
                      <w:rPr>
                        <w:noProof/>
                      </w:rPr>
                    </w:pPr>
                    <w:r>
                      <w:rPr>
                        <w:noProof/>
                      </w:rPr>
                      <w:t xml:space="preserve">X. C. C. L. a. D. S. Y. Liu, “Trojaning Attack on Neural Networks,” </w:t>
                    </w:r>
                    <w:r>
                      <w:rPr>
                        <w:i/>
                        <w:iCs/>
                        <w:noProof/>
                      </w:rPr>
                      <w:t xml:space="preserve">IEEE Transactions on Neural Networks and Learning Systems, </w:t>
                    </w:r>
                    <w:r>
                      <w:rPr>
                        <w:noProof/>
                      </w:rPr>
                      <w:t xml:space="preserve">vol. 31, pp. 2598-2610, 2020. </w:t>
                    </w:r>
                  </w:p>
                </w:tc>
              </w:tr>
              <w:tr w:rsidR="00A93C46" w14:paraId="1ABDD203" w14:textId="77777777">
                <w:trPr>
                  <w:divId w:val="1656374057"/>
                  <w:tblCellSpacing w:w="15" w:type="dxa"/>
                </w:trPr>
                <w:tc>
                  <w:tcPr>
                    <w:tcW w:w="50" w:type="pct"/>
                    <w:hideMark/>
                  </w:tcPr>
                  <w:p w14:paraId="0E8C43AA" w14:textId="77777777" w:rsidR="00A93C46" w:rsidRDefault="00A93C46">
                    <w:pPr>
                      <w:pStyle w:val="Bibliography"/>
                      <w:rPr>
                        <w:noProof/>
                      </w:rPr>
                    </w:pPr>
                    <w:r>
                      <w:rPr>
                        <w:noProof/>
                      </w:rPr>
                      <w:t xml:space="preserve">[16] </w:t>
                    </w:r>
                  </w:p>
                </w:tc>
                <w:tc>
                  <w:tcPr>
                    <w:tcW w:w="0" w:type="auto"/>
                    <w:hideMark/>
                  </w:tcPr>
                  <w:p w14:paraId="360C8E5A" w14:textId="77777777" w:rsidR="00A93C46" w:rsidRDefault="00A93C46">
                    <w:pPr>
                      <w:pStyle w:val="Bibliography"/>
                      <w:rPr>
                        <w:noProof/>
                      </w:rPr>
                    </w:pPr>
                    <w:r>
                      <w:rPr>
                        <w:noProof/>
                      </w:rPr>
                      <w:t xml:space="preserve">NIST, </w:t>
                    </w:r>
                    <w:r>
                      <w:rPr>
                        <w:i/>
                        <w:iCs/>
                        <w:noProof/>
                      </w:rPr>
                      <w:t xml:space="preserve">Zero Trust Architecture, </w:t>
                    </w:r>
                    <w:r>
                      <w:rPr>
                        <w:noProof/>
                      </w:rPr>
                      <w:t xml:space="preserve">National Institute of Standards and Technology, 2020. </w:t>
                    </w:r>
                  </w:p>
                </w:tc>
              </w:tr>
            </w:tbl>
            <w:p w14:paraId="7F2E8338" w14:textId="77777777" w:rsidR="00A93C46" w:rsidRDefault="00A93C46">
              <w:pPr>
                <w:divId w:val="1656374057"/>
                <w:rPr>
                  <w:rFonts w:eastAsia="Times New Roman"/>
                  <w:noProof/>
                </w:rPr>
              </w:pPr>
            </w:p>
            <w:p w14:paraId="485E7D12" w14:textId="3713A891" w:rsidR="001A5C88" w:rsidRDefault="001A5C88">
              <w:r>
                <w:rPr>
                  <w:b/>
                  <w:bCs/>
                  <w:noProof/>
                </w:rPr>
                <w:fldChar w:fldCharType="end"/>
              </w:r>
            </w:p>
          </w:sdtContent>
        </w:sdt>
      </w:sdtContent>
    </w:sdt>
    <w:p w14:paraId="5FF033B4" w14:textId="77777777" w:rsidR="001A5C88" w:rsidRPr="002556C9" w:rsidRDefault="001A5C88" w:rsidP="002556C9"/>
    <w:sectPr w:rsidR="001A5C88" w:rsidRPr="002556C9" w:rsidSect="00F0203B">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F07E9" w14:textId="77777777" w:rsidR="002D6F00" w:rsidRDefault="002D6F00" w:rsidP="00AA59D5">
      <w:pPr>
        <w:spacing w:after="0" w:line="240" w:lineRule="auto"/>
      </w:pPr>
      <w:r>
        <w:separator/>
      </w:r>
    </w:p>
  </w:endnote>
  <w:endnote w:type="continuationSeparator" w:id="0">
    <w:p w14:paraId="01C3B100" w14:textId="77777777" w:rsidR="002D6F00" w:rsidRDefault="002D6F00" w:rsidP="00AA5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C11A1" w14:textId="77777777" w:rsidR="002D6F00" w:rsidRDefault="002D6F00" w:rsidP="00AA59D5">
      <w:pPr>
        <w:spacing w:after="0" w:line="240" w:lineRule="auto"/>
      </w:pPr>
      <w:r>
        <w:separator/>
      </w:r>
    </w:p>
  </w:footnote>
  <w:footnote w:type="continuationSeparator" w:id="0">
    <w:p w14:paraId="1B81A2B6" w14:textId="77777777" w:rsidR="002D6F00" w:rsidRDefault="002D6F00" w:rsidP="00AA59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03B"/>
    <w:rsid w:val="0002122E"/>
    <w:rsid w:val="00060153"/>
    <w:rsid w:val="00072CEC"/>
    <w:rsid w:val="00075406"/>
    <w:rsid w:val="00075EDC"/>
    <w:rsid w:val="000B19D8"/>
    <w:rsid w:val="000F2C04"/>
    <w:rsid w:val="00107A31"/>
    <w:rsid w:val="00145B36"/>
    <w:rsid w:val="0015030A"/>
    <w:rsid w:val="00177F84"/>
    <w:rsid w:val="00182DED"/>
    <w:rsid w:val="00190C6F"/>
    <w:rsid w:val="00192E37"/>
    <w:rsid w:val="001A5C88"/>
    <w:rsid w:val="001B646F"/>
    <w:rsid w:val="001B715B"/>
    <w:rsid w:val="001F15E2"/>
    <w:rsid w:val="001F3783"/>
    <w:rsid w:val="0022609E"/>
    <w:rsid w:val="00242958"/>
    <w:rsid w:val="002556C9"/>
    <w:rsid w:val="00265AFE"/>
    <w:rsid w:val="00291AEF"/>
    <w:rsid w:val="002A64EE"/>
    <w:rsid w:val="002B47CA"/>
    <w:rsid w:val="002D6F00"/>
    <w:rsid w:val="002E3FD6"/>
    <w:rsid w:val="002E491B"/>
    <w:rsid w:val="00334178"/>
    <w:rsid w:val="003403A1"/>
    <w:rsid w:val="00341889"/>
    <w:rsid w:val="003B11D4"/>
    <w:rsid w:val="003D1A24"/>
    <w:rsid w:val="00417EC9"/>
    <w:rsid w:val="00420F69"/>
    <w:rsid w:val="00430B0A"/>
    <w:rsid w:val="00434FDD"/>
    <w:rsid w:val="0047000F"/>
    <w:rsid w:val="004933BE"/>
    <w:rsid w:val="004E4608"/>
    <w:rsid w:val="00543274"/>
    <w:rsid w:val="00543A00"/>
    <w:rsid w:val="00566811"/>
    <w:rsid w:val="0056750E"/>
    <w:rsid w:val="0057275D"/>
    <w:rsid w:val="0057711D"/>
    <w:rsid w:val="005867D5"/>
    <w:rsid w:val="0059665E"/>
    <w:rsid w:val="005B6DF0"/>
    <w:rsid w:val="005F28FB"/>
    <w:rsid w:val="00602B49"/>
    <w:rsid w:val="0060503C"/>
    <w:rsid w:val="006640DB"/>
    <w:rsid w:val="006A27F0"/>
    <w:rsid w:val="006A5D1C"/>
    <w:rsid w:val="006B628A"/>
    <w:rsid w:val="00737FFC"/>
    <w:rsid w:val="00776442"/>
    <w:rsid w:val="00776BD4"/>
    <w:rsid w:val="00782818"/>
    <w:rsid w:val="00787D50"/>
    <w:rsid w:val="00791EAE"/>
    <w:rsid w:val="00793B6B"/>
    <w:rsid w:val="00795A0A"/>
    <w:rsid w:val="007B61BA"/>
    <w:rsid w:val="007C564B"/>
    <w:rsid w:val="007C746C"/>
    <w:rsid w:val="007C7EB6"/>
    <w:rsid w:val="007F0DAB"/>
    <w:rsid w:val="0081538D"/>
    <w:rsid w:val="00836D5D"/>
    <w:rsid w:val="00857EE6"/>
    <w:rsid w:val="0086240A"/>
    <w:rsid w:val="008915DF"/>
    <w:rsid w:val="00892642"/>
    <w:rsid w:val="008971DD"/>
    <w:rsid w:val="0089730C"/>
    <w:rsid w:val="00897659"/>
    <w:rsid w:val="008B188C"/>
    <w:rsid w:val="008C7B3D"/>
    <w:rsid w:val="008D031A"/>
    <w:rsid w:val="008D1FE7"/>
    <w:rsid w:val="008E2C09"/>
    <w:rsid w:val="00932C06"/>
    <w:rsid w:val="0094761C"/>
    <w:rsid w:val="009569F1"/>
    <w:rsid w:val="0096773F"/>
    <w:rsid w:val="00983518"/>
    <w:rsid w:val="009A6E5F"/>
    <w:rsid w:val="009A760C"/>
    <w:rsid w:val="009F1070"/>
    <w:rsid w:val="00A31AE5"/>
    <w:rsid w:val="00A374EA"/>
    <w:rsid w:val="00A56519"/>
    <w:rsid w:val="00A60B16"/>
    <w:rsid w:val="00A93C46"/>
    <w:rsid w:val="00AA59D5"/>
    <w:rsid w:val="00AA5D89"/>
    <w:rsid w:val="00AB45B1"/>
    <w:rsid w:val="00AF5F1D"/>
    <w:rsid w:val="00BC0F2A"/>
    <w:rsid w:val="00BD068F"/>
    <w:rsid w:val="00BF4A51"/>
    <w:rsid w:val="00BF5EAC"/>
    <w:rsid w:val="00C70F4C"/>
    <w:rsid w:val="00CB2807"/>
    <w:rsid w:val="00CC3CF4"/>
    <w:rsid w:val="00D14EFA"/>
    <w:rsid w:val="00D3340C"/>
    <w:rsid w:val="00D665E2"/>
    <w:rsid w:val="00DA215F"/>
    <w:rsid w:val="00DA38D3"/>
    <w:rsid w:val="00DC6AF9"/>
    <w:rsid w:val="00DE4545"/>
    <w:rsid w:val="00DE50B5"/>
    <w:rsid w:val="00E028A1"/>
    <w:rsid w:val="00E151D1"/>
    <w:rsid w:val="00E3517A"/>
    <w:rsid w:val="00E75A59"/>
    <w:rsid w:val="00E83B32"/>
    <w:rsid w:val="00E87369"/>
    <w:rsid w:val="00E9660C"/>
    <w:rsid w:val="00EB3E93"/>
    <w:rsid w:val="00F008DD"/>
    <w:rsid w:val="00F0203B"/>
    <w:rsid w:val="00F22BAA"/>
    <w:rsid w:val="00F63D15"/>
    <w:rsid w:val="00F94A7E"/>
    <w:rsid w:val="00FA6DE0"/>
    <w:rsid w:val="00FB2B61"/>
    <w:rsid w:val="00FB592B"/>
    <w:rsid w:val="00FB5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A211AF"/>
  <w15:chartTrackingRefBased/>
  <w15:docId w15:val="{DCEC0914-B721-432E-8957-E3D38FA8D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0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20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20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020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0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0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0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0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0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0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20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20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020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0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0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0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0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03B"/>
    <w:rPr>
      <w:rFonts w:eastAsiaTheme="majorEastAsia" w:cstheme="majorBidi"/>
      <w:color w:val="272727" w:themeColor="text1" w:themeTint="D8"/>
    </w:rPr>
  </w:style>
  <w:style w:type="paragraph" w:styleId="Title">
    <w:name w:val="Title"/>
    <w:basedOn w:val="Normal"/>
    <w:next w:val="Normal"/>
    <w:link w:val="TitleChar"/>
    <w:uiPriority w:val="10"/>
    <w:qFormat/>
    <w:rsid w:val="00F020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0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0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0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03B"/>
    <w:pPr>
      <w:spacing w:before="160"/>
      <w:jc w:val="center"/>
    </w:pPr>
    <w:rPr>
      <w:i/>
      <w:iCs/>
      <w:color w:val="404040" w:themeColor="text1" w:themeTint="BF"/>
    </w:rPr>
  </w:style>
  <w:style w:type="character" w:customStyle="1" w:styleId="QuoteChar">
    <w:name w:val="Quote Char"/>
    <w:basedOn w:val="DefaultParagraphFont"/>
    <w:link w:val="Quote"/>
    <w:uiPriority w:val="29"/>
    <w:rsid w:val="00F0203B"/>
    <w:rPr>
      <w:i/>
      <w:iCs/>
      <w:color w:val="404040" w:themeColor="text1" w:themeTint="BF"/>
    </w:rPr>
  </w:style>
  <w:style w:type="paragraph" w:styleId="ListParagraph">
    <w:name w:val="List Paragraph"/>
    <w:basedOn w:val="Normal"/>
    <w:uiPriority w:val="34"/>
    <w:qFormat/>
    <w:rsid w:val="00F0203B"/>
    <w:pPr>
      <w:ind w:left="720"/>
      <w:contextualSpacing/>
    </w:pPr>
  </w:style>
  <w:style w:type="character" w:styleId="IntenseEmphasis">
    <w:name w:val="Intense Emphasis"/>
    <w:basedOn w:val="DefaultParagraphFont"/>
    <w:uiPriority w:val="21"/>
    <w:qFormat/>
    <w:rsid w:val="00F0203B"/>
    <w:rPr>
      <w:i/>
      <w:iCs/>
      <w:color w:val="0F4761" w:themeColor="accent1" w:themeShade="BF"/>
    </w:rPr>
  </w:style>
  <w:style w:type="paragraph" w:styleId="IntenseQuote">
    <w:name w:val="Intense Quote"/>
    <w:basedOn w:val="Normal"/>
    <w:next w:val="Normal"/>
    <w:link w:val="IntenseQuoteChar"/>
    <w:uiPriority w:val="30"/>
    <w:qFormat/>
    <w:rsid w:val="00F020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03B"/>
    <w:rPr>
      <w:i/>
      <w:iCs/>
      <w:color w:val="0F4761" w:themeColor="accent1" w:themeShade="BF"/>
    </w:rPr>
  </w:style>
  <w:style w:type="character" w:styleId="IntenseReference">
    <w:name w:val="Intense Reference"/>
    <w:basedOn w:val="DefaultParagraphFont"/>
    <w:uiPriority w:val="32"/>
    <w:qFormat/>
    <w:rsid w:val="00F0203B"/>
    <w:rPr>
      <w:b/>
      <w:bCs/>
      <w:smallCaps/>
      <w:color w:val="0F4761" w:themeColor="accent1" w:themeShade="BF"/>
      <w:spacing w:val="5"/>
    </w:rPr>
  </w:style>
  <w:style w:type="paragraph" w:styleId="NoSpacing">
    <w:name w:val="No Spacing"/>
    <w:link w:val="NoSpacingChar"/>
    <w:uiPriority w:val="1"/>
    <w:qFormat/>
    <w:rsid w:val="00F0203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0203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5651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56519"/>
    <w:pPr>
      <w:spacing w:after="100"/>
    </w:pPr>
  </w:style>
  <w:style w:type="character" w:styleId="Hyperlink">
    <w:name w:val="Hyperlink"/>
    <w:basedOn w:val="DefaultParagraphFont"/>
    <w:uiPriority w:val="99"/>
    <w:unhideWhenUsed/>
    <w:rsid w:val="00A56519"/>
    <w:rPr>
      <w:color w:val="467886" w:themeColor="hyperlink"/>
      <w:u w:val="single"/>
    </w:rPr>
  </w:style>
  <w:style w:type="paragraph" w:styleId="TOC2">
    <w:name w:val="toc 2"/>
    <w:basedOn w:val="Normal"/>
    <w:next w:val="Normal"/>
    <w:autoRedefine/>
    <w:uiPriority w:val="39"/>
    <w:unhideWhenUsed/>
    <w:rsid w:val="00145B36"/>
    <w:pPr>
      <w:spacing w:after="100"/>
      <w:ind w:left="240"/>
    </w:pPr>
  </w:style>
  <w:style w:type="character" w:styleId="UnresolvedMention">
    <w:name w:val="Unresolved Mention"/>
    <w:basedOn w:val="DefaultParagraphFont"/>
    <w:uiPriority w:val="99"/>
    <w:semiHidden/>
    <w:unhideWhenUsed/>
    <w:rsid w:val="0002122E"/>
    <w:rPr>
      <w:color w:val="605E5C"/>
      <w:shd w:val="clear" w:color="auto" w:fill="E1DFDD"/>
    </w:rPr>
  </w:style>
  <w:style w:type="table" w:styleId="TableGrid">
    <w:name w:val="Table Grid"/>
    <w:basedOn w:val="TableNormal"/>
    <w:uiPriority w:val="39"/>
    <w:rsid w:val="00FB5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A59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9D5"/>
  </w:style>
  <w:style w:type="paragraph" w:styleId="Footer">
    <w:name w:val="footer"/>
    <w:basedOn w:val="Normal"/>
    <w:link w:val="FooterChar"/>
    <w:uiPriority w:val="99"/>
    <w:unhideWhenUsed/>
    <w:rsid w:val="00AA59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9D5"/>
  </w:style>
  <w:style w:type="paragraph" w:styleId="TOC3">
    <w:name w:val="toc 3"/>
    <w:basedOn w:val="Normal"/>
    <w:next w:val="Normal"/>
    <w:autoRedefine/>
    <w:uiPriority w:val="39"/>
    <w:unhideWhenUsed/>
    <w:rsid w:val="002556C9"/>
    <w:pPr>
      <w:spacing w:after="100"/>
      <w:ind w:left="480"/>
    </w:pPr>
  </w:style>
  <w:style w:type="paragraph" w:styleId="Bibliography">
    <w:name w:val="Bibliography"/>
    <w:basedOn w:val="Normal"/>
    <w:next w:val="Normal"/>
    <w:uiPriority w:val="37"/>
    <w:unhideWhenUsed/>
    <w:rsid w:val="001A5C88"/>
  </w:style>
  <w:style w:type="paragraph" w:styleId="HTMLPreformatted">
    <w:name w:val="HTML Preformatted"/>
    <w:basedOn w:val="Normal"/>
    <w:link w:val="HTMLPreformattedChar"/>
    <w:uiPriority w:val="99"/>
    <w:semiHidden/>
    <w:unhideWhenUsed/>
    <w:rsid w:val="00DA38D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A38D3"/>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6428">
      <w:bodyDiv w:val="1"/>
      <w:marLeft w:val="0"/>
      <w:marRight w:val="0"/>
      <w:marTop w:val="0"/>
      <w:marBottom w:val="0"/>
      <w:divBdr>
        <w:top w:val="none" w:sz="0" w:space="0" w:color="auto"/>
        <w:left w:val="none" w:sz="0" w:space="0" w:color="auto"/>
        <w:bottom w:val="none" w:sz="0" w:space="0" w:color="auto"/>
        <w:right w:val="none" w:sz="0" w:space="0" w:color="auto"/>
      </w:divBdr>
    </w:div>
    <w:div w:id="43526980">
      <w:bodyDiv w:val="1"/>
      <w:marLeft w:val="0"/>
      <w:marRight w:val="0"/>
      <w:marTop w:val="0"/>
      <w:marBottom w:val="0"/>
      <w:divBdr>
        <w:top w:val="none" w:sz="0" w:space="0" w:color="auto"/>
        <w:left w:val="none" w:sz="0" w:space="0" w:color="auto"/>
        <w:bottom w:val="none" w:sz="0" w:space="0" w:color="auto"/>
        <w:right w:val="none" w:sz="0" w:space="0" w:color="auto"/>
      </w:divBdr>
    </w:div>
    <w:div w:id="47609051">
      <w:bodyDiv w:val="1"/>
      <w:marLeft w:val="0"/>
      <w:marRight w:val="0"/>
      <w:marTop w:val="0"/>
      <w:marBottom w:val="0"/>
      <w:divBdr>
        <w:top w:val="none" w:sz="0" w:space="0" w:color="auto"/>
        <w:left w:val="none" w:sz="0" w:space="0" w:color="auto"/>
        <w:bottom w:val="none" w:sz="0" w:space="0" w:color="auto"/>
        <w:right w:val="none" w:sz="0" w:space="0" w:color="auto"/>
      </w:divBdr>
    </w:div>
    <w:div w:id="62681461">
      <w:bodyDiv w:val="1"/>
      <w:marLeft w:val="0"/>
      <w:marRight w:val="0"/>
      <w:marTop w:val="0"/>
      <w:marBottom w:val="0"/>
      <w:divBdr>
        <w:top w:val="none" w:sz="0" w:space="0" w:color="auto"/>
        <w:left w:val="none" w:sz="0" w:space="0" w:color="auto"/>
        <w:bottom w:val="none" w:sz="0" w:space="0" w:color="auto"/>
        <w:right w:val="none" w:sz="0" w:space="0" w:color="auto"/>
      </w:divBdr>
    </w:div>
    <w:div w:id="66853126">
      <w:bodyDiv w:val="1"/>
      <w:marLeft w:val="0"/>
      <w:marRight w:val="0"/>
      <w:marTop w:val="0"/>
      <w:marBottom w:val="0"/>
      <w:divBdr>
        <w:top w:val="none" w:sz="0" w:space="0" w:color="auto"/>
        <w:left w:val="none" w:sz="0" w:space="0" w:color="auto"/>
        <w:bottom w:val="none" w:sz="0" w:space="0" w:color="auto"/>
        <w:right w:val="none" w:sz="0" w:space="0" w:color="auto"/>
      </w:divBdr>
    </w:div>
    <w:div w:id="89546473">
      <w:bodyDiv w:val="1"/>
      <w:marLeft w:val="0"/>
      <w:marRight w:val="0"/>
      <w:marTop w:val="0"/>
      <w:marBottom w:val="0"/>
      <w:divBdr>
        <w:top w:val="none" w:sz="0" w:space="0" w:color="auto"/>
        <w:left w:val="none" w:sz="0" w:space="0" w:color="auto"/>
        <w:bottom w:val="none" w:sz="0" w:space="0" w:color="auto"/>
        <w:right w:val="none" w:sz="0" w:space="0" w:color="auto"/>
      </w:divBdr>
    </w:div>
    <w:div w:id="93944936">
      <w:bodyDiv w:val="1"/>
      <w:marLeft w:val="0"/>
      <w:marRight w:val="0"/>
      <w:marTop w:val="0"/>
      <w:marBottom w:val="0"/>
      <w:divBdr>
        <w:top w:val="none" w:sz="0" w:space="0" w:color="auto"/>
        <w:left w:val="none" w:sz="0" w:space="0" w:color="auto"/>
        <w:bottom w:val="none" w:sz="0" w:space="0" w:color="auto"/>
        <w:right w:val="none" w:sz="0" w:space="0" w:color="auto"/>
      </w:divBdr>
    </w:div>
    <w:div w:id="120998294">
      <w:bodyDiv w:val="1"/>
      <w:marLeft w:val="0"/>
      <w:marRight w:val="0"/>
      <w:marTop w:val="0"/>
      <w:marBottom w:val="0"/>
      <w:divBdr>
        <w:top w:val="none" w:sz="0" w:space="0" w:color="auto"/>
        <w:left w:val="none" w:sz="0" w:space="0" w:color="auto"/>
        <w:bottom w:val="none" w:sz="0" w:space="0" w:color="auto"/>
        <w:right w:val="none" w:sz="0" w:space="0" w:color="auto"/>
      </w:divBdr>
    </w:div>
    <w:div w:id="191118984">
      <w:bodyDiv w:val="1"/>
      <w:marLeft w:val="0"/>
      <w:marRight w:val="0"/>
      <w:marTop w:val="0"/>
      <w:marBottom w:val="0"/>
      <w:divBdr>
        <w:top w:val="none" w:sz="0" w:space="0" w:color="auto"/>
        <w:left w:val="none" w:sz="0" w:space="0" w:color="auto"/>
        <w:bottom w:val="none" w:sz="0" w:space="0" w:color="auto"/>
        <w:right w:val="none" w:sz="0" w:space="0" w:color="auto"/>
      </w:divBdr>
    </w:div>
    <w:div w:id="222102496">
      <w:bodyDiv w:val="1"/>
      <w:marLeft w:val="0"/>
      <w:marRight w:val="0"/>
      <w:marTop w:val="0"/>
      <w:marBottom w:val="0"/>
      <w:divBdr>
        <w:top w:val="none" w:sz="0" w:space="0" w:color="auto"/>
        <w:left w:val="none" w:sz="0" w:space="0" w:color="auto"/>
        <w:bottom w:val="none" w:sz="0" w:space="0" w:color="auto"/>
        <w:right w:val="none" w:sz="0" w:space="0" w:color="auto"/>
      </w:divBdr>
    </w:div>
    <w:div w:id="230624656">
      <w:bodyDiv w:val="1"/>
      <w:marLeft w:val="0"/>
      <w:marRight w:val="0"/>
      <w:marTop w:val="0"/>
      <w:marBottom w:val="0"/>
      <w:divBdr>
        <w:top w:val="none" w:sz="0" w:space="0" w:color="auto"/>
        <w:left w:val="none" w:sz="0" w:space="0" w:color="auto"/>
        <w:bottom w:val="none" w:sz="0" w:space="0" w:color="auto"/>
        <w:right w:val="none" w:sz="0" w:space="0" w:color="auto"/>
      </w:divBdr>
    </w:div>
    <w:div w:id="253516431">
      <w:bodyDiv w:val="1"/>
      <w:marLeft w:val="0"/>
      <w:marRight w:val="0"/>
      <w:marTop w:val="0"/>
      <w:marBottom w:val="0"/>
      <w:divBdr>
        <w:top w:val="none" w:sz="0" w:space="0" w:color="auto"/>
        <w:left w:val="none" w:sz="0" w:space="0" w:color="auto"/>
        <w:bottom w:val="none" w:sz="0" w:space="0" w:color="auto"/>
        <w:right w:val="none" w:sz="0" w:space="0" w:color="auto"/>
      </w:divBdr>
    </w:div>
    <w:div w:id="266352483">
      <w:bodyDiv w:val="1"/>
      <w:marLeft w:val="0"/>
      <w:marRight w:val="0"/>
      <w:marTop w:val="0"/>
      <w:marBottom w:val="0"/>
      <w:divBdr>
        <w:top w:val="none" w:sz="0" w:space="0" w:color="auto"/>
        <w:left w:val="none" w:sz="0" w:space="0" w:color="auto"/>
        <w:bottom w:val="none" w:sz="0" w:space="0" w:color="auto"/>
        <w:right w:val="none" w:sz="0" w:space="0" w:color="auto"/>
      </w:divBdr>
    </w:div>
    <w:div w:id="279728066">
      <w:bodyDiv w:val="1"/>
      <w:marLeft w:val="0"/>
      <w:marRight w:val="0"/>
      <w:marTop w:val="0"/>
      <w:marBottom w:val="0"/>
      <w:divBdr>
        <w:top w:val="none" w:sz="0" w:space="0" w:color="auto"/>
        <w:left w:val="none" w:sz="0" w:space="0" w:color="auto"/>
        <w:bottom w:val="none" w:sz="0" w:space="0" w:color="auto"/>
        <w:right w:val="none" w:sz="0" w:space="0" w:color="auto"/>
      </w:divBdr>
    </w:div>
    <w:div w:id="291442593">
      <w:bodyDiv w:val="1"/>
      <w:marLeft w:val="0"/>
      <w:marRight w:val="0"/>
      <w:marTop w:val="0"/>
      <w:marBottom w:val="0"/>
      <w:divBdr>
        <w:top w:val="none" w:sz="0" w:space="0" w:color="auto"/>
        <w:left w:val="none" w:sz="0" w:space="0" w:color="auto"/>
        <w:bottom w:val="none" w:sz="0" w:space="0" w:color="auto"/>
        <w:right w:val="none" w:sz="0" w:space="0" w:color="auto"/>
      </w:divBdr>
    </w:div>
    <w:div w:id="303312885">
      <w:bodyDiv w:val="1"/>
      <w:marLeft w:val="0"/>
      <w:marRight w:val="0"/>
      <w:marTop w:val="0"/>
      <w:marBottom w:val="0"/>
      <w:divBdr>
        <w:top w:val="none" w:sz="0" w:space="0" w:color="auto"/>
        <w:left w:val="none" w:sz="0" w:space="0" w:color="auto"/>
        <w:bottom w:val="none" w:sz="0" w:space="0" w:color="auto"/>
        <w:right w:val="none" w:sz="0" w:space="0" w:color="auto"/>
      </w:divBdr>
    </w:div>
    <w:div w:id="343824811">
      <w:bodyDiv w:val="1"/>
      <w:marLeft w:val="0"/>
      <w:marRight w:val="0"/>
      <w:marTop w:val="0"/>
      <w:marBottom w:val="0"/>
      <w:divBdr>
        <w:top w:val="none" w:sz="0" w:space="0" w:color="auto"/>
        <w:left w:val="none" w:sz="0" w:space="0" w:color="auto"/>
        <w:bottom w:val="none" w:sz="0" w:space="0" w:color="auto"/>
        <w:right w:val="none" w:sz="0" w:space="0" w:color="auto"/>
      </w:divBdr>
    </w:div>
    <w:div w:id="345399796">
      <w:bodyDiv w:val="1"/>
      <w:marLeft w:val="0"/>
      <w:marRight w:val="0"/>
      <w:marTop w:val="0"/>
      <w:marBottom w:val="0"/>
      <w:divBdr>
        <w:top w:val="none" w:sz="0" w:space="0" w:color="auto"/>
        <w:left w:val="none" w:sz="0" w:space="0" w:color="auto"/>
        <w:bottom w:val="none" w:sz="0" w:space="0" w:color="auto"/>
        <w:right w:val="none" w:sz="0" w:space="0" w:color="auto"/>
      </w:divBdr>
    </w:div>
    <w:div w:id="348872954">
      <w:bodyDiv w:val="1"/>
      <w:marLeft w:val="0"/>
      <w:marRight w:val="0"/>
      <w:marTop w:val="0"/>
      <w:marBottom w:val="0"/>
      <w:divBdr>
        <w:top w:val="none" w:sz="0" w:space="0" w:color="auto"/>
        <w:left w:val="none" w:sz="0" w:space="0" w:color="auto"/>
        <w:bottom w:val="none" w:sz="0" w:space="0" w:color="auto"/>
        <w:right w:val="none" w:sz="0" w:space="0" w:color="auto"/>
      </w:divBdr>
    </w:div>
    <w:div w:id="358430156">
      <w:bodyDiv w:val="1"/>
      <w:marLeft w:val="0"/>
      <w:marRight w:val="0"/>
      <w:marTop w:val="0"/>
      <w:marBottom w:val="0"/>
      <w:divBdr>
        <w:top w:val="none" w:sz="0" w:space="0" w:color="auto"/>
        <w:left w:val="none" w:sz="0" w:space="0" w:color="auto"/>
        <w:bottom w:val="none" w:sz="0" w:space="0" w:color="auto"/>
        <w:right w:val="none" w:sz="0" w:space="0" w:color="auto"/>
      </w:divBdr>
    </w:div>
    <w:div w:id="410933288">
      <w:bodyDiv w:val="1"/>
      <w:marLeft w:val="0"/>
      <w:marRight w:val="0"/>
      <w:marTop w:val="0"/>
      <w:marBottom w:val="0"/>
      <w:divBdr>
        <w:top w:val="none" w:sz="0" w:space="0" w:color="auto"/>
        <w:left w:val="none" w:sz="0" w:space="0" w:color="auto"/>
        <w:bottom w:val="none" w:sz="0" w:space="0" w:color="auto"/>
        <w:right w:val="none" w:sz="0" w:space="0" w:color="auto"/>
      </w:divBdr>
    </w:div>
    <w:div w:id="433331521">
      <w:bodyDiv w:val="1"/>
      <w:marLeft w:val="0"/>
      <w:marRight w:val="0"/>
      <w:marTop w:val="0"/>
      <w:marBottom w:val="0"/>
      <w:divBdr>
        <w:top w:val="none" w:sz="0" w:space="0" w:color="auto"/>
        <w:left w:val="none" w:sz="0" w:space="0" w:color="auto"/>
        <w:bottom w:val="none" w:sz="0" w:space="0" w:color="auto"/>
        <w:right w:val="none" w:sz="0" w:space="0" w:color="auto"/>
      </w:divBdr>
    </w:div>
    <w:div w:id="498809341">
      <w:bodyDiv w:val="1"/>
      <w:marLeft w:val="0"/>
      <w:marRight w:val="0"/>
      <w:marTop w:val="0"/>
      <w:marBottom w:val="0"/>
      <w:divBdr>
        <w:top w:val="none" w:sz="0" w:space="0" w:color="auto"/>
        <w:left w:val="none" w:sz="0" w:space="0" w:color="auto"/>
        <w:bottom w:val="none" w:sz="0" w:space="0" w:color="auto"/>
        <w:right w:val="none" w:sz="0" w:space="0" w:color="auto"/>
      </w:divBdr>
    </w:div>
    <w:div w:id="498931691">
      <w:bodyDiv w:val="1"/>
      <w:marLeft w:val="0"/>
      <w:marRight w:val="0"/>
      <w:marTop w:val="0"/>
      <w:marBottom w:val="0"/>
      <w:divBdr>
        <w:top w:val="none" w:sz="0" w:space="0" w:color="auto"/>
        <w:left w:val="none" w:sz="0" w:space="0" w:color="auto"/>
        <w:bottom w:val="none" w:sz="0" w:space="0" w:color="auto"/>
        <w:right w:val="none" w:sz="0" w:space="0" w:color="auto"/>
      </w:divBdr>
    </w:div>
    <w:div w:id="501821618">
      <w:bodyDiv w:val="1"/>
      <w:marLeft w:val="0"/>
      <w:marRight w:val="0"/>
      <w:marTop w:val="0"/>
      <w:marBottom w:val="0"/>
      <w:divBdr>
        <w:top w:val="none" w:sz="0" w:space="0" w:color="auto"/>
        <w:left w:val="none" w:sz="0" w:space="0" w:color="auto"/>
        <w:bottom w:val="none" w:sz="0" w:space="0" w:color="auto"/>
        <w:right w:val="none" w:sz="0" w:space="0" w:color="auto"/>
      </w:divBdr>
    </w:div>
    <w:div w:id="518155895">
      <w:bodyDiv w:val="1"/>
      <w:marLeft w:val="0"/>
      <w:marRight w:val="0"/>
      <w:marTop w:val="0"/>
      <w:marBottom w:val="0"/>
      <w:divBdr>
        <w:top w:val="none" w:sz="0" w:space="0" w:color="auto"/>
        <w:left w:val="none" w:sz="0" w:space="0" w:color="auto"/>
        <w:bottom w:val="none" w:sz="0" w:space="0" w:color="auto"/>
        <w:right w:val="none" w:sz="0" w:space="0" w:color="auto"/>
      </w:divBdr>
    </w:div>
    <w:div w:id="521091058">
      <w:bodyDiv w:val="1"/>
      <w:marLeft w:val="0"/>
      <w:marRight w:val="0"/>
      <w:marTop w:val="0"/>
      <w:marBottom w:val="0"/>
      <w:divBdr>
        <w:top w:val="none" w:sz="0" w:space="0" w:color="auto"/>
        <w:left w:val="none" w:sz="0" w:space="0" w:color="auto"/>
        <w:bottom w:val="none" w:sz="0" w:space="0" w:color="auto"/>
        <w:right w:val="none" w:sz="0" w:space="0" w:color="auto"/>
      </w:divBdr>
    </w:div>
    <w:div w:id="559293293">
      <w:bodyDiv w:val="1"/>
      <w:marLeft w:val="0"/>
      <w:marRight w:val="0"/>
      <w:marTop w:val="0"/>
      <w:marBottom w:val="0"/>
      <w:divBdr>
        <w:top w:val="none" w:sz="0" w:space="0" w:color="auto"/>
        <w:left w:val="none" w:sz="0" w:space="0" w:color="auto"/>
        <w:bottom w:val="none" w:sz="0" w:space="0" w:color="auto"/>
        <w:right w:val="none" w:sz="0" w:space="0" w:color="auto"/>
      </w:divBdr>
    </w:div>
    <w:div w:id="563491499">
      <w:bodyDiv w:val="1"/>
      <w:marLeft w:val="0"/>
      <w:marRight w:val="0"/>
      <w:marTop w:val="0"/>
      <w:marBottom w:val="0"/>
      <w:divBdr>
        <w:top w:val="none" w:sz="0" w:space="0" w:color="auto"/>
        <w:left w:val="none" w:sz="0" w:space="0" w:color="auto"/>
        <w:bottom w:val="none" w:sz="0" w:space="0" w:color="auto"/>
        <w:right w:val="none" w:sz="0" w:space="0" w:color="auto"/>
      </w:divBdr>
    </w:div>
    <w:div w:id="605427772">
      <w:bodyDiv w:val="1"/>
      <w:marLeft w:val="0"/>
      <w:marRight w:val="0"/>
      <w:marTop w:val="0"/>
      <w:marBottom w:val="0"/>
      <w:divBdr>
        <w:top w:val="none" w:sz="0" w:space="0" w:color="auto"/>
        <w:left w:val="none" w:sz="0" w:space="0" w:color="auto"/>
        <w:bottom w:val="none" w:sz="0" w:space="0" w:color="auto"/>
        <w:right w:val="none" w:sz="0" w:space="0" w:color="auto"/>
      </w:divBdr>
    </w:div>
    <w:div w:id="610674288">
      <w:bodyDiv w:val="1"/>
      <w:marLeft w:val="0"/>
      <w:marRight w:val="0"/>
      <w:marTop w:val="0"/>
      <w:marBottom w:val="0"/>
      <w:divBdr>
        <w:top w:val="none" w:sz="0" w:space="0" w:color="auto"/>
        <w:left w:val="none" w:sz="0" w:space="0" w:color="auto"/>
        <w:bottom w:val="none" w:sz="0" w:space="0" w:color="auto"/>
        <w:right w:val="none" w:sz="0" w:space="0" w:color="auto"/>
      </w:divBdr>
    </w:div>
    <w:div w:id="622464629">
      <w:bodyDiv w:val="1"/>
      <w:marLeft w:val="0"/>
      <w:marRight w:val="0"/>
      <w:marTop w:val="0"/>
      <w:marBottom w:val="0"/>
      <w:divBdr>
        <w:top w:val="none" w:sz="0" w:space="0" w:color="auto"/>
        <w:left w:val="none" w:sz="0" w:space="0" w:color="auto"/>
        <w:bottom w:val="none" w:sz="0" w:space="0" w:color="auto"/>
        <w:right w:val="none" w:sz="0" w:space="0" w:color="auto"/>
      </w:divBdr>
    </w:div>
    <w:div w:id="637107306">
      <w:bodyDiv w:val="1"/>
      <w:marLeft w:val="0"/>
      <w:marRight w:val="0"/>
      <w:marTop w:val="0"/>
      <w:marBottom w:val="0"/>
      <w:divBdr>
        <w:top w:val="none" w:sz="0" w:space="0" w:color="auto"/>
        <w:left w:val="none" w:sz="0" w:space="0" w:color="auto"/>
        <w:bottom w:val="none" w:sz="0" w:space="0" w:color="auto"/>
        <w:right w:val="none" w:sz="0" w:space="0" w:color="auto"/>
      </w:divBdr>
    </w:div>
    <w:div w:id="647629085">
      <w:bodyDiv w:val="1"/>
      <w:marLeft w:val="0"/>
      <w:marRight w:val="0"/>
      <w:marTop w:val="0"/>
      <w:marBottom w:val="0"/>
      <w:divBdr>
        <w:top w:val="none" w:sz="0" w:space="0" w:color="auto"/>
        <w:left w:val="none" w:sz="0" w:space="0" w:color="auto"/>
        <w:bottom w:val="none" w:sz="0" w:space="0" w:color="auto"/>
        <w:right w:val="none" w:sz="0" w:space="0" w:color="auto"/>
      </w:divBdr>
    </w:div>
    <w:div w:id="664090552">
      <w:bodyDiv w:val="1"/>
      <w:marLeft w:val="0"/>
      <w:marRight w:val="0"/>
      <w:marTop w:val="0"/>
      <w:marBottom w:val="0"/>
      <w:divBdr>
        <w:top w:val="none" w:sz="0" w:space="0" w:color="auto"/>
        <w:left w:val="none" w:sz="0" w:space="0" w:color="auto"/>
        <w:bottom w:val="none" w:sz="0" w:space="0" w:color="auto"/>
        <w:right w:val="none" w:sz="0" w:space="0" w:color="auto"/>
      </w:divBdr>
    </w:div>
    <w:div w:id="687872626">
      <w:bodyDiv w:val="1"/>
      <w:marLeft w:val="0"/>
      <w:marRight w:val="0"/>
      <w:marTop w:val="0"/>
      <w:marBottom w:val="0"/>
      <w:divBdr>
        <w:top w:val="none" w:sz="0" w:space="0" w:color="auto"/>
        <w:left w:val="none" w:sz="0" w:space="0" w:color="auto"/>
        <w:bottom w:val="none" w:sz="0" w:space="0" w:color="auto"/>
        <w:right w:val="none" w:sz="0" w:space="0" w:color="auto"/>
      </w:divBdr>
    </w:div>
    <w:div w:id="710543638">
      <w:bodyDiv w:val="1"/>
      <w:marLeft w:val="0"/>
      <w:marRight w:val="0"/>
      <w:marTop w:val="0"/>
      <w:marBottom w:val="0"/>
      <w:divBdr>
        <w:top w:val="none" w:sz="0" w:space="0" w:color="auto"/>
        <w:left w:val="none" w:sz="0" w:space="0" w:color="auto"/>
        <w:bottom w:val="none" w:sz="0" w:space="0" w:color="auto"/>
        <w:right w:val="none" w:sz="0" w:space="0" w:color="auto"/>
      </w:divBdr>
    </w:div>
    <w:div w:id="721633081">
      <w:bodyDiv w:val="1"/>
      <w:marLeft w:val="0"/>
      <w:marRight w:val="0"/>
      <w:marTop w:val="0"/>
      <w:marBottom w:val="0"/>
      <w:divBdr>
        <w:top w:val="none" w:sz="0" w:space="0" w:color="auto"/>
        <w:left w:val="none" w:sz="0" w:space="0" w:color="auto"/>
        <w:bottom w:val="none" w:sz="0" w:space="0" w:color="auto"/>
        <w:right w:val="none" w:sz="0" w:space="0" w:color="auto"/>
      </w:divBdr>
    </w:div>
    <w:div w:id="743187047">
      <w:bodyDiv w:val="1"/>
      <w:marLeft w:val="0"/>
      <w:marRight w:val="0"/>
      <w:marTop w:val="0"/>
      <w:marBottom w:val="0"/>
      <w:divBdr>
        <w:top w:val="none" w:sz="0" w:space="0" w:color="auto"/>
        <w:left w:val="none" w:sz="0" w:space="0" w:color="auto"/>
        <w:bottom w:val="none" w:sz="0" w:space="0" w:color="auto"/>
        <w:right w:val="none" w:sz="0" w:space="0" w:color="auto"/>
      </w:divBdr>
    </w:div>
    <w:div w:id="756437250">
      <w:bodyDiv w:val="1"/>
      <w:marLeft w:val="0"/>
      <w:marRight w:val="0"/>
      <w:marTop w:val="0"/>
      <w:marBottom w:val="0"/>
      <w:divBdr>
        <w:top w:val="none" w:sz="0" w:space="0" w:color="auto"/>
        <w:left w:val="none" w:sz="0" w:space="0" w:color="auto"/>
        <w:bottom w:val="none" w:sz="0" w:space="0" w:color="auto"/>
        <w:right w:val="none" w:sz="0" w:space="0" w:color="auto"/>
      </w:divBdr>
    </w:div>
    <w:div w:id="763185730">
      <w:bodyDiv w:val="1"/>
      <w:marLeft w:val="0"/>
      <w:marRight w:val="0"/>
      <w:marTop w:val="0"/>
      <w:marBottom w:val="0"/>
      <w:divBdr>
        <w:top w:val="none" w:sz="0" w:space="0" w:color="auto"/>
        <w:left w:val="none" w:sz="0" w:space="0" w:color="auto"/>
        <w:bottom w:val="none" w:sz="0" w:space="0" w:color="auto"/>
        <w:right w:val="none" w:sz="0" w:space="0" w:color="auto"/>
      </w:divBdr>
    </w:div>
    <w:div w:id="768738151">
      <w:bodyDiv w:val="1"/>
      <w:marLeft w:val="0"/>
      <w:marRight w:val="0"/>
      <w:marTop w:val="0"/>
      <w:marBottom w:val="0"/>
      <w:divBdr>
        <w:top w:val="none" w:sz="0" w:space="0" w:color="auto"/>
        <w:left w:val="none" w:sz="0" w:space="0" w:color="auto"/>
        <w:bottom w:val="none" w:sz="0" w:space="0" w:color="auto"/>
        <w:right w:val="none" w:sz="0" w:space="0" w:color="auto"/>
      </w:divBdr>
    </w:div>
    <w:div w:id="843588887">
      <w:bodyDiv w:val="1"/>
      <w:marLeft w:val="0"/>
      <w:marRight w:val="0"/>
      <w:marTop w:val="0"/>
      <w:marBottom w:val="0"/>
      <w:divBdr>
        <w:top w:val="none" w:sz="0" w:space="0" w:color="auto"/>
        <w:left w:val="none" w:sz="0" w:space="0" w:color="auto"/>
        <w:bottom w:val="none" w:sz="0" w:space="0" w:color="auto"/>
        <w:right w:val="none" w:sz="0" w:space="0" w:color="auto"/>
      </w:divBdr>
    </w:div>
    <w:div w:id="844395518">
      <w:bodyDiv w:val="1"/>
      <w:marLeft w:val="0"/>
      <w:marRight w:val="0"/>
      <w:marTop w:val="0"/>
      <w:marBottom w:val="0"/>
      <w:divBdr>
        <w:top w:val="none" w:sz="0" w:space="0" w:color="auto"/>
        <w:left w:val="none" w:sz="0" w:space="0" w:color="auto"/>
        <w:bottom w:val="none" w:sz="0" w:space="0" w:color="auto"/>
        <w:right w:val="none" w:sz="0" w:space="0" w:color="auto"/>
      </w:divBdr>
    </w:div>
    <w:div w:id="858471569">
      <w:bodyDiv w:val="1"/>
      <w:marLeft w:val="0"/>
      <w:marRight w:val="0"/>
      <w:marTop w:val="0"/>
      <w:marBottom w:val="0"/>
      <w:divBdr>
        <w:top w:val="none" w:sz="0" w:space="0" w:color="auto"/>
        <w:left w:val="none" w:sz="0" w:space="0" w:color="auto"/>
        <w:bottom w:val="none" w:sz="0" w:space="0" w:color="auto"/>
        <w:right w:val="none" w:sz="0" w:space="0" w:color="auto"/>
      </w:divBdr>
    </w:div>
    <w:div w:id="863058490">
      <w:bodyDiv w:val="1"/>
      <w:marLeft w:val="0"/>
      <w:marRight w:val="0"/>
      <w:marTop w:val="0"/>
      <w:marBottom w:val="0"/>
      <w:divBdr>
        <w:top w:val="none" w:sz="0" w:space="0" w:color="auto"/>
        <w:left w:val="none" w:sz="0" w:space="0" w:color="auto"/>
        <w:bottom w:val="none" w:sz="0" w:space="0" w:color="auto"/>
        <w:right w:val="none" w:sz="0" w:space="0" w:color="auto"/>
      </w:divBdr>
    </w:div>
    <w:div w:id="872428698">
      <w:bodyDiv w:val="1"/>
      <w:marLeft w:val="0"/>
      <w:marRight w:val="0"/>
      <w:marTop w:val="0"/>
      <w:marBottom w:val="0"/>
      <w:divBdr>
        <w:top w:val="none" w:sz="0" w:space="0" w:color="auto"/>
        <w:left w:val="none" w:sz="0" w:space="0" w:color="auto"/>
        <w:bottom w:val="none" w:sz="0" w:space="0" w:color="auto"/>
        <w:right w:val="none" w:sz="0" w:space="0" w:color="auto"/>
      </w:divBdr>
    </w:div>
    <w:div w:id="905451510">
      <w:bodyDiv w:val="1"/>
      <w:marLeft w:val="0"/>
      <w:marRight w:val="0"/>
      <w:marTop w:val="0"/>
      <w:marBottom w:val="0"/>
      <w:divBdr>
        <w:top w:val="none" w:sz="0" w:space="0" w:color="auto"/>
        <w:left w:val="none" w:sz="0" w:space="0" w:color="auto"/>
        <w:bottom w:val="none" w:sz="0" w:space="0" w:color="auto"/>
        <w:right w:val="none" w:sz="0" w:space="0" w:color="auto"/>
      </w:divBdr>
    </w:div>
    <w:div w:id="919218142">
      <w:bodyDiv w:val="1"/>
      <w:marLeft w:val="0"/>
      <w:marRight w:val="0"/>
      <w:marTop w:val="0"/>
      <w:marBottom w:val="0"/>
      <w:divBdr>
        <w:top w:val="none" w:sz="0" w:space="0" w:color="auto"/>
        <w:left w:val="none" w:sz="0" w:space="0" w:color="auto"/>
        <w:bottom w:val="none" w:sz="0" w:space="0" w:color="auto"/>
        <w:right w:val="none" w:sz="0" w:space="0" w:color="auto"/>
      </w:divBdr>
    </w:div>
    <w:div w:id="962079800">
      <w:bodyDiv w:val="1"/>
      <w:marLeft w:val="0"/>
      <w:marRight w:val="0"/>
      <w:marTop w:val="0"/>
      <w:marBottom w:val="0"/>
      <w:divBdr>
        <w:top w:val="none" w:sz="0" w:space="0" w:color="auto"/>
        <w:left w:val="none" w:sz="0" w:space="0" w:color="auto"/>
        <w:bottom w:val="none" w:sz="0" w:space="0" w:color="auto"/>
        <w:right w:val="none" w:sz="0" w:space="0" w:color="auto"/>
      </w:divBdr>
    </w:div>
    <w:div w:id="1005789391">
      <w:bodyDiv w:val="1"/>
      <w:marLeft w:val="0"/>
      <w:marRight w:val="0"/>
      <w:marTop w:val="0"/>
      <w:marBottom w:val="0"/>
      <w:divBdr>
        <w:top w:val="none" w:sz="0" w:space="0" w:color="auto"/>
        <w:left w:val="none" w:sz="0" w:space="0" w:color="auto"/>
        <w:bottom w:val="none" w:sz="0" w:space="0" w:color="auto"/>
        <w:right w:val="none" w:sz="0" w:space="0" w:color="auto"/>
      </w:divBdr>
    </w:div>
    <w:div w:id="1016232964">
      <w:bodyDiv w:val="1"/>
      <w:marLeft w:val="0"/>
      <w:marRight w:val="0"/>
      <w:marTop w:val="0"/>
      <w:marBottom w:val="0"/>
      <w:divBdr>
        <w:top w:val="none" w:sz="0" w:space="0" w:color="auto"/>
        <w:left w:val="none" w:sz="0" w:space="0" w:color="auto"/>
        <w:bottom w:val="none" w:sz="0" w:space="0" w:color="auto"/>
        <w:right w:val="none" w:sz="0" w:space="0" w:color="auto"/>
      </w:divBdr>
    </w:div>
    <w:div w:id="1017346470">
      <w:bodyDiv w:val="1"/>
      <w:marLeft w:val="0"/>
      <w:marRight w:val="0"/>
      <w:marTop w:val="0"/>
      <w:marBottom w:val="0"/>
      <w:divBdr>
        <w:top w:val="none" w:sz="0" w:space="0" w:color="auto"/>
        <w:left w:val="none" w:sz="0" w:space="0" w:color="auto"/>
        <w:bottom w:val="none" w:sz="0" w:space="0" w:color="auto"/>
        <w:right w:val="none" w:sz="0" w:space="0" w:color="auto"/>
      </w:divBdr>
    </w:div>
    <w:div w:id="1060791394">
      <w:bodyDiv w:val="1"/>
      <w:marLeft w:val="0"/>
      <w:marRight w:val="0"/>
      <w:marTop w:val="0"/>
      <w:marBottom w:val="0"/>
      <w:divBdr>
        <w:top w:val="none" w:sz="0" w:space="0" w:color="auto"/>
        <w:left w:val="none" w:sz="0" w:space="0" w:color="auto"/>
        <w:bottom w:val="none" w:sz="0" w:space="0" w:color="auto"/>
        <w:right w:val="none" w:sz="0" w:space="0" w:color="auto"/>
      </w:divBdr>
    </w:div>
    <w:div w:id="1118338034">
      <w:bodyDiv w:val="1"/>
      <w:marLeft w:val="0"/>
      <w:marRight w:val="0"/>
      <w:marTop w:val="0"/>
      <w:marBottom w:val="0"/>
      <w:divBdr>
        <w:top w:val="none" w:sz="0" w:space="0" w:color="auto"/>
        <w:left w:val="none" w:sz="0" w:space="0" w:color="auto"/>
        <w:bottom w:val="none" w:sz="0" w:space="0" w:color="auto"/>
        <w:right w:val="none" w:sz="0" w:space="0" w:color="auto"/>
      </w:divBdr>
    </w:div>
    <w:div w:id="1150443870">
      <w:bodyDiv w:val="1"/>
      <w:marLeft w:val="0"/>
      <w:marRight w:val="0"/>
      <w:marTop w:val="0"/>
      <w:marBottom w:val="0"/>
      <w:divBdr>
        <w:top w:val="none" w:sz="0" w:space="0" w:color="auto"/>
        <w:left w:val="none" w:sz="0" w:space="0" w:color="auto"/>
        <w:bottom w:val="none" w:sz="0" w:space="0" w:color="auto"/>
        <w:right w:val="none" w:sz="0" w:space="0" w:color="auto"/>
      </w:divBdr>
    </w:div>
    <w:div w:id="1221287547">
      <w:bodyDiv w:val="1"/>
      <w:marLeft w:val="0"/>
      <w:marRight w:val="0"/>
      <w:marTop w:val="0"/>
      <w:marBottom w:val="0"/>
      <w:divBdr>
        <w:top w:val="none" w:sz="0" w:space="0" w:color="auto"/>
        <w:left w:val="none" w:sz="0" w:space="0" w:color="auto"/>
        <w:bottom w:val="none" w:sz="0" w:space="0" w:color="auto"/>
        <w:right w:val="none" w:sz="0" w:space="0" w:color="auto"/>
      </w:divBdr>
    </w:div>
    <w:div w:id="1235968998">
      <w:bodyDiv w:val="1"/>
      <w:marLeft w:val="0"/>
      <w:marRight w:val="0"/>
      <w:marTop w:val="0"/>
      <w:marBottom w:val="0"/>
      <w:divBdr>
        <w:top w:val="none" w:sz="0" w:space="0" w:color="auto"/>
        <w:left w:val="none" w:sz="0" w:space="0" w:color="auto"/>
        <w:bottom w:val="none" w:sz="0" w:space="0" w:color="auto"/>
        <w:right w:val="none" w:sz="0" w:space="0" w:color="auto"/>
      </w:divBdr>
    </w:div>
    <w:div w:id="1245139500">
      <w:bodyDiv w:val="1"/>
      <w:marLeft w:val="0"/>
      <w:marRight w:val="0"/>
      <w:marTop w:val="0"/>
      <w:marBottom w:val="0"/>
      <w:divBdr>
        <w:top w:val="none" w:sz="0" w:space="0" w:color="auto"/>
        <w:left w:val="none" w:sz="0" w:space="0" w:color="auto"/>
        <w:bottom w:val="none" w:sz="0" w:space="0" w:color="auto"/>
        <w:right w:val="none" w:sz="0" w:space="0" w:color="auto"/>
      </w:divBdr>
    </w:div>
    <w:div w:id="1321734405">
      <w:bodyDiv w:val="1"/>
      <w:marLeft w:val="0"/>
      <w:marRight w:val="0"/>
      <w:marTop w:val="0"/>
      <w:marBottom w:val="0"/>
      <w:divBdr>
        <w:top w:val="none" w:sz="0" w:space="0" w:color="auto"/>
        <w:left w:val="none" w:sz="0" w:space="0" w:color="auto"/>
        <w:bottom w:val="none" w:sz="0" w:space="0" w:color="auto"/>
        <w:right w:val="none" w:sz="0" w:space="0" w:color="auto"/>
      </w:divBdr>
    </w:div>
    <w:div w:id="1365448912">
      <w:bodyDiv w:val="1"/>
      <w:marLeft w:val="0"/>
      <w:marRight w:val="0"/>
      <w:marTop w:val="0"/>
      <w:marBottom w:val="0"/>
      <w:divBdr>
        <w:top w:val="none" w:sz="0" w:space="0" w:color="auto"/>
        <w:left w:val="none" w:sz="0" w:space="0" w:color="auto"/>
        <w:bottom w:val="none" w:sz="0" w:space="0" w:color="auto"/>
        <w:right w:val="none" w:sz="0" w:space="0" w:color="auto"/>
      </w:divBdr>
    </w:div>
    <w:div w:id="1409618413">
      <w:bodyDiv w:val="1"/>
      <w:marLeft w:val="0"/>
      <w:marRight w:val="0"/>
      <w:marTop w:val="0"/>
      <w:marBottom w:val="0"/>
      <w:divBdr>
        <w:top w:val="none" w:sz="0" w:space="0" w:color="auto"/>
        <w:left w:val="none" w:sz="0" w:space="0" w:color="auto"/>
        <w:bottom w:val="none" w:sz="0" w:space="0" w:color="auto"/>
        <w:right w:val="none" w:sz="0" w:space="0" w:color="auto"/>
      </w:divBdr>
    </w:div>
    <w:div w:id="1497063997">
      <w:bodyDiv w:val="1"/>
      <w:marLeft w:val="0"/>
      <w:marRight w:val="0"/>
      <w:marTop w:val="0"/>
      <w:marBottom w:val="0"/>
      <w:divBdr>
        <w:top w:val="none" w:sz="0" w:space="0" w:color="auto"/>
        <w:left w:val="none" w:sz="0" w:space="0" w:color="auto"/>
        <w:bottom w:val="none" w:sz="0" w:space="0" w:color="auto"/>
        <w:right w:val="none" w:sz="0" w:space="0" w:color="auto"/>
      </w:divBdr>
    </w:div>
    <w:div w:id="1499692348">
      <w:bodyDiv w:val="1"/>
      <w:marLeft w:val="0"/>
      <w:marRight w:val="0"/>
      <w:marTop w:val="0"/>
      <w:marBottom w:val="0"/>
      <w:divBdr>
        <w:top w:val="none" w:sz="0" w:space="0" w:color="auto"/>
        <w:left w:val="none" w:sz="0" w:space="0" w:color="auto"/>
        <w:bottom w:val="none" w:sz="0" w:space="0" w:color="auto"/>
        <w:right w:val="none" w:sz="0" w:space="0" w:color="auto"/>
      </w:divBdr>
    </w:div>
    <w:div w:id="1527138582">
      <w:bodyDiv w:val="1"/>
      <w:marLeft w:val="0"/>
      <w:marRight w:val="0"/>
      <w:marTop w:val="0"/>
      <w:marBottom w:val="0"/>
      <w:divBdr>
        <w:top w:val="none" w:sz="0" w:space="0" w:color="auto"/>
        <w:left w:val="none" w:sz="0" w:space="0" w:color="auto"/>
        <w:bottom w:val="none" w:sz="0" w:space="0" w:color="auto"/>
        <w:right w:val="none" w:sz="0" w:space="0" w:color="auto"/>
      </w:divBdr>
    </w:div>
    <w:div w:id="1561014570">
      <w:bodyDiv w:val="1"/>
      <w:marLeft w:val="0"/>
      <w:marRight w:val="0"/>
      <w:marTop w:val="0"/>
      <w:marBottom w:val="0"/>
      <w:divBdr>
        <w:top w:val="none" w:sz="0" w:space="0" w:color="auto"/>
        <w:left w:val="none" w:sz="0" w:space="0" w:color="auto"/>
        <w:bottom w:val="none" w:sz="0" w:space="0" w:color="auto"/>
        <w:right w:val="none" w:sz="0" w:space="0" w:color="auto"/>
      </w:divBdr>
    </w:div>
    <w:div w:id="1572235260">
      <w:bodyDiv w:val="1"/>
      <w:marLeft w:val="0"/>
      <w:marRight w:val="0"/>
      <w:marTop w:val="0"/>
      <w:marBottom w:val="0"/>
      <w:divBdr>
        <w:top w:val="none" w:sz="0" w:space="0" w:color="auto"/>
        <w:left w:val="none" w:sz="0" w:space="0" w:color="auto"/>
        <w:bottom w:val="none" w:sz="0" w:space="0" w:color="auto"/>
        <w:right w:val="none" w:sz="0" w:space="0" w:color="auto"/>
      </w:divBdr>
    </w:div>
    <w:div w:id="1590231771">
      <w:bodyDiv w:val="1"/>
      <w:marLeft w:val="0"/>
      <w:marRight w:val="0"/>
      <w:marTop w:val="0"/>
      <w:marBottom w:val="0"/>
      <w:divBdr>
        <w:top w:val="none" w:sz="0" w:space="0" w:color="auto"/>
        <w:left w:val="none" w:sz="0" w:space="0" w:color="auto"/>
        <w:bottom w:val="none" w:sz="0" w:space="0" w:color="auto"/>
        <w:right w:val="none" w:sz="0" w:space="0" w:color="auto"/>
      </w:divBdr>
    </w:div>
    <w:div w:id="1593203950">
      <w:bodyDiv w:val="1"/>
      <w:marLeft w:val="0"/>
      <w:marRight w:val="0"/>
      <w:marTop w:val="0"/>
      <w:marBottom w:val="0"/>
      <w:divBdr>
        <w:top w:val="none" w:sz="0" w:space="0" w:color="auto"/>
        <w:left w:val="none" w:sz="0" w:space="0" w:color="auto"/>
        <w:bottom w:val="none" w:sz="0" w:space="0" w:color="auto"/>
        <w:right w:val="none" w:sz="0" w:space="0" w:color="auto"/>
      </w:divBdr>
    </w:div>
    <w:div w:id="1603218996">
      <w:bodyDiv w:val="1"/>
      <w:marLeft w:val="0"/>
      <w:marRight w:val="0"/>
      <w:marTop w:val="0"/>
      <w:marBottom w:val="0"/>
      <w:divBdr>
        <w:top w:val="none" w:sz="0" w:space="0" w:color="auto"/>
        <w:left w:val="none" w:sz="0" w:space="0" w:color="auto"/>
        <w:bottom w:val="none" w:sz="0" w:space="0" w:color="auto"/>
        <w:right w:val="none" w:sz="0" w:space="0" w:color="auto"/>
      </w:divBdr>
    </w:div>
    <w:div w:id="1616907827">
      <w:bodyDiv w:val="1"/>
      <w:marLeft w:val="0"/>
      <w:marRight w:val="0"/>
      <w:marTop w:val="0"/>
      <w:marBottom w:val="0"/>
      <w:divBdr>
        <w:top w:val="none" w:sz="0" w:space="0" w:color="auto"/>
        <w:left w:val="none" w:sz="0" w:space="0" w:color="auto"/>
        <w:bottom w:val="none" w:sz="0" w:space="0" w:color="auto"/>
        <w:right w:val="none" w:sz="0" w:space="0" w:color="auto"/>
      </w:divBdr>
    </w:div>
    <w:div w:id="1656374057">
      <w:bodyDiv w:val="1"/>
      <w:marLeft w:val="0"/>
      <w:marRight w:val="0"/>
      <w:marTop w:val="0"/>
      <w:marBottom w:val="0"/>
      <w:divBdr>
        <w:top w:val="none" w:sz="0" w:space="0" w:color="auto"/>
        <w:left w:val="none" w:sz="0" w:space="0" w:color="auto"/>
        <w:bottom w:val="none" w:sz="0" w:space="0" w:color="auto"/>
        <w:right w:val="none" w:sz="0" w:space="0" w:color="auto"/>
      </w:divBdr>
    </w:div>
    <w:div w:id="1665469449">
      <w:bodyDiv w:val="1"/>
      <w:marLeft w:val="0"/>
      <w:marRight w:val="0"/>
      <w:marTop w:val="0"/>
      <w:marBottom w:val="0"/>
      <w:divBdr>
        <w:top w:val="none" w:sz="0" w:space="0" w:color="auto"/>
        <w:left w:val="none" w:sz="0" w:space="0" w:color="auto"/>
        <w:bottom w:val="none" w:sz="0" w:space="0" w:color="auto"/>
        <w:right w:val="none" w:sz="0" w:space="0" w:color="auto"/>
      </w:divBdr>
    </w:div>
    <w:div w:id="1696466755">
      <w:bodyDiv w:val="1"/>
      <w:marLeft w:val="0"/>
      <w:marRight w:val="0"/>
      <w:marTop w:val="0"/>
      <w:marBottom w:val="0"/>
      <w:divBdr>
        <w:top w:val="none" w:sz="0" w:space="0" w:color="auto"/>
        <w:left w:val="none" w:sz="0" w:space="0" w:color="auto"/>
        <w:bottom w:val="none" w:sz="0" w:space="0" w:color="auto"/>
        <w:right w:val="none" w:sz="0" w:space="0" w:color="auto"/>
      </w:divBdr>
    </w:div>
    <w:div w:id="1736927092">
      <w:bodyDiv w:val="1"/>
      <w:marLeft w:val="0"/>
      <w:marRight w:val="0"/>
      <w:marTop w:val="0"/>
      <w:marBottom w:val="0"/>
      <w:divBdr>
        <w:top w:val="none" w:sz="0" w:space="0" w:color="auto"/>
        <w:left w:val="none" w:sz="0" w:space="0" w:color="auto"/>
        <w:bottom w:val="none" w:sz="0" w:space="0" w:color="auto"/>
        <w:right w:val="none" w:sz="0" w:space="0" w:color="auto"/>
      </w:divBdr>
    </w:div>
    <w:div w:id="1744597302">
      <w:bodyDiv w:val="1"/>
      <w:marLeft w:val="0"/>
      <w:marRight w:val="0"/>
      <w:marTop w:val="0"/>
      <w:marBottom w:val="0"/>
      <w:divBdr>
        <w:top w:val="none" w:sz="0" w:space="0" w:color="auto"/>
        <w:left w:val="none" w:sz="0" w:space="0" w:color="auto"/>
        <w:bottom w:val="none" w:sz="0" w:space="0" w:color="auto"/>
        <w:right w:val="none" w:sz="0" w:space="0" w:color="auto"/>
      </w:divBdr>
    </w:div>
    <w:div w:id="1745713748">
      <w:bodyDiv w:val="1"/>
      <w:marLeft w:val="0"/>
      <w:marRight w:val="0"/>
      <w:marTop w:val="0"/>
      <w:marBottom w:val="0"/>
      <w:divBdr>
        <w:top w:val="none" w:sz="0" w:space="0" w:color="auto"/>
        <w:left w:val="none" w:sz="0" w:space="0" w:color="auto"/>
        <w:bottom w:val="none" w:sz="0" w:space="0" w:color="auto"/>
        <w:right w:val="none" w:sz="0" w:space="0" w:color="auto"/>
      </w:divBdr>
    </w:div>
    <w:div w:id="1779912131">
      <w:bodyDiv w:val="1"/>
      <w:marLeft w:val="0"/>
      <w:marRight w:val="0"/>
      <w:marTop w:val="0"/>
      <w:marBottom w:val="0"/>
      <w:divBdr>
        <w:top w:val="none" w:sz="0" w:space="0" w:color="auto"/>
        <w:left w:val="none" w:sz="0" w:space="0" w:color="auto"/>
        <w:bottom w:val="none" w:sz="0" w:space="0" w:color="auto"/>
        <w:right w:val="none" w:sz="0" w:space="0" w:color="auto"/>
      </w:divBdr>
    </w:div>
    <w:div w:id="1780290973">
      <w:bodyDiv w:val="1"/>
      <w:marLeft w:val="0"/>
      <w:marRight w:val="0"/>
      <w:marTop w:val="0"/>
      <w:marBottom w:val="0"/>
      <w:divBdr>
        <w:top w:val="none" w:sz="0" w:space="0" w:color="auto"/>
        <w:left w:val="none" w:sz="0" w:space="0" w:color="auto"/>
        <w:bottom w:val="none" w:sz="0" w:space="0" w:color="auto"/>
        <w:right w:val="none" w:sz="0" w:space="0" w:color="auto"/>
      </w:divBdr>
    </w:div>
    <w:div w:id="1786850077">
      <w:bodyDiv w:val="1"/>
      <w:marLeft w:val="0"/>
      <w:marRight w:val="0"/>
      <w:marTop w:val="0"/>
      <w:marBottom w:val="0"/>
      <w:divBdr>
        <w:top w:val="none" w:sz="0" w:space="0" w:color="auto"/>
        <w:left w:val="none" w:sz="0" w:space="0" w:color="auto"/>
        <w:bottom w:val="none" w:sz="0" w:space="0" w:color="auto"/>
        <w:right w:val="none" w:sz="0" w:space="0" w:color="auto"/>
      </w:divBdr>
    </w:div>
    <w:div w:id="1817720635">
      <w:bodyDiv w:val="1"/>
      <w:marLeft w:val="0"/>
      <w:marRight w:val="0"/>
      <w:marTop w:val="0"/>
      <w:marBottom w:val="0"/>
      <w:divBdr>
        <w:top w:val="none" w:sz="0" w:space="0" w:color="auto"/>
        <w:left w:val="none" w:sz="0" w:space="0" w:color="auto"/>
        <w:bottom w:val="none" w:sz="0" w:space="0" w:color="auto"/>
        <w:right w:val="none" w:sz="0" w:space="0" w:color="auto"/>
      </w:divBdr>
    </w:div>
    <w:div w:id="1855029067">
      <w:bodyDiv w:val="1"/>
      <w:marLeft w:val="0"/>
      <w:marRight w:val="0"/>
      <w:marTop w:val="0"/>
      <w:marBottom w:val="0"/>
      <w:divBdr>
        <w:top w:val="none" w:sz="0" w:space="0" w:color="auto"/>
        <w:left w:val="none" w:sz="0" w:space="0" w:color="auto"/>
        <w:bottom w:val="none" w:sz="0" w:space="0" w:color="auto"/>
        <w:right w:val="none" w:sz="0" w:space="0" w:color="auto"/>
      </w:divBdr>
    </w:div>
    <w:div w:id="1860194396">
      <w:bodyDiv w:val="1"/>
      <w:marLeft w:val="0"/>
      <w:marRight w:val="0"/>
      <w:marTop w:val="0"/>
      <w:marBottom w:val="0"/>
      <w:divBdr>
        <w:top w:val="none" w:sz="0" w:space="0" w:color="auto"/>
        <w:left w:val="none" w:sz="0" w:space="0" w:color="auto"/>
        <w:bottom w:val="none" w:sz="0" w:space="0" w:color="auto"/>
        <w:right w:val="none" w:sz="0" w:space="0" w:color="auto"/>
      </w:divBdr>
    </w:div>
    <w:div w:id="1876963384">
      <w:bodyDiv w:val="1"/>
      <w:marLeft w:val="0"/>
      <w:marRight w:val="0"/>
      <w:marTop w:val="0"/>
      <w:marBottom w:val="0"/>
      <w:divBdr>
        <w:top w:val="none" w:sz="0" w:space="0" w:color="auto"/>
        <w:left w:val="none" w:sz="0" w:space="0" w:color="auto"/>
        <w:bottom w:val="none" w:sz="0" w:space="0" w:color="auto"/>
        <w:right w:val="none" w:sz="0" w:space="0" w:color="auto"/>
      </w:divBdr>
    </w:div>
    <w:div w:id="1895703056">
      <w:bodyDiv w:val="1"/>
      <w:marLeft w:val="0"/>
      <w:marRight w:val="0"/>
      <w:marTop w:val="0"/>
      <w:marBottom w:val="0"/>
      <w:divBdr>
        <w:top w:val="none" w:sz="0" w:space="0" w:color="auto"/>
        <w:left w:val="none" w:sz="0" w:space="0" w:color="auto"/>
        <w:bottom w:val="none" w:sz="0" w:space="0" w:color="auto"/>
        <w:right w:val="none" w:sz="0" w:space="0" w:color="auto"/>
      </w:divBdr>
    </w:div>
    <w:div w:id="1972010629">
      <w:bodyDiv w:val="1"/>
      <w:marLeft w:val="0"/>
      <w:marRight w:val="0"/>
      <w:marTop w:val="0"/>
      <w:marBottom w:val="0"/>
      <w:divBdr>
        <w:top w:val="none" w:sz="0" w:space="0" w:color="auto"/>
        <w:left w:val="none" w:sz="0" w:space="0" w:color="auto"/>
        <w:bottom w:val="none" w:sz="0" w:space="0" w:color="auto"/>
        <w:right w:val="none" w:sz="0" w:space="0" w:color="auto"/>
      </w:divBdr>
    </w:div>
    <w:div w:id="2003511480">
      <w:bodyDiv w:val="1"/>
      <w:marLeft w:val="0"/>
      <w:marRight w:val="0"/>
      <w:marTop w:val="0"/>
      <w:marBottom w:val="0"/>
      <w:divBdr>
        <w:top w:val="none" w:sz="0" w:space="0" w:color="auto"/>
        <w:left w:val="none" w:sz="0" w:space="0" w:color="auto"/>
        <w:bottom w:val="none" w:sz="0" w:space="0" w:color="auto"/>
        <w:right w:val="none" w:sz="0" w:space="0" w:color="auto"/>
      </w:divBdr>
    </w:div>
    <w:div w:id="2003967670">
      <w:bodyDiv w:val="1"/>
      <w:marLeft w:val="0"/>
      <w:marRight w:val="0"/>
      <w:marTop w:val="0"/>
      <w:marBottom w:val="0"/>
      <w:divBdr>
        <w:top w:val="none" w:sz="0" w:space="0" w:color="auto"/>
        <w:left w:val="none" w:sz="0" w:space="0" w:color="auto"/>
        <w:bottom w:val="none" w:sz="0" w:space="0" w:color="auto"/>
        <w:right w:val="none" w:sz="0" w:space="0" w:color="auto"/>
      </w:divBdr>
    </w:div>
    <w:div w:id="2027906547">
      <w:bodyDiv w:val="1"/>
      <w:marLeft w:val="0"/>
      <w:marRight w:val="0"/>
      <w:marTop w:val="0"/>
      <w:marBottom w:val="0"/>
      <w:divBdr>
        <w:top w:val="none" w:sz="0" w:space="0" w:color="auto"/>
        <w:left w:val="none" w:sz="0" w:space="0" w:color="auto"/>
        <w:bottom w:val="none" w:sz="0" w:space="0" w:color="auto"/>
        <w:right w:val="none" w:sz="0" w:space="0" w:color="auto"/>
      </w:divBdr>
    </w:div>
    <w:div w:id="2039888683">
      <w:bodyDiv w:val="1"/>
      <w:marLeft w:val="0"/>
      <w:marRight w:val="0"/>
      <w:marTop w:val="0"/>
      <w:marBottom w:val="0"/>
      <w:divBdr>
        <w:top w:val="none" w:sz="0" w:space="0" w:color="auto"/>
        <w:left w:val="none" w:sz="0" w:space="0" w:color="auto"/>
        <w:bottom w:val="none" w:sz="0" w:space="0" w:color="auto"/>
        <w:right w:val="none" w:sz="0" w:space="0" w:color="auto"/>
      </w:divBdr>
    </w:div>
    <w:div w:id="2052797954">
      <w:bodyDiv w:val="1"/>
      <w:marLeft w:val="0"/>
      <w:marRight w:val="0"/>
      <w:marTop w:val="0"/>
      <w:marBottom w:val="0"/>
      <w:divBdr>
        <w:top w:val="none" w:sz="0" w:space="0" w:color="auto"/>
        <w:left w:val="none" w:sz="0" w:space="0" w:color="auto"/>
        <w:bottom w:val="none" w:sz="0" w:space="0" w:color="auto"/>
        <w:right w:val="none" w:sz="0" w:space="0" w:color="auto"/>
      </w:divBdr>
    </w:div>
    <w:div w:id="2090884845">
      <w:bodyDiv w:val="1"/>
      <w:marLeft w:val="0"/>
      <w:marRight w:val="0"/>
      <w:marTop w:val="0"/>
      <w:marBottom w:val="0"/>
      <w:divBdr>
        <w:top w:val="none" w:sz="0" w:space="0" w:color="auto"/>
        <w:left w:val="none" w:sz="0" w:space="0" w:color="auto"/>
        <w:bottom w:val="none" w:sz="0" w:space="0" w:color="auto"/>
        <w:right w:val="none" w:sz="0" w:space="0" w:color="auto"/>
      </w:divBdr>
    </w:div>
    <w:div w:id="2138133393">
      <w:bodyDiv w:val="1"/>
      <w:marLeft w:val="0"/>
      <w:marRight w:val="0"/>
      <w:marTop w:val="0"/>
      <w:marBottom w:val="0"/>
      <w:divBdr>
        <w:top w:val="none" w:sz="0" w:space="0" w:color="auto"/>
        <w:left w:val="none" w:sz="0" w:space="0" w:color="auto"/>
        <w:bottom w:val="none" w:sz="0" w:space="0" w:color="auto"/>
        <w:right w:val="none" w:sz="0" w:space="0" w:color="auto"/>
      </w:divBdr>
    </w:div>
    <w:div w:id="2143040621">
      <w:bodyDiv w:val="1"/>
      <w:marLeft w:val="0"/>
      <w:marRight w:val="0"/>
      <w:marTop w:val="0"/>
      <w:marBottom w:val="0"/>
      <w:divBdr>
        <w:top w:val="none" w:sz="0" w:space="0" w:color="auto"/>
        <w:left w:val="none" w:sz="0" w:space="0" w:color="auto"/>
        <w:bottom w:val="none" w:sz="0" w:space="0" w:color="auto"/>
        <w:right w:val="none" w:sz="0" w:space="0" w:color="auto"/>
      </w:divBdr>
    </w:div>
    <w:div w:id="2145659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2413879@student.uwtsd.ac.uk</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1916b3e8b4cc3796dbba69025601ec34">
  <xsd:schema xmlns:xsd="http://www.w3.org/2001/XMLSchema" xmlns:xs="http://www.w3.org/2001/XMLSchema" xmlns:p="http://schemas.microsoft.com/office/2006/metadata/properties" xmlns:ns3="0085e1a2-9cbf-4b92-866b-21f3c89040b6" targetNamespace="http://schemas.microsoft.com/office/2006/metadata/properties" ma:root="true" ma:fieldsID="9a518c33d83b8f0eb11cca31b5f073a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JKi101</b:Tag>
    <b:SourceType>Report</b:SourceType>
    <b:Guid>{78C83EF2-B769-4429-8AC9-B87543AB5885}</b:Guid>
    <b:Author>
      <b:Author>
        <b:NameList>
          <b:Person>
            <b:Last>Kindervag</b:Last>
            <b:First>J.</b:First>
          </b:Person>
        </b:NameList>
      </b:Author>
    </b:Author>
    <b:Title> No More Chewy Centers: Introducing the Zero Trust Model of Information Security</b:Title>
    <b:Year>2010</b:Year>
    <b:Publisher>Forrester Research</b:Publisher>
    <b:City>Cambridge</b:City>
    <b:RefOrder>8</b:RefOrder>
  </b:Source>
  <b:Source>
    <b:Tag>Gar23</b:Tag>
    <b:SourceType>Report</b:SourceType>
    <b:Guid>{F1405D09-3637-48C5-A281-27D0C836EA80}</b:Guid>
    <b:Author>
      <b:Author>
        <b:NameList>
          <b:Person>
            <b:Last>Gartner</b:Last>
          </b:Person>
        </b:NameList>
      </b:Author>
    </b:Author>
    <b:Title>Implementing Zero Trust: Core Principles and Practical Guidance</b:Title>
    <b:Year>2023</b:Year>
    <b:Publisher>Gartner Research</b:Publisher>
    <b:RefOrder>1</b:RefOrder>
  </b:Source>
  <b:Source>
    <b:Tag>Ama23</b:Tag>
    <b:SourceType>Misc</b:SourceType>
    <b:Guid>{D0E31C5A-D6FD-4E0D-B37D-785DB3219E44}</b:Guid>
    <b:Title>AWS Well‑Architected Framework: Security Pillar</b:Title>
    <b:Year>2023</b:Year>
    <b:Publisher>AWS Documentation</b:Publisher>
    <b:Author>
      <b:Author>
        <b:NameList>
          <b:Person>
            <b:Last>Services</b:Last>
            <b:First>Amazon</b:First>
            <b:Middle>Web</b:Middle>
          </b:Person>
        </b:NameList>
      </b:Author>
    </b:Author>
    <b:RefOrder>2</b:RefOrder>
  </b:Source>
  <b:Source>
    <b:Tag>ENI22</b:Tag>
    <b:SourceType>Report</b:SourceType>
    <b:Guid>{AE057409-AA7A-40DE-9BDC-B5668376CB8D}</b:Guid>
    <b:Title>Cloud Security Posture Management: Addressing Misconfigurations in the Cloud</b:Title>
    <b:Year>2022</b:Year>
    <b:City>Athens</b:City>
    <b:Publisher>European Union Agency for Cybersecurity</b:Publisher>
    <b:Author>
      <b:Author>
        <b:NameList>
          <b:Person>
            <b:Last>ENISA</b:Last>
          </b:Person>
        </b:NameList>
      </b:Author>
    </b:Author>
    <b:RefOrder>3</b:RefOrder>
  </b:Source>
  <b:Source>
    <b:Tag>Cro24</b:Tag>
    <b:SourceType>Report</b:SourceType>
    <b:Guid>{8393C91D-9C32-42CD-8328-7E516F2409EB}</b:Guid>
    <b:Author>
      <b:Author>
        <b:NameList>
          <b:Person>
            <b:Last>Crowdstrike</b:Last>
          </b:Person>
        </b:NameList>
      </b:Author>
    </b:Author>
    <b:Title>2024 Global Threat Report</b:Title>
    <b:Year>2024</b:Year>
    <b:Publisher>CrowdStrike Inc</b:Publisher>
    <b:City>Austin</b:City>
    <b:RefOrder>4</b:RefOrder>
  </b:Source>
  <b:Source>
    <b:Tag>MAA16</b:Tag>
    <b:SourceType>JournalArticle</b:SourceType>
    <b:Guid>{6E3D8C64-A0A8-4EFA-B930-3179CFD5771B}</b:Guid>
    <b:Title>Ransomware threat success factors, taxonomy, and countermeasures</b:Title>
    <b:Year>2016</b:Year>
    <b:Author>
      <b:Author>
        <b:NameList>
          <b:Person>
            <b:Last>M. A. Al‑Rimy</b:Last>
            <b:First>M.</b:First>
            <b:Middle>A. Maarof, and S. Z. M. Shaid</b:Middle>
          </b:Person>
        </b:NameList>
      </b:Author>
    </b:Author>
    <b:JournalName>Computers &amp; Security</b:JournalName>
    <b:Pages>144-166</b:Pages>
    <b:Volume>74</b:Volume>
    <b:RefOrder>5</b:RefOrder>
  </b:Source>
  <b:Source>
    <b:Tag>IBM24</b:Tag>
    <b:SourceType>Report</b:SourceType>
    <b:Guid>{0C362CEB-3817-430F-AA74-70AED67FE42E}</b:Guid>
    <b:Title>Threat Intelligence Index 2024</b:Title>
    <b:Year>2024</b:Year>
    <b:Author>
      <b:Author>
        <b:NameList>
          <b:Person>
            <b:Last>X‑Force</b:Last>
            <b:First>IBM</b:First>
            <b:Middle>Security</b:Middle>
          </b:Person>
        </b:NameList>
      </b:Author>
    </b:Author>
    <b:Publisher>IBM Corporation</b:Publisher>
    <b:RefOrder>6</b:RefOrder>
  </b:Source>
  <b:Source>
    <b:Tag>alA19</b:Tag>
    <b:SourceType>JournalArticle</b:SourceType>
    <b:Guid>{349E2A41-4E16-4706-A347-D640E4BCBBD3}</b:Guid>
    <b:Author>
      <b:Author>
        <b:NameList>
          <b:Person>
            <b:Last>al</b:Last>
            <b:First>A.</b:First>
            <b:Middle>Alshamrani et</b:Middle>
          </b:Person>
        </b:NameList>
      </b:Author>
    </b:Author>
    <b:Title>A survey on advanced persistent threats</b:Title>
    <b:Year>2019</b:Year>
    <b:JournalName>IEEE Communications Surveys &amp; Tutorials</b:JournalName>
    <b:Pages>1851-1877</b:Pages>
    <b:Volume>21</b:Volume>
    <b:Issue>2</b:Issue>
    <b:RefOrder>7</b:RefOrder>
  </b:Source>
  <b:Source>
    <b:Tag>Mic23</b:Tag>
    <b:SourceType>Misc</b:SourceType>
    <b:Guid>{7DC8A142-A906-4068-BF75-3E715884A84F}</b:Guid>
    <b:Title>Azure Security Benchmark v3</b:Title>
    <b:Year>2023</b:Year>
    <b:Publisher>Microsoft Corporation</b:Publisher>
    <b:Author>
      <b:Author>
        <b:NameList>
          <b:Person>
            <b:Last>Microsoft</b:Last>
          </b:Person>
        </b:NameList>
      </b:Author>
    </b:Author>
    <b:RefOrder>9</b:RefOrder>
  </b:Source>
  <b:Source>
    <b:Tag>NIS24</b:Tag>
    <b:SourceType>Misc</b:SourceType>
    <b:Guid>{B0E99C1B-3E15-4EB1-AFE9-E673F32E4357}</b:Guid>
    <b:Author>
      <b:Author>
        <b:NameList>
          <b:Person>
            <b:Last>NIST</b:Last>
          </b:Person>
        </b:NameList>
      </b:Author>
    </b:Author>
    <b:Title>NIST Cybersecurity Framework 2.0</b:Title>
    <b:Year>2024</b:Year>
    <b:Publisher>National Institute of Standards and Technology</b:Publisher>
    <b:RefOrder>10</b:RefOrder>
  </b:Source>
  <b:Source>
    <b:Tag>NIS20</b:Tag>
    <b:SourceType>Misc</b:SourceType>
    <b:Guid>{158BCD90-AB47-4AC1-B8BA-0587AD4D4273}</b:Guid>
    <b:Author>
      <b:Author>
        <b:NameList>
          <b:Person>
            <b:Last>NIST</b:Last>
          </b:Person>
        </b:NameList>
      </b:Author>
    </b:Author>
    <b:Title>NIST Privacy Framework: A Tool for Improving Privacy Through Enterprise Risk Management</b:Title>
    <b:Year>2020</b:Year>
    <b:Publisher>National Institute of Standards and Technology</b:Publisher>
    <b:RefOrder>11</b:RefOrder>
  </b:Source>
  <b:Source>
    <b:Tag>ISO22</b:Tag>
    <b:SourceType>Misc</b:SourceType>
    <b:Guid>{69816C59-3AED-4A42-B80E-0478ABAFEFAF}</b:Guid>
    <b:Author>
      <b:Author>
        <b:NameList>
          <b:Person>
            <b:Last>ISO</b:Last>
          </b:Person>
        </b:NameList>
      </b:Author>
    </b:Author>
    <b:Title>ISO/IEC 27001: Information Security Management Systems Requirements</b:Title>
    <b:Year>2022</b:Year>
    <b:Publisher>International Organization for Standardization</b:Publisher>
    <b:RefOrder>12</b:RefOrder>
  </b:Source>
  <b:Source>
    <b:Tag>NIS201</b:Tag>
    <b:SourceType>Misc</b:SourceType>
    <b:Guid>{46F36634-40EA-4A27-B4A5-FCB77EED1BD8}</b:Guid>
    <b:Author>
      <b:Author>
        <b:NameList>
          <b:Person>
            <b:Last>NIST</b:Last>
          </b:Person>
        </b:NameList>
      </b:Author>
    </b:Author>
    <b:Title>Zero Trust Architecture</b:Title>
    <b:Year>2020</b:Year>
    <b:Publisher>National Institute of Standards and Technology</b:Publisher>
    <b:RefOrder>16</b:RefOrder>
  </b:Source>
  <b:Source>
    <b:Tag>MIT23</b:Tag>
    <b:SourceType>Misc</b:SourceType>
    <b:Guid>{FC999CE3-0273-4522-89D3-D4630D6C337C}</b:Guid>
    <b:Author>
      <b:Author>
        <b:NameList>
          <b:Person>
            <b:Last>Corporation</b:Last>
            <b:First>MITRE</b:First>
          </b:Person>
        </b:NameList>
      </b:Author>
    </b:Author>
    <b:Title>MITRE ATT&amp;CK Cloud Matrix</b:Title>
    <b:Year>2023</b:Year>
    <b:City>MITRE</b:City>
    <b:RefOrder>13</b:RefOrder>
  </b:Source>
  <b:Source>
    <b:Tag>ENI21</b:Tag>
    <b:SourceType>Report</b:SourceType>
    <b:Guid>{5621DFD3-33D1-436C-9220-6B8DF3883D6B}</b:Guid>
    <b:Title>Cybersecurity in the Supply Chain: Threats and Best Practices</b:Title>
    <b:Year>2021</b:Year>
    <b:City>Athens</b:City>
    <b:Publisher>European Union Agency for Cybersecurity</b:Publisher>
    <b:Author>
      <b:Author>
        <b:NameList>
          <b:Person>
            <b:Last>ENISA</b:Last>
          </b:Person>
        </b:NameList>
      </b:Author>
    </b:Author>
    <b:RefOrder>14</b:RefOrder>
  </b:Source>
  <b:Source>
    <b:Tag>YLi20</b:Tag>
    <b:SourceType>JournalArticle</b:SourceType>
    <b:Guid>{C77189B8-F91B-4CB2-BDB8-2B1E1CADE0A3}</b:Guid>
    <b:Title>Trojaning Attack on Neural Networks</b:Title>
    <b:Year>2020</b:Year>
    <b:Author>
      <b:Author>
        <b:NameList>
          <b:Person>
            <b:Last>Y. Liu</b:Last>
            <b:First>X.</b:First>
            <b:Middle>Chen, C. Liu, and D. Song</b:Middle>
          </b:Person>
        </b:NameList>
      </b:Author>
    </b:Author>
    <b:JournalName>IEEE Transactions on Neural Networks and Learning Systems</b:JournalName>
    <b:Pages>2598-2610</b:Pages>
    <b:Volume>31</b:Volum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048B9-6BA0-45DA-9340-771FE084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FF7B4-8D5F-4373-B194-CF4FCD1E206E}">
  <ds:schemaRefs>
    <ds:schemaRef ds:uri="http://schemas.microsoft.com/sharepoint/v3/contenttype/forms"/>
  </ds:schemaRefs>
</ds:datastoreItem>
</file>

<file path=customXml/itemProps4.xml><?xml version="1.0" encoding="utf-8"?>
<ds:datastoreItem xmlns:ds="http://schemas.openxmlformats.org/officeDocument/2006/customXml" ds:itemID="{F3873FB8-ED77-4F2B-BD1F-4495EF7E3EF9}">
  <ds:schemaRefs>
    <ds:schemaRef ds:uri="http://schemas.microsoft.com/office/2006/metadata/properties"/>
    <ds:schemaRef ds:uri="http://schemas.microsoft.com/office/infopath/2007/PartnerControls"/>
    <ds:schemaRef ds:uri="0085e1a2-9cbf-4b92-866b-21f3c89040b6"/>
  </ds:schemaRefs>
</ds:datastoreItem>
</file>

<file path=customXml/itemProps5.xml><?xml version="1.0" encoding="utf-8"?>
<ds:datastoreItem xmlns:ds="http://schemas.openxmlformats.org/officeDocument/2006/customXml" ds:itemID="{FE266909-8267-453E-8B29-5FE854362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19</Pages>
  <Words>6002</Words>
  <Characters>34218</Characters>
  <Application>Microsoft Office Word</Application>
  <DocSecurity>0</DocSecurity>
  <Lines>285</Lines>
  <Paragraphs>80</Paragraphs>
  <ScaleCrop>false</ScaleCrop>
  <Company>UWTSD</Company>
  <LinksUpToDate>false</LinksUpToDate>
  <CharactersWithSpaces>40140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
  <dc:creator>Shane Groves</dc:creator>
  <cp:keywords/>
  <dc:description/>
  <cp:lastModifiedBy>Shane Groves (2413879)</cp:lastModifiedBy>
  <cp:revision>110</cp:revision>
  <dcterms:created xsi:type="dcterms:W3CDTF">2026-07-06T10:59:00Z</dcterms:created>
  <dcterms:modified xsi:type="dcterms:W3CDTF">2026-07-26T15:45:00Z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