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D323D0" w14:textId="54189D94" w:rsidR="00010BCF" w:rsidRPr="00010BCF" w:rsidRDefault="00010BCF" w:rsidP="00010BCF">
      <w:pPr>
        <w:jc w:val="center"/>
        <w:rPr>
          <w:bCs/>
          <w:sz w:val="36"/>
          <w:szCs w:val="36"/>
          <w:lang w:val="en-US"/>
        </w:rPr>
      </w:pPr>
      <w:r w:rsidRPr="00010BCF">
        <w:rPr>
          <w:rFonts w:ascii="Arial" w:eastAsia="Arial" w:hAnsi="Arial" w:cs="Arial"/>
          <w:b/>
          <w:sz w:val="36"/>
          <w:szCs w:val="36"/>
        </w:rPr>
        <w:t>Title</w:t>
      </w:r>
      <w:r>
        <w:rPr>
          <w:rFonts w:ascii="Arial" w:eastAsia="Arial" w:hAnsi="Arial" w:cs="Arial"/>
          <w:bCs/>
          <w:sz w:val="36"/>
          <w:szCs w:val="36"/>
        </w:rPr>
        <w:t>:</w:t>
      </w:r>
      <w:r w:rsidRPr="00010BCF">
        <w:rPr>
          <w:bCs/>
          <w:sz w:val="36"/>
          <w:szCs w:val="36"/>
          <w:lang w:val="en-US"/>
        </w:rPr>
        <w:t>FEASIBILITY STUDY OF WINTER SUMMIT LEADERSHIP CONFERENCE</w:t>
      </w:r>
    </w:p>
    <w:p w14:paraId="0145DA78" w14:textId="590F7A2E" w:rsidR="00010BCF" w:rsidRPr="00010BCF" w:rsidRDefault="00010BCF" w:rsidP="00010BCF">
      <w:pPr>
        <w:jc w:val="center"/>
        <w:rPr>
          <w:rFonts w:ascii="Arial" w:hAnsi="Arial" w:cs="Arial"/>
          <w:bCs/>
          <w:sz w:val="36"/>
          <w:szCs w:val="36"/>
        </w:rPr>
      </w:pPr>
      <w:r w:rsidRPr="00010BCF">
        <w:rPr>
          <w:rFonts w:ascii="Arial" w:hAnsi="Arial" w:cs="Arial"/>
          <w:b/>
          <w:sz w:val="36"/>
          <w:szCs w:val="36"/>
        </w:rPr>
        <w:t>Module</w:t>
      </w:r>
      <w:r w:rsidRPr="00010BCF">
        <w:rPr>
          <w:rFonts w:ascii="Arial" w:hAnsi="Arial" w:cs="Arial"/>
          <w:bCs/>
          <w:sz w:val="36"/>
          <w:szCs w:val="36"/>
        </w:rPr>
        <w:t>: International Meetings Management  for the</w:t>
      </w:r>
    </w:p>
    <w:p w14:paraId="6FDACE09" w14:textId="5AFC4E12" w:rsidR="00010BCF" w:rsidRPr="00010BCF" w:rsidRDefault="00010BCF" w:rsidP="00010BCF">
      <w:pPr>
        <w:jc w:val="center"/>
        <w:rPr>
          <w:rFonts w:ascii="Arial" w:hAnsi="Arial" w:cs="Arial"/>
          <w:bCs/>
          <w:sz w:val="36"/>
          <w:szCs w:val="36"/>
        </w:rPr>
      </w:pPr>
      <w:r w:rsidRPr="00010BCF">
        <w:rPr>
          <w:rFonts w:ascii="Arial" w:hAnsi="Arial" w:cs="Arial"/>
          <w:bCs/>
          <w:sz w:val="36"/>
          <w:szCs w:val="36"/>
        </w:rPr>
        <w:t>Hotel Industry</w:t>
      </w:r>
    </w:p>
    <w:p w14:paraId="7520EC58" w14:textId="381F2210" w:rsidR="00010BCF" w:rsidRPr="00010BCF" w:rsidRDefault="00010BCF" w:rsidP="00010BCF">
      <w:pPr>
        <w:jc w:val="center"/>
        <w:rPr>
          <w:bCs/>
          <w:sz w:val="36"/>
          <w:szCs w:val="36"/>
          <w:lang w:val="en-US"/>
        </w:rPr>
      </w:pPr>
    </w:p>
    <w:p w14:paraId="37109DCB" w14:textId="16162D1D" w:rsidR="00010BCF" w:rsidRPr="00010BCF" w:rsidRDefault="00010BCF" w:rsidP="00010BCF">
      <w:pPr>
        <w:spacing w:line="480" w:lineRule="auto"/>
        <w:jc w:val="center"/>
        <w:rPr>
          <w:rFonts w:ascii="Arial" w:hAnsi="Arial" w:cs="Arial"/>
          <w:bCs/>
          <w:color w:val="1F1F1F"/>
          <w:sz w:val="36"/>
          <w:szCs w:val="36"/>
          <w:shd w:val="clear" w:color="auto" w:fill="FFFFFF"/>
        </w:rPr>
      </w:pPr>
      <w:r w:rsidRPr="00010BCF">
        <w:rPr>
          <w:rFonts w:ascii="Arial" w:hAnsi="Arial" w:cs="Arial"/>
          <w:b/>
          <w:color w:val="1F1F1F"/>
          <w:sz w:val="36"/>
          <w:szCs w:val="36"/>
          <w:shd w:val="clear" w:color="auto" w:fill="FFFFFF"/>
        </w:rPr>
        <w:t>Module Code</w:t>
      </w:r>
      <w:r w:rsidRPr="00010BCF">
        <w:rPr>
          <w:rFonts w:ascii="Arial" w:hAnsi="Arial" w:cs="Arial"/>
          <w:bCs/>
          <w:color w:val="1F1F1F"/>
          <w:sz w:val="36"/>
          <w:szCs w:val="36"/>
          <w:shd w:val="clear" w:color="auto" w:fill="FFFFFF"/>
        </w:rPr>
        <w:t>:BMIH6007</w:t>
      </w:r>
    </w:p>
    <w:p w14:paraId="2DAFBE0C" w14:textId="54ACEA49" w:rsidR="00010BCF" w:rsidRPr="00010BCF" w:rsidRDefault="00010BCF" w:rsidP="00010BCF">
      <w:pPr>
        <w:spacing w:line="480" w:lineRule="auto"/>
        <w:jc w:val="center"/>
        <w:rPr>
          <w:rFonts w:ascii="Arial" w:hAnsi="Arial" w:cs="Arial"/>
          <w:bCs/>
          <w:color w:val="1F1F1F"/>
          <w:sz w:val="36"/>
          <w:szCs w:val="36"/>
          <w:shd w:val="clear" w:color="auto" w:fill="FFFFFF"/>
        </w:rPr>
      </w:pPr>
      <w:r w:rsidRPr="00010BCF">
        <w:rPr>
          <w:rFonts w:ascii="Arial" w:hAnsi="Arial" w:cs="Arial"/>
          <w:b/>
          <w:color w:val="1F1F1F"/>
          <w:sz w:val="36"/>
          <w:szCs w:val="36"/>
          <w:shd w:val="clear" w:color="auto" w:fill="FFFFFF"/>
        </w:rPr>
        <w:t>Lecturer</w:t>
      </w:r>
      <w:r w:rsidRPr="00010BCF">
        <w:rPr>
          <w:rFonts w:ascii="Arial" w:hAnsi="Arial" w:cs="Arial"/>
          <w:bCs/>
          <w:color w:val="1F1F1F"/>
          <w:sz w:val="36"/>
          <w:szCs w:val="36"/>
          <w:shd w:val="clear" w:color="auto" w:fill="FFFFFF"/>
        </w:rPr>
        <w:t>: Kathryn Flynn</w:t>
      </w:r>
    </w:p>
    <w:p w14:paraId="4A1A93D9" w14:textId="564B536D" w:rsidR="00010BCF" w:rsidRPr="00010BCF" w:rsidRDefault="00010BCF" w:rsidP="00010BCF">
      <w:pPr>
        <w:spacing w:line="480" w:lineRule="auto"/>
        <w:jc w:val="center"/>
        <w:rPr>
          <w:rFonts w:ascii="Arial" w:hAnsi="Arial" w:cs="Arial"/>
          <w:bCs/>
          <w:color w:val="1F1F1F"/>
          <w:sz w:val="36"/>
          <w:szCs w:val="36"/>
          <w:shd w:val="clear" w:color="auto" w:fill="FFFFFF"/>
        </w:rPr>
      </w:pPr>
      <w:r w:rsidRPr="00010BCF">
        <w:rPr>
          <w:rFonts w:ascii="Arial" w:hAnsi="Arial" w:cs="Arial"/>
          <w:b/>
          <w:color w:val="1F1F1F"/>
          <w:sz w:val="36"/>
          <w:szCs w:val="36"/>
          <w:shd w:val="clear" w:color="auto" w:fill="FFFFFF"/>
        </w:rPr>
        <w:t>Student Name</w:t>
      </w:r>
      <w:r w:rsidRPr="00010BCF">
        <w:rPr>
          <w:rFonts w:ascii="Arial" w:hAnsi="Arial" w:cs="Arial"/>
          <w:bCs/>
          <w:color w:val="1F1F1F"/>
          <w:sz w:val="36"/>
          <w:szCs w:val="36"/>
          <w:shd w:val="clear" w:color="auto" w:fill="FFFFFF"/>
        </w:rPr>
        <w:t>: Adriana Daciana Petran</w:t>
      </w:r>
    </w:p>
    <w:p w14:paraId="78A6BC3A" w14:textId="42F43019" w:rsidR="00010BCF" w:rsidRPr="00010BCF" w:rsidRDefault="00010BCF" w:rsidP="00010BCF">
      <w:pPr>
        <w:spacing w:line="480" w:lineRule="auto"/>
        <w:jc w:val="center"/>
        <w:rPr>
          <w:rFonts w:ascii="Arial" w:hAnsi="Arial" w:cs="Arial"/>
          <w:bCs/>
          <w:sz w:val="36"/>
          <w:szCs w:val="36"/>
        </w:rPr>
      </w:pPr>
      <w:r w:rsidRPr="00010BCF">
        <w:rPr>
          <w:rFonts w:ascii="Arial" w:hAnsi="Arial" w:cs="Arial"/>
          <w:b/>
          <w:color w:val="1F1F1F"/>
          <w:sz w:val="36"/>
          <w:szCs w:val="36"/>
          <w:shd w:val="clear" w:color="auto" w:fill="FFFFFF"/>
        </w:rPr>
        <w:t>Student ID</w:t>
      </w:r>
      <w:r w:rsidRPr="00010BCF">
        <w:rPr>
          <w:rFonts w:ascii="Arial" w:hAnsi="Arial" w:cs="Arial"/>
          <w:bCs/>
          <w:color w:val="1F1F1F"/>
          <w:sz w:val="36"/>
          <w:szCs w:val="36"/>
          <w:shd w:val="clear" w:color="auto" w:fill="FFFFFF"/>
        </w:rPr>
        <w:t>:2210809</w:t>
      </w:r>
    </w:p>
    <w:p w14:paraId="2FC02542" w14:textId="77777777" w:rsidR="00010BCF" w:rsidRDefault="00010BCF" w:rsidP="00010BCF">
      <w:pPr>
        <w:jc w:val="center"/>
        <w:rPr>
          <w:bCs/>
          <w:sz w:val="40"/>
          <w:szCs w:val="40"/>
        </w:rPr>
      </w:pPr>
    </w:p>
    <w:p w14:paraId="131A2400" w14:textId="77777777" w:rsidR="00010BCF" w:rsidRDefault="00010BCF" w:rsidP="00010BCF">
      <w:pPr>
        <w:jc w:val="center"/>
        <w:rPr>
          <w:bCs/>
          <w:sz w:val="40"/>
          <w:szCs w:val="40"/>
        </w:rPr>
      </w:pPr>
    </w:p>
    <w:p w14:paraId="7D2E3989" w14:textId="77777777" w:rsidR="00010BCF" w:rsidRDefault="00010BCF" w:rsidP="00010BCF">
      <w:pPr>
        <w:jc w:val="center"/>
        <w:rPr>
          <w:bCs/>
          <w:sz w:val="40"/>
          <w:szCs w:val="40"/>
        </w:rPr>
      </w:pPr>
    </w:p>
    <w:p w14:paraId="603474ED" w14:textId="77777777" w:rsidR="00010BCF" w:rsidRDefault="00010BCF" w:rsidP="00010BCF">
      <w:pPr>
        <w:jc w:val="center"/>
        <w:rPr>
          <w:bCs/>
          <w:sz w:val="40"/>
          <w:szCs w:val="40"/>
        </w:rPr>
      </w:pPr>
    </w:p>
    <w:p w14:paraId="7CBEF3AD" w14:textId="77777777" w:rsidR="00010BCF" w:rsidRDefault="00010BCF" w:rsidP="00010BCF">
      <w:pPr>
        <w:jc w:val="center"/>
        <w:rPr>
          <w:bCs/>
          <w:sz w:val="40"/>
          <w:szCs w:val="40"/>
        </w:rPr>
      </w:pPr>
    </w:p>
    <w:p w14:paraId="797AD408" w14:textId="77777777" w:rsidR="00010BCF" w:rsidRDefault="00010BCF" w:rsidP="00010BCF">
      <w:pPr>
        <w:jc w:val="center"/>
        <w:rPr>
          <w:bCs/>
          <w:sz w:val="40"/>
          <w:szCs w:val="40"/>
        </w:rPr>
      </w:pPr>
    </w:p>
    <w:p w14:paraId="47E251C8" w14:textId="77777777" w:rsidR="00010BCF" w:rsidRDefault="00010BCF" w:rsidP="00010BCF">
      <w:pPr>
        <w:jc w:val="center"/>
        <w:rPr>
          <w:bCs/>
          <w:sz w:val="40"/>
          <w:szCs w:val="40"/>
        </w:rPr>
      </w:pPr>
    </w:p>
    <w:p w14:paraId="4B27B37F" w14:textId="77777777" w:rsidR="00010BCF" w:rsidRDefault="00010BCF" w:rsidP="00010BCF">
      <w:pPr>
        <w:jc w:val="center"/>
        <w:rPr>
          <w:bCs/>
          <w:sz w:val="40"/>
          <w:szCs w:val="40"/>
        </w:rPr>
      </w:pPr>
    </w:p>
    <w:p w14:paraId="10F53FAF" w14:textId="43D66591" w:rsidR="00010BCF" w:rsidRDefault="0042359C" w:rsidP="00010BCF">
      <w:pPr>
        <w:jc w:val="center"/>
        <w:rPr>
          <w:bCs/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13034DD6" wp14:editId="1FD58056">
            <wp:extent cx="5731510" cy="3223895"/>
            <wp:effectExtent l="0" t="0" r="0" b="0"/>
            <wp:docPr id="13234335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433573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4EE631" w14:textId="0775160A" w:rsidR="0042359C" w:rsidRDefault="0042359C" w:rsidP="00010BCF">
      <w:pPr>
        <w:jc w:val="center"/>
        <w:rPr>
          <w:bCs/>
          <w:sz w:val="40"/>
          <w:szCs w:val="40"/>
        </w:rPr>
      </w:pPr>
      <w:r>
        <w:rPr>
          <w:noProof/>
        </w:rPr>
        <w:drawing>
          <wp:inline distT="0" distB="0" distL="0" distR="0" wp14:anchorId="31DB2F03" wp14:editId="7F6B6F86">
            <wp:extent cx="5731510" cy="3223895"/>
            <wp:effectExtent l="0" t="0" r="0" b="0"/>
            <wp:docPr id="161105938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059385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4D2D8" w14:textId="77777777" w:rsidR="00010BCF" w:rsidRDefault="00010BCF" w:rsidP="00010BCF">
      <w:pPr>
        <w:jc w:val="center"/>
        <w:rPr>
          <w:bCs/>
          <w:sz w:val="40"/>
          <w:szCs w:val="40"/>
        </w:rPr>
      </w:pPr>
    </w:p>
    <w:p w14:paraId="50FE3649" w14:textId="3BDAD674" w:rsidR="00010BCF" w:rsidRDefault="0042359C" w:rsidP="00010BCF">
      <w:pPr>
        <w:jc w:val="center"/>
        <w:rPr>
          <w:bCs/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5561E466" wp14:editId="098F3547">
            <wp:extent cx="5731510" cy="3223895"/>
            <wp:effectExtent l="0" t="0" r="0" b="0"/>
            <wp:docPr id="15021353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2135315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F3FEC" w14:textId="77777777" w:rsidR="00010BCF" w:rsidRDefault="00010BCF" w:rsidP="00010BCF">
      <w:pPr>
        <w:jc w:val="center"/>
        <w:rPr>
          <w:bCs/>
          <w:sz w:val="40"/>
          <w:szCs w:val="40"/>
        </w:rPr>
      </w:pPr>
    </w:p>
    <w:p w14:paraId="35E95C8D" w14:textId="77777777" w:rsidR="00010BCF" w:rsidRDefault="00010BCF" w:rsidP="00010BCF">
      <w:pPr>
        <w:jc w:val="center"/>
        <w:rPr>
          <w:bCs/>
          <w:sz w:val="40"/>
          <w:szCs w:val="40"/>
        </w:rPr>
      </w:pPr>
    </w:p>
    <w:p w14:paraId="40E038BB" w14:textId="75CF30C3" w:rsidR="00010BCF" w:rsidRDefault="0042359C" w:rsidP="00010BCF">
      <w:pPr>
        <w:jc w:val="center"/>
        <w:rPr>
          <w:bCs/>
          <w:sz w:val="40"/>
          <w:szCs w:val="40"/>
        </w:rPr>
      </w:pPr>
      <w:r>
        <w:rPr>
          <w:noProof/>
        </w:rPr>
        <w:drawing>
          <wp:inline distT="0" distB="0" distL="0" distR="0" wp14:anchorId="288E9E41" wp14:editId="6CFCAEEB">
            <wp:extent cx="5731510" cy="3223895"/>
            <wp:effectExtent l="0" t="0" r="0" b="0"/>
            <wp:docPr id="63334729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347298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DDC09" w14:textId="77777777" w:rsidR="00010BCF" w:rsidRDefault="00010BCF" w:rsidP="00010BCF">
      <w:pPr>
        <w:jc w:val="center"/>
        <w:rPr>
          <w:bCs/>
          <w:sz w:val="40"/>
          <w:szCs w:val="40"/>
        </w:rPr>
      </w:pPr>
    </w:p>
    <w:p w14:paraId="2AE62AE9" w14:textId="6D18571E" w:rsidR="00010BCF" w:rsidRDefault="0042359C" w:rsidP="00010BCF">
      <w:pPr>
        <w:jc w:val="center"/>
        <w:rPr>
          <w:bCs/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59D3105C" wp14:editId="10405CFC">
            <wp:extent cx="5731510" cy="3223895"/>
            <wp:effectExtent l="0" t="0" r="0" b="0"/>
            <wp:docPr id="4868079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6807977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7DCC73" w14:textId="0520F09B" w:rsidR="0042359C" w:rsidRDefault="0042359C" w:rsidP="00010BCF">
      <w:pPr>
        <w:jc w:val="center"/>
        <w:rPr>
          <w:bCs/>
          <w:sz w:val="40"/>
          <w:szCs w:val="40"/>
        </w:rPr>
      </w:pPr>
      <w:r>
        <w:rPr>
          <w:noProof/>
        </w:rPr>
        <w:drawing>
          <wp:inline distT="0" distB="0" distL="0" distR="0" wp14:anchorId="5BBB21C1" wp14:editId="384E52D3">
            <wp:extent cx="5731510" cy="3223895"/>
            <wp:effectExtent l="0" t="0" r="0" b="0"/>
            <wp:docPr id="12420115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2011593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3D2B1" w14:textId="4D9408BF" w:rsidR="0042359C" w:rsidRDefault="0042359C" w:rsidP="00010BCF">
      <w:pPr>
        <w:jc w:val="center"/>
        <w:rPr>
          <w:bCs/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43206E30" wp14:editId="712381A1">
            <wp:extent cx="5731510" cy="3223895"/>
            <wp:effectExtent l="0" t="0" r="0" b="0"/>
            <wp:docPr id="6790877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9087774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22500" w14:textId="5B5CF4AF" w:rsidR="0042359C" w:rsidRDefault="0042359C" w:rsidP="00010BCF">
      <w:pPr>
        <w:jc w:val="center"/>
        <w:rPr>
          <w:bCs/>
          <w:sz w:val="40"/>
          <w:szCs w:val="40"/>
        </w:rPr>
      </w:pPr>
      <w:r>
        <w:rPr>
          <w:noProof/>
        </w:rPr>
        <w:drawing>
          <wp:inline distT="0" distB="0" distL="0" distR="0" wp14:anchorId="1823B7DE" wp14:editId="30E77279">
            <wp:extent cx="5731510" cy="3223895"/>
            <wp:effectExtent l="0" t="0" r="0" b="0"/>
            <wp:docPr id="199442732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4427329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CAAF8" w14:textId="1D3A01F0" w:rsidR="0042359C" w:rsidRDefault="0042359C" w:rsidP="00010BCF">
      <w:pPr>
        <w:jc w:val="center"/>
        <w:rPr>
          <w:bCs/>
          <w:sz w:val="40"/>
          <w:szCs w:val="40"/>
        </w:rPr>
      </w:pPr>
      <w:r>
        <w:rPr>
          <w:noProof/>
        </w:rPr>
        <w:lastRenderedPageBreak/>
        <w:drawing>
          <wp:inline distT="0" distB="0" distL="0" distR="0" wp14:anchorId="556915E6" wp14:editId="26078532">
            <wp:extent cx="5731510" cy="3223895"/>
            <wp:effectExtent l="0" t="0" r="0" b="0"/>
            <wp:docPr id="6633699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36991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C93EE" w14:textId="3441053C" w:rsidR="0042359C" w:rsidRDefault="0042359C" w:rsidP="00010BCF">
      <w:pPr>
        <w:jc w:val="center"/>
        <w:rPr>
          <w:bCs/>
          <w:sz w:val="40"/>
          <w:szCs w:val="40"/>
        </w:rPr>
      </w:pPr>
      <w:r>
        <w:rPr>
          <w:noProof/>
        </w:rPr>
        <w:drawing>
          <wp:inline distT="0" distB="0" distL="0" distR="0" wp14:anchorId="3D72AA36" wp14:editId="750553CF">
            <wp:extent cx="5731510" cy="3223895"/>
            <wp:effectExtent l="0" t="0" r="0" b="0"/>
            <wp:docPr id="7774667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7466726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6BA94" w14:textId="77777777" w:rsidR="0042359C" w:rsidRDefault="0042359C" w:rsidP="00010BCF">
      <w:pPr>
        <w:jc w:val="center"/>
        <w:rPr>
          <w:bCs/>
          <w:sz w:val="40"/>
          <w:szCs w:val="40"/>
        </w:rPr>
      </w:pPr>
    </w:p>
    <w:p w14:paraId="48213F8F" w14:textId="77777777" w:rsidR="0042359C" w:rsidRDefault="0042359C" w:rsidP="00010BCF">
      <w:pPr>
        <w:jc w:val="center"/>
        <w:rPr>
          <w:bCs/>
          <w:sz w:val="40"/>
          <w:szCs w:val="40"/>
        </w:rPr>
      </w:pPr>
    </w:p>
    <w:p w14:paraId="527D1E72" w14:textId="58B7624C" w:rsidR="0042359C" w:rsidRDefault="0042359C" w:rsidP="0042359C">
      <w:pPr>
        <w:pStyle w:val="Heading1"/>
        <w:spacing w:before="0" w:after="0"/>
      </w:pPr>
    </w:p>
    <w:p w14:paraId="36F6B570" w14:textId="77777777" w:rsidR="0042359C" w:rsidRDefault="0042359C" w:rsidP="0042359C"/>
    <w:p w14:paraId="326856A7" w14:textId="77777777" w:rsidR="0042359C" w:rsidRDefault="0042359C" w:rsidP="0042359C"/>
    <w:p w14:paraId="5D5849B7" w14:textId="00E8F133" w:rsidR="0042359C" w:rsidRDefault="0042359C" w:rsidP="0042359C">
      <w:pPr>
        <w:jc w:val="center"/>
        <w:rPr>
          <w:b/>
          <w:bCs/>
          <w:sz w:val="40"/>
          <w:szCs w:val="40"/>
        </w:rPr>
      </w:pPr>
      <w:r w:rsidRPr="0042359C">
        <w:rPr>
          <w:b/>
          <w:bCs/>
          <w:sz w:val="40"/>
          <w:szCs w:val="40"/>
        </w:rPr>
        <w:lastRenderedPageBreak/>
        <w:t>References</w:t>
      </w:r>
    </w:p>
    <w:p w14:paraId="7FB5EA42" w14:textId="77777777" w:rsidR="00F45238" w:rsidRDefault="00F45238" w:rsidP="0042359C">
      <w:pPr>
        <w:jc w:val="center"/>
        <w:rPr>
          <w:b/>
          <w:bCs/>
          <w:sz w:val="40"/>
          <w:szCs w:val="40"/>
        </w:rPr>
      </w:pPr>
    </w:p>
    <w:p w14:paraId="5397ED38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t xml:space="preserve">Adams, R.V. and Blair, E., 2019. Impact of time management behaviors on undergraduate engineering students’ performance. Sage Open, 9(1), pp.1-11. </w:t>
      </w:r>
    </w:p>
    <w:p w14:paraId="06745610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t xml:space="preserve">Antretter, T., Sirén, C., Grichnik, D. and Wincent, J., 2020. Should business angels diversify their investment portfolios to achieve higher performance? The role of knowledge access through co-investment networks. Journal of Business Venturing, 35(5), pp.1-1. </w:t>
      </w:r>
    </w:p>
    <w:p w14:paraId="381659B0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t xml:space="preserve">Assembly Rooms, 2024. </w:t>
      </w:r>
      <w:r w:rsidRPr="00FB4B42">
        <w:rPr>
          <w:i/>
          <w:iCs/>
        </w:rPr>
        <w:t>About us</w:t>
      </w:r>
      <w:r w:rsidRPr="00FB4B42">
        <w:t>. Available at: https://www.assemblyroomsedinburgh.co.uk/about-us [Accessed on 2nd October 2024]</w:t>
      </w:r>
    </w:p>
    <w:p w14:paraId="4C7B7F6A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t xml:space="preserve">Belanche, D., Casaló, L.V., Flavián, M. and Ibáñez-Sánchez, </w:t>
      </w:r>
      <w:r w:rsidRPr="00FB4B42">
        <w:t xml:space="preserve">S., 2021. Understanding influencer marketing: The role of congruence between influencers, products, and consumers. Journal of Business Research, 132, pp.186-195. </w:t>
      </w:r>
    </w:p>
    <w:p w14:paraId="38D3F47A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rPr>
          <w:lang w:val="en-US"/>
        </w:rPr>
        <w:t>Bladen, C., Kennell, J., Abson, E. and Wilde, N., 2022. </w:t>
      </w:r>
      <w:r w:rsidRPr="00FB4B42">
        <w:rPr>
          <w:i/>
          <w:iCs/>
          <w:lang w:val="en-US"/>
        </w:rPr>
        <w:t>Events management: An introduction</w:t>
      </w:r>
      <w:r w:rsidRPr="00FB4B42">
        <w:rPr>
          <w:lang w:val="en-US"/>
        </w:rPr>
        <w:t>. Routledge.</w:t>
      </w:r>
    </w:p>
    <w:p w14:paraId="3656C689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rPr>
          <w:lang w:val="en-US"/>
        </w:rPr>
        <w:t>Denney, V., Haley, G., Rivera, E. and Watkins, D.V., 2020. Project management leadership and interpersonal skills: The past, present, and future. </w:t>
      </w:r>
      <w:r w:rsidRPr="00FB4B42">
        <w:rPr>
          <w:i/>
          <w:iCs/>
          <w:lang w:val="en-US"/>
        </w:rPr>
        <w:t>Global Journal of Management and Marketing</w:t>
      </w:r>
      <w:r w:rsidRPr="00FB4B42">
        <w:rPr>
          <w:lang w:val="en-US"/>
        </w:rPr>
        <w:t>, </w:t>
      </w:r>
      <w:r w:rsidRPr="00FB4B42">
        <w:rPr>
          <w:i/>
          <w:iCs/>
          <w:lang w:val="en-US"/>
        </w:rPr>
        <w:t>4</w:t>
      </w:r>
      <w:r w:rsidRPr="00FB4B42">
        <w:rPr>
          <w:lang w:val="en-US"/>
        </w:rPr>
        <w:t>(1), p.135.</w:t>
      </w:r>
    </w:p>
    <w:p w14:paraId="3A0B43EC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rPr>
          <w:lang w:val="en-US"/>
        </w:rPr>
        <w:t>Eva, N., Cox, J.W., Herman, H.M. and Lowe, K.B., 2021. From competency to conversation: A multi-perspective approach to collective leadership development. </w:t>
      </w:r>
      <w:r w:rsidRPr="00FB4B42">
        <w:rPr>
          <w:i/>
          <w:iCs/>
          <w:lang w:val="en-US"/>
        </w:rPr>
        <w:t>The leadership quarterly</w:t>
      </w:r>
      <w:r w:rsidRPr="00FB4B42">
        <w:rPr>
          <w:lang w:val="en-US"/>
        </w:rPr>
        <w:t>, </w:t>
      </w:r>
      <w:r w:rsidRPr="00FB4B42">
        <w:rPr>
          <w:i/>
          <w:iCs/>
          <w:lang w:val="en-US"/>
        </w:rPr>
        <w:t>32</w:t>
      </w:r>
      <w:r w:rsidRPr="00FB4B42">
        <w:rPr>
          <w:lang w:val="en-US"/>
        </w:rPr>
        <w:t>(5), p.101346.</w:t>
      </w:r>
    </w:p>
    <w:p w14:paraId="5D397984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t xml:space="preserve">Forbes, J, 2024. </w:t>
      </w:r>
      <w:r w:rsidRPr="00FB4B42">
        <w:rPr>
          <w:i/>
          <w:iCs/>
        </w:rPr>
        <w:t>The Leadership Conferences to Keep On Your Radar In 2024</w:t>
      </w:r>
      <w:r w:rsidRPr="00FB4B42">
        <w:t>. Available at: https://www.forbes.com/sites/johnhall/2024/02/11/the-leadership-conferences-to-keep-on-your-radar-in-2024/ [Accessed on 2nd October 2024]</w:t>
      </w:r>
    </w:p>
    <w:p w14:paraId="00F7B36B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t xml:space="preserve">Forever Edinburgh, 2024. </w:t>
      </w:r>
      <w:r w:rsidRPr="00FB4B42">
        <w:rPr>
          <w:i/>
          <w:iCs/>
        </w:rPr>
        <w:t>Accessible Edinburgh</w:t>
      </w:r>
      <w:r w:rsidRPr="00FB4B42">
        <w:t>. Available at: https://edinburgh.org/planning/local-information/accessible-edinburgh/#:~:text=Largely%20accessible%20to%20wheelchair%20users,place%20to%20spend%20the%20day. [Accessed on 2nd October 2024]</w:t>
      </w:r>
    </w:p>
    <w:p w14:paraId="39AACA04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t xml:space="preserve">Fox &amp; Co, 2024. </w:t>
      </w:r>
      <w:r w:rsidRPr="00FB4B42">
        <w:rPr>
          <w:i/>
          <w:iCs/>
        </w:rPr>
        <w:t>About</w:t>
      </w:r>
      <w:r w:rsidRPr="00FB4B42">
        <w:t xml:space="preserve">. Available at: </w:t>
      </w:r>
      <w:r w:rsidRPr="00FB4B42">
        <w:t>https://foxcaterers.uk/ [Accessed on 2nd October 2024]</w:t>
      </w:r>
    </w:p>
    <w:p w14:paraId="6814D37E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t>Getz, D., and Page, S.J., 2019. Event studies: Theory, research, and policy for planned events. 3</w:t>
      </w:r>
      <w:r w:rsidRPr="00FB4B42">
        <w:rPr>
          <w:vertAlign w:val="superscript"/>
        </w:rPr>
        <w:t>rd</w:t>
      </w:r>
      <w:r w:rsidRPr="00FB4B42">
        <w:t xml:space="preserve"> Edition. Routledge: Oxford. </w:t>
      </w:r>
    </w:p>
    <w:p w14:paraId="02027E7D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t xml:space="preserve">Goh, E. and Lee, C., 2018. A workforce to be reckoned with: The emerging pivotal Generation Z hospitality workforce. International Journal of Hospitality Management, 73, pp.20-28. </w:t>
      </w:r>
    </w:p>
    <w:p w14:paraId="34BB4299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t xml:space="preserve">Gov.UK, 2024. </w:t>
      </w:r>
      <w:r w:rsidRPr="00FB4B42">
        <w:rPr>
          <w:i/>
          <w:iCs/>
        </w:rPr>
        <w:t xml:space="preserve">Disability rights. </w:t>
      </w:r>
      <w:r w:rsidRPr="00FB4B42">
        <w:t>Available at: https://www.gov.uk/rights-disabled-person [Accessed on 2nd October 2024]</w:t>
      </w:r>
    </w:p>
    <w:p w14:paraId="0EF6C27A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rPr>
          <w:lang w:val="en-US"/>
        </w:rPr>
        <w:lastRenderedPageBreak/>
        <w:t>Mastos, T.D., Nizamis, A., Vafeiadis, T., Alexopoulos, N., Ntinas, C., Gkortzis, D., Papadopoulos, A., Ioannidis, D. and Tzovaras, D., 2020. Industry 4.0 sustainable supply chains: An application of an IoT enabled scrap metal management solution. </w:t>
      </w:r>
      <w:r w:rsidRPr="00FB4B42">
        <w:rPr>
          <w:i/>
          <w:iCs/>
          <w:lang w:val="en-US"/>
        </w:rPr>
        <w:t>Journal of cleaner production</w:t>
      </w:r>
      <w:r w:rsidRPr="00FB4B42">
        <w:rPr>
          <w:lang w:val="en-US"/>
        </w:rPr>
        <w:t>, </w:t>
      </w:r>
      <w:r w:rsidRPr="00FB4B42">
        <w:rPr>
          <w:i/>
          <w:iCs/>
          <w:lang w:val="en-US"/>
        </w:rPr>
        <w:t>269</w:t>
      </w:r>
      <w:r w:rsidRPr="00FB4B42">
        <w:rPr>
          <w:lang w:val="en-US"/>
        </w:rPr>
        <w:t>, p.122377.</w:t>
      </w:r>
    </w:p>
    <w:p w14:paraId="2B8F731A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t xml:space="preserve">Restaurantonline.co.uk, 2024. </w:t>
      </w:r>
      <w:r w:rsidRPr="00FB4B42">
        <w:rPr>
          <w:i/>
          <w:iCs/>
        </w:rPr>
        <w:t>Edinburgh Tourism Showcase helps hospitality businesses warm up for winter</w:t>
      </w:r>
      <w:r w:rsidRPr="00FB4B42">
        <w:t>. Available at: https://www.restaurantonline.co.uk/Article/2013/08/15/Edinburgh-Tourism-Showcase-helps-hospitality-businesses-warm-up-for-winter [Accessed on 2nd October 2024]</w:t>
      </w:r>
    </w:p>
    <w:p w14:paraId="393F6970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t xml:space="preserve">Robinson, V.M. and Schänzel, H.A., 2019. A tourism </w:t>
      </w:r>
      <w:r w:rsidRPr="00FB4B42">
        <w:t xml:space="preserve">inflex: Generation Z travel experiences. Journal of tourism futures, 5(2), pp.127-141. </w:t>
      </w:r>
    </w:p>
    <w:p w14:paraId="50BCC1FB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rPr>
          <w:lang w:val="en-US"/>
        </w:rPr>
        <w:t>Rubinger, L., Gazendam, A., Ekhtiari, S., Nucci, N., Payne, A., Johal, H., Khanduja, V. and Bhandari, M., 2020. Maximizing virtual meetings and conferences: a review of best practices. </w:t>
      </w:r>
      <w:r w:rsidRPr="00FB4B42">
        <w:rPr>
          <w:i/>
          <w:iCs/>
          <w:lang w:val="en-US"/>
        </w:rPr>
        <w:t>International orthopaedics</w:t>
      </w:r>
      <w:r w:rsidRPr="00FB4B42">
        <w:rPr>
          <w:lang w:val="en-US"/>
        </w:rPr>
        <w:t>, </w:t>
      </w:r>
      <w:r w:rsidRPr="00FB4B42">
        <w:rPr>
          <w:i/>
          <w:iCs/>
          <w:lang w:val="en-US"/>
        </w:rPr>
        <w:t>44</w:t>
      </w:r>
      <w:r w:rsidRPr="00FB4B42">
        <w:rPr>
          <w:lang w:val="en-US"/>
        </w:rPr>
        <w:t>, pp.1461-1466.</w:t>
      </w:r>
    </w:p>
    <w:p w14:paraId="746AA148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t xml:space="preserve">SLTA, 2024. </w:t>
      </w:r>
      <w:r w:rsidRPr="00FB4B42">
        <w:rPr>
          <w:i/>
          <w:iCs/>
        </w:rPr>
        <w:t>Critical Concerns for Scotland’s Hospitality Industry: SLTA Reveals 96% Consensus on Government Disconnect</w:t>
      </w:r>
      <w:r w:rsidRPr="00FB4B42">
        <w:t>. Available at: https://www.theslta.co.uk/news/critical-concerns-for-scotlands-hospitality-industry-slta-reveals-96-consensus-on-government-disconnect/ [Accessed on 2nd October 2024]</w:t>
      </w:r>
    </w:p>
    <w:p w14:paraId="39BA44F6" w14:textId="77777777" w:rsidR="00000000" w:rsidRPr="00FB4B42" w:rsidRDefault="00000000" w:rsidP="00F45238">
      <w:pPr>
        <w:numPr>
          <w:ilvl w:val="0"/>
          <w:numId w:val="1"/>
        </w:numPr>
      </w:pPr>
      <w:r w:rsidRPr="00FB4B42">
        <w:t xml:space="preserve">The Hospitality Show, 2024. </w:t>
      </w:r>
      <w:r w:rsidRPr="00FB4B42">
        <w:rPr>
          <w:i/>
          <w:iCs/>
        </w:rPr>
        <w:t>Driving profitability for owners, operators, and hospitality innovators</w:t>
      </w:r>
      <w:r w:rsidRPr="00FB4B42">
        <w:t>. Available at: https://www.thehospitalityshow.com/ [Accessed on 2nd October 2024]</w:t>
      </w:r>
    </w:p>
    <w:p w14:paraId="39F46A4F" w14:textId="77777777" w:rsidR="00000000" w:rsidRPr="00FB4B42" w:rsidRDefault="00000000" w:rsidP="00F45238">
      <w:pPr>
        <w:numPr>
          <w:ilvl w:val="0"/>
          <w:numId w:val="1"/>
        </w:numPr>
      </w:pPr>
      <w:bookmarkStart w:id="0" w:name="_Hlk179901156"/>
      <w:r w:rsidRPr="00FB4B42">
        <w:t xml:space="preserve">UVE, 2024. </w:t>
      </w:r>
      <w:r w:rsidRPr="00FB4B42">
        <w:rPr>
          <w:i/>
          <w:iCs/>
        </w:rPr>
        <w:t>Assembly Rooms Edinburgh</w:t>
      </w:r>
      <w:r w:rsidRPr="00FB4B42">
        <w:t>. Available at: https://uniquevenuesofedinburgh.co.uk/venue/assembly-rooms/gallery/ [Accessed on 2nd October 2024]</w:t>
      </w:r>
    </w:p>
    <w:bookmarkEnd w:id="0"/>
    <w:p w14:paraId="709F237A" w14:textId="77777777" w:rsidR="00F45238" w:rsidRDefault="00F45238" w:rsidP="00F45238"/>
    <w:p w14:paraId="18400481" w14:textId="77777777" w:rsidR="0042359C" w:rsidRPr="0042359C" w:rsidRDefault="0042359C" w:rsidP="00F45238">
      <w:pPr>
        <w:rPr>
          <w:b/>
          <w:bCs/>
          <w:sz w:val="40"/>
          <w:szCs w:val="40"/>
        </w:rPr>
      </w:pPr>
    </w:p>
    <w:sectPr w:rsidR="0042359C" w:rsidRPr="004235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88749E"/>
    <w:multiLevelType w:val="hybridMultilevel"/>
    <w:tmpl w:val="53D45E86"/>
    <w:lvl w:ilvl="0" w:tplc="BB08BB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E769C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BD4F7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C528F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3608A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802F2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7FE4F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FFE84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4824E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1652422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0A26E4"/>
    <w:rsid w:val="00010BCF"/>
    <w:rsid w:val="000A26E4"/>
    <w:rsid w:val="00422F16"/>
    <w:rsid w:val="0042359C"/>
    <w:rsid w:val="009E3EEC"/>
    <w:rsid w:val="00D438D1"/>
    <w:rsid w:val="00F452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113FB3"/>
  <w15:chartTrackingRefBased/>
  <w15:docId w15:val="{F16F6122-965A-43A7-941F-E5E58BC5F1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26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26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26E4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26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26E4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26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26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26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26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26E4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26E4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26E4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26E4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26E4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26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26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26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26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26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26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26E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26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26E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26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26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26E4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26E4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26E4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26E4"/>
    <w:rPr>
      <w:b/>
      <w:bCs/>
      <w:smallCaps/>
      <w:color w:val="365F9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040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890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87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1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1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615</Words>
  <Characters>3506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 Daciana Petran (2210809)</dc:creator>
  <cp:keywords/>
  <dc:description/>
  <cp:lastModifiedBy>Adriana Daciana Petran (2210809)</cp:lastModifiedBy>
  <cp:revision>4</cp:revision>
  <dcterms:created xsi:type="dcterms:W3CDTF">2024-10-15T14:48:00Z</dcterms:created>
  <dcterms:modified xsi:type="dcterms:W3CDTF">2024-10-15T15:17:00Z</dcterms:modified>
</cp:coreProperties>
</file>