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9451F5" w14:textId="1C29FD60" w:rsidR="004B6AB5" w:rsidRDefault="004B6AB5" w:rsidP="004B6AB5">
      <w:pPr>
        <w:jc w:val="right"/>
        <w:rPr>
          <w:lang w:val="en-GB"/>
        </w:rPr>
      </w:pPr>
      <w:r>
        <w:rPr>
          <w:lang w:val="en-GB"/>
        </w:rPr>
        <w:t>By Penny Dransart</w:t>
      </w:r>
      <w:bookmarkStart w:id="0" w:name="_GoBack"/>
      <w:bookmarkEnd w:id="0"/>
      <w:r>
        <w:rPr>
          <w:lang w:val="en-GB"/>
        </w:rPr>
        <w:t>, October 2013</w:t>
      </w:r>
    </w:p>
    <w:p w14:paraId="05976C1F" w14:textId="77777777" w:rsidR="00BE3F83" w:rsidRDefault="00BE3F83" w:rsidP="00845FDB">
      <w:pPr>
        <w:pStyle w:val="Heading1"/>
        <w:rPr>
          <w:lang w:val="en-GB"/>
        </w:rPr>
      </w:pPr>
      <w:r>
        <w:rPr>
          <w:lang w:val="en-GB"/>
        </w:rPr>
        <w:t>Anthropological Research Methods in Practice:  Lecture 1</w:t>
      </w:r>
    </w:p>
    <w:p w14:paraId="21BC5293" w14:textId="50B89E0E" w:rsidR="004B6AB5" w:rsidRPr="004B6AB5" w:rsidRDefault="004B6AB5" w:rsidP="004B6AB5">
      <w:pPr>
        <w:pStyle w:val="Heading2"/>
        <w:rPr>
          <w:lang w:val="en-GB"/>
        </w:rPr>
      </w:pPr>
      <w:r>
        <w:rPr>
          <w:lang w:val="en-GB"/>
        </w:rPr>
        <w:t>Introduction to Topic A of Assignment 1</w:t>
      </w:r>
    </w:p>
    <w:p w14:paraId="1D1B8621" w14:textId="77777777" w:rsidR="00041AAB" w:rsidRPr="00421EB0" w:rsidRDefault="00041AAB" w:rsidP="00845FDB">
      <w:pPr>
        <w:pStyle w:val="Heading1"/>
        <w:rPr>
          <w:lang w:val="en-GB"/>
        </w:rPr>
      </w:pPr>
      <w:r w:rsidRPr="00421EB0">
        <w:rPr>
          <w:lang w:val="en-GB"/>
        </w:rPr>
        <w:t>The Manchester School</w:t>
      </w:r>
      <w:r w:rsidR="00BA0D62" w:rsidRPr="00421EB0">
        <w:rPr>
          <w:lang w:val="en-GB"/>
        </w:rPr>
        <w:t xml:space="preserve"> of Social Anthropology</w:t>
      </w:r>
    </w:p>
    <w:p w14:paraId="43F5618D" w14:textId="77777777" w:rsidR="00845FDB" w:rsidRPr="00421EB0" w:rsidRDefault="006342D1" w:rsidP="00845FDB">
      <w:pPr>
        <w:rPr>
          <w:lang w:val="en-GB"/>
        </w:rPr>
      </w:pPr>
      <w:r w:rsidRPr="00421EB0">
        <w:rPr>
          <w:lang w:val="en-GB"/>
        </w:rPr>
        <w:t>One of the purposes of this module is to enable you to develop a critically engaged understanding of the multi-faceted relationships which exist between anthropological research methods and the historical development of fieldwork strategies in the social sciences.</w:t>
      </w:r>
      <w:r w:rsidR="00C057A2" w:rsidRPr="00421EB0">
        <w:rPr>
          <w:lang w:val="en-GB"/>
        </w:rPr>
        <w:t xml:space="preserve"> </w:t>
      </w:r>
      <w:r w:rsidR="00845FDB" w:rsidRPr="00421EB0">
        <w:rPr>
          <w:lang w:val="en-GB"/>
        </w:rPr>
        <w:t xml:space="preserve">In other words this module encourages you to consider how anthropologists have used basic techniques (e.g. participant observation and different forms of interviewing) in the context of their writing. Interpretation of fieldwork findings and writing </w:t>
      </w:r>
      <w:r w:rsidR="003033A0">
        <w:rPr>
          <w:lang w:val="en-GB"/>
        </w:rPr>
        <w:t>form the main kinds</w:t>
      </w:r>
      <w:r w:rsidR="00845FDB" w:rsidRPr="00421EB0">
        <w:rPr>
          <w:lang w:val="en-GB"/>
        </w:rPr>
        <w:t xml:space="preserve"> of practice covered here.</w:t>
      </w:r>
    </w:p>
    <w:p w14:paraId="37AC3597" w14:textId="77777777" w:rsidR="006342D1" w:rsidRPr="00421EB0" w:rsidRDefault="00041AAB" w:rsidP="007F7E66">
      <w:pPr>
        <w:rPr>
          <w:lang w:val="en-GB"/>
        </w:rPr>
      </w:pPr>
      <w:r w:rsidRPr="00421EB0">
        <w:rPr>
          <w:lang w:val="en-GB"/>
        </w:rPr>
        <w:t xml:space="preserve">This lecture serves as an introduction to </w:t>
      </w:r>
      <w:r w:rsidR="0073134F">
        <w:rPr>
          <w:lang w:val="en-GB"/>
        </w:rPr>
        <w:t>a topic</w:t>
      </w:r>
      <w:r w:rsidRPr="00421EB0">
        <w:rPr>
          <w:lang w:val="en-GB"/>
        </w:rPr>
        <w:t xml:space="preserve"> </w:t>
      </w:r>
      <w:r w:rsidR="00924976">
        <w:rPr>
          <w:lang w:val="en-GB"/>
        </w:rPr>
        <w:t xml:space="preserve">connected to one of the </w:t>
      </w:r>
      <w:r w:rsidR="004E4191">
        <w:rPr>
          <w:lang w:val="en-GB"/>
        </w:rPr>
        <w:t>p</w:t>
      </w:r>
      <w:r w:rsidR="00924976">
        <w:rPr>
          <w:lang w:val="en-GB"/>
        </w:rPr>
        <w:t>ieces of coursework that has been set</w:t>
      </w:r>
      <w:r w:rsidR="00BA0D62" w:rsidRPr="00421EB0">
        <w:rPr>
          <w:lang w:val="en-GB"/>
        </w:rPr>
        <w:t xml:space="preserve"> </w:t>
      </w:r>
      <w:r w:rsidRPr="00421EB0">
        <w:rPr>
          <w:lang w:val="en-GB"/>
        </w:rPr>
        <w:t>(on the Extended Case Method, or ECM).</w:t>
      </w:r>
      <w:r w:rsidR="00BA0D62" w:rsidRPr="00421EB0">
        <w:rPr>
          <w:lang w:val="en-GB"/>
        </w:rPr>
        <w:t xml:space="preserve"> It aims to provide you with some historical contextualization to explain something of the background to an article published by Michael Burawoy (1998).</w:t>
      </w:r>
      <w:r w:rsidR="00B2116F" w:rsidRPr="00421EB0">
        <w:rPr>
          <w:lang w:val="en-GB"/>
        </w:rPr>
        <w:t xml:space="preserve"> You have probably heard of </w:t>
      </w:r>
      <w:r w:rsidR="004C7ED9" w:rsidRPr="00421EB0">
        <w:rPr>
          <w:lang w:val="en-GB"/>
        </w:rPr>
        <w:t>Bronislaw</w:t>
      </w:r>
      <w:r w:rsidR="00F55F47" w:rsidRPr="00421EB0">
        <w:rPr>
          <w:lang w:val="en-GB"/>
        </w:rPr>
        <w:t xml:space="preserve"> </w:t>
      </w:r>
      <w:r w:rsidR="00306B4D">
        <w:rPr>
          <w:lang w:val="en-GB"/>
        </w:rPr>
        <w:t xml:space="preserve">Malinowski’s </w:t>
      </w:r>
      <w:r w:rsidR="00B2116F" w:rsidRPr="00421EB0">
        <w:rPr>
          <w:lang w:val="en-GB"/>
        </w:rPr>
        <w:t>association with the London School of Economics</w:t>
      </w:r>
      <w:r w:rsidR="00845FDB" w:rsidRPr="00421EB0">
        <w:rPr>
          <w:lang w:val="en-GB"/>
        </w:rPr>
        <w:t xml:space="preserve"> (LSE)</w:t>
      </w:r>
      <w:r w:rsidR="00B2116F" w:rsidRPr="00421EB0">
        <w:rPr>
          <w:lang w:val="en-GB"/>
        </w:rPr>
        <w:t xml:space="preserve"> and </w:t>
      </w:r>
      <w:r w:rsidR="00F55F47" w:rsidRPr="00421EB0">
        <w:rPr>
          <w:lang w:val="en-GB"/>
        </w:rPr>
        <w:t xml:space="preserve">E.E. </w:t>
      </w:r>
      <w:r w:rsidR="00B2116F" w:rsidRPr="00421EB0">
        <w:rPr>
          <w:lang w:val="en-GB"/>
        </w:rPr>
        <w:t>Evans-Pritchard</w:t>
      </w:r>
      <w:r w:rsidR="0073134F">
        <w:rPr>
          <w:lang w:val="en-GB"/>
        </w:rPr>
        <w:t>’s</w:t>
      </w:r>
      <w:r w:rsidR="00B2116F" w:rsidRPr="00421EB0">
        <w:rPr>
          <w:lang w:val="en-GB"/>
        </w:rPr>
        <w:t xml:space="preserve"> with Oxford University. Here I encourage you to consider the work of what became known as the Manchester School of Social Anthropology.</w:t>
      </w:r>
    </w:p>
    <w:p w14:paraId="6490B3C0" w14:textId="77777777" w:rsidR="006342D1" w:rsidRPr="00421EB0" w:rsidRDefault="00F55F47" w:rsidP="00F55F47">
      <w:pPr>
        <w:rPr>
          <w:lang w:val="en-GB"/>
        </w:rPr>
      </w:pPr>
      <w:r w:rsidRPr="00421EB0">
        <w:rPr>
          <w:lang w:val="en-GB"/>
        </w:rPr>
        <w:t xml:space="preserve">Anthropologists working in British universities during the twentieth century </w:t>
      </w:r>
      <w:r w:rsidR="006342D1" w:rsidRPr="00421EB0">
        <w:rPr>
          <w:lang w:val="en-GB"/>
        </w:rPr>
        <w:t xml:space="preserve">had strong </w:t>
      </w:r>
      <w:r w:rsidRPr="00421EB0">
        <w:rPr>
          <w:lang w:val="en-GB"/>
        </w:rPr>
        <w:t>research interests in</w:t>
      </w:r>
      <w:r w:rsidR="006342D1" w:rsidRPr="00421EB0">
        <w:rPr>
          <w:lang w:val="en-GB"/>
        </w:rPr>
        <w:t xml:space="preserve"> the study of</w:t>
      </w:r>
      <w:r w:rsidRPr="00421EB0">
        <w:rPr>
          <w:lang w:val="en-GB"/>
        </w:rPr>
        <w:t xml:space="preserve"> African</w:t>
      </w:r>
      <w:r w:rsidR="006342D1" w:rsidRPr="00421EB0">
        <w:rPr>
          <w:lang w:val="en-GB"/>
        </w:rPr>
        <w:t xml:space="preserve"> societies. You might also note also specific regional associations between researchers and </w:t>
      </w:r>
      <w:r w:rsidRPr="00421EB0">
        <w:rPr>
          <w:lang w:val="en-GB"/>
        </w:rPr>
        <w:t>their home institutions</w:t>
      </w:r>
      <w:r w:rsidR="006342D1" w:rsidRPr="00421EB0">
        <w:rPr>
          <w:lang w:val="en-GB"/>
        </w:rPr>
        <w:t>. While LSE is famous for its association with Malinowski (who, of course, did fieldwork in Kiriwina, in the Trobriand Islands), Oxford has had particular associations with various p</w:t>
      </w:r>
      <w:r w:rsidR="0073134F">
        <w:rPr>
          <w:lang w:val="en-GB"/>
        </w:rPr>
        <w:t xml:space="preserve">arts of Africa. Evans-Pritchard, who did </w:t>
      </w:r>
      <w:r w:rsidR="006342D1" w:rsidRPr="00421EB0">
        <w:rPr>
          <w:lang w:val="en-GB"/>
        </w:rPr>
        <w:t>his fieldwork in East Africa</w:t>
      </w:r>
      <w:r w:rsidR="0073134F">
        <w:rPr>
          <w:lang w:val="en-GB"/>
        </w:rPr>
        <w:t>,</w:t>
      </w:r>
      <w:r w:rsidR="006342D1" w:rsidRPr="00421EB0">
        <w:rPr>
          <w:lang w:val="en-GB"/>
        </w:rPr>
        <w:t xml:space="preserve"> provides an example of one of the </w:t>
      </w:r>
      <w:r w:rsidR="0073134F">
        <w:rPr>
          <w:lang w:val="en-GB"/>
        </w:rPr>
        <w:t>best known</w:t>
      </w:r>
      <w:r w:rsidR="006342D1" w:rsidRPr="00421EB0">
        <w:rPr>
          <w:lang w:val="en-GB"/>
        </w:rPr>
        <w:t xml:space="preserve"> of these connections. </w:t>
      </w:r>
    </w:p>
    <w:p w14:paraId="1E4CBB0C" w14:textId="77777777" w:rsidR="005104E1" w:rsidRPr="00421EB0" w:rsidRDefault="006342D1" w:rsidP="00845FDB">
      <w:pPr>
        <w:rPr>
          <w:lang w:val="en-GB"/>
        </w:rPr>
      </w:pPr>
      <w:r w:rsidRPr="00421EB0">
        <w:rPr>
          <w:lang w:val="en-GB"/>
        </w:rPr>
        <w:t xml:space="preserve">After World War II, one of Evans-Pritchard’s students, Max Gluckman (1911-75), went to Rhodesia </w:t>
      </w:r>
      <w:r w:rsidR="00F23202">
        <w:rPr>
          <w:lang w:val="en-GB"/>
        </w:rPr>
        <w:t xml:space="preserve">(now the countries of Zambia and Zimbabwe) </w:t>
      </w:r>
      <w:r w:rsidRPr="00421EB0">
        <w:rPr>
          <w:lang w:val="en-GB"/>
        </w:rPr>
        <w:t>and formed part of a grouping k</w:t>
      </w:r>
      <w:r w:rsidR="002F2CDB">
        <w:rPr>
          <w:lang w:val="en-GB"/>
        </w:rPr>
        <w:t>nown as the Rhodes-Livingstone S</w:t>
      </w:r>
      <w:r w:rsidRPr="00421EB0">
        <w:rPr>
          <w:lang w:val="en-GB"/>
        </w:rPr>
        <w:t>chool (Ericksen 1995: 234</w:t>
      </w:r>
      <w:r w:rsidR="009D0378">
        <w:rPr>
          <w:lang w:val="en-GB"/>
        </w:rPr>
        <w:t xml:space="preserve">; see also van Binsbergen 2006 for a photo </w:t>
      </w:r>
      <w:r w:rsidR="009D0378">
        <w:rPr>
          <w:lang w:val="en-GB"/>
        </w:rPr>
        <w:lastRenderedPageBreak/>
        <w:t>essay</w:t>
      </w:r>
      <w:r w:rsidRPr="00421EB0">
        <w:rPr>
          <w:lang w:val="en-GB"/>
        </w:rPr>
        <w:t xml:space="preserve">). Later </w:t>
      </w:r>
      <w:r w:rsidR="00F23202">
        <w:rPr>
          <w:lang w:val="en-GB"/>
        </w:rPr>
        <w:t xml:space="preserve">it was called </w:t>
      </w:r>
      <w:r w:rsidRPr="00421EB0">
        <w:rPr>
          <w:lang w:val="en-GB"/>
        </w:rPr>
        <w:t xml:space="preserve">the Manchester School of Anthropology. Early in his career, Gluckman used Evans-Pritchard’s work on segmentary lineage systems among the Nuer and </w:t>
      </w:r>
      <w:r w:rsidR="00F23202">
        <w:rPr>
          <w:lang w:val="en-GB"/>
        </w:rPr>
        <w:t>Evans-Pritchard’s</w:t>
      </w:r>
      <w:r w:rsidRPr="00421EB0">
        <w:rPr>
          <w:lang w:val="en-GB"/>
        </w:rPr>
        <w:t xml:space="preserve"> analysis of acephelous societies in order to examine political integration in </w:t>
      </w:r>
      <w:r w:rsidR="0073134F">
        <w:rPr>
          <w:lang w:val="en-GB"/>
        </w:rPr>
        <w:t xml:space="preserve">societies in Southern Africa, based on fieldwork among </w:t>
      </w:r>
      <w:r w:rsidRPr="00421EB0">
        <w:rPr>
          <w:lang w:val="en-GB"/>
        </w:rPr>
        <w:t xml:space="preserve">Zulu and Lozi peoples. </w:t>
      </w:r>
      <w:r w:rsidR="00F55F47" w:rsidRPr="00421EB0">
        <w:rPr>
          <w:lang w:val="en-GB"/>
        </w:rPr>
        <w:t xml:space="preserve">In </w:t>
      </w:r>
      <w:r w:rsidR="0073134F">
        <w:rPr>
          <w:lang w:val="en-GB"/>
        </w:rPr>
        <w:t xml:space="preserve">framing </w:t>
      </w:r>
      <w:r w:rsidR="00F55F47" w:rsidRPr="00421EB0">
        <w:rPr>
          <w:lang w:val="en-GB"/>
        </w:rPr>
        <w:t xml:space="preserve">his theoretical </w:t>
      </w:r>
      <w:r w:rsidR="0073134F">
        <w:rPr>
          <w:lang w:val="en-GB"/>
        </w:rPr>
        <w:t>approach</w:t>
      </w:r>
      <w:r w:rsidR="00F55F47" w:rsidRPr="00421EB0">
        <w:rPr>
          <w:lang w:val="en-GB"/>
        </w:rPr>
        <w:t xml:space="preserve">, Gluckman </w:t>
      </w:r>
      <w:r w:rsidRPr="00421EB0">
        <w:rPr>
          <w:lang w:val="en-GB"/>
        </w:rPr>
        <w:t>understood a society to consist of</w:t>
      </w:r>
      <w:r w:rsidR="00F55F47" w:rsidRPr="00421EB0">
        <w:rPr>
          <w:lang w:val="en-GB"/>
        </w:rPr>
        <w:t xml:space="preserve"> functional social institutions, which </w:t>
      </w:r>
      <w:r w:rsidRPr="00421EB0">
        <w:rPr>
          <w:lang w:val="en-GB"/>
        </w:rPr>
        <w:t>constituted an integrated whole (a social system). In other words, he came from a structural-functionalist stable (to adopt a metaphor characteristic of a paradigm in which researchers treated societies as though they were living organisms</w:t>
      </w:r>
      <w:r w:rsidR="00F33F8F" w:rsidRPr="00421EB0">
        <w:rPr>
          <w:lang w:val="en-GB"/>
        </w:rPr>
        <w:t>, like horses</w:t>
      </w:r>
      <w:r w:rsidRPr="00421EB0">
        <w:rPr>
          <w:lang w:val="en-GB"/>
        </w:rPr>
        <w:t xml:space="preserve">). </w:t>
      </w:r>
    </w:p>
    <w:p w14:paraId="00B07D3A" w14:textId="77777777" w:rsidR="006342D1" w:rsidRPr="00421EB0" w:rsidRDefault="006342D1" w:rsidP="004C7ED9">
      <w:pPr>
        <w:rPr>
          <w:lang w:val="en-GB"/>
        </w:rPr>
      </w:pPr>
      <w:r w:rsidRPr="00421EB0">
        <w:rPr>
          <w:lang w:val="en-GB"/>
        </w:rPr>
        <w:t>Ericksen (1995: 234) explained that Gluckman was interested in periods of conflict during which people practised ‘rituals of rebellion’</w:t>
      </w:r>
      <w:r w:rsidR="00F23202">
        <w:rPr>
          <w:lang w:val="en-GB"/>
        </w:rPr>
        <w:t>.</w:t>
      </w:r>
      <w:r w:rsidRPr="00421EB0">
        <w:rPr>
          <w:lang w:val="en-GB"/>
        </w:rPr>
        <w:t xml:space="preserve"> </w:t>
      </w:r>
      <w:r w:rsidR="00F23202">
        <w:rPr>
          <w:lang w:val="en-GB"/>
        </w:rPr>
        <w:t>A</w:t>
      </w:r>
      <w:r w:rsidRPr="00421EB0">
        <w:rPr>
          <w:lang w:val="en-GB"/>
        </w:rPr>
        <w:t xml:space="preserve">lthough </w:t>
      </w:r>
      <w:r w:rsidR="0073134F">
        <w:rPr>
          <w:lang w:val="en-GB"/>
        </w:rPr>
        <w:t>Gluckman</w:t>
      </w:r>
      <w:r w:rsidRPr="00421EB0">
        <w:rPr>
          <w:lang w:val="en-GB"/>
        </w:rPr>
        <w:t xml:space="preserve"> </w:t>
      </w:r>
      <w:r w:rsidR="004C7ED9" w:rsidRPr="00421EB0">
        <w:rPr>
          <w:lang w:val="en-GB"/>
        </w:rPr>
        <w:t>wrote within the framework of</w:t>
      </w:r>
      <w:r w:rsidRPr="00421EB0">
        <w:rPr>
          <w:lang w:val="en-GB"/>
        </w:rPr>
        <w:t xml:space="preserve"> structural-functional analysis, his writings demonstrate</w:t>
      </w:r>
      <w:r w:rsidR="00F23202">
        <w:rPr>
          <w:lang w:val="en-GB"/>
        </w:rPr>
        <w:t xml:space="preserve"> what Ericksen called</w:t>
      </w:r>
      <w:r w:rsidRPr="00421EB0">
        <w:rPr>
          <w:lang w:val="en-GB"/>
        </w:rPr>
        <w:t xml:space="preserve"> a ‘dynamic dimension’. He examined ritual situations in which people reversed conventional customs and hierarchies (e.g. during the coronation of a Swazi king, citizens were required publicly to mock the new king</w:t>
      </w:r>
      <w:r w:rsidR="0073134F">
        <w:rPr>
          <w:lang w:val="en-GB"/>
        </w:rPr>
        <w:t>,</w:t>
      </w:r>
      <w:r w:rsidRPr="00421EB0">
        <w:rPr>
          <w:lang w:val="en-GB"/>
        </w:rPr>
        <w:t xml:space="preserve"> draw</w:t>
      </w:r>
      <w:r w:rsidR="0073134F">
        <w:rPr>
          <w:lang w:val="en-GB"/>
        </w:rPr>
        <w:t>ing</w:t>
      </w:r>
      <w:r w:rsidRPr="00421EB0">
        <w:rPr>
          <w:lang w:val="en-GB"/>
        </w:rPr>
        <w:t xml:space="preserve"> attention to </w:t>
      </w:r>
      <w:r w:rsidR="0073134F">
        <w:rPr>
          <w:lang w:val="en-GB"/>
        </w:rPr>
        <w:t>his</w:t>
      </w:r>
      <w:r w:rsidRPr="00421EB0">
        <w:rPr>
          <w:lang w:val="en-GB"/>
        </w:rPr>
        <w:t xml:space="preserve"> inadequac</w:t>
      </w:r>
      <w:r w:rsidR="0073134F">
        <w:rPr>
          <w:lang w:val="en-GB"/>
        </w:rPr>
        <w:t>y). According to Gluckman (1956:</w:t>
      </w:r>
      <w:r w:rsidRPr="00421EB0">
        <w:rPr>
          <w:lang w:val="en-GB"/>
        </w:rPr>
        <w:t xml:space="preserve"> 116), such actions allowed people to do things they would normally not dare to do, which ‘gave expression, in a reversed form, to the normal rightness of a particular kind of social order’. Commenting on this argument, Ericksen (1995: 204) observed that Gluckman interpreted the rituals as serving to render conflict harmless (which might be seen as a particularly structural-functional explanation) but </w:t>
      </w:r>
      <w:r w:rsidR="004C7ED9" w:rsidRPr="00421EB0">
        <w:rPr>
          <w:lang w:val="en-GB"/>
        </w:rPr>
        <w:t>Gluckman</w:t>
      </w:r>
      <w:r w:rsidRPr="00421EB0">
        <w:rPr>
          <w:lang w:val="en-GB"/>
        </w:rPr>
        <w:t xml:space="preserve"> also acknowledged that people’s individual motivations </w:t>
      </w:r>
      <w:r w:rsidR="00F23202">
        <w:rPr>
          <w:lang w:val="en-GB"/>
        </w:rPr>
        <w:t>must</w:t>
      </w:r>
      <w:r w:rsidRPr="00421EB0">
        <w:rPr>
          <w:lang w:val="en-GB"/>
        </w:rPr>
        <w:t xml:space="preserve"> be taken into account.</w:t>
      </w:r>
    </w:p>
    <w:p w14:paraId="0DC0C096" w14:textId="77777777" w:rsidR="00B6266D" w:rsidRPr="00421EB0" w:rsidRDefault="004C7ED9" w:rsidP="00EA239E">
      <w:pPr>
        <w:rPr>
          <w:lang w:val="en-GB"/>
        </w:rPr>
      </w:pPr>
      <w:r w:rsidRPr="00421EB0">
        <w:rPr>
          <w:lang w:val="en-GB"/>
        </w:rPr>
        <w:t>Gluckman’s writings also demonstrate a willingness to disc</w:t>
      </w:r>
      <w:r w:rsidR="009472CA" w:rsidRPr="00421EB0">
        <w:rPr>
          <w:lang w:val="en-GB"/>
        </w:rPr>
        <w:t xml:space="preserve">uss his own academic formation which, with hindsight, can be seen as </w:t>
      </w:r>
      <w:r w:rsidR="0073134F">
        <w:rPr>
          <w:lang w:val="en-GB"/>
        </w:rPr>
        <w:t xml:space="preserve">making </w:t>
      </w:r>
      <w:r w:rsidR="009472CA" w:rsidRPr="00421EB0">
        <w:rPr>
          <w:lang w:val="en-GB"/>
        </w:rPr>
        <w:t>a tentative step toward</w:t>
      </w:r>
      <w:r w:rsidR="006342D1" w:rsidRPr="00421EB0">
        <w:rPr>
          <w:lang w:val="en-GB"/>
        </w:rPr>
        <w:t xml:space="preserve"> the reflexive turn in anthropology</w:t>
      </w:r>
      <w:r w:rsidR="0073134F">
        <w:rPr>
          <w:lang w:val="en-GB"/>
        </w:rPr>
        <w:t>.</w:t>
      </w:r>
      <w:r w:rsidR="00622925" w:rsidRPr="00421EB0">
        <w:rPr>
          <w:lang w:val="en-GB"/>
        </w:rPr>
        <w:t xml:space="preserve"> </w:t>
      </w:r>
      <w:r w:rsidR="00EA239E" w:rsidRPr="00421EB0">
        <w:rPr>
          <w:lang w:val="en-GB"/>
        </w:rPr>
        <w:t>In</w:t>
      </w:r>
      <w:r w:rsidR="00622925" w:rsidRPr="00421EB0">
        <w:rPr>
          <w:lang w:val="en-GB"/>
        </w:rPr>
        <w:t xml:space="preserve"> </w:t>
      </w:r>
      <w:r w:rsidR="009472CA" w:rsidRPr="00421EB0">
        <w:rPr>
          <w:lang w:val="en-GB"/>
        </w:rPr>
        <w:t>a chapter entitled</w:t>
      </w:r>
      <w:r w:rsidR="00622925" w:rsidRPr="00421EB0">
        <w:rPr>
          <w:lang w:val="en-GB"/>
        </w:rPr>
        <w:t xml:space="preserve"> ‘Autobiographical introduction’ (Gluckman 1963)</w:t>
      </w:r>
      <w:r w:rsidR="009472CA" w:rsidRPr="00421EB0">
        <w:rPr>
          <w:lang w:val="en-GB"/>
        </w:rPr>
        <w:t xml:space="preserve">, </w:t>
      </w:r>
      <w:r w:rsidR="00622925" w:rsidRPr="00421EB0">
        <w:rPr>
          <w:lang w:val="en-GB"/>
        </w:rPr>
        <w:t xml:space="preserve">he gave an account of the education he received between 1928 and 1934 at the University of Witwatersrand (he was South African) and at Oxford (1938-9) as part of his preparation for </w:t>
      </w:r>
      <w:r w:rsidR="00C057A2" w:rsidRPr="00421EB0">
        <w:rPr>
          <w:lang w:val="en-GB"/>
        </w:rPr>
        <w:t>doing</w:t>
      </w:r>
      <w:r w:rsidR="00622925" w:rsidRPr="00421EB0">
        <w:rPr>
          <w:lang w:val="en-GB"/>
        </w:rPr>
        <w:t xml:space="preserve"> fieldwork in Zululand, which he started in 1936. </w:t>
      </w:r>
      <w:r w:rsidR="00C057A2" w:rsidRPr="00421EB0">
        <w:rPr>
          <w:lang w:val="en-GB"/>
        </w:rPr>
        <w:t xml:space="preserve">This account does not </w:t>
      </w:r>
      <w:r w:rsidR="0073134F">
        <w:rPr>
          <w:lang w:val="en-GB"/>
        </w:rPr>
        <w:t>tell us about how he learned field</w:t>
      </w:r>
      <w:r w:rsidR="00B6266D" w:rsidRPr="00421EB0">
        <w:rPr>
          <w:lang w:val="en-GB"/>
        </w:rPr>
        <w:t xml:space="preserve"> techniques </w:t>
      </w:r>
      <w:r w:rsidR="009472CA" w:rsidRPr="00421EB0">
        <w:rPr>
          <w:lang w:val="en-GB"/>
        </w:rPr>
        <w:t>for</w:t>
      </w:r>
      <w:r w:rsidR="00B6266D" w:rsidRPr="00421EB0">
        <w:rPr>
          <w:lang w:val="en-GB"/>
        </w:rPr>
        <w:t xml:space="preserve"> collect</w:t>
      </w:r>
      <w:r w:rsidR="009472CA" w:rsidRPr="00421EB0">
        <w:rPr>
          <w:lang w:val="en-GB"/>
        </w:rPr>
        <w:t>ing</w:t>
      </w:r>
      <w:r w:rsidR="00B6266D" w:rsidRPr="00421EB0">
        <w:rPr>
          <w:lang w:val="en-GB"/>
        </w:rPr>
        <w:t xml:space="preserve"> data. </w:t>
      </w:r>
      <w:r w:rsidR="0073134F">
        <w:rPr>
          <w:lang w:val="en-GB"/>
        </w:rPr>
        <w:t>(</w:t>
      </w:r>
      <w:r w:rsidR="00B6266D" w:rsidRPr="00421EB0">
        <w:rPr>
          <w:lang w:val="en-GB"/>
        </w:rPr>
        <w:t>If you are interested in such didactic books, there are a large number to choose from.</w:t>
      </w:r>
      <w:r w:rsidR="0073134F">
        <w:rPr>
          <w:lang w:val="en-GB"/>
        </w:rPr>
        <w:t>)</w:t>
      </w:r>
      <w:r w:rsidR="00B6266D" w:rsidRPr="00421EB0">
        <w:rPr>
          <w:lang w:val="en-GB"/>
        </w:rPr>
        <w:t xml:space="preserve">  </w:t>
      </w:r>
      <w:r w:rsidR="00EA239E" w:rsidRPr="00421EB0">
        <w:rPr>
          <w:lang w:val="en-GB"/>
        </w:rPr>
        <w:t xml:space="preserve">I raise this point about </w:t>
      </w:r>
      <w:r w:rsidR="00421EB0" w:rsidRPr="00421EB0">
        <w:rPr>
          <w:lang w:val="en-GB"/>
        </w:rPr>
        <w:t>Gluckman’s</w:t>
      </w:r>
      <w:r w:rsidR="00EA239E" w:rsidRPr="00421EB0">
        <w:rPr>
          <w:lang w:val="en-GB"/>
        </w:rPr>
        <w:t xml:space="preserve"> </w:t>
      </w:r>
      <w:r w:rsidR="0073134F">
        <w:rPr>
          <w:lang w:val="en-GB"/>
        </w:rPr>
        <w:t xml:space="preserve">tentative reflexivity </w:t>
      </w:r>
      <w:r w:rsidR="00EA239E" w:rsidRPr="00421EB0">
        <w:rPr>
          <w:lang w:val="en-GB"/>
        </w:rPr>
        <w:t xml:space="preserve">toward </w:t>
      </w:r>
      <w:r w:rsidR="00421EB0" w:rsidRPr="00421EB0">
        <w:rPr>
          <w:lang w:val="en-GB"/>
        </w:rPr>
        <w:t xml:space="preserve">political anthropology as practised </w:t>
      </w:r>
      <w:r w:rsidR="0073134F">
        <w:rPr>
          <w:lang w:val="en-GB"/>
        </w:rPr>
        <w:t xml:space="preserve">in the period between 1930 and 1960 </w:t>
      </w:r>
      <w:r w:rsidR="00421EB0" w:rsidRPr="00421EB0">
        <w:rPr>
          <w:lang w:val="en-GB"/>
        </w:rPr>
        <w:t>by British and British-</w:t>
      </w:r>
      <w:r w:rsidR="00421EB0" w:rsidRPr="00421EB0">
        <w:rPr>
          <w:lang w:val="en-GB"/>
        </w:rPr>
        <w:lastRenderedPageBreak/>
        <w:t>trained anthropologists</w:t>
      </w:r>
      <w:r w:rsidR="00EA239E" w:rsidRPr="00421EB0">
        <w:rPr>
          <w:lang w:val="en-GB"/>
        </w:rPr>
        <w:t xml:space="preserve"> </w:t>
      </w:r>
      <w:r w:rsidR="0073134F">
        <w:rPr>
          <w:lang w:val="en-GB"/>
        </w:rPr>
        <w:t>because of its relevance</w:t>
      </w:r>
      <w:r w:rsidR="00EA239E" w:rsidRPr="00421EB0">
        <w:rPr>
          <w:lang w:val="en-GB"/>
        </w:rPr>
        <w:t xml:space="preserve"> to Burawoy’s (1998) discussion of the advantages and disadvantages of ‘reflexive science’, which will be discussed in the next lecture.</w:t>
      </w:r>
    </w:p>
    <w:p w14:paraId="36A8FBE8" w14:textId="77777777" w:rsidR="00B6266D" w:rsidRPr="00421EB0" w:rsidRDefault="00B6266D" w:rsidP="00845FDB">
      <w:pPr>
        <w:pStyle w:val="Heading2"/>
        <w:rPr>
          <w:lang w:val="en-GB"/>
        </w:rPr>
      </w:pPr>
      <w:r w:rsidRPr="00421EB0">
        <w:rPr>
          <w:lang w:val="en-GB"/>
        </w:rPr>
        <w:t>Ethnography in urban places</w:t>
      </w:r>
    </w:p>
    <w:p w14:paraId="0BD4C837" w14:textId="77777777" w:rsidR="006342D1" w:rsidRPr="00421EB0" w:rsidRDefault="006342D1" w:rsidP="006342D1">
      <w:pPr>
        <w:pStyle w:val="ListParagraph"/>
        <w:ind w:left="0"/>
        <w:rPr>
          <w:rFonts w:ascii="Arial" w:hAnsi="Arial" w:cs="Arial"/>
          <w:sz w:val="22"/>
          <w:szCs w:val="22"/>
        </w:rPr>
      </w:pPr>
    </w:p>
    <w:p w14:paraId="7D11A85D" w14:textId="7C77D925" w:rsidR="006342D1" w:rsidRPr="00421EB0" w:rsidRDefault="00421EB0" w:rsidP="006342D1">
      <w:pPr>
        <w:rPr>
          <w:lang w:val="en-GB"/>
        </w:rPr>
      </w:pPr>
      <w:r>
        <w:rPr>
          <w:lang w:val="en-GB"/>
        </w:rPr>
        <w:t xml:space="preserve">Gluckman </w:t>
      </w:r>
      <w:r w:rsidR="0073134F">
        <w:rPr>
          <w:lang w:val="en-GB"/>
        </w:rPr>
        <w:t xml:space="preserve"> (</w:t>
      </w:r>
      <w:r w:rsidR="00944EBC">
        <w:rPr>
          <w:lang w:val="en-GB"/>
        </w:rPr>
        <w:t xml:space="preserve">1963: 46-7) </w:t>
      </w:r>
      <w:r>
        <w:rPr>
          <w:lang w:val="en-GB"/>
        </w:rPr>
        <w:t>was interested in issues having to do with bureaucracy</w:t>
      </w:r>
      <w:r w:rsidR="00944EBC">
        <w:rPr>
          <w:lang w:val="en-GB"/>
        </w:rPr>
        <w:t>, the increasing turn toward the provision of social services by native authorities rather than by British Colonial governments,</w:t>
      </w:r>
      <w:r>
        <w:rPr>
          <w:lang w:val="en-GB"/>
        </w:rPr>
        <w:t xml:space="preserve"> and changes experienced by people living in rural and urban contexts. </w:t>
      </w:r>
      <w:r w:rsidR="006342D1" w:rsidRPr="00421EB0">
        <w:rPr>
          <w:lang w:val="en-GB"/>
        </w:rPr>
        <w:t xml:space="preserve">One of his predecessors </w:t>
      </w:r>
      <w:r w:rsidR="005F5DE8">
        <w:rPr>
          <w:lang w:val="en-GB"/>
        </w:rPr>
        <w:t>as a member of</w:t>
      </w:r>
      <w:r w:rsidR="006342D1" w:rsidRPr="00421EB0">
        <w:rPr>
          <w:lang w:val="en-GB"/>
        </w:rPr>
        <w:t xml:space="preserve"> </w:t>
      </w:r>
      <w:r w:rsidR="002F2CDB">
        <w:rPr>
          <w:lang w:val="en-GB"/>
        </w:rPr>
        <w:t>the Rhodes-Livingstone S</w:t>
      </w:r>
      <w:r w:rsidR="0073134F" w:rsidRPr="00421EB0">
        <w:rPr>
          <w:lang w:val="en-GB"/>
        </w:rPr>
        <w:t xml:space="preserve">chool </w:t>
      </w:r>
      <w:r w:rsidR="006342D1" w:rsidRPr="00421EB0">
        <w:rPr>
          <w:lang w:val="en-GB"/>
        </w:rPr>
        <w:t>was Godfrey Wilson, who became interested</w:t>
      </w:r>
      <w:r w:rsidR="006B14DC" w:rsidRPr="00421EB0">
        <w:rPr>
          <w:lang w:val="en-GB"/>
        </w:rPr>
        <w:t xml:space="preserve"> in studying urbanization. </w:t>
      </w:r>
      <w:r>
        <w:rPr>
          <w:lang w:val="en-GB"/>
        </w:rPr>
        <w:t>Wilson</w:t>
      </w:r>
      <w:r w:rsidR="006B14DC" w:rsidRPr="00421EB0">
        <w:rPr>
          <w:lang w:val="en-GB"/>
        </w:rPr>
        <w:t xml:space="preserve"> conducted fieldwork in Broken Hill, a lead mining centre immediately south of </w:t>
      </w:r>
      <w:r w:rsidR="006342D1" w:rsidRPr="00421EB0">
        <w:rPr>
          <w:lang w:val="en-GB"/>
        </w:rPr>
        <w:t xml:space="preserve">the Copperbelt </w:t>
      </w:r>
      <w:r w:rsidR="006B14DC" w:rsidRPr="00421EB0">
        <w:rPr>
          <w:lang w:val="en-GB"/>
        </w:rPr>
        <w:t>in</w:t>
      </w:r>
      <w:r w:rsidR="006342D1" w:rsidRPr="00421EB0">
        <w:rPr>
          <w:lang w:val="en-GB"/>
        </w:rPr>
        <w:t xml:space="preserve"> North Rhodesia (nowadays Zambia). Male workers were forced to </w:t>
      </w:r>
      <w:r w:rsidR="006B14DC" w:rsidRPr="00421EB0">
        <w:rPr>
          <w:lang w:val="en-GB"/>
        </w:rPr>
        <w:t>seek paid employment</w:t>
      </w:r>
      <w:r w:rsidR="006342D1" w:rsidRPr="00421EB0">
        <w:rPr>
          <w:lang w:val="en-GB"/>
        </w:rPr>
        <w:t xml:space="preserve"> in north-eastern Zambia where they lived in communities that were not set up to house women and children.</w:t>
      </w:r>
      <w:r w:rsidR="00B45CC8" w:rsidRPr="00421EB0">
        <w:rPr>
          <w:lang w:val="en-GB"/>
        </w:rPr>
        <w:t xml:space="preserve"> (Women might be present in those communities – whether they were regarded as ‘single’ or ‘married’ depended on the classification of the building where they were housed; see Ferguson </w:t>
      </w:r>
      <w:r w:rsidR="00E539F6" w:rsidRPr="00421EB0">
        <w:rPr>
          <w:lang w:val="en-GB"/>
        </w:rPr>
        <w:t>1999).</w:t>
      </w:r>
      <w:r w:rsidR="006342D1" w:rsidRPr="00421EB0">
        <w:rPr>
          <w:lang w:val="en-GB"/>
        </w:rPr>
        <w:t>These newly founded urban conglomerations did not have the historical precedents (or the infrastruc</w:t>
      </w:r>
      <w:r w:rsidR="006B14DC" w:rsidRPr="00421EB0">
        <w:rPr>
          <w:lang w:val="en-GB"/>
        </w:rPr>
        <w:t xml:space="preserve">ture) of long established </w:t>
      </w:r>
      <w:r w:rsidR="006342D1" w:rsidRPr="00421EB0">
        <w:rPr>
          <w:lang w:val="en-GB"/>
        </w:rPr>
        <w:t xml:space="preserve">cities such as Timbuktu or Mombasa. Wilson was therefore interested in historical discontinuity and the problems that occurred when mine owners used the miners as a pool of labour to be employed or sent back home </w:t>
      </w:r>
      <w:r w:rsidR="006B14DC" w:rsidRPr="00421EB0">
        <w:rPr>
          <w:lang w:val="en-GB"/>
        </w:rPr>
        <w:t>when the price of minerals fell on the world market</w:t>
      </w:r>
      <w:r w:rsidR="006342D1" w:rsidRPr="00421EB0">
        <w:rPr>
          <w:lang w:val="en-GB"/>
        </w:rPr>
        <w:t xml:space="preserve">. </w:t>
      </w:r>
    </w:p>
    <w:p w14:paraId="2974F571" w14:textId="77777777" w:rsidR="006342D1" w:rsidRPr="00421EB0" w:rsidRDefault="006B14DC" w:rsidP="006342D1">
      <w:pPr>
        <w:rPr>
          <w:lang w:val="en-GB"/>
        </w:rPr>
      </w:pPr>
      <w:r w:rsidRPr="00421EB0">
        <w:rPr>
          <w:lang w:val="en-GB"/>
        </w:rPr>
        <w:t>Wilson (1941, 194</w:t>
      </w:r>
      <w:r w:rsidR="006342D1" w:rsidRPr="00421EB0">
        <w:rPr>
          <w:lang w:val="en-GB"/>
        </w:rPr>
        <w:t>2) examined the processes during which tribal (</w:t>
      </w:r>
      <w:r w:rsidR="00F23202">
        <w:rPr>
          <w:lang w:val="en-GB"/>
        </w:rPr>
        <w:t xml:space="preserve">i.e. </w:t>
      </w:r>
      <w:r w:rsidR="006342D1" w:rsidRPr="00421EB0">
        <w:rPr>
          <w:lang w:val="en-GB"/>
        </w:rPr>
        <w:t xml:space="preserve">rural) identities became muted or lost as individuals joined an urban community of workers in a world economy. The miners no longer participated in the family-based subsistence activities of agricultural production. Using the gender-blind language </w:t>
      </w:r>
      <w:r w:rsidRPr="00421EB0">
        <w:rPr>
          <w:lang w:val="en-GB"/>
        </w:rPr>
        <w:t>characteristic of</w:t>
      </w:r>
      <w:r w:rsidR="006342D1" w:rsidRPr="00421EB0">
        <w:rPr>
          <w:lang w:val="en-GB"/>
        </w:rPr>
        <w:t xml:space="preserve"> the mid</w:t>
      </w:r>
      <w:r w:rsidRPr="00421EB0">
        <w:rPr>
          <w:lang w:val="en-GB"/>
        </w:rPr>
        <w:t>-</w:t>
      </w:r>
      <w:r w:rsidR="006342D1" w:rsidRPr="00421EB0">
        <w:rPr>
          <w:lang w:val="en-GB"/>
        </w:rPr>
        <w:t xml:space="preserve">twentieth century, Wilson (1941: 13) wrote that the urban community of Broken Hill was one </w:t>
      </w:r>
    </w:p>
    <w:p w14:paraId="06F8BB0F" w14:textId="77777777" w:rsidR="006342D1" w:rsidRPr="00421EB0" w:rsidRDefault="006342D1" w:rsidP="00E741C7">
      <w:pPr>
        <w:ind w:left="284"/>
        <w:rPr>
          <w:lang w:val="en-GB"/>
        </w:rPr>
      </w:pPr>
      <w:r w:rsidRPr="00421EB0">
        <w:rPr>
          <w:lang w:val="en-GB"/>
        </w:rPr>
        <w:t>in which impersonal relations are all-important; where business, law and religion make men dependent on millions of other men whom they never met; a community articulated into races, nations and classes; in which the tribes, no longer almost worlds in themselves, now take their place as small administrative units; a world of writing, of specialized knowledge and of elaborate technical skill (Wilson 1941: 13; also cited by Hannerz 1980: 124)</w:t>
      </w:r>
    </w:p>
    <w:p w14:paraId="0F2CDB1C" w14:textId="77777777" w:rsidR="006342D1" w:rsidRDefault="006342D1" w:rsidP="006342D1">
      <w:pPr>
        <w:rPr>
          <w:lang w:val="en-GB"/>
        </w:rPr>
      </w:pPr>
      <w:r w:rsidRPr="00421EB0">
        <w:rPr>
          <w:lang w:val="en-GB"/>
        </w:rPr>
        <w:lastRenderedPageBreak/>
        <w:t>As part of this transition from</w:t>
      </w:r>
      <w:r w:rsidR="00112B28" w:rsidRPr="00421EB0">
        <w:rPr>
          <w:lang w:val="en-GB"/>
        </w:rPr>
        <w:t xml:space="preserve"> an</w:t>
      </w:r>
      <w:r w:rsidRPr="00421EB0">
        <w:rPr>
          <w:lang w:val="en-GB"/>
        </w:rPr>
        <w:t xml:space="preserve"> </w:t>
      </w:r>
      <w:r w:rsidR="00112B28" w:rsidRPr="00421EB0">
        <w:rPr>
          <w:lang w:val="en-GB"/>
        </w:rPr>
        <w:t>economy</w:t>
      </w:r>
      <w:r w:rsidRPr="00421EB0">
        <w:rPr>
          <w:lang w:val="en-GB"/>
        </w:rPr>
        <w:t xml:space="preserve"> based on cattle</w:t>
      </w:r>
      <w:r w:rsidR="00112B28" w:rsidRPr="00421EB0">
        <w:rPr>
          <w:lang w:val="en-GB"/>
        </w:rPr>
        <w:t xml:space="preserve"> and goat</w:t>
      </w:r>
      <w:r w:rsidRPr="00421EB0">
        <w:rPr>
          <w:lang w:val="en-GB"/>
        </w:rPr>
        <w:t xml:space="preserve"> herding</w:t>
      </w:r>
      <w:r w:rsidR="00112B28" w:rsidRPr="00421EB0">
        <w:rPr>
          <w:lang w:val="en-GB"/>
        </w:rPr>
        <w:t xml:space="preserve"> or fishing to one based on mining</w:t>
      </w:r>
      <w:r w:rsidRPr="00421EB0">
        <w:rPr>
          <w:lang w:val="en-GB"/>
        </w:rPr>
        <w:t xml:space="preserve">, Wilson also noted that these new proletarians became a ‘dressed’ people because clothing was now a form of investment, particularly </w:t>
      </w:r>
      <w:r w:rsidR="00112B28" w:rsidRPr="00421EB0">
        <w:rPr>
          <w:lang w:val="en-GB"/>
        </w:rPr>
        <w:t xml:space="preserve">when miners fulfilled their obligations to rural relatives </w:t>
      </w:r>
      <w:r w:rsidRPr="00421EB0">
        <w:rPr>
          <w:lang w:val="en-GB"/>
        </w:rPr>
        <w:t xml:space="preserve"> (Wilson 194</w:t>
      </w:r>
      <w:r w:rsidR="00B45CC8" w:rsidRPr="00421EB0">
        <w:rPr>
          <w:lang w:val="en-GB"/>
        </w:rPr>
        <w:t>2</w:t>
      </w:r>
      <w:r w:rsidRPr="00421EB0">
        <w:rPr>
          <w:lang w:val="en-GB"/>
        </w:rPr>
        <w:t xml:space="preserve">: 18). Individuals could use industrially produced garments to express their identity </w:t>
      </w:r>
      <w:r w:rsidR="00112B28" w:rsidRPr="00421EB0">
        <w:rPr>
          <w:lang w:val="en-GB"/>
        </w:rPr>
        <w:t>and one of the reasons to do so might be to emulate</w:t>
      </w:r>
      <w:r w:rsidRPr="00421EB0">
        <w:rPr>
          <w:lang w:val="en-GB"/>
        </w:rPr>
        <w:t xml:space="preserve"> European ways of being.</w:t>
      </w:r>
    </w:p>
    <w:p w14:paraId="46DE7E8A" w14:textId="77777777" w:rsidR="00944EBC" w:rsidRPr="00421EB0" w:rsidRDefault="00944EBC" w:rsidP="00944EBC">
      <w:pPr>
        <w:rPr>
          <w:lang w:val="en-GB"/>
        </w:rPr>
      </w:pPr>
      <w:r>
        <w:rPr>
          <w:lang w:val="en-GB"/>
        </w:rPr>
        <w:t xml:space="preserve">An article by </w:t>
      </w:r>
      <w:r w:rsidRPr="00421EB0">
        <w:rPr>
          <w:lang w:val="en-GB"/>
        </w:rPr>
        <w:t>Richard Werbner (1984</w:t>
      </w:r>
      <w:r>
        <w:rPr>
          <w:lang w:val="en-GB"/>
        </w:rPr>
        <w:t>) explored the achievements of the Manchester School of Anthropology, one of whose luminaries was Victor W. Turner (see especially Turner 1957). Werbner (1984</w:t>
      </w:r>
      <w:r w:rsidRPr="00421EB0">
        <w:rPr>
          <w:lang w:val="en-GB"/>
        </w:rPr>
        <w:t>:</w:t>
      </w:r>
      <w:r w:rsidR="00FC682B">
        <w:rPr>
          <w:lang w:val="en-GB"/>
        </w:rPr>
        <w:t xml:space="preserve"> 158) </w:t>
      </w:r>
      <w:r w:rsidR="00F94B20">
        <w:rPr>
          <w:lang w:val="en-GB"/>
        </w:rPr>
        <w:t>admitted that different members associated with the School followed different strands of thought and they were not always in agreement. (Awarded a Manchester PhD in 1968, Werbner was himself a product of the Manchester School and he is now Professor Emeritus.) He recognized that</w:t>
      </w:r>
      <w:r w:rsidR="005C4358">
        <w:rPr>
          <w:lang w:val="en-GB"/>
        </w:rPr>
        <w:t xml:space="preserve"> </w:t>
      </w:r>
      <w:r>
        <w:rPr>
          <w:lang w:val="en-GB"/>
        </w:rPr>
        <w:t xml:space="preserve">Manchester School </w:t>
      </w:r>
      <w:r w:rsidR="00F94B20">
        <w:rPr>
          <w:lang w:val="en-GB"/>
        </w:rPr>
        <w:t>anthropologists presented</w:t>
      </w:r>
      <w:r w:rsidR="005C4358">
        <w:rPr>
          <w:lang w:val="en-GB"/>
        </w:rPr>
        <w:t xml:space="preserve"> ‘</w:t>
      </w:r>
      <w:r w:rsidRPr="00421EB0">
        <w:rPr>
          <w:lang w:val="en-GB"/>
        </w:rPr>
        <w:t>fine sequences of action and accounts for the imaginative, eve</w:t>
      </w:r>
      <w:r w:rsidR="00F94B20">
        <w:rPr>
          <w:lang w:val="en-GB"/>
        </w:rPr>
        <w:t>n idiosyncratic use of rhetoric’</w:t>
      </w:r>
      <w:r w:rsidR="00C33A73">
        <w:rPr>
          <w:lang w:val="en-GB"/>
        </w:rPr>
        <w:t xml:space="preserve"> and, </w:t>
      </w:r>
      <w:r w:rsidR="00F94B20">
        <w:rPr>
          <w:lang w:val="en-GB"/>
        </w:rPr>
        <w:t>in keeping with the</w:t>
      </w:r>
      <w:r w:rsidR="00C33A73">
        <w:rPr>
          <w:lang w:val="en-GB"/>
        </w:rPr>
        <w:t xml:space="preserve"> some of the most important concerns tackled by its anthropologists, he stressed </w:t>
      </w:r>
      <w:r w:rsidR="002F2CDB">
        <w:rPr>
          <w:lang w:val="en-GB"/>
        </w:rPr>
        <w:t>their attempts</w:t>
      </w:r>
      <w:r w:rsidR="00C33A73">
        <w:rPr>
          <w:lang w:val="en-GB"/>
        </w:rPr>
        <w:t xml:space="preserve"> to give ‘</w:t>
      </w:r>
      <w:r w:rsidRPr="00421EB0">
        <w:rPr>
          <w:lang w:val="en-GB"/>
        </w:rPr>
        <w:t>full weight to processes of change in wider social fields’</w:t>
      </w:r>
      <w:r w:rsidR="00C33A73">
        <w:rPr>
          <w:lang w:val="en-GB"/>
        </w:rPr>
        <w:t xml:space="preserve"> (Werbner 1984: </w:t>
      </w:r>
      <w:r w:rsidR="00C33A73" w:rsidRPr="00421EB0">
        <w:rPr>
          <w:lang w:val="en-GB"/>
        </w:rPr>
        <w:t>179)</w:t>
      </w:r>
      <w:r w:rsidRPr="00421EB0">
        <w:rPr>
          <w:lang w:val="en-GB"/>
        </w:rPr>
        <w:t>.</w:t>
      </w:r>
    </w:p>
    <w:p w14:paraId="60A944E7" w14:textId="77777777" w:rsidR="006342D1" w:rsidRDefault="00F94B20" w:rsidP="006342D1">
      <w:pPr>
        <w:rPr>
          <w:lang w:val="en-GB"/>
        </w:rPr>
      </w:pPr>
      <w:r>
        <w:rPr>
          <w:lang w:val="en-GB"/>
        </w:rPr>
        <w:t xml:space="preserve">Despite </w:t>
      </w:r>
      <w:r w:rsidR="00C33A73">
        <w:rPr>
          <w:lang w:val="en-GB"/>
        </w:rPr>
        <w:t>patterns of</w:t>
      </w:r>
      <w:r>
        <w:rPr>
          <w:lang w:val="en-GB"/>
        </w:rPr>
        <w:t xml:space="preserve"> urbanization</w:t>
      </w:r>
      <w:r w:rsidR="00C33A73">
        <w:rPr>
          <w:lang w:val="en-GB"/>
        </w:rPr>
        <w:t xml:space="preserve"> (and the focus it has received in the literature)</w:t>
      </w:r>
      <w:r>
        <w:rPr>
          <w:lang w:val="en-GB"/>
        </w:rPr>
        <w:t>, t</w:t>
      </w:r>
      <w:r w:rsidR="006342D1" w:rsidRPr="00421EB0">
        <w:rPr>
          <w:lang w:val="en-GB"/>
        </w:rPr>
        <w:t>ribal memories have not faded away</w:t>
      </w:r>
      <w:r>
        <w:rPr>
          <w:lang w:val="en-GB"/>
        </w:rPr>
        <w:t xml:space="preserve"> in South-Central Africa</w:t>
      </w:r>
      <w:r w:rsidR="006342D1" w:rsidRPr="00421EB0">
        <w:rPr>
          <w:lang w:val="en-GB"/>
        </w:rPr>
        <w:t>. Civil war in the Zimbabwe in the 1980s prompted Werbner (1995: 99) to address people’s awareness of their past in terms of moral knowledge. Arguments swirling around accountability do not only derive from international pressures on African countries to introduce democratically elected governments. He observed that locally people, too, assert their aspirations to live in a civic society in which the state gives recognition to the rights of its citizens. The shared experience of people’s experiences of terror led him to conclude that atrocities committed during the war of liberation from colonial rule ‘do not provide a legitimating charter for any present political struggles between ethnic groups’ and that ‘popular memories cannot be appropriated, and thus reduced to the “truth” of a single group’ (Werbner 1995: 112). He argued that if a government were to attempts to establish political legitimacy by burying atrocities committed in the past, it would lead to disenchantment.</w:t>
      </w:r>
      <w:r w:rsidR="00C33A73">
        <w:rPr>
          <w:lang w:val="en-GB"/>
        </w:rPr>
        <w:t xml:space="preserve"> Given the Presidential election held on 31 July 2013 in Zimbabwe, it is worth ending this </w:t>
      </w:r>
      <w:r w:rsidR="009B6192">
        <w:rPr>
          <w:lang w:val="en-GB"/>
        </w:rPr>
        <w:t>section</w:t>
      </w:r>
      <w:r w:rsidR="00C33A73">
        <w:rPr>
          <w:lang w:val="en-GB"/>
        </w:rPr>
        <w:t xml:space="preserve"> </w:t>
      </w:r>
      <w:r w:rsidR="004E4191">
        <w:rPr>
          <w:lang w:val="en-GB"/>
        </w:rPr>
        <w:t>on</w:t>
      </w:r>
      <w:r w:rsidR="00C33A73">
        <w:rPr>
          <w:lang w:val="en-GB"/>
        </w:rPr>
        <w:t xml:space="preserve"> a current note </w:t>
      </w:r>
      <w:r w:rsidR="004E4191">
        <w:rPr>
          <w:lang w:val="en-GB"/>
        </w:rPr>
        <w:t xml:space="preserve">because it demonstrates something of the changing political circumstances faced by people </w:t>
      </w:r>
      <w:r w:rsidR="004E4191">
        <w:rPr>
          <w:lang w:val="en-GB"/>
        </w:rPr>
        <w:lastRenderedPageBreak/>
        <w:t xml:space="preserve">today, which of course would have been part of the issues that would have attracted the attention of Manchester School anthropologists. </w:t>
      </w:r>
    </w:p>
    <w:p w14:paraId="58C54AC7" w14:textId="77777777" w:rsidR="009B6192" w:rsidRDefault="009B6192" w:rsidP="009B6192">
      <w:pPr>
        <w:pStyle w:val="Heading2"/>
        <w:rPr>
          <w:lang w:val="en-GB"/>
        </w:rPr>
      </w:pPr>
      <w:r>
        <w:rPr>
          <w:lang w:val="en-GB"/>
        </w:rPr>
        <w:t>Conclusion</w:t>
      </w:r>
    </w:p>
    <w:p w14:paraId="23D28D9C" w14:textId="77777777" w:rsidR="002F2CDB" w:rsidRDefault="009B6192" w:rsidP="009B6192">
      <w:r>
        <w:t>You are now in a position to appreciate that the Manchester School of Anthropology Members of the Manchester School drew attention to political processes that required a large canvas on which to depict them.</w:t>
      </w:r>
      <w:r w:rsidR="002F2CDB">
        <w:t xml:space="preserve"> This lecture provides you with some historical background for reading the next lecture on the Extended Case Method.</w:t>
      </w:r>
    </w:p>
    <w:p w14:paraId="5F8F60ED" w14:textId="77777777" w:rsidR="009B6192" w:rsidRDefault="009B6192" w:rsidP="009B6192">
      <w:r>
        <w:t>George Marcus and Michael Fischer</w:t>
      </w:r>
      <w:r w:rsidR="00DE395C">
        <w:t xml:space="preserve"> (not members of the Manchester School)</w:t>
      </w:r>
      <w:r>
        <w:t xml:space="preserve"> (1986: 91) drew attention to the difficulties anthropologists encounter when attempting to convey the richness in sufficiently rich detail of the broader aspects of political economies connecting people in different places while also portraying the social worlds of individuals, as experienced by the researcher when in field situations. They wrote:</w:t>
      </w:r>
    </w:p>
    <w:p w14:paraId="1A865A56" w14:textId="77777777" w:rsidR="009B6192" w:rsidRDefault="009B6192" w:rsidP="009B6192">
      <w:pPr>
        <w:ind w:left="426"/>
      </w:pPr>
      <w:r>
        <w:t>The traditional ethnographic response to tracing out the interdependencies of complex systems such as colonialism or market economies has been the call for multiple studies produced by team research projects. For instance, the Seven Year Plan, composed by Max Gluckman for the Rhodes Livingstone Institute in 1940, proposed a series of studies of different tribal economies and the effects of the colonial system on them. The composite result was to have been a detailed comprehension of the regional integration and variation of Northern Rhodesia. The achievement of this composite view proved to the weak part of the project; making systematic connections was left to individual readers of the separate studies. In place of such ultimately uncoordinated team projects, we wonder whether if it would not be possible to construct single-text, multilocale ethnographies that are the result of the standard individual research project in anthropology (which does encompass occasionally the work of coresearchers/coauthors). (Marcus and Fischer 1986: 91)</w:t>
      </w:r>
    </w:p>
    <w:p w14:paraId="2F4460D9" w14:textId="77777777" w:rsidR="009B6192" w:rsidRDefault="009B6192" w:rsidP="009B6192">
      <w:r>
        <w:t>These two authors proceeded to outline two textual strategies anthropologists might employ to approach the complexity of large-scale po</w:t>
      </w:r>
      <w:r w:rsidR="002F2CDB">
        <w:t>litical and economic processes. I</w:t>
      </w:r>
      <w:r>
        <w:t>n the conclusio</w:t>
      </w:r>
      <w:r w:rsidR="002F2CDB">
        <w:t>n to this present</w:t>
      </w:r>
      <w:r>
        <w:t xml:space="preserve"> lecture</w:t>
      </w:r>
      <w:r w:rsidR="002F2CDB">
        <w:t xml:space="preserve">, it is not appropriate to consider </w:t>
      </w:r>
      <w:r w:rsidR="00C9728B">
        <w:t>these two strategies in detail</w:t>
      </w:r>
      <w:r w:rsidR="002F2CDB">
        <w:t xml:space="preserve"> </w:t>
      </w:r>
      <w:r>
        <w:t xml:space="preserve">(let us return to </w:t>
      </w:r>
      <w:r w:rsidR="002F2CDB">
        <w:t>their suggestions</w:t>
      </w:r>
      <w:r>
        <w:t xml:space="preserve"> on another occasion). Here I wish to end this </w:t>
      </w:r>
      <w:r w:rsidR="002F2CDB">
        <w:t>lecture</w:t>
      </w:r>
      <w:r>
        <w:t xml:space="preserve"> by asking you to ponder the difficulties a researcher might face in obtaining sufficient fieldwork experience to undertake </w:t>
      </w:r>
      <w:r>
        <w:lastRenderedPageBreak/>
        <w:t xml:space="preserve">a </w:t>
      </w:r>
      <w:r w:rsidR="002F2CDB">
        <w:t>large-scale enterprise as envisaged by</w:t>
      </w:r>
      <w:r w:rsidR="00C9728B">
        <w:t xml:space="preserve"> Marcus and Fischer in contrast to the route taken by Gluckman, which involved</w:t>
      </w:r>
      <w:r w:rsidR="002F2CDB">
        <w:t xml:space="preserve"> the participation of </w:t>
      </w:r>
      <w:r w:rsidR="00C9728B">
        <w:t xml:space="preserve">different </w:t>
      </w:r>
      <w:r w:rsidR="002F2CDB">
        <w:t xml:space="preserve">researchers </w:t>
      </w:r>
      <w:r w:rsidR="00C9728B">
        <w:t>undertaking individual projects</w:t>
      </w:r>
      <w:r>
        <w:t xml:space="preserve">. The reason for asking you to </w:t>
      </w:r>
      <w:r w:rsidR="00C9728B">
        <w:t>consider this problem</w:t>
      </w:r>
      <w:r>
        <w:t xml:space="preserve"> is that the next lecture focus</w:t>
      </w:r>
      <w:r w:rsidR="00303653">
        <w:t>es on an article by Michael Bura</w:t>
      </w:r>
      <w:r>
        <w:t>w</w:t>
      </w:r>
      <w:r w:rsidR="00303653">
        <w:t>o</w:t>
      </w:r>
      <w:r>
        <w:t xml:space="preserve">y (1998).  As a written text it had a long period of gestation, and it outlines his attempts to extend his own field-based experiences in a broader frame of reference. </w:t>
      </w:r>
    </w:p>
    <w:p w14:paraId="6D4422DF" w14:textId="77777777" w:rsidR="009B6192" w:rsidRDefault="009B6192" w:rsidP="009B6192"/>
    <w:p w14:paraId="50F7488F" w14:textId="09C640A7" w:rsidR="009B6192" w:rsidRDefault="009B6192" w:rsidP="009B6192">
      <w:r>
        <w:t xml:space="preserve">Marcus and Fischer (1986: 91) claim that some works of literature have achieved a praiseworthy degree of complexity in representing the lives of subjects in the context of a convincing analysis of larger systems of political economy (they cite Solzhenitsyn’s </w:t>
      </w:r>
      <w:r w:rsidRPr="005D1B3F">
        <w:rPr>
          <w:i/>
        </w:rPr>
        <w:t>The first circle</w:t>
      </w:r>
      <w:r>
        <w:t>) and that anthropologists have yet to achieve such a high standard. They do, however, consider books written by June Nash (</w:t>
      </w:r>
      <w:r w:rsidRPr="004B2AD2">
        <w:rPr>
          <w:i/>
        </w:rPr>
        <w:t>We eat the mines and the mines eat us</w:t>
      </w:r>
      <w:r>
        <w:t>, 1979) and Michael Taussig (</w:t>
      </w:r>
      <w:r w:rsidRPr="004B2AD2">
        <w:rPr>
          <w:i/>
        </w:rPr>
        <w:t>The devil and commodity fetishism in South America</w:t>
      </w:r>
      <w:r>
        <w:t xml:space="preserve">, 1980). They comment that the interpretive analysis in these books demonstrates a ‘structure of feeling’ as part of the wider analysis of the political economy of mining. (The phrase ‘structure of feeling’ is </w:t>
      </w:r>
      <w:r w:rsidR="009535E0">
        <w:t>borrowed</w:t>
      </w:r>
      <w:r>
        <w:t xml:space="preserve"> from Raymond Williams</w:t>
      </w:r>
      <w:r w:rsidR="00306B4D">
        <w:t xml:space="preserve"> [1977]</w:t>
      </w:r>
      <w:r>
        <w:t>.)</w:t>
      </w:r>
      <w:r w:rsidR="009535E0">
        <w:t xml:space="preserve"> Is this meshing of the local and extra-local, written in a manner to convey the richness of people’s experiences, something you </w:t>
      </w:r>
      <w:r w:rsidR="00C9728B">
        <w:t xml:space="preserve">would wish </w:t>
      </w:r>
      <w:r w:rsidR="009535E0">
        <w:t>to develop in your own writing?</w:t>
      </w:r>
    </w:p>
    <w:p w14:paraId="39A7799B" w14:textId="77777777" w:rsidR="00BA0D62" w:rsidRPr="00421EB0" w:rsidRDefault="00BA0D62" w:rsidP="00845FDB">
      <w:pPr>
        <w:pStyle w:val="Heading2"/>
        <w:rPr>
          <w:lang w:val="en-GB"/>
        </w:rPr>
      </w:pPr>
      <w:r w:rsidRPr="00421EB0">
        <w:rPr>
          <w:lang w:val="en-GB"/>
        </w:rPr>
        <w:t>References</w:t>
      </w:r>
    </w:p>
    <w:p w14:paraId="68F0F91C" w14:textId="77777777" w:rsidR="00BA0D62" w:rsidRPr="00421EB0" w:rsidRDefault="00BA0D62" w:rsidP="00845FDB">
      <w:pPr>
        <w:ind w:left="540" w:hanging="540"/>
        <w:rPr>
          <w:rFonts w:ascii="Verdana" w:eastAsia="Times New Roman" w:hAnsi="Verdana" w:cs="Times New Roman"/>
          <w:b/>
          <w:bCs/>
          <w:color w:val="0000CC"/>
          <w:lang w:val="en-GB" w:eastAsia="en-GB"/>
        </w:rPr>
      </w:pPr>
      <w:r w:rsidRPr="00421EB0">
        <w:rPr>
          <w:rFonts w:eastAsia="Times New Roman" w:cs="Times New Roman"/>
          <w:color w:val="000000"/>
          <w:szCs w:val="28"/>
          <w:lang w:val="en-GB" w:eastAsia="en-GB"/>
        </w:rPr>
        <w:t xml:space="preserve">Burawoy, Michael 1998 The extended case method, </w:t>
      </w:r>
      <w:r w:rsidRPr="00421EB0">
        <w:rPr>
          <w:rFonts w:eastAsia="Times New Roman" w:cs="Times New Roman"/>
          <w:i/>
          <w:color w:val="000000"/>
          <w:szCs w:val="28"/>
          <w:lang w:val="en-GB" w:eastAsia="en-GB"/>
        </w:rPr>
        <w:t>Sociological Theory</w:t>
      </w:r>
      <w:r w:rsidRPr="00421EB0">
        <w:rPr>
          <w:rFonts w:eastAsia="Times New Roman" w:cs="Times New Roman"/>
          <w:color w:val="000000"/>
          <w:szCs w:val="28"/>
          <w:lang w:val="en-GB" w:eastAsia="en-GB"/>
        </w:rPr>
        <w:t xml:space="preserve"> 16(1): 4-33. </w:t>
      </w:r>
      <w:hyperlink r:id="rId5" w:history="1">
        <w:r w:rsidRPr="00421EB0">
          <w:rPr>
            <w:rFonts w:ascii="Arial" w:eastAsia="Times New Roman" w:hAnsi="Arial" w:cs="Arial"/>
            <w:b/>
            <w:bCs/>
            <w:lang w:val="en-GB" w:eastAsia="en-GB"/>
          </w:rPr>
          <w:t>[PDF]</w:t>
        </w:r>
        <w:r w:rsidRPr="00421EB0">
          <w:rPr>
            <w:rFonts w:ascii="Verdana" w:eastAsia="Times New Roman" w:hAnsi="Verdana" w:cs="Times New Roman"/>
            <w:b/>
            <w:bCs/>
            <w:color w:val="0000CC"/>
            <w:lang w:val="en-GB" w:eastAsia="en-GB"/>
          </w:rPr>
          <w:t xml:space="preserve"> from psu.edu</w:t>
        </w:r>
      </w:hyperlink>
    </w:p>
    <w:p w14:paraId="7F91A426" w14:textId="77777777" w:rsidR="006342D1" w:rsidRPr="00421EB0" w:rsidRDefault="006342D1" w:rsidP="00845FDB">
      <w:pPr>
        <w:ind w:left="540" w:hanging="540"/>
        <w:rPr>
          <w:lang w:val="en-GB"/>
        </w:rPr>
      </w:pPr>
      <w:r w:rsidRPr="00421EB0">
        <w:rPr>
          <w:lang w:val="en-GB"/>
        </w:rPr>
        <w:t xml:space="preserve">Ericksen, Thomas Hylland Eriksen 1995 </w:t>
      </w:r>
      <w:r w:rsidRPr="00BE3F83">
        <w:rPr>
          <w:i/>
          <w:lang w:val="en-GB"/>
        </w:rPr>
        <w:t>Small places, large issues: an introduction to Social and Cultural Anthropology</w:t>
      </w:r>
      <w:r w:rsidRPr="00421EB0">
        <w:rPr>
          <w:lang w:val="en-GB"/>
        </w:rPr>
        <w:t>. London: Pluto Press.</w:t>
      </w:r>
    </w:p>
    <w:p w14:paraId="1153451C" w14:textId="77777777" w:rsidR="00E539F6" w:rsidRPr="00421EB0" w:rsidRDefault="00E539F6" w:rsidP="00845FDB">
      <w:pPr>
        <w:ind w:left="540" w:hanging="540"/>
        <w:rPr>
          <w:lang w:val="en-GB"/>
        </w:rPr>
      </w:pPr>
      <w:r w:rsidRPr="00421EB0">
        <w:rPr>
          <w:lang w:val="en-GB"/>
        </w:rPr>
        <w:t>Ferguson, James</w:t>
      </w:r>
      <w:r w:rsidR="00C33A73">
        <w:rPr>
          <w:lang w:val="en-GB"/>
        </w:rPr>
        <w:t xml:space="preserve"> </w:t>
      </w:r>
      <w:r w:rsidR="00C33A73" w:rsidRPr="00C33A73">
        <w:rPr>
          <w:i/>
          <w:lang w:val="en-GB"/>
        </w:rPr>
        <w:t>1999 Expectations of modernity: myths and meanings of urban life on the Zambian Copperbelt</w:t>
      </w:r>
      <w:r w:rsidR="00C33A73">
        <w:rPr>
          <w:lang w:val="en-GB"/>
        </w:rPr>
        <w:t xml:space="preserve">. </w:t>
      </w:r>
      <w:r w:rsidR="00E61794">
        <w:rPr>
          <w:lang w:val="en-GB"/>
        </w:rPr>
        <w:t xml:space="preserve">Berkeley and Los Angeles: </w:t>
      </w:r>
      <w:r w:rsidR="00C33A73">
        <w:rPr>
          <w:lang w:val="en-GB"/>
        </w:rPr>
        <w:t>University of California Press.</w:t>
      </w:r>
    </w:p>
    <w:p w14:paraId="428F0E07" w14:textId="77777777" w:rsidR="006342D1" w:rsidRPr="00421EB0" w:rsidRDefault="006342D1" w:rsidP="00845FDB">
      <w:pPr>
        <w:ind w:left="540" w:hanging="540"/>
        <w:rPr>
          <w:lang w:val="en-GB"/>
        </w:rPr>
      </w:pPr>
      <w:r w:rsidRPr="00421EB0">
        <w:rPr>
          <w:lang w:val="en-GB"/>
        </w:rPr>
        <w:t xml:space="preserve">Gluckman, Max 1956 </w:t>
      </w:r>
      <w:r w:rsidRPr="00421EB0">
        <w:rPr>
          <w:i/>
          <w:lang w:val="en-GB"/>
        </w:rPr>
        <w:t>Custom and conflict in Africa</w:t>
      </w:r>
      <w:r w:rsidRPr="00421EB0">
        <w:rPr>
          <w:lang w:val="en-GB"/>
        </w:rPr>
        <w:t xml:space="preserve">. </w:t>
      </w:r>
      <w:r w:rsidR="00503135">
        <w:rPr>
          <w:lang w:val="en-GB"/>
        </w:rPr>
        <w:t>Oxford: Blackwell.</w:t>
      </w:r>
    </w:p>
    <w:p w14:paraId="0519E7A1" w14:textId="77777777" w:rsidR="006342D1" w:rsidRPr="00421EB0" w:rsidRDefault="006342D1" w:rsidP="00845FDB">
      <w:pPr>
        <w:ind w:left="540" w:hanging="540"/>
        <w:rPr>
          <w:lang w:val="en-GB" w:eastAsia="en-GB"/>
        </w:rPr>
      </w:pPr>
      <w:r w:rsidRPr="00421EB0">
        <w:rPr>
          <w:lang w:val="en-GB" w:eastAsia="en-GB"/>
        </w:rPr>
        <w:t xml:space="preserve">Gluckman, M. 1973 </w:t>
      </w:r>
      <w:r w:rsidRPr="00421EB0">
        <w:rPr>
          <w:i/>
          <w:lang w:val="en-GB" w:eastAsia="en-GB"/>
        </w:rPr>
        <w:t>Order and rebellion in tribal Africa: collected essays, with an autobiographical introduction</w:t>
      </w:r>
      <w:r w:rsidRPr="00421EB0">
        <w:rPr>
          <w:lang w:val="en-GB" w:eastAsia="en-GB"/>
        </w:rPr>
        <w:t>. London: Cohen and West.</w:t>
      </w:r>
    </w:p>
    <w:p w14:paraId="4DD7D119" w14:textId="77777777" w:rsidR="006342D1" w:rsidRDefault="006342D1" w:rsidP="00845FDB">
      <w:pPr>
        <w:ind w:left="540" w:hanging="540"/>
        <w:rPr>
          <w:lang w:val="en-GB"/>
        </w:rPr>
      </w:pPr>
      <w:r w:rsidRPr="00421EB0">
        <w:rPr>
          <w:lang w:val="en-GB"/>
        </w:rPr>
        <w:lastRenderedPageBreak/>
        <w:t xml:space="preserve">Hannerz, Ulf 1980 </w:t>
      </w:r>
      <w:r w:rsidRPr="00421EB0">
        <w:rPr>
          <w:i/>
          <w:lang w:val="en-GB"/>
        </w:rPr>
        <w:t>Exploring the city: inquiries toward an urban anthropology</w:t>
      </w:r>
      <w:r w:rsidRPr="00421EB0">
        <w:rPr>
          <w:lang w:val="en-GB"/>
        </w:rPr>
        <w:t>. New York: Columbia University Press.</w:t>
      </w:r>
    </w:p>
    <w:p w14:paraId="6B7D7C1A" w14:textId="77777777" w:rsidR="009D0378" w:rsidRDefault="009D0378" w:rsidP="009D0378">
      <w:pPr>
        <w:ind w:left="540" w:hanging="540"/>
      </w:pPr>
      <w:r>
        <w:t xml:space="preserve">Marcus, George E. and Fischer, Michael M.J. 1986 </w:t>
      </w:r>
      <w:r w:rsidRPr="00CF1705">
        <w:rPr>
          <w:i/>
        </w:rPr>
        <w:t>Anthropology as cultural critique: an experimental moment in the human sciences</w:t>
      </w:r>
      <w:r>
        <w:t>. Chicago and London: The University of Chicago Press.</w:t>
      </w:r>
    </w:p>
    <w:p w14:paraId="03E2A32A" w14:textId="2CC65EA3" w:rsidR="00CC379C" w:rsidRDefault="00CC379C" w:rsidP="009D0378">
      <w:pPr>
        <w:ind w:left="540" w:hanging="540"/>
      </w:pPr>
      <w:r>
        <w:t xml:space="preserve">Nash, June 1979 </w:t>
      </w:r>
      <w:r w:rsidRPr="004B2AD2">
        <w:rPr>
          <w:i/>
        </w:rPr>
        <w:t>We eat the mines and the mines eat us</w:t>
      </w:r>
      <w:r w:rsidRPr="00CC379C">
        <w:t xml:space="preserve">. </w:t>
      </w:r>
      <w:r w:rsidR="00FC076A">
        <w:t>New York: Columbia University Press.</w:t>
      </w:r>
    </w:p>
    <w:p w14:paraId="56C02EDC" w14:textId="39FF49A7" w:rsidR="00CC379C" w:rsidRPr="009D0378" w:rsidRDefault="00CC379C" w:rsidP="009D0378">
      <w:pPr>
        <w:ind w:left="540" w:hanging="540"/>
      </w:pPr>
      <w:r>
        <w:t xml:space="preserve">Michael Taussig 1980 </w:t>
      </w:r>
      <w:r w:rsidRPr="004B2AD2">
        <w:rPr>
          <w:i/>
        </w:rPr>
        <w:t>The devil and commodity fetishism in South America</w:t>
      </w:r>
      <w:r>
        <w:t>.</w:t>
      </w:r>
      <w:r w:rsidR="00FC076A">
        <w:t xml:space="preserve"> Chapel Hill: University of North Carolina Press.</w:t>
      </w:r>
    </w:p>
    <w:p w14:paraId="480EF159" w14:textId="77777777" w:rsidR="006342D1" w:rsidRDefault="006342D1" w:rsidP="00845FDB">
      <w:pPr>
        <w:ind w:left="540" w:hanging="540"/>
        <w:rPr>
          <w:lang w:val="en-GB" w:eastAsia="en-GB"/>
        </w:rPr>
      </w:pPr>
      <w:r w:rsidRPr="00421EB0">
        <w:rPr>
          <w:lang w:val="en-GB" w:eastAsia="en-GB"/>
        </w:rPr>
        <w:t xml:space="preserve">Turner, Victor W. 1957 </w:t>
      </w:r>
      <w:r w:rsidRPr="00421EB0">
        <w:rPr>
          <w:i/>
          <w:lang w:val="en-GB" w:eastAsia="en-GB"/>
        </w:rPr>
        <w:t>Schism and continuity in an African society: a study of Ndembu village life</w:t>
      </w:r>
      <w:r w:rsidRPr="00421EB0">
        <w:rPr>
          <w:lang w:val="en-GB" w:eastAsia="en-GB"/>
        </w:rPr>
        <w:t>. Manchester University Press and Rhodes-Livingstone Institute.</w:t>
      </w:r>
    </w:p>
    <w:p w14:paraId="004DBF93" w14:textId="77777777" w:rsidR="009D0378" w:rsidRDefault="009D0378" w:rsidP="00845FDB">
      <w:pPr>
        <w:ind w:left="540" w:hanging="540"/>
        <w:rPr>
          <w:lang w:val="en-GB" w:eastAsia="en-GB"/>
        </w:rPr>
      </w:pPr>
      <w:r>
        <w:rPr>
          <w:lang w:val="en-GB" w:eastAsia="en-GB"/>
        </w:rPr>
        <w:t xml:space="preserve">Van Binsbergen, Wim 2006 Photographic essay: Manchester School and background. [It includes a pdf of Max Gluckman, 1945, ‘Seven-year research plan of the Rhodes-Livingstone Institute’.  </w:t>
      </w:r>
      <w:hyperlink r:id="rId6" w:history="1">
        <w:r w:rsidRPr="00DE6034">
          <w:rPr>
            <w:rStyle w:val="Hyperlink"/>
            <w:lang w:val="en-GB" w:eastAsia="en-GB"/>
          </w:rPr>
          <w:t>http://www.shikanda.net/ethnicity/illustrations_manch/manchest.htm</w:t>
        </w:r>
      </w:hyperlink>
    </w:p>
    <w:p w14:paraId="41BB0E85" w14:textId="77777777" w:rsidR="006342D1" w:rsidRPr="00421EB0" w:rsidRDefault="006342D1" w:rsidP="009D0378">
      <w:pPr>
        <w:ind w:left="540" w:hanging="540"/>
        <w:rPr>
          <w:lang w:val="en-GB"/>
        </w:rPr>
      </w:pPr>
      <w:r w:rsidRPr="00421EB0">
        <w:rPr>
          <w:lang w:val="en-GB" w:eastAsia="en-GB"/>
        </w:rPr>
        <w:t xml:space="preserve">Werbner, Richard P. 1984 The Manchester School in South-Central Africa, </w:t>
      </w:r>
      <w:r w:rsidRPr="00421EB0">
        <w:rPr>
          <w:i/>
          <w:lang w:val="en-GB" w:eastAsia="en-GB"/>
        </w:rPr>
        <w:t>Annual Review of Anthropology</w:t>
      </w:r>
      <w:r w:rsidRPr="00421EB0">
        <w:rPr>
          <w:lang w:val="en-GB" w:eastAsia="en-GB"/>
        </w:rPr>
        <w:t xml:space="preserve"> 13: 157-185.</w:t>
      </w:r>
    </w:p>
    <w:p w14:paraId="4028CCEC" w14:textId="77777777" w:rsidR="006342D1" w:rsidRDefault="006342D1" w:rsidP="00845FDB">
      <w:pPr>
        <w:ind w:left="540" w:hanging="540"/>
        <w:rPr>
          <w:lang w:val="en-GB"/>
        </w:rPr>
      </w:pPr>
      <w:r w:rsidRPr="00421EB0">
        <w:rPr>
          <w:lang w:val="en-GB"/>
        </w:rPr>
        <w:t xml:space="preserve">Werbner, Richard 1995 Human rights and moral knowledge: arguments of accountability in Zimbabwe, in </w:t>
      </w:r>
      <w:r w:rsidRPr="00421EB0">
        <w:rPr>
          <w:i/>
          <w:lang w:val="en-GB"/>
        </w:rPr>
        <w:t>Shifting contexts: transformations in anthropological knowledge</w:t>
      </w:r>
      <w:r w:rsidRPr="00421EB0">
        <w:rPr>
          <w:lang w:val="en-GB"/>
        </w:rPr>
        <w:t>, Marilyn Strathern (ed.), 99-116. London and New York: Routledge.</w:t>
      </w:r>
    </w:p>
    <w:p w14:paraId="784A6255" w14:textId="77777777" w:rsidR="00306B4D" w:rsidRPr="00421EB0" w:rsidRDefault="00306B4D" w:rsidP="00845FDB">
      <w:pPr>
        <w:ind w:left="540" w:hanging="540"/>
        <w:rPr>
          <w:lang w:val="en-GB"/>
        </w:rPr>
      </w:pPr>
      <w:r>
        <w:rPr>
          <w:lang w:val="en-GB"/>
        </w:rPr>
        <w:t xml:space="preserve">Williams, Raymond 1977 </w:t>
      </w:r>
      <w:r w:rsidRPr="00306B4D">
        <w:rPr>
          <w:i/>
          <w:lang w:val="en-GB"/>
        </w:rPr>
        <w:t>Marxism and literature</w:t>
      </w:r>
      <w:r>
        <w:rPr>
          <w:lang w:val="en-GB"/>
        </w:rPr>
        <w:t>. Oxford: Oxford University Press.</w:t>
      </w:r>
    </w:p>
    <w:p w14:paraId="58AB4699" w14:textId="77777777" w:rsidR="006342D1" w:rsidRPr="00421EB0" w:rsidRDefault="00B45CC8" w:rsidP="00845FDB">
      <w:pPr>
        <w:ind w:left="540" w:hanging="540"/>
        <w:rPr>
          <w:lang w:val="en-GB"/>
        </w:rPr>
      </w:pPr>
      <w:r w:rsidRPr="00421EB0">
        <w:rPr>
          <w:lang w:val="en-GB"/>
        </w:rPr>
        <w:t>Wilson, Godfrey 1941</w:t>
      </w:r>
      <w:r w:rsidR="006342D1" w:rsidRPr="00421EB0">
        <w:rPr>
          <w:lang w:val="en-GB"/>
        </w:rPr>
        <w:t xml:space="preserve"> </w:t>
      </w:r>
      <w:r w:rsidR="006342D1" w:rsidRPr="00421EB0">
        <w:rPr>
          <w:i/>
          <w:lang w:val="en-GB"/>
        </w:rPr>
        <w:t xml:space="preserve">An essay on the economics of detribalization in Northern Rhodesia, </w:t>
      </w:r>
      <w:r w:rsidRPr="00421EB0">
        <w:rPr>
          <w:i/>
          <w:lang w:val="en-GB"/>
        </w:rPr>
        <w:t>Part 1</w:t>
      </w:r>
      <w:r w:rsidR="006342D1" w:rsidRPr="00421EB0">
        <w:rPr>
          <w:i/>
          <w:lang w:val="en-GB"/>
        </w:rPr>
        <w:t>.</w:t>
      </w:r>
      <w:r w:rsidR="006342D1" w:rsidRPr="00421EB0">
        <w:rPr>
          <w:lang w:val="en-GB"/>
        </w:rPr>
        <w:t xml:space="preserve"> </w:t>
      </w:r>
      <w:r w:rsidRPr="00421EB0">
        <w:rPr>
          <w:lang w:val="en-GB"/>
        </w:rPr>
        <w:t xml:space="preserve">Rhodes Livingstone Paper No 5. </w:t>
      </w:r>
      <w:r w:rsidR="006342D1" w:rsidRPr="00421EB0">
        <w:rPr>
          <w:lang w:val="en-GB"/>
        </w:rPr>
        <w:t>Livingstone: Rhodes-Livingstone Institute.</w:t>
      </w:r>
    </w:p>
    <w:p w14:paraId="3DC02ED4" w14:textId="77777777" w:rsidR="00B45CC8" w:rsidRPr="00421EB0" w:rsidRDefault="00B45CC8" w:rsidP="00845FDB">
      <w:pPr>
        <w:ind w:left="540" w:hanging="540"/>
        <w:rPr>
          <w:lang w:val="en-GB"/>
        </w:rPr>
      </w:pPr>
      <w:r w:rsidRPr="00421EB0">
        <w:rPr>
          <w:lang w:val="en-GB"/>
        </w:rPr>
        <w:t xml:space="preserve">Wilson, Godfrey 1942 </w:t>
      </w:r>
      <w:r w:rsidRPr="00421EB0">
        <w:rPr>
          <w:i/>
          <w:lang w:val="en-GB"/>
        </w:rPr>
        <w:t>An essay on the economics of detribalization in Northern Rhodesia, Part2.</w:t>
      </w:r>
      <w:r w:rsidRPr="00421EB0">
        <w:rPr>
          <w:lang w:val="en-GB"/>
        </w:rPr>
        <w:t xml:space="preserve"> Rhodes Livingstone Paper No 6. Livingstone: Rhodes-Livingstone Institute.</w:t>
      </w:r>
    </w:p>
    <w:p w14:paraId="10D14D4A" w14:textId="77777777" w:rsidR="002D3B1A" w:rsidRPr="00421EB0" w:rsidRDefault="002D3B1A" w:rsidP="00B45CC8">
      <w:pPr>
        <w:rPr>
          <w:lang w:val="en-GB"/>
        </w:rPr>
      </w:pPr>
    </w:p>
    <w:p w14:paraId="488ED44B" w14:textId="77777777" w:rsidR="00B45CC8" w:rsidRPr="00421EB0" w:rsidRDefault="00B45CC8" w:rsidP="006342D1">
      <w:pPr>
        <w:rPr>
          <w:lang w:val="en-GB"/>
        </w:rPr>
      </w:pPr>
    </w:p>
    <w:sectPr w:rsidR="00B45CC8" w:rsidRPr="00421E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de">
    <w:altName w:val="Cod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B8E"/>
    <w:rsid w:val="00041AAB"/>
    <w:rsid w:val="00091618"/>
    <w:rsid w:val="00112B28"/>
    <w:rsid w:val="001804BE"/>
    <w:rsid w:val="001F0F84"/>
    <w:rsid w:val="002015E3"/>
    <w:rsid w:val="00293771"/>
    <w:rsid w:val="002A2BE6"/>
    <w:rsid w:val="002B1190"/>
    <w:rsid w:val="002D3B1A"/>
    <w:rsid w:val="002F2CDB"/>
    <w:rsid w:val="003033A0"/>
    <w:rsid w:val="00303653"/>
    <w:rsid w:val="00306B4D"/>
    <w:rsid w:val="0042123C"/>
    <w:rsid w:val="00421EB0"/>
    <w:rsid w:val="004A14FB"/>
    <w:rsid w:val="004B6AB5"/>
    <w:rsid w:val="004C7ED9"/>
    <w:rsid w:val="004E4191"/>
    <w:rsid w:val="00503135"/>
    <w:rsid w:val="005104E1"/>
    <w:rsid w:val="005C4358"/>
    <w:rsid w:val="005F5DE8"/>
    <w:rsid w:val="00622925"/>
    <w:rsid w:val="006342D1"/>
    <w:rsid w:val="00637B8E"/>
    <w:rsid w:val="006B14DC"/>
    <w:rsid w:val="006F2AD7"/>
    <w:rsid w:val="0073134F"/>
    <w:rsid w:val="007F7E66"/>
    <w:rsid w:val="00845FDB"/>
    <w:rsid w:val="00924976"/>
    <w:rsid w:val="00944EBC"/>
    <w:rsid w:val="009472CA"/>
    <w:rsid w:val="009535E0"/>
    <w:rsid w:val="009B6192"/>
    <w:rsid w:val="009D0378"/>
    <w:rsid w:val="00B2116F"/>
    <w:rsid w:val="00B45CC8"/>
    <w:rsid w:val="00B6266D"/>
    <w:rsid w:val="00BA0D62"/>
    <w:rsid w:val="00BE3F83"/>
    <w:rsid w:val="00C057A2"/>
    <w:rsid w:val="00C33A73"/>
    <w:rsid w:val="00C516FC"/>
    <w:rsid w:val="00C9728B"/>
    <w:rsid w:val="00CC379C"/>
    <w:rsid w:val="00DE395C"/>
    <w:rsid w:val="00E40B9C"/>
    <w:rsid w:val="00E539F6"/>
    <w:rsid w:val="00E61794"/>
    <w:rsid w:val="00E741C7"/>
    <w:rsid w:val="00EA239E"/>
    <w:rsid w:val="00F23202"/>
    <w:rsid w:val="00F33F8F"/>
    <w:rsid w:val="00F55F47"/>
    <w:rsid w:val="00F94B20"/>
    <w:rsid w:val="00FC076A"/>
    <w:rsid w:val="00FC68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F45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FDB"/>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845F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5F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D3B1A"/>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37B8E"/>
    <w:rPr>
      <w:i/>
      <w:iCs/>
    </w:rPr>
  </w:style>
  <w:style w:type="paragraph" w:styleId="Quote">
    <w:name w:val="Quote"/>
    <w:basedOn w:val="Normal"/>
    <w:next w:val="Normal"/>
    <w:link w:val="QuoteChar"/>
    <w:uiPriority w:val="29"/>
    <w:qFormat/>
    <w:rsid w:val="00C516FC"/>
    <w:pPr>
      <w:ind w:left="720"/>
    </w:pPr>
    <w:rPr>
      <w:iCs/>
      <w:color w:val="000000" w:themeColor="text1"/>
    </w:rPr>
  </w:style>
  <w:style w:type="character" w:customStyle="1" w:styleId="QuoteChar">
    <w:name w:val="Quote Char"/>
    <w:basedOn w:val="DefaultParagraphFont"/>
    <w:link w:val="Quote"/>
    <w:uiPriority w:val="29"/>
    <w:rsid w:val="00C516FC"/>
    <w:rPr>
      <w:iCs/>
      <w:color w:val="000000" w:themeColor="text1"/>
    </w:rPr>
  </w:style>
  <w:style w:type="paragraph" w:customStyle="1" w:styleId="Default">
    <w:name w:val="Default"/>
    <w:rsid w:val="002015E3"/>
    <w:pPr>
      <w:autoSpaceDE w:val="0"/>
      <w:autoSpaceDN w:val="0"/>
      <w:adjustRightInd w:val="0"/>
      <w:spacing w:after="0" w:line="240" w:lineRule="auto"/>
    </w:pPr>
    <w:rPr>
      <w:rFonts w:ascii="Code" w:hAnsi="Code" w:cs="Code"/>
      <w:color w:val="000000"/>
      <w:sz w:val="24"/>
      <w:szCs w:val="24"/>
    </w:rPr>
  </w:style>
  <w:style w:type="paragraph" w:styleId="ListParagraph">
    <w:name w:val="List Paragraph"/>
    <w:basedOn w:val="Normal"/>
    <w:uiPriority w:val="34"/>
    <w:qFormat/>
    <w:rsid w:val="006342D1"/>
    <w:pPr>
      <w:spacing w:after="0" w:line="240" w:lineRule="auto"/>
      <w:ind w:left="720"/>
      <w:contextualSpacing/>
    </w:pPr>
    <w:rPr>
      <w:rFonts w:eastAsia="Times New Roman" w:cs="Times New Roman"/>
      <w:szCs w:val="24"/>
      <w:lang w:val="en-GB"/>
    </w:rPr>
  </w:style>
  <w:style w:type="character" w:customStyle="1" w:styleId="Heading3Char">
    <w:name w:val="Heading 3 Char"/>
    <w:basedOn w:val="DefaultParagraphFont"/>
    <w:link w:val="Heading3"/>
    <w:uiPriority w:val="9"/>
    <w:rsid w:val="002D3B1A"/>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2D3B1A"/>
    <w:rPr>
      <w:color w:val="0000FF"/>
      <w:u w:val="single"/>
    </w:rPr>
  </w:style>
  <w:style w:type="paragraph" w:styleId="NormalWeb">
    <w:name w:val="Normal (Web)"/>
    <w:basedOn w:val="Normal"/>
    <w:uiPriority w:val="99"/>
    <w:semiHidden/>
    <w:unhideWhenUsed/>
    <w:rsid w:val="002D3B1A"/>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845FD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45FDB"/>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D037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FDB"/>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845F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5F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D3B1A"/>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37B8E"/>
    <w:rPr>
      <w:i/>
      <w:iCs/>
    </w:rPr>
  </w:style>
  <w:style w:type="paragraph" w:styleId="Quote">
    <w:name w:val="Quote"/>
    <w:basedOn w:val="Normal"/>
    <w:next w:val="Normal"/>
    <w:link w:val="QuoteChar"/>
    <w:uiPriority w:val="29"/>
    <w:qFormat/>
    <w:rsid w:val="00C516FC"/>
    <w:pPr>
      <w:ind w:left="720"/>
    </w:pPr>
    <w:rPr>
      <w:iCs/>
      <w:color w:val="000000" w:themeColor="text1"/>
    </w:rPr>
  </w:style>
  <w:style w:type="character" w:customStyle="1" w:styleId="QuoteChar">
    <w:name w:val="Quote Char"/>
    <w:basedOn w:val="DefaultParagraphFont"/>
    <w:link w:val="Quote"/>
    <w:uiPriority w:val="29"/>
    <w:rsid w:val="00C516FC"/>
    <w:rPr>
      <w:iCs/>
      <w:color w:val="000000" w:themeColor="text1"/>
    </w:rPr>
  </w:style>
  <w:style w:type="paragraph" w:customStyle="1" w:styleId="Default">
    <w:name w:val="Default"/>
    <w:rsid w:val="002015E3"/>
    <w:pPr>
      <w:autoSpaceDE w:val="0"/>
      <w:autoSpaceDN w:val="0"/>
      <w:adjustRightInd w:val="0"/>
      <w:spacing w:after="0" w:line="240" w:lineRule="auto"/>
    </w:pPr>
    <w:rPr>
      <w:rFonts w:ascii="Code" w:hAnsi="Code" w:cs="Code"/>
      <w:color w:val="000000"/>
      <w:sz w:val="24"/>
      <w:szCs w:val="24"/>
    </w:rPr>
  </w:style>
  <w:style w:type="paragraph" w:styleId="ListParagraph">
    <w:name w:val="List Paragraph"/>
    <w:basedOn w:val="Normal"/>
    <w:uiPriority w:val="34"/>
    <w:qFormat/>
    <w:rsid w:val="006342D1"/>
    <w:pPr>
      <w:spacing w:after="0" w:line="240" w:lineRule="auto"/>
      <w:ind w:left="720"/>
      <w:contextualSpacing/>
    </w:pPr>
    <w:rPr>
      <w:rFonts w:eastAsia="Times New Roman" w:cs="Times New Roman"/>
      <w:szCs w:val="24"/>
      <w:lang w:val="en-GB"/>
    </w:rPr>
  </w:style>
  <w:style w:type="character" w:customStyle="1" w:styleId="Heading3Char">
    <w:name w:val="Heading 3 Char"/>
    <w:basedOn w:val="DefaultParagraphFont"/>
    <w:link w:val="Heading3"/>
    <w:uiPriority w:val="9"/>
    <w:rsid w:val="002D3B1A"/>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2D3B1A"/>
    <w:rPr>
      <w:color w:val="0000FF"/>
      <w:u w:val="single"/>
    </w:rPr>
  </w:style>
  <w:style w:type="paragraph" w:styleId="NormalWeb">
    <w:name w:val="Normal (Web)"/>
    <w:basedOn w:val="Normal"/>
    <w:uiPriority w:val="99"/>
    <w:semiHidden/>
    <w:unhideWhenUsed/>
    <w:rsid w:val="002D3B1A"/>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845FD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45FDB"/>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D03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269780">
      <w:bodyDiv w:val="1"/>
      <w:marLeft w:val="0"/>
      <w:marRight w:val="0"/>
      <w:marTop w:val="0"/>
      <w:marBottom w:val="0"/>
      <w:divBdr>
        <w:top w:val="none" w:sz="0" w:space="0" w:color="auto"/>
        <w:left w:val="none" w:sz="0" w:space="0" w:color="auto"/>
        <w:bottom w:val="none" w:sz="0" w:space="0" w:color="auto"/>
        <w:right w:val="none" w:sz="0" w:space="0" w:color="auto"/>
      </w:divBdr>
      <w:divsChild>
        <w:div w:id="814227397">
          <w:marLeft w:val="375"/>
          <w:marRight w:val="0"/>
          <w:marTop w:val="2340"/>
          <w:marBottom w:val="0"/>
          <w:divBdr>
            <w:top w:val="none" w:sz="0" w:space="0" w:color="auto"/>
            <w:left w:val="none" w:sz="0" w:space="0" w:color="auto"/>
            <w:bottom w:val="none" w:sz="0" w:space="0" w:color="auto"/>
            <w:right w:val="none" w:sz="0" w:space="0" w:color="auto"/>
          </w:divBdr>
          <w:divsChild>
            <w:div w:id="684095284">
              <w:marLeft w:val="2760"/>
              <w:marRight w:val="0"/>
              <w:marTop w:val="1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hikanda.net/ethnicity/illustrations_manch/manchest.htm" TargetMode="External"/><Relationship Id="rId5" Type="http://schemas.openxmlformats.org/officeDocument/2006/relationships/hyperlink" Target="http://citeseerx.ist.psu.edu/viewdoc/download?doi=10.1.1.123.717&amp;rep=rep1&amp;typ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2013-10-08T17:25:00Z</dcterms:created>
  <dcterms:modified xsi:type="dcterms:W3CDTF">2013-10-24T13:50:00Z</dcterms:modified>
</cp:coreProperties>
</file>