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194FD2" w14:textId="77777777" w:rsidR="00361AAC" w:rsidRDefault="00361AAC" w:rsidP="00361AAC">
      <w:pPr>
        <w:rPr>
          <w:rFonts w:cstheme="minorHAnsi"/>
        </w:rPr>
      </w:pPr>
    </w:p>
    <w:p w14:paraId="1307E8C2" w14:textId="71D5592F" w:rsidR="00361AAC" w:rsidRDefault="00361AAC" w:rsidP="00361AAC">
      <w:pPr>
        <w:rPr>
          <w:rFonts w:cstheme="minorHAnsi"/>
        </w:rPr>
      </w:pPr>
      <w:r>
        <w:rPr>
          <w:rFonts w:cstheme="minorHAnsi"/>
        </w:rPr>
        <w:t>From:</w:t>
      </w:r>
      <w:r>
        <w:rPr>
          <w:rFonts w:cstheme="minorHAnsi"/>
        </w:rPr>
        <w:t xml:space="preserve"> Carly Butler</w:t>
      </w:r>
      <w:r w:rsidR="003B5290">
        <w:rPr>
          <w:rFonts w:cstheme="minorHAnsi"/>
        </w:rPr>
        <w:t>, HR Officer</w:t>
      </w:r>
    </w:p>
    <w:p w14:paraId="317904BD" w14:textId="38B9788A" w:rsidR="00361AAC" w:rsidRDefault="00361AAC" w:rsidP="00361AAC">
      <w:pPr>
        <w:rPr>
          <w:rFonts w:cstheme="minorHAnsi"/>
        </w:rPr>
      </w:pPr>
      <w:r>
        <w:rPr>
          <w:rFonts w:cstheme="minorHAnsi"/>
        </w:rPr>
        <w:t>To:</w:t>
      </w:r>
      <w:r>
        <w:rPr>
          <w:rFonts w:cstheme="minorHAnsi"/>
        </w:rPr>
        <w:t xml:space="preserve"> Ian Smith, Managing Director</w:t>
      </w:r>
    </w:p>
    <w:p w14:paraId="0AB78B39" w14:textId="527C7FD7" w:rsidR="00361AAC" w:rsidRDefault="00361AAC" w:rsidP="00361AAC">
      <w:pPr>
        <w:rPr>
          <w:rFonts w:cstheme="minorHAnsi"/>
        </w:rPr>
      </w:pPr>
      <w:r>
        <w:rPr>
          <w:rFonts w:cstheme="minorHAnsi"/>
        </w:rPr>
        <w:t>Date:</w:t>
      </w:r>
      <w:r>
        <w:rPr>
          <w:rFonts w:cstheme="minorHAnsi"/>
        </w:rPr>
        <w:t xml:space="preserve"> 3</w:t>
      </w:r>
      <w:r w:rsidRPr="00361AAC">
        <w:rPr>
          <w:rFonts w:cstheme="minorHAnsi"/>
          <w:vertAlign w:val="superscript"/>
        </w:rPr>
        <w:t>rd</w:t>
      </w:r>
      <w:r>
        <w:rPr>
          <w:rFonts w:cstheme="minorHAnsi"/>
        </w:rPr>
        <w:t xml:space="preserve"> March 2022</w:t>
      </w:r>
    </w:p>
    <w:p w14:paraId="3E64C4E7" w14:textId="13D4D73E" w:rsidR="00361AAC" w:rsidRDefault="00361AAC" w:rsidP="00361AAC">
      <w:pPr>
        <w:rPr>
          <w:rFonts w:cstheme="minorHAnsi"/>
        </w:rPr>
      </w:pPr>
      <w:r>
        <w:rPr>
          <w:rFonts w:cstheme="minorHAnsi"/>
        </w:rPr>
        <w:t>Subject:</w:t>
      </w:r>
      <w:r>
        <w:rPr>
          <w:rFonts w:cstheme="minorHAnsi"/>
        </w:rPr>
        <w:t xml:space="preserve"> Site Closure</w:t>
      </w:r>
    </w:p>
    <w:p w14:paraId="67522164" w14:textId="54D7D830" w:rsidR="00361AAC" w:rsidRDefault="00361AAC" w:rsidP="00361AAC">
      <w:pPr>
        <w:rPr>
          <w:rFonts w:cstheme="minorHAnsi"/>
        </w:rPr>
      </w:pPr>
    </w:p>
    <w:p w14:paraId="778D81A0" w14:textId="393DE403" w:rsidR="00361AAC" w:rsidRDefault="00361AAC" w:rsidP="00361AAC">
      <w:pPr>
        <w:rPr>
          <w:rFonts w:cstheme="minorHAnsi"/>
        </w:rPr>
      </w:pPr>
      <w:r>
        <w:rPr>
          <w:rFonts w:cstheme="minorHAnsi"/>
        </w:rPr>
        <w:t>Dear Ian,</w:t>
      </w:r>
    </w:p>
    <w:p w14:paraId="16610D14" w14:textId="243F7569" w:rsidR="00361AAC" w:rsidRDefault="00361AAC" w:rsidP="00361AAC">
      <w:pPr>
        <w:rPr>
          <w:rFonts w:cstheme="minorHAnsi"/>
        </w:rPr>
      </w:pPr>
    </w:p>
    <w:p w14:paraId="5E0AF0D8" w14:textId="5EC1C633" w:rsidR="000513FD" w:rsidRDefault="007C1FDE" w:rsidP="00891B61">
      <w:pPr>
        <w:pStyle w:val="ListParagraph"/>
        <w:numPr>
          <w:ilvl w:val="0"/>
          <w:numId w:val="1"/>
        </w:numPr>
        <w:rPr>
          <w:rFonts w:cstheme="minorHAnsi"/>
        </w:rPr>
      </w:pPr>
      <w:r w:rsidRPr="007C1FDE">
        <w:rPr>
          <w:rFonts w:cstheme="minorHAnsi"/>
          <w:highlight w:val="lightGray"/>
        </w:rPr>
        <w:t>AC 3.1</w:t>
      </w:r>
      <w:r>
        <w:rPr>
          <w:rFonts w:cstheme="minorHAnsi"/>
        </w:rPr>
        <w:t xml:space="preserve"> </w:t>
      </w:r>
      <w:r w:rsidR="002F32AD">
        <w:rPr>
          <w:rFonts w:cstheme="minorHAnsi"/>
        </w:rPr>
        <w:t xml:space="preserve">As we consider the closing of site C and the moving of at least 5 staff from site C to either site A or B, we must look at </w:t>
      </w:r>
      <w:r w:rsidR="00CC5FDA">
        <w:rPr>
          <w:rFonts w:cstheme="minorHAnsi"/>
        </w:rPr>
        <w:t>any mobility clause we have written into their contracts (Gov.uk, 2022). If we have not included this then we will need to consult with these staff as a courtesy to see if they will agree to the move. We will need to state an ETO relating to our profitability or performance, or to the change in production process or organisation structure. (Daniels, 2019) These ETO’s are not specifically stated in the new 2014 tightened regulations regarding Transfer of Undertakings (Protection of Employment) Legislation, however we will need to have sound reasons in place for consultation and protection from any future concerns.</w:t>
      </w:r>
    </w:p>
    <w:p w14:paraId="12D9B4E0" w14:textId="6E6D6E40" w:rsidR="00891B61" w:rsidRDefault="00891B61" w:rsidP="00891B61">
      <w:pPr>
        <w:pStyle w:val="ListParagraph"/>
        <w:rPr>
          <w:rFonts w:cstheme="minorHAnsi"/>
        </w:rPr>
      </w:pPr>
      <w:r>
        <w:rPr>
          <w:rFonts w:cstheme="minorHAnsi"/>
        </w:rPr>
        <w:t xml:space="preserve">We could also consider a collective bargaining as a tool to talk through with Unions what the proposed changes are and how we are implementing them. To gain agreement from unions is wise and needs careful navigating to avoid claims of </w:t>
      </w:r>
      <w:r w:rsidR="00FE245A">
        <w:rPr>
          <w:rFonts w:cstheme="minorHAnsi"/>
        </w:rPr>
        <w:t xml:space="preserve">bypassing this process as in </w:t>
      </w:r>
      <w:r w:rsidR="00FE245A" w:rsidRPr="00FE245A">
        <w:rPr>
          <w:rFonts w:cstheme="minorHAnsi"/>
          <w:i/>
          <w:iCs/>
        </w:rPr>
        <w:t xml:space="preserve">Kostal UK Ltd v Dunkley, SC, </w:t>
      </w:r>
      <w:r w:rsidR="00FE245A">
        <w:rPr>
          <w:rFonts w:cstheme="minorHAnsi"/>
          <w:i/>
          <w:iCs/>
        </w:rPr>
        <w:t>October</w:t>
      </w:r>
      <w:r w:rsidR="00FE245A" w:rsidRPr="00FE245A">
        <w:rPr>
          <w:rFonts w:cstheme="minorHAnsi"/>
          <w:i/>
          <w:iCs/>
        </w:rPr>
        <w:t xml:space="preserve"> 2021</w:t>
      </w:r>
      <w:r w:rsidR="00FE245A">
        <w:rPr>
          <w:rFonts w:cstheme="minorHAnsi"/>
          <w:i/>
          <w:iCs/>
        </w:rPr>
        <w:t xml:space="preserve"> </w:t>
      </w:r>
      <w:r w:rsidR="00FE245A">
        <w:rPr>
          <w:rFonts w:cstheme="minorHAnsi"/>
        </w:rPr>
        <w:t>(CIPD, 2022)</w:t>
      </w:r>
      <w:r w:rsidR="00987152">
        <w:rPr>
          <w:rFonts w:cstheme="minorHAnsi"/>
        </w:rPr>
        <w:t xml:space="preserve">. </w:t>
      </w:r>
    </w:p>
    <w:p w14:paraId="772B8F66" w14:textId="7AB21815" w:rsidR="00987152" w:rsidRDefault="002E5734" w:rsidP="00891B61">
      <w:pPr>
        <w:pStyle w:val="ListParagraph"/>
        <w:rPr>
          <w:rFonts w:cstheme="minorHAnsi"/>
        </w:rPr>
      </w:pPr>
      <w:r>
        <w:rPr>
          <w:rFonts w:cstheme="minorHAnsi"/>
        </w:rPr>
        <w:t>There are risks to consider (ACAS, 202</w:t>
      </w:r>
      <w:r w:rsidR="008D6BCA">
        <w:rPr>
          <w:rFonts w:cstheme="minorHAnsi"/>
        </w:rPr>
        <w:t>1</w:t>
      </w:r>
      <w:r>
        <w:rPr>
          <w:rFonts w:cstheme="minorHAnsi"/>
        </w:rPr>
        <w:t xml:space="preserve">) </w:t>
      </w:r>
      <w:r w:rsidR="000D6E91">
        <w:rPr>
          <w:rFonts w:cstheme="minorHAnsi"/>
        </w:rPr>
        <w:t xml:space="preserve">such as some of our most valued employees leaving the organisation or their performance </w:t>
      </w:r>
      <w:r w:rsidR="000A062B">
        <w:rPr>
          <w:rFonts w:cstheme="minorHAnsi"/>
        </w:rPr>
        <w:t>and commitment to ABC Ltd decreasing as they don’t see themselves as part of the process or consider</w:t>
      </w:r>
      <w:r w:rsidR="00852AB5">
        <w:rPr>
          <w:rFonts w:cstheme="minorHAnsi"/>
        </w:rPr>
        <w:t xml:space="preserve">ed </w:t>
      </w:r>
      <w:r w:rsidR="00A361E6">
        <w:rPr>
          <w:rFonts w:cstheme="minorHAnsi"/>
        </w:rPr>
        <w:t xml:space="preserve">fully. </w:t>
      </w:r>
      <w:r w:rsidR="008059BC">
        <w:rPr>
          <w:rFonts w:cstheme="minorHAnsi"/>
        </w:rPr>
        <w:t>By varying these employee contracts we do put ourselves at risk of a breach of contract claim and will need to manage these conversations sensitively and in a timely way.</w:t>
      </w:r>
    </w:p>
    <w:p w14:paraId="1D52E3FA" w14:textId="1000BB86" w:rsidR="004E6B5F" w:rsidRDefault="004E6B5F" w:rsidP="00891B61">
      <w:pPr>
        <w:pStyle w:val="ListParagraph"/>
        <w:rPr>
          <w:rFonts w:cstheme="minorHAnsi"/>
        </w:rPr>
      </w:pPr>
    </w:p>
    <w:p w14:paraId="0602A4B2" w14:textId="5C3A3000" w:rsidR="006E6E11" w:rsidRDefault="007C1FDE" w:rsidP="004E6B5F">
      <w:pPr>
        <w:pStyle w:val="ListParagraph"/>
        <w:numPr>
          <w:ilvl w:val="0"/>
          <w:numId w:val="1"/>
        </w:numPr>
        <w:rPr>
          <w:rFonts w:cstheme="minorHAnsi"/>
        </w:rPr>
      </w:pPr>
      <w:r w:rsidRPr="007C1FDE">
        <w:rPr>
          <w:rFonts w:cstheme="minorHAnsi"/>
          <w:highlight w:val="lightGray"/>
        </w:rPr>
        <w:t>AC 3.1</w:t>
      </w:r>
      <w:r>
        <w:rPr>
          <w:rFonts w:cstheme="minorHAnsi"/>
        </w:rPr>
        <w:t xml:space="preserve"> </w:t>
      </w:r>
      <w:r w:rsidR="004E6B5F">
        <w:rPr>
          <w:rFonts w:cstheme="minorHAnsi"/>
        </w:rPr>
        <w:t xml:space="preserve">Redundancy is a consideration for </w:t>
      </w:r>
      <w:r w:rsidR="00664155">
        <w:rPr>
          <w:rFonts w:cstheme="minorHAnsi"/>
        </w:rPr>
        <w:t xml:space="preserve">these employees if we have not included the mobility clause within the contract and </w:t>
      </w:r>
      <w:r w:rsidR="00B34F98">
        <w:rPr>
          <w:rFonts w:cstheme="minorHAnsi"/>
        </w:rPr>
        <w:t>are not wishing to retain these staff on site A and B</w:t>
      </w:r>
      <w:r w:rsidR="00B901C4">
        <w:rPr>
          <w:rFonts w:cstheme="minorHAnsi"/>
        </w:rPr>
        <w:t xml:space="preserve">, under the </w:t>
      </w:r>
      <w:r w:rsidR="00CB414D">
        <w:rPr>
          <w:rFonts w:cstheme="minorHAnsi"/>
        </w:rPr>
        <w:t>Employee Relations Act 1996</w:t>
      </w:r>
      <w:r w:rsidR="006E6E11">
        <w:rPr>
          <w:rFonts w:cstheme="minorHAnsi"/>
        </w:rPr>
        <w:t>;</w:t>
      </w:r>
      <w:r w:rsidR="0021257A">
        <w:rPr>
          <w:rFonts w:cstheme="minorHAnsi"/>
        </w:rPr>
        <w:t xml:space="preserve"> ‘</w:t>
      </w:r>
      <w:r w:rsidR="00BE08F2">
        <w:rPr>
          <w:rFonts w:cstheme="minorHAnsi"/>
        </w:rPr>
        <w:t>E</w:t>
      </w:r>
      <w:r w:rsidR="0021257A">
        <w:rPr>
          <w:rFonts w:cstheme="minorHAnsi"/>
        </w:rPr>
        <w:t xml:space="preserve">mployer has ceased, or intends to cease, to carry on that business </w:t>
      </w:r>
      <w:r w:rsidR="006E6E11">
        <w:rPr>
          <w:rFonts w:cstheme="minorHAnsi"/>
        </w:rPr>
        <w:t>in the place where the employees were employed’.</w:t>
      </w:r>
    </w:p>
    <w:p w14:paraId="0726C505" w14:textId="2B01FAE3" w:rsidR="004E6B5F" w:rsidRDefault="00C775C4" w:rsidP="006E6E11">
      <w:pPr>
        <w:pStyle w:val="ListParagraph"/>
        <w:rPr>
          <w:rFonts w:cstheme="minorHAnsi"/>
        </w:rPr>
      </w:pPr>
      <w:r>
        <w:rPr>
          <w:rFonts w:cstheme="minorHAnsi"/>
        </w:rPr>
        <w:t>As we have less than 20 employees to consult, there are no set rules as to the length of the consulting period</w:t>
      </w:r>
      <w:r w:rsidR="001D1248">
        <w:rPr>
          <w:rFonts w:cstheme="minorHAnsi"/>
        </w:rPr>
        <w:t xml:space="preserve"> (gov.uk, 2022) however we want to follow best practice and also protect against later claims of </w:t>
      </w:r>
      <w:r w:rsidR="00BA5573">
        <w:rPr>
          <w:rFonts w:cstheme="minorHAnsi"/>
        </w:rPr>
        <w:t xml:space="preserve">unfair dismissal by an employment tribunal. A consultation of 1 to 2 weeks would be reasonable in these circumstances </w:t>
      </w:r>
      <w:r w:rsidR="004C12C4">
        <w:rPr>
          <w:rFonts w:cstheme="minorHAnsi"/>
        </w:rPr>
        <w:t xml:space="preserve">and to ascertain who may be offered redundancy we may consider a points system. This will allow us to fairly look at who would be the most valuable asset for us to retain rather than </w:t>
      </w:r>
      <w:r w:rsidR="00A06E44">
        <w:rPr>
          <w:rFonts w:cstheme="minorHAnsi"/>
        </w:rPr>
        <w:t>selecting staff on an employer led basis. Again this gives a more robust defen</w:t>
      </w:r>
      <w:r w:rsidR="009A60FB">
        <w:rPr>
          <w:rFonts w:cstheme="minorHAnsi"/>
        </w:rPr>
        <w:t>c</w:t>
      </w:r>
      <w:r w:rsidR="00A06E44">
        <w:rPr>
          <w:rFonts w:cstheme="minorHAnsi"/>
        </w:rPr>
        <w:t>e for any future tribunal claims.</w:t>
      </w:r>
      <w:r w:rsidR="009A60FB">
        <w:rPr>
          <w:rFonts w:cstheme="minorHAnsi"/>
        </w:rPr>
        <w:t xml:space="preserve"> </w:t>
      </w:r>
    </w:p>
    <w:p w14:paraId="06B4211A" w14:textId="59ACA338" w:rsidR="00F37CB7" w:rsidRDefault="00F37CB7" w:rsidP="00F37CB7">
      <w:pPr>
        <w:pStyle w:val="ListParagraph"/>
        <w:rPr>
          <w:rFonts w:cstheme="minorHAnsi"/>
        </w:rPr>
      </w:pPr>
      <w:r>
        <w:rPr>
          <w:rFonts w:cstheme="minorHAnsi"/>
        </w:rPr>
        <w:t xml:space="preserve">We will </w:t>
      </w:r>
      <w:r w:rsidR="005A4095">
        <w:rPr>
          <w:rFonts w:cstheme="minorHAnsi"/>
        </w:rPr>
        <w:t xml:space="preserve">need to refer to our previous redundancy pay in order to ensure we are consistent, we cannot follow current statutory caps and guidelines for age and years of service if we have previously </w:t>
      </w:r>
      <w:r w:rsidR="00F05DAC">
        <w:rPr>
          <w:rFonts w:cstheme="minorHAnsi"/>
        </w:rPr>
        <w:t xml:space="preserve">enhanced the redundancy pay, as in the case of </w:t>
      </w:r>
      <w:r w:rsidR="008932AB">
        <w:rPr>
          <w:rFonts w:cstheme="minorHAnsi"/>
          <w:i/>
          <w:iCs/>
        </w:rPr>
        <w:t>Peacock Stores v Peregrine, EAT Feb 2014</w:t>
      </w:r>
      <w:r w:rsidR="00930766">
        <w:rPr>
          <w:rFonts w:cstheme="minorHAnsi"/>
          <w:i/>
          <w:iCs/>
        </w:rPr>
        <w:t xml:space="preserve">. </w:t>
      </w:r>
      <w:r w:rsidR="00930766">
        <w:rPr>
          <w:rFonts w:cstheme="minorHAnsi"/>
        </w:rPr>
        <w:t>(CIPD, 2022)</w:t>
      </w:r>
      <w:r w:rsidR="00930766">
        <w:rPr>
          <w:rFonts w:cstheme="minorHAnsi"/>
          <w:i/>
          <w:iCs/>
        </w:rPr>
        <w:t xml:space="preserve"> </w:t>
      </w:r>
      <w:r w:rsidR="00930766">
        <w:rPr>
          <w:rFonts w:cstheme="minorHAnsi"/>
        </w:rPr>
        <w:t xml:space="preserve">In this case the court ruled that </w:t>
      </w:r>
      <w:r w:rsidR="00911E3C">
        <w:rPr>
          <w:rFonts w:cstheme="minorHAnsi"/>
        </w:rPr>
        <w:t xml:space="preserve">because a precedent had been set of enhancing statutory payments, it was implied this would continue. </w:t>
      </w:r>
      <w:r w:rsidR="000C2F8F">
        <w:rPr>
          <w:rFonts w:cstheme="minorHAnsi"/>
        </w:rPr>
        <w:t xml:space="preserve">If we have always </w:t>
      </w:r>
      <w:r w:rsidR="000C2F8F">
        <w:rPr>
          <w:rFonts w:cstheme="minorHAnsi"/>
        </w:rPr>
        <w:lastRenderedPageBreak/>
        <w:t xml:space="preserve">complied with statutory payments then </w:t>
      </w:r>
      <w:r w:rsidR="00497103">
        <w:rPr>
          <w:rFonts w:cstheme="minorHAnsi"/>
        </w:rPr>
        <w:t xml:space="preserve">we will need to talk through the reason and selection method with our chosen employees and show clearly the calculation; </w:t>
      </w:r>
      <w:r w:rsidR="0032378F">
        <w:rPr>
          <w:rFonts w:cstheme="minorHAnsi"/>
        </w:rPr>
        <w:t xml:space="preserve">notice pay + 1.5 weeks pay for each YOE </w:t>
      </w:r>
      <w:r w:rsidR="00262B48">
        <w:rPr>
          <w:rFonts w:cstheme="minorHAnsi"/>
        </w:rPr>
        <w:t>(41-64 yrs), 1 weeks pay for each YOE (</w:t>
      </w:r>
      <w:r w:rsidR="0060080D">
        <w:rPr>
          <w:rFonts w:cstheme="minorHAnsi"/>
        </w:rPr>
        <w:t>22-40 yrs), 0.5 weeks pay for each YOE (</w:t>
      </w:r>
      <w:r w:rsidR="009261AB">
        <w:rPr>
          <w:rFonts w:cstheme="minorHAnsi"/>
        </w:rPr>
        <w:t xml:space="preserve">under 21 yrs). We will also need to calculate outstanding holiday pay </w:t>
      </w:r>
      <w:r w:rsidR="00ED5F85">
        <w:rPr>
          <w:rFonts w:cstheme="minorHAnsi"/>
        </w:rPr>
        <w:t xml:space="preserve">and add this to the final sum. </w:t>
      </w:r>
    </w:p>
    <w:p w14:paraId="4EFE92DB" w14:textId="1754AA89" w:rsidR="00BE08F2" w:rsidRDefault="00BE08F2" w:rsidP="00F37CB7">
      <w:pPr>
        <w:pStyle w:val="ListParagraph"/>
        <w:rPr>
          <w:rFonts w:cstheme="minorHAnsi"/>
        </w:rPr>
      </w:pPr>
    </w:p>
    <w:p w14:paraId="261F0E7B" w14:textId="26FDDB0A" w:rsidR="00BE08F2" w:rsidRDefault="007C1FDE" w:rsidP="00BE08F2">
      <w:pPr>
        <w:pStyle w:val="ListParagraph"/>
        <w:numPr>
          <w:ilvl w:val="0"/>
          <w:numId w:val="1"/>
        </w:numPr>
        <w:rPr>
          <w:rFonts w:cstheme="minorHAnsi"/>
        </w:rPr>
      </w:pPr>
      <w:r w:rsidRPr="000419F0">
        <w:rPr>
          <w:rFonts w:cstheme="minorHAnsi"/>
          <w:highlight w:val="lightGray"/>
        </w:rPr>
        <w:t>AC 3.2</w:t>
      </w:r>
      <w:r>
        <w:rPr>
          <w:rFonts w:cstheme="minorHAnsi"/>
        </w:rPr>
        <w:t xml:space="preserve"> </w:t>
      </w:r>
      <w:r w:rsidR="000419F0">
        <w:rPr>
          <w:rFonts w:cstheme="minorHAnsi"/>
        </w:rPr>
        <w:t xml:space="preserve">The legislation for </w:t>
      </w:r>
      <w:r w:rsidR="00476B9F">
        <w:rPr>
          <w:rFonts w:cstheme="minorHAnsi"/>
        </w:rPr>
        <w:t>The T</w:t>
      </w:r>
      <w:r w:rsidR="000419F0">
        <w:rPr>
          <w:rFonts w:cstheme="minorHAnsi"/>
        </w:rPr>
        <w:t xml:space="preserve">ransfer of </w:t>
      </w:r>
      <w:r w:rsidR="00476B9F">
        <w:rPr>
          <w:rFonts w:cstheme="minorHAnsi"/>
        </w:rPr>
        <w:t>U</w:t>
      </w:r>
      <w:r w:rsidR="000419F0">
        <w:rPr>
          <w:rFonts w:cstheme="minorHAnsi"/>
        </w:rPr>
        <w:t xml:space="preserve">ndertakings </w:t>
      </w:r>
      <w:r w:rsidR="00476B9F">
        <w:rPr>
          <w:rFonts w:cstheme="minorHAnsi"/>
        </w:rPr>
        <w:t xml:space="preserve">(TUPE) </w:t>
      </w:r>
      <w:r w:rsidR="0032672E">
        <w:rPr>
          <w:rFonts w:cstheme="minorHAnsi"/>
        </w:rPr>
        <w:t xml:space="preserve">were replaced in 2006 and amended in 2014. </w:t>
      </w:r>
      <w:r w:rsidR="009618E4">
        <w:rPr>
          <w:rFonts w:cstheme="minorHAnsi"/>
        </w:rPr>
        <w:t xml:space="preserve">When we decide if it applies we need consider if there </w:t>
      </w:r>
      <w:r w:rsidR="00077C69">
        <w:rPr>
          <w:rFonts w:cstheme="minorHAnsi"/>
        </w:rPr>
        <w:t xml:space="preserve">has been a change in the service provider. </w:t>
      </w:r>
      <w:r w:rsidR="009D4D9D">
        <w:rPr>
          <w:rFonts w:cstheme="minorHAnsi"/>
        </w:rPr>
        <w:t xml:space="preserve">In this instance we have seen our competitor buy site C and </w:t>
      </w:r>
      <w:r w:rsidR="00793889">
        <w:rPr>
          <w:rFonts w:cstheme="minorHAnsi"/>
        </w:rPr>
        <w:t xml:space="preserve">we understand will now continue to run it as part of their business competing with us in the same market. </w:t>
      </w:r>
      <w:r w:rsidR="009D4D9D">
        <w:rPr>
          <w:rFonts w:cstheme="minorHAnsi"/>
        </w:rPr>
        <w:t xml:space="preserve"> </w:t>
      </w:r>
      <w:r w:rsidR="00290CC5">
        <w:rPr>
          <w:rFonts w:cstheme="minorHAnsi"/>
        </w:rPr>
        <w:t xml:space="preserve">The exemptions that could apply would relate to it either being shut and assets sold, </w:t>
      </w:r>
      <w:r w:rsidR="00CE53E7">
        <w:rPr>
          <w:rFonts w:cstheme="minorHAnsi"/>
        </w:rPr>
        <w:t xml:space="preserve">the customer changing, a one off event or just the sale of shares, none of which are happening here. So this does qualify as TUPE and will </w:t>
      </w:r>
      <w:r w:rsidR="007D6085">
        <w:rPr>
          <w:rFonts w:cstheme="minorHAnsi"/>
        </w:rPr>
        <w:t xml:space="preserve">follow the automatic transfer principle. </w:t>
      </w:r>
    </w:p>
    <w:p w14:paraId="73C8D058" w14:textId="3F173D9A" w:rsidR="00E7509C" w:rsidRDefault="00E7509C" w:rsidP="00E7509C">
      <w:pPr>
        <w:pStyle w:val="ListParagraph"/>
        <w:rPr>
          <w:rFonts w:cstheme="minorHAnsi"/>
        </w:rPr>
      </w:pPr>
      <w:r>
        <w:rPr>
          <w:rFonts w:cstheme="minorHAnsi"/>
        </w:rPr>
        <w:t xml:space="preserve">A consultation </w:t>
      </w:r>
      <w:r w:rsidR="001F2B72">
        <w:rPr>
          <w:rFonts w:cstheme="minorHAnsi"/>
        </w:rPr>
        <w:t>will be required where employees represent themselves (as there are less than 10)</w:t>
      </w:r>
      <w:r w:rsidR="00C80146">
        <w:rPr>
          <w:rFonts w:cstheme="minorHAnsi"/>
        </w:rPr>
        <w:t xml:space="preserve"> and </w:t>
      </w:r>
      <w:r w:rsidR="00D21EA5">
        <w:rPr>
          <w:rFonts w:cstheme="minorHAnsi"/>
        </w:rPr>
        <w:t xml:space="preserve">as the automatic transfer principle will apply, all </w:t>
      </w:r>
      <w:r w:rsidR="00216FB3">
        <w:rPr>
          <w:rFonts w:cstheme="minorHAnsi"/>
        </w:rPr>
        <w:t xml:space="preserve">the powers, </w:t>
      </w:r>
      <w:r w:rsidR="00DF1C6C">
        <w:rPr>
          <w:rFonts w:cstheme="minorHAnsi"/>
        </w:rPr>
        <w:t xml:space="preserve">rights, duties and liabilities become the responsibility of the new owner as they were of ABC Ltd. If any employee objects to the transfer </w:t>
      </w:r>
      <w:r w:rsidR="005F3E62">
        <w:rPr>
          <w:rFonts w:cstheme="minorHAnsi"/>
        </w:rPr>
        <w:t xml:space="preserve">their contracts will end by ‘operation of law’ on the date of transfer. </w:t>
      </w:r>
      <w:r w:rsidR="00C03DB1">
        <w:rPr>
          <w:rFonts w:cstheme="minorHAnsi"/>
        </w:rPr>
        <w:t xml:space="preserve">It is integral for the new </w:t>
      </w:r>
      <w:r w:rsidR="00F679E1">
        <w:rPr>
          <w:rFonts w:cstheme="minorHAnsi"/>
        </w:rPr>
        <w:t>owners to communicate clearly on any measures that may be envisaged eg new payroll date, within the process of consultation</w:t>
      </w:r>
      <w:r w:rsidR="008C6582">
        <w:rPr>
          <w:rFonts w:cstheme="minorHAnsi"/>
        </w:rPr>
        <w:t xml:space="preserve">. Though the consultation is only for those </w:t>
      </w:r>
      <w:r w:rsidR="00074420">
        <w:rPr>
          <w:rFonts w:cstheme="minorHAnsi"/>
        </w:rPr>
        <w:t xml:space="preserve">on site C as in the case of </w:t>
      </w:r>
      <w:r w:rsidR="006D6ABD">
        <w:rPr>
          <w:rFonts w:cstheme="minorHAnsi"/>
          <w:i/>
          <w:iCs/>
        </w:rPr>
        <w:t>Ilab Facilities v Metcalfe and others EAT, 2013</w:t>
      </w:r>
      <w:r w:rsidR="00EB124D">
        <w:rPr>
          <w:rFonts w:cstheme="minorHAnsi"/>
          <w:i/>
          <w:iCs/>
        </w:rPr>
        <w:t xml:space="preserve"> </w:t>
      </w:r>
      <w:r w:rsidR="001804DF" w:rsidRPr="001804DF">
        <w:rPr>
          <w:rFonts w:cstheme="minorHAnsi"/>
        </w:rPr>
        <w:t>(Daniels, 2019)</w:t>
      </w:r>
      <w:r w:rsidR="001804DF">
        <w:rPr>
          <w:rFonts w:cstheme="minorHAnsi"/>
          <w:i/>
          <w:iCs/>
        </w:rPr>
        <w:t xml:space="preserve"> </w:t>
      </w:r>
      <w:r w:rsidR="00EB124D">
        <w:rPr>
          <w:rFonts w:cstheme="minorHAnsi"/>
        </w:rPr>
        <w:t xml:space="preserve">here the court ruled </w:t>
      </w:r>
      <w:r w:rsidR="00A10C5C">
        <w:rPr>
          <w:rFonts w:cstheme="minorHAnsi"/>
        </w:rPr>
        <w:t xml:space="preserve">the consultation was only for those who are transferring and not </w:t>
      </w:r>
      <w:r w:rsidR="001804DF">
        <w:rPr>
          <w:rFonts w:cstheme="minorHAnsi"/>
        </w:rPr>
        <w:t xml:space="preserve">all staff within the existing business. </w:t>
      </w:r>
    </w:p>
    <w:p w14:paraId="79A31FB3" w14:textId="6B5CF3AB" w:rsidR="00E12ECE" w:rsidRDefault="0050254F" w:rsidP="00E7509C">
      <w:pPr>
        <w:pStyle w:val="ListParagraph"/>
        <w:rPr>
          <w:rFonts w:cstheme="minorHAnsi"/>
        </w:rPr>
      </w:pPr>
      <w:r>
        <w:rPr>
          <w:rFonts w:cstheme="minorHAnsi"/>
        </w:rPr>
        <w:t>This consultation is our joint responsibility as ABC Ltd with the new owner</w:t>
      </w:r>
      <w:r w:rsidR="00C20563">
        <w:rPr>
          <w:rFonts w:cstheme="minorHAnsi"/>
        </w:rPr>
        <w:t xml:space="preserve"> and if it is deemed inadequate each employee will be awarded up to 13 weeks’ pay. </w:t>
      </w:r>
      <w:r w:rsidR="001E3ECA">
        <w:rPr>
          <w:rFonts w:cstheme="minorHAnsi"/>
        </w:rPr>
        <w:t>(Daniels, 2019)</w:t>
      </w:r>
    </w:p>
    <w:p w14:paraId="67FCC7DA" w14:textId="678BE337" w:rsidR="00E60E36" w:rsidRDefault="00E60E36" w:rsidP="00E7509C">
      <w:pPr>
        <w:pStyle w:val="ListParagraph"/>
        <w:rPr>
          <w:rFonts w:cstheme="minorHAnsi"/>
        </w:rPr>
      </w:pPr>
    </w:p>
    <w:p w14:paraId="7C9899D5" w14:textId="0663A515" w:rsidR="00E60E36" w:rsidRDefault="00E60E36" w:rsidP="00E7509C">
      <w:pPr>
        <w:pStyle w:val="ListParagraph"/>
        <w:rPr>
          <w:rFonts w:cstheme="minorHAnsi"/>
        </w:rPr>
      </w:pPr>
      <w:r>
        <w:rPr>
          <w:rFonts w:cstheme="minorHAnsi"/>
        </w:rPr>
        <w:t>Thank you for your consideration</w:t>
      </w:r>
      <w:r w:rsidR="008434E5">
        <w:rPr>
          <w:rFonts w:cstheme="minorHAnsi"/>
        </w:rPr>
        <w:t xml:space="preserve">, I hope we can apply this legislation </w:t>
      </w:r>
      <w:r w:rsidR="002013BD">
        <w:rPr>
          <w:rFonts w:cstheme="minorHAnsi"/>
        </w:rPr>
        <w:t>with consideration and navigate the way clearly with these valuable staff members.</w:t>
      </w:r>
    </w:p>
    <w:p w14:paraId="37C0C0E4" w14:textId="78B4AF62" w:rsidR="002013BD" w:rsidRDefault="002013BD" w:rsidP="00E7509C">
      <w:pPr>
        <w:pStyle w:val="ListParagraph"/>
        <w:rPr>
          <w:rFonts w:cstheme="minorHAnsi"/>
        </w:rPr>
      </w:pPr>
    </w:p>
    <w:p w14:paraId="46B94A85" w14:textId="138F345B" w:rsidR="002013BD" w:rsidRDefault="002013BD" w:rsidP="00E7509C">
      <w:pPr>
        <w:pStyle w:val="ListParagraph"/>
        <w:rPr>
          <w:rFonts w:cstheme="minorHAnsi"/>
        </w:rPr>
      </w:pPr>
      <w:r>
        <w:rPr>
          <w:rFonts w:cstheme="minorHAnsi"/>
        </w:rPr>
        <w:t>Many Thanks</w:t>
      </w:r>
    </w:p>
    <w:p w14:paraId="77D84505" w14:textId="3EDCD956" w:rsidR="002013BD" w:rsidRDefault="002013BD" w:rsidP="00E7509C">
      <w:pPr>
        <w:pStyle w:val="ListParagraph"/>
        <w:rPr>
          <w:rFonts w:cstheme="minorHAnsi"/>
        </w:rPr>
      </w:pPr>
    </w:p>
    <w:p w14:paraId="398A9049" w14:textId="1DF33929" w:rsidR="002013BD" w:rsidRDefault="002013BD" w:rsidP="00E7509C">
      <w:pPr>
        <w:pStyle w:val="ListParagraph"/>
        <w:rPr>
          <w:rFonts w:cstheme="minorHAnsi"/>
        </w:rPr>
      </w:pPr>
      <w:r>
        <w:rPr>
          <w:rFonts w:cstheme="minorHAnsi"/>
        </w:rPr>
        <w:t xml:space="preserve">Carly Butler </w:t>
      </w:r>
    </w:p>
    <w:p w14:paraId="16E4AE31" w14:textId="0064C034" w:rsidR="003B5290" w:rsidRDefault="003B5290" w:rsidP="00E7509C">
      <w:pPr>
        <w:pStyle w:val="ListParagraph"/>
        <w:rPr>
          <w:rFonts w:cstheme="minorHAnsi"/>
        </w:rPr>
      </w:pPr>
      <w:r>
        <w:rPr>
          <w:rFonts w:cstheme="minorHAnsi"/>
        </w:rPr>
        <w:t>HR Officer</w:t>
      </w:r>
    </w:p>
    <w:p w14:paraId="342E3DB1" w14:textId="506BB70C" w:rsidR="003B5290" w:rsidRPr="00EB124D" w:rsidRDefault="003B5290" w:rsidP="00E7509C">
      <w:pPr>
        <w:pStyle w:val="ListParagraph"/>
        <w:rPr>
          <w:rFonts w:cstheme="minorHAnsi"/>
        </w:rPr>
      </w:pPr>
      <w:r>
        <w:rPr>
          <w:rFonts w:cstheme="minorHAnsi"/>
        </w:rPr>
        <w:t>ABC Ltd</w:t>
      </w:r>
    </w:p>
    <w:sectPr w:rsidR="003B5290" w:rsidRPr="00EB12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223D3"/>
    <w:multiLevelType w:val="hybridMultilevel"/>
    <w:tmpl w:val="A27AA59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AAC"/>
    <w:rsid w:val="000419F0"/>
    <w:rsid w:val="000513FD"/>
    <w:rsid w:val="00074420"/>
    <w:rsid w:val="00077C69"/>
    <w:rsid w:val="000A062B"/>
    <w:rsid w:val="000C2F8F"/>
    <w:rsid w:val="000D6E91"/>
    <w:rsid w:val="001804DF"/>
    <w:rsid w:val="001D1248"/>
    <w:rsid w:val="001E3ECA"/>
    <w:rsid w:val="001F2B72"/>
    <w:rsid w:val="002013BD"/>
    <w:rsid w:val="0021257A"/>
    <w:rsid w:val="00216FB3"/>
    <w:rsid w:val="00262B48"/>
    <w:rsid w:val="00290CC5"/>
    <w:rsid w:val="002E5734"/>
    <w:rsid w:val="002F32AD"/>
    <w:rsid w:val="0032378F"/>
    <w:rsid w:val="0032672E"/>
    <w:rsid w:val="003270A7"/>
    <w:rsid w:val="00361AAC"/>
    <w:rsid w:val="003B5290"/>
    <w:rsid w:val="00476B9F"/>
    <w:rsid w:val="00497103"/>
    <w:rsid w:val="004C12C4"/>
    <w:rsid w:val="004E6B5F"/>
    <w:rsid w:val="0050254F"/>
    <w:rsid w:val="005A4095"/>
    <w:rsid w:val="005F3E62"/>
    <w:rsid w:val="0060080D"/>
    <w:rsid w:val="00664155"/>
    <w:rsid w:val="006D6ABD"/>
    <w:rsid w:val="006E6E11"/>
    <w:rsid w:val="00793889"/>
    <w:rsid w:val="007C1FDE"/>
    <w:rsid w:val="007D6085"/>
    <w:rsid w:val="008059BC"/>
    <w:rsid w:val="008434E5"/>
    <w:rsid w:val="00852AB5"/>
    <w:rsid w:val="00891B61"/>
    <w:rsid w:val="008932AB"/>
    <w:rsid w:val="008C6582"/>
    <w:rsid w:val="008D6BCA"/>
    <w:rsid w:val="00911E3C"/>
    <w:rsid w:val="009261AB"/>
    <w:rsid w:val="00930766"/>
    <w:rsid w:val="009618E4"/>
    <w:rsid w:val="00987152"/>
    <w:rsid w:val="009A60FB"/>
    <w:rsid w:val="009D4D9D"/>
    <w:rsid w:val="00A06E44"/>
    <w:rsid w:val="00A10C5C"/>
    <w:rsid w:val="00A361E6"/>
    <w:rsid w:val="00B34F98"/>
    <w:rsid w:val="00B901C4"/>
    <w:rsid w:val="00BA5573"/>
    <w:rsid w:val="00BE08F2"/>
    <w:rsid w:val="00C03DB1"/>
    <w:rsid w:val="00C20563"/>
    <w:rsid w:val="00C37251"/>
    <w:rsid w:val="00C775C4"/>
    <w:rsid w:val="00C80146"/>
    <w:rsid w:val="00CB414D"/>
    <w:rsid w:val="00CC5FDA"/>
    <w:rsid w:val="00CE53E7"/>
    <w:rsid w:val="00D21EA5"/>
    <w:rsid w:val="00D44B3F"/>
    <w:rsid w:val="00DF1C6C"/>
    <w:rsid w:val="00E12ECE"/>
    <w:rsid w:val="00E60E36"/>
    <w:rsid w:val="00E7509C"/>
    <w:rsid w:val="00EB124D"/>
    <w:rsid w:val="00ED5F85"/>
    <w:rsid w:val="00F05DAC"/>
    <w:rsid w:val="00F37CB7"/>
    <w:rsid w:val="00F679E1"/>
    <w:rsid w:val="00FE24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B96D3"/>
  <w15:chartTrackingRefBased/>
  <w15:docId w15:val="{A21D3547-0A99-4EED-8199-9F617449D1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1AA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1AA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2</Pages>
  <Words>775</Words>
  <Characters>4424</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Butler (Hywel Dda UHB - Team Secretary)</dc:creator>
  <cp:keywords/>
  <dc:description/>
  <cp:lastModifiedBy>Carly Butler (Hywel Dda UHB - Team Secretary)</cp:lastModifiedBy>
  <cp:revision>73</cp:revision>
  <dcterms:created xsi:type="dcterms:W3CDTF">2022-03-03T09:24:00Z</dcterms:created>
  <dcterms:modified xsi:type="dcterms:W3CDTF">2022-03-03T11:34:00Z</dcterms:modified>
</cp:coreProperties>
</file>