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26A348" w14:textId="333E8DE9" w:rsidR="7B5EAB99" w:rsidRPr="00BB0D1F" w:rsidRDefault="7B5EAB99" w:rsidP="00BB0D1F">
      <w:pPr>
        <w:spacing w:line="360" w:lineRule="auto"/>
        <w:rPr>
          <w:rFonts w:ascii="Arial" w:hAnsi="Arial" w:cs="Arial"/>
          <w:sz w:val="22"/>
          <w:szCs w:val="22"/>
          <w:lang w:val="en-US"/>
        </w:rPr>
      </w:pPr>
      <w:r w:rsidRPr="00BB0D1F">
        <w:rPr>
          <w:rFonts w:ascii="Arial" w:hAnsi="Arial" w:cs="Arial"/>
          <w:b/>
          <w:bCs/>
          <w:sz w:val="22"/>
          <w:szCs w:val="22"/>
        </w:rPr>
        <w:t>Student name and number</w:t>
      </w:r>
      <w:r w:rsidRPr="00BB0D1F">
        <w:rPr>
          <w:rFonts w:ascii="Arial" w:hAnsi="Arial" w:cs="Arial"/>
          <w:sz w:val="22"/>
          <w:szCs w:val="22"/>
        </w:rPr>
        <w:t>: Marcia Miller (2406690)</w:t>
      </w:r>
    </w:p>
    <w:p w14:paraId="6CB959FE" w14:textId="7A02E8E9" w:rsidR="7B5EAB99" w:rsidRPr="00BB0D1F" w:rsidRDefault="7B5EAB99" w:rsidP="00BB0D1F">
      <w:pPr>
        <w:spacing w:line="360" w:lineRule="auto"/>
        <w:rPr>
          <w:rFonts w:ascii="Arial" w:hAnsi="Arial" w:cs="Arial"/>
          <w:sz w:val="22"/>
          <w:szCs w:val="22"/>
          <w:lang w:val="en-US"/>
        </w:rPr>
      </w:pPr>
      <w:r w:rsidRPr="00BB0D1F">
        <w:rPr>
          <w:rFonts w:ascii="Arial" w:hAnsi="Arial" w:cs="Arial"/>
          <w:b/>
          <w:bCs/>
          <w:sz w:val="22"/>
          <w:szCs w:val="22"/>
        </w:rPr>
        <w:t>Module title and code:</w:t>
      </w:r>
      <w:r w:rsidRPr="00BB0D1F">
        <w:rPr>
          <w:rFonts w:ascii="Arial" w:hAnsi="Arial" w:cs="Arial"/>
          <w:sz w:val="22"/>
          <w:szCs w:val="22"/>
        </w:rPr>
        <w:t xml:space="preserve"> Principles of Health and Social Care Practice (</w:t>
      </w:r>
      <w:r w:rsidR="1D42422D" w:rsidRPr="00BB0D1F">
        <w:rPr>
          <w:rFonts w:ascii="Arial" w:hAnsi="Arial" w:cs="Arial"/>
          <w:sz w:val="22"/>
          <w:szCs w:val="22"/>
        </w:rPr>
        <w:t>BMHP5016</w:t>
      </w:r>
      <w:r w:rsidRPr="00BB0D1F">
        <w:rPr>
          <w:rFonts w:ascii="Arial" w:hAnsi="Arial" w:cs="Arial"/>
          <w:sz w:val="22"/>
          <w:szCs w:val="22"/>
        </w:rPr>
        <w:t>)</w:t>
      </w:r>
    </w:p>
    <w:p w14:paraId="7D7998B7" w14:textId="4C959C98" w:rsidR="7B5EAB99" w:rsidRPr="00BB0D1F" w:rsidRDefault="7B5EAB99" w:rsidP="00BB0D1F">
      <w:pPr>
        <w:spacing w:line="360" w:lineRule="auto"/>
        <w:rPr>
          <w:rFonts w:ascii="Arial" w:hAnsi="Arial" w:cs="Arial"/>
          <w:sz w:val="22"/>
          <w:szCs w:val="22"/>
          <w:lang w:val="en-US"/>
        </w:rPr>
      </w:pPr>
      <w:r w:rsidRPr="00BB0D1F">
        <w:rPr>
          <w:rFonts w:ascii="Arial" w:hAnsi="Arial" w:cs="Arial"/>
          <w:b/>
          <w:bCs/>
          <w:sz w:val="22"/>
          <w:szCs w:val="22"/>
        </w:rPr>
        <w:t>Assignment title:</w:t>
      </w:r>
      <w:r w:rsidRPr="00BB0D1F">
        <w:rPr>
          <w:rFonts w:ascii="Arial" w:hAnsi="Arial" w:cs="Arial"/>
          <w:sz w:val="22"/>
          <w:szCs w:val="22"/>
        </w:rPr>
        <w:t xml:space="preserve"> </w:t>
      </w:r>
      <w:r w:rsidR="7F037EE9" w:rsidRPr="00BB0D1F">
        <w:rPr>
          <w:rFonts w:ascii="Arial" w:hAnsi="Arial" w:cs="Arial"/>
          <w:sz w:val="22"/>
          <w:szCs w:val="22"/>
        </w:rPr>
        <w:t>Component 2: Written Assignment (Report)</w:t>
      </w:r>
      <w:r w:rsidRPr="00BB0D1F">
        <w:rPr>
          <w:rFonts w:ascii="Arial" w:hAnsi="Arial" w:cs="Arial"/>
          <w:sz w:val="22"/>
          <w:szCs w:val="22"/>
        </w:rPr>
        <w:t xml:space="preserve"> </w:t>
      </w:r>
    </w:p>
    <w:p w14:paraId="2DE2E67B" w14:textId="3BF126A6" w:rsidR="7B5EAB99" w:rsidRPr="00BB0D1F" w:rsidRDefault="7B5EAB99" w:rsidP="00BB0D1F">
      <w:pPr>
        <w:spacing w:line="360" w:lineRule="auto"/>
        <w:rPr>
          <w:rFonts w:ascii="Arial" w:hAnsi="Arial" w:cs="Arial"/>
          <w:sz w:val="22"/>
          <w:szCs w:val="22"/>
        </w:rPr>
      </w:pPr>
      <w:r w:rsidRPr="00BB0D1F">
        <w:rPr>
          <w:rFonts w:ascii="Arial" w:hAnsi="Arial" w:cs="Arial"/>
          <w:b/>
          <w:bCs/>
          <w:sz w:val="22"/>
          <w:szCs w:val="22"/>
        </w:rPr>
        <w:t xml:space="preserve">Lecturer: </w:t>
      </w:r>
      <w:r w:rsidR="1899EC0F" w:rsidRPr="00BB0D1F">
        <w:rPr>
          <w:rFonts w:ascii="Arial" w:hAnsi="Arial" w:cs="Arial"/>
          <w:sz w:val="22"/>
          <w:szCs w:val="22"/>
        </w:rPr>
        <w:t>Junaid Shaikh</w:t>
      </w:r>
    </w:p>
    <w:p w14:paraId="616CB001" w14:textId="479A3401" w:rsidR="7B5EAB99" w:rsidRPr="00BB0D1F" w:rsidRDefault="7B5EAB99" w:rsidP="00BB0D1F">
      <w:pPr>
        <w:spacing w:line="360" w:lineRule="auto"/>
        <w:rPr>
          <w:rFonts w:ascii="Arial" w:hAnsi="Arial" w:cs="Arial"/>
          <w:sz w:val="22"/>
          <w:szCs w:val="22"/>
        </w:rPr>
      </w:pPr>
      <w:r w:rsidRPr="0B2ED8DD">
        <w:rPr>
          <w:rFonts w:ascii="Arial" w:hAnsi="Arial" w:cs="Arial"/>
          <w:b/>
          <w:bCs/>
          <w:sz w:val="22"/>
          <w:szCs w:val="22"/>
        </w:rPr>
        <w:t xml:space="preserve">Word count: </w:t>
      </w:r>
      <w:r w:rsidR="79F6A4BB" w:rsidRPr="0B2ED8DD">
        <w:rPr>
          <w:rFonts w:ascii="Arial" w:hAnsi="Arial" w:cs="Arial"/>
          <w:b/>
          <w:bCs/>
          <w:sz w:val="22"/>
          <w:szCs w:val="22"/>
        </w:rPr>
        <w:t xml:space="preserve"> </w:t>
      </w:r>
      <w:r w:rsidR="79F6A4BB" w:rsidRPr="0B2ED8DD">
        <w:rPr>
          <w:rFonts w:ascii="Arial" w:hAnsi="Arial" w:cs="Arial"/>
          <w:sz w:val="22"/>
          <w:szCs w:val="22"/>
        </w:rPr>
        <w:t>2,1</w:t>
      </w:r>
      <w:r w:rsidR="4471EB35" w:rsidRPr="0B2ED8DD">
        <w:rPr>
          <w:rFonts w:ascii="Arial" w:hAnsi="Arial" w:cs="Arial"/>
          <w:sz w:val="22"/>
          <w:szCs w:val="22"/>
        </w:rPr>
        <w:t>9</w:t>
      </w:r>
      <w:r w:rsidR="5ED5D6AD" w:rsidRPr="0B2ED8DD">
        <w:rPr>
          <w:rFonts w:ascii="Arial" w:hAnsi="Arial" w:cs="Arial"/>
          <w:sz w:val="22"/>
          <w:szCs w:val="22"/>
        </w:rPr>
        <w:t>8</w:t>
      </w:r>
    </w:p>
    <w:p w14:paraId="6BEF75C1" w14:textId="676D36C4" w:rsidR="3390061C" w:rsidRPr="00BB0D1F" w:rsidRDefault="3390061C" w:rsidP="00BB0D1F">
      <w:pPr>
        <w:spacing w:line="360" w:lineRule="auto"/>
        <w:rPr>
          <w:rFonts w:ascii="Arial" w:hAnsi="Arial" w:cs="Arial"/>
          <w:b/>
          <w:bCs/>
          <w:sz w:val="22"/>
          <w:szCs w:val="22"/>
        </w:rPr>
      </w:pPr>
    </w:p>
    <w:p w14:paraId="5EB2469B" w14:textId="75ADC912" w:rsidR="3390061C" w:rsidRPr="00BB0D1F" w:rsidRDefault="3390061C" w:rsidP="00BB0D1F">
      <w:pPr>
        <w:spacing w:line="360" w:lineRule="auto"/>
        <w:rPr>
          <w:rFonts w:ascii="Arial" w:hAnsi="Arial" w:cs="Arial"/>
          <w:b/>
          <w:bCs/>
          <w:sz w:val="22"/>
          <w:szCs w:val="22"/>
        </w:rPr>
      </w:pPr>
    </w:p>
    <w:p w14:paraId="0BDBF1BB" w14:textId="06E3D5C1" w:rsidR="3390061C" w:rsidRPr="00BB0D1F" w:rsidRDefault="3390061C" w:rsidP="00BB0D1F">
      <w:pPr>
        <w:spacing w:line="360" w:lineRule="auto"/>
        <w:rPr>
          <w:rFonts w:ascii="Arial" w:hAnsi="Arial" w:cs="Arial"/>
          <w:sz w:val="22"/>
          <w:szCs w:val="22"/>
        </w:rPr>
      </w:pPr>
      <w:r w:rsidRPr="00BB0D1F">
        <w:rPr>
          <w:rFonts w:ascii="Arial" w:hAnsi="Arial" w:cs="Arial"/>
          <w:sz w:val="22"/>
          <w:szCs w:val="22"/>
        </w:rPr>
        <w:br w:type="page"/>
      </w:r>
    </w:p>
    <w:p w14:paraId="68C107CA" w14:textId="48F42A2C" w:rsidR="7413778C" w:rsidRPr="00BB0D1F" w:rsidRDefault="7413778C" w:rsidP="00BB0D1F">
      <w:pPr>
        <w:spacing w:line="360" w:lineRule="auto"/>
        <w:rPr>
          <w:rFonts w:ascii="Arial" w:hAnsi="Arial" w:cs="Arial"/>
          <w:b/>
          <w:bCs/>
          <w:sz w:val="22"/>
          <w:szCs w:val="22"/>
        </w:rPr>
      </w:pPr>
      <w:r w:rsidRPr="00BB0D1F">
        <w:rPr>
          <w:rFonts w:ascii="Arial" w:hAnsi="Arial" w:cs="Arial"/>
          <w:b/>
          <w:bCs/>
          <w:sz w:val="22"/>
          <w:szCs w:val="22"/>
        </w:rPr>
        <w:t>Contents page</w:t>
      </w:r>
    </w:p>
    <w:sdt>
      <w:sdtPr>
        <w:rPr>
          <w:rStyle w:val="Hyperlink"/>
          <w:rFonts w:ascii="Arial" w:hAnsi="Arial" w:cs="Arial"/>
          <w:color w:val="auto"/>
          <w:sz w:val="22"/>
          <w:szCs w:val="22"/>
        </w:rPr>
        <w:id w:val="1248871140"/>
        <w:docPartObj>
          <w:docPartGallery w:val="Table of Contents"/>
          <w:docPartUnique/>
        </w:docPartObj>
      </w:sdtPr>
      <w:sdtContent>
        <w:p w14:paraId="12F26627" w14:textId="036224A0" w:rsidR="3390061C" w:rsidRPr="00BB0D1F" w:rsidRDefault="3390061C" w:rsidP="00BB0D1F">
          <w:pPr>
            <w:pStyle w:val="TOC2"/>
            <w:tabs>
              <w:tab w:val="right" w:leader="dot" w:pos="9360"/>
            </w:tabs>
            <w:spacing w:line="360" w:lineRule="auto"/>
            <w:rPr>
              <w:rStyle w:val="Hyperlink"/>
              <w:rFonts w:ascii="Arial" w:hAnsi="Arial" w:cs="Arial"/>
              <w:noProof/>
              <w:color w:val="auto"/>
              <w:sz w:val="22"/>
              <w:szCs w:val="22"/>
            </w:rPr>
          </w:pPr>
          <w:r w:rsidRPr="00BB0D1F">
            <w:rPr>
              <w:rFonts w:ascii="Arial" w:hAnsi="Arial" w:cs="Arial"/>
              <w:sz w:val="22"/>
              <w:szCs w:val="22"/>
            </w:rPr>
            <w:fldChar w:fldCharType="begin"/>
          </w:r>
          <w:r w:rsidRPr="00BB0D1F">
            <w:rPr>
              <w:rFonts w:ascii="Arial" w:hAnsi="Arial" w:cs="Arial"/>
              <w:sz w:val="22"/>
              <w:szCs w:val="22"/>
            </w:rPr>
            <w:instrText>TOC \o \z \u \h</w:instrText>
          </w:r>
          <w:r w:rsidRPr="00BB0D1F">
            <w:rPr>
              <w:rFonts w:ascii="Arial" w:hAnsi="Arial" w:cs="Arial"/>
              <w:sz w:val="22"/>
              <w:szCs w:val="22"/>
            </w:rPr>
            <w:fldChar w:fldCharType="separate"/>
          </w:r>
          <w:hyperlink w:anchor="_Toc953869303">
            <w:r w:rsidRPr="00BB0D1F">
              <w:rPr>
                <w:rStyle w:val="Hyperlink"/>
                <w:rFonts w:ascii="Arial" w:hAnsi="Arial" w:cs="Arial"/>
                <w:noProof/>
                <w:color w:val="auto"/>
                <w:sz w:val="22"/>
                <w:szCs w:val="22"/>
              </w:rPr>
              <w:t>Abstract</w:t>
            </w:r>
            <w:r w:rsidRPr="00BB0D1F">
              <w:rPr>
                <w:rFonts w:ascii="Arial" w:hAnsi="Arial" w:cs="Arial"/>
                <w:noProof/>
                <w:sz w:val="22"/>
                <w:szCs w:val="22"/>
              </w:rPr>
              <w:tab/>
            </w:r>
            <w:r w:rsidRPr="00BB0D1F">
              <w:rPr>
                <w:rFonts w:ascii="Arial" w:hAnsi="Arial" w:cs="Arial"/>
                <w:noProof/>
                <w:sz w:val="22"/>
                <w:szCs w:val="22"/>
              </w:rPr>
              <w:fldChar w:fldCharType="begin"/>
            </w:r>
            <w:r w:rsidRPr="00BB0D1F">
              <w:rPr>
                <w:rFonts w:ascii="Arial" w:hAnsi="Arial" w:cs="Arial"/>
                <w:noProof/>
                <w:sz w:val="22"/>
                <w:szCs w:val="22"/>
              </w:rPr>
              <w:instrText>PAGEREF _Toc953869303 \h</w:instrText>
            </w:r>
            <w:r w:rsidRPr="00BB0D1F">
              <w:rPr>
                <w:rFonts w:ascii="Arial" w:hAnsi="Arial" w:cs="Arial"/>
                <w:noProof/>
                <w:sz w:val="22"/>
                <w:szCs w:val="22"/>
              </w:rPr>
            </w:r>
            <w:r w:rsidRPr="00BB0D1F">
              <w:rPr>
                <w:rFonts w:ascii="Arial" w:hAnsi="Arial" w:cs="Arial"/>
                <w:noProof/>
                <w:sz w:val="22"/>
                <w:szCs w:val="22"/>
              </w:rPr>
              <w:fldChar w:fldCharType="separate"/>
            </w:r>
            <w:r w:rsidR="00B03842">
              <w:rPr>
                <w:rFonts w:ascii="Arial" w:hAnsi="Arial" w:cs="Arial"/>
                <w:noProof/>
                <w:sz w:val="22"/>
                <w:szCs w:val="22"/>
              </w:rPr>
              <w:t>3</w:t>
            </w:r>
            <w:r w:rsidRPr="00BB0D1F">
              <w:rPr>
                <w:rFonts w:ascii="Arial" w:hAnsi="Arial" w:cs="Arial"/>
                <w:noProof/>
                <w:sz w:val="22"/>
                <w:szCs w:val="22"/>
              </w:rPr>
              <w:fldChar w:fldCharType="end"/>
            </w:r>
          </w:hyperlink>
        </w:p>
        <w:p w14:paraId="28E7D67A" w14:textId="0FED3C12" w:rsidR="3390061C" w:rsidRPr="00BB0D1F" w:rsidRDefault="3390061C" w:rsidP="00BB0D1F">
          <w:pPr>
            <w:pStyle w:val="TOC2"/>
            <w:tabs>
              <w:tab w:val="right" w:leader="dot" w:pos="9360"/>
            </w:tabs>
            <w:spacing w:line="360" w:lineRule="auto"/>
            <w:rPr>
              <w:rStyle w:val="Hyperlink"/>
              <w:rFonts w:ascii="Arial" w:hAnsi="Arial" w:cs="Arial"/>
              <w:noProof/>
              <w:color w:val="auto"/>
              <w:sz w:val="22"/>
              <w:szCs w:val="22"/>
            </w:rPr>
          </w:pPr>
          <w:hyperlink w:anchor="_Toc14814981">
            <w:r w:rsidRPr="00BB0D1F">
              <w:rPr>
                <w:rStyle w:val="Hyperlink"/>
                <w:rFonts w:ascii="Arial" w:hAnsi="Arial" w:cs="Arial"/>
                <w:noProof/>
                <w:color w:val="auto"/>
                <w:sz w:val="22"/>
                <w:szCs w:val="22"/>
              </w:rPr>
              <w:t>Introduction</w:t>
            </w:r>
            <w:r w:rsidRPr="00BB0D1F">
              <w:rPr>
                <w:rFonts w:ascii="Arial" w:hAnsi="Arial" w:cs="Arial"/>
                <w:noProof/>
                <w:sz w:val="22"/>
                <w:szCs w:val="22"/>
              </w:rPr>
              <w:tab/>
            </w:r>
            <w:r w:rsidRPr="00BB0D1F">
              <w:rPr>
                <w:rFonts w:ascii="Arial" w:hAnsi="Arial" w:cs="Arial"/>
                <w:noProof/>
                <w:sz w:val="22"/>
                <w:szCs w:val="22"/>
              </w:rPr>
              <w:fldChar w:fldCharType="begin"/>
            </w:r>
            <w:r w:rsidRPr="00BB0D1F">
              <w:rPr>
                <w:rFonts w:ascii="Arial" w:hAnsi="Arial" w:cs="Arial"/>
                <w:noProof/>
                <w:sz w:val="22"/>
                <w:szCs w:val="22"/>
              </w:rPr>
              <w:instrText>PAGEREF _Toc14814981 \h</w:instrText>
            </w:r>
            <w:r w:rsidRPr="00BB0D1F">
              <w:rPr>
                <w:rFonts w:ascii="Arial" w:hAnsi="Arial" w:cs="Arial"/>
                <w:noProof/>
                <w:sz w:val="22"/>
                <w:szCs w:val="22"/>
              </w:rPr>
            </w:r>
            <w:r w:rsidRPr="00BB0D1F">
              <w:rPr>
                <w:rFonts w:ascii="Arial" w:hAnsi="Arial" w:cs="Arial"/>
                <w:noProof/>
                <w:sz w:val="22"/>
                <w:szCs w:val="22"/>
              </w:rPr>
              <w:fldChar w:fldCharType="separate"/>
            </w:r>
            <w:r w:rsidR="00B03842">
              <w:rPr>
                <w:rFonts w:ascii="Arial" w:hAnsi="Arial" w:cs="Arial"/>
                <w:noProof/>
                <w:sz w:val="22"/>
                <w:szCs w:val="22"/>
              </w:rPr>
              <w:t>3</w:t>
            </w:r>
            <w:r w:rsidRPr="00BB0D1F">
              <w:rPr>
                <w:rFonts w:ascii="Arial" w:hAnsi="Arial" w:cs="Arial"/>
                <w:noProof/>
                <w:sz w:val="22"/>
                <w:szCs w:val="22"/>
              </w:rPr>
              <w:fldChar w:fldCharType="end"/>
            </w:r>
          </w:hyperlink>
        </w:p>
        <w:p w14:paraId="0DDE8CEF" w14:textId="22ACDD09" w:rsidR="3390061C" w:rsidRPr="00BB0D1F" w:rsidRDefault="3390061C" w:rsidP="00BB0D1F">
          <w:pPr>
            <w:pStyle w:val="TOC2"/>
            <w:tabs>
              <w:tab w:val="right" w:leader="dot" w:pos="9360"/>
            </w:tabs>
            <w:spacing w:line="360" w:lineRule="auto"/>
            <w:rPr>
              <w:rStyle w:val="Hyperlink"/>
              <w:rFonts w:ascii="Arial" w:hAnsi="Arial" w:cs="Arial"/>
              <w:noProof/>
              <w:color w:val="auto"/>
              <w:sz w:val="22"/>
              <w:szCs w:val="22"/>
            </w:rPr>
          </w:pPr>
          <w:hyperlink w:anchor="_Toc864830969">
            <w:r w:rsidRPr="00BB0D1F">
              <w:rPr>
                <w:rStyle w:val="Hyperlink"/>
                <w:rFonts w:ascii="Arial" w:hAnsi="Arial" w:cs="Arial"/>
                <w:noProof/>
                <w:color w:val="auto"/>
                <w:sz w:val="22"/>
                <w:szCs w:val="22"/>
              </w:rPr>
              <w:t>Definition of Person-Centred Care</w:t>
            </w:r>
            <w:r w:rsidRPr="00BB0D1F">
              <w:rPr>
                <w:rFonts w:ascii="Arial" w:hAnsi="Arial" w:cs="Arial"/>
                <w:noProof/>
                <w:sz w:val="22"/>
                <w:szCs w:val="22"/>
              </w:rPr>
              <w:tab/>
            </w:r>
            <w:r w:rsidRPr="00BB0D1F">
              <w:rPr>
                <w:rFonts w:ascii="Arial" w:hAnsi="Arial" w:cs="Arial"/>
                <w:noProof/>
                <w:sz w:val="22"/>
                <w:szCs w:val="22"/>
              </w:rPr>
              <w:fldChar w:fldCharType="begin"/>
            </w:r>
            <w:r w:rsidRPr="00BB0D1F">
              <w:rPr>
                <w:rFonts w:ascii="Arial" w:hAnsi="Arial" w:cs="Arial"/>
                <w:noProof/>
                <w:sz w:val="22"/>
                <w:szCs w:val="22"/>
              </w:rPr>
              <w:instrText>PAGEREF _Toc864830969 \h</w:instrText>
            </w:r>
            <w:r w:rsidRPr="00BB0D1F">
              <w:rPr>
                <w:rFonts w:ascii="Arial" w:hAnsi="Arial" w:cs="Arial"/>
                <w:noProof/>
                <w:sz w:val="22"/>
                <w:szCs w:val="22"/>
              </w:rPr>
            </w:r>
            <w:r w:rsidRPr="00BB0D1F">
              <w:rPr>
                <w:rFonts w:ascii="Arial" w:hAnsi="Arial" w:cs="Arial"/>
                <w:noProof/>
                <w:sz w:val="22"/>
                <w:szCs w:val="22"/>
              </w:rPr>
              <w:fldChar w:fldCharType="separate"/>
            </w:r>
            <w:r w:rsidR="00B03842">
              <w:rPr>
                <w:rFonts w:ascii="Arial" w:hAnsi="Arial" w:cs="Arial"/>
                <w:noProof/>
                <w:sz w:val="22"/>
                <w:szCs w:val="22"/>
              </w:rPr>
              <w:t>4</w:t>
            </w:r>
            <w:r w:rsidRPr="00BB0D1F">
              <w:rPr>
                <w:rFonts w:ascii="Arial" w:hAnsi="Arial" w:cs="Arial"/>
                <w:noProof/>
                <w:sz w:val="22"/>
                <w:szCs w:val="22"/>
              </w:rPr>
              <w:fldChar w:fldCharType="end"/>
            </w:r>
          </w:hyperlink>
        </w:p>
        <w:p w14:paraId="409BFDF3" w14:textId="0F38EBBF" w:rsidR="3390061C" w:rsidRPr="00BB0D1F" w:rsidRDefault="3390061C" w:rsidP="00BB0D1F">
          <w:pPr>
            <w:pStyle w:val="TOC2"/>
            <w:tabs>
              <w:tab w:val="right" w:leader="dot" w:pos="9360"/>
            </w:tabs>
            <w:spacing w:line="360" w:lineRule="auto"/>
            <w:rPr>
              <w:rStyle w:val="Hyperlink"/>
              <w:rFonts w:ascii="Arial" w:hAnsi="Arial" w:cs="Arial"/>
              <w:noProof/>
              <w:color w:val="auto"/>
              <w:sz w:val="22"/>
              <w:szCs w:val="22"/>
            </w:rPr>
          </w:pPr>
          <w:hyperlink w:anchor="_Toc1442677380">
            <w:r w:rsidRPr="00BB0D1F">
              <w:rPr>
                <w:rStyle w:val="Hyperlink"/>
                <w:rFonts w:ascii="Arial" w:hAnsi="Arial" w:cs="Arial"/>
                <w:noProof/>
                <w:color w:val="auto"/>
                <w:sz w:val="22"/>
                <w:szCs w:val="22"/>
              </w:rPr>
              <w:t>Relevant Theories Supporting Person-Centred Care</w:t>
            </w:r>
            <w:r w:rsidRPr="00BB0D1F">
              <w:rPr>
                <w:rFonts w:ascii="Arial" w:hAnsi="Arial" w:cs="Arial"/>
                <w:noProof/>
                <w:sz w:val="22"/>
                <w:szCs w:val="22"/>
              </w:rPr>
              <w:tab/>
            </w:r>
            <w:r w:rsidRPr="00BB0D1F">
              <w:rPr>
                <w:rFonts w:ascii="Arial" w:hAnsi="Arial" w:cs="Arial"/>
                <w:noProof/>
                <w:sz w:val="22"/>
                <w:szCs w:val="22"/>
              </w:rPr>
              <w:fldChar w:fldCharType="begin"/>
            </w:r>
            <w:r w:rsidRPr="00BB0D1F">
              <w:rPr>
                <w:rFonts w:ascii="Arial" w:hAnsi="Arial" w:cs="Arial"/>
                <w:noProof/>
                <w:sz w:val="22"/>
                <w:szCs w:val="22"/>
              </w:rPr>
              <w:instrText>PAGEREF _Toc1442677380 \h</w:instrText>
            </w:r>
            <w:r w:rsidRPr="00BB0D1F">
              <w:rPr>
                <w:rFonts w:ascii="Arial" w:hAnsi="Arial" w:cs="Arial"/>
                <w:noProof/>
                <w:sz w:val="22"/>
                <w:szCs w:val="22"/>
              </w:rPr>
            </w:r>
            <w:r w:rsidRPr="00BB0D1F">
              <w:rPr>
                <w:rFonts w:ascii="Arial" w:hAnsi="Arial" w:cs="Arial"/>
                <w:noProof/>
                <w:sz w:val="22"/>
                <w:szCs w:val="22"/>
              </w:rPr>
              <w:fldChar w:fldCharType="separate"/>
            </w:r>
            <w:r w:rsidR="00B03842">
              <w:rPr>
                <w:rFonts w:ascii="Arial" w:hAnsi="Arial" w:cs="Arial"/>
                <w:noProof/>
                <w:sz w:val="22"/>
                <w:szCs w:val="22"/>
              </w:rPr>
              <w:t>5</w:t>
            </w:r>
            <w:r w:rsidRPr="00BB0D1F">
              <w:rPr>
                <w:rFonts w:ascii="Arial" w:hAnsi="Arial" w:cs="Arial"/>
                <w:noProof/>
                <w:sz w:val="22"/>
                <w:szCs w:val="22"/>
              </w:rPr>
              <w:fldChar w:fldCharType="end"/>
            </w:r>
          </w:hyperlink>
        </w:p>
        <w:p w14:paraId="41CBD445" w14:textId="45A6118B" w:rsidR="3390061C" w:rsidRPr="00BB0D1F" w:rsidRDefault="3390061C" w:rsidP="00BB0D1F">
          <w:pPr>
            <w:pStyle w:val="TOC2"/>
            <w:tabs>
              <w:tab w:val="right" w:leader="dot" w:pos="9360"/>
            </w:tabs>
            <w:spacing w:line="360" w:lineRule="auto"/>
            <w:rPr>
              <w:rStyle w:val="Hyperlink"/>
              <w:rFonts w:ascii="Arial" w:hAnsi="Arial" w:cs="Arial"/>
              <w:noProof/>
              <w:color w:val="auto"/>
              <w:sz w:val="22"/>
              <w:szCs w:val="22"/>
            </w:rPr>
          </w:pPr>
          <w:hyperlink w:anchor="_Toc475724748">
            <w:r w:rsidRPr="00BB0D1F">
              <w:rPr>
                <w:rStyle w:val="Hyperlink"/>
                <w:rFonts w:ascii="Arial" w:hAnsi="Arial" w:cs="Arial"/>
                <w:noProof/>
                <w:color w:val="auto"/>
                <w:sz w:val="22"/>
                <w:szCs w:val="22"/>
              </w:rPr>
              <w:t>Ethical Fundamentals in Health and Social Care</w:t>
            </w:r>
            <w:r w:rsidRPr="00BB0D1F">
              <w:rPr>
                <w:rFonts w:ascii="Arial" w:hAnsi="Arial" w:cs="Arial"/>
                <w:noProof/>
                <w:sz w:val="22"/>
                <w:szCs w:val="22"/>
              </w:rPr>
              <w:tab/>
            </w:r>
            <w:r w:rsidRPr="00BB0D1F">
              <w:rPr>
                <w:rFonts w:ascii="Arial" w:hAnsi="Arial" w:cs="Arial"/>
                <w:noProof/>
                <w:sz w:val="22"/>
                <w:szCs w:val="22"/>
              </w:rPr>
              <w:fldChar w:fldCharType="begin"/>
            </w:r>
            <w:r w:rsidRPr="00BB0D1F">
              <w:rPr>
                <w:rFonts w:ascii="Arial" w:hAnsi="Arial" w:cs="Arial"/>
                <w:noProof/>
                <w:sz w:val="22"/>
                <w:szCs w:val="22"/>
              </w:rPr>
              <w:instrText>PAGEREF _Toc475724748 \h</w:instrText>
            </w:r>
            <w:r w:rsidRPr="00BB0D1F">
              <w:rPr>
                <w:rFonts w:ascii="Arial" w:hAnsi="Arial" w:cs="Arial"/>
                <w:noProof/>
                <w:sz w:val="22"/>
                <w:szCs w:val="22"/>
              </w:rPr>
            </w:r>
            <w:r w:rsidRPr="00BB0D1F">
              <w:rPr>
                <w:rFonts w:ascii="Arial" w:hAnsi="Arial" w:cs="Arial"/>
                <w:noProof/>
                <w:sz w:val="22"/>
                <w:szCs w:val="22"/>
              </w:rPr>
              <w:fldChar w:fldCharType="separate"/>
            </w:r>
            <w:r w:rsidR="00B03842">
              <w:rPr>
                <w:rFonts w:ascii="Arial" w:hAnsi="Arial" w:cs="Arial"/>
                <w:noProof/>
                <w:sz w:val="22"/>
                <w:szCs w:val="22"/>
              </w:rPr>
              <w:t>5</w:t>
            </w:r>
            <w:r w:rsidRPr="00BB0D1F">
              <w:rPr>
                <w:rFonts w:ascii="Arial" w:hAnsi="Arial" w:cs="Arial"/>
                <w:noProof/>
                <w:sz w:val="22"/>
                <w:szCs w:val="22"/>
              </w:rPr>
              <w:fldChar w:fldCharType="end"/>
            </w:r>
          </w:hyperlink>
        </w:p>
        <w:p w14:paraId="0FC76054" w14:textId="5F35C710" w:rsidR="3390061C" w:rsidRPr="00BB0D1F" w:rsidRDefault="3390061C" w:rsidP="00BB0D1F">
          <w:pPr>
            <w:pStyle w:val="TOC2"/>
            <w:tabs>
              <w:tab w:val="right" w:leader="dot" w:pos="9360"/>
            </w:tabs>
            <w:spacing w:line="360" w:lineRule="auto"/>
            <w:rPr>
              <w:rStyle w:val="Hyperlink"/>
              <w:rFonts w:ascii="Arial" w:hAnsi="Arial" w:cs="Arial"/>
              <w:noProof/>
              <w:color w:val="auto"/>
              <w:sz w:val="22"/>
              <w:szCs w:val="22"/>
            </w:rPr>
          </w:pPr>
          <w:hyperlink w:anchor="_Toc1118314394">
            <w:r w:rsidRPr="00BB0D1F">
              <w:rPr>
                <w:rStyle w:val="Hyperlink"/>
                <w:rFonts w:ascii="Arial" w:hAnsi="Arial" w:cs="Arial"/>
                <w:noProof/>
                <w:color w:val="auto"/>
                <w:sz w:val="22"/>
                <w:szCs w:val="22"/>
              </w:rPr>
              <w:t>Evaluation of Partnership Working in Health and Social Care</w:t>
            </w:r>
            <w:r w:rsidRPr="00BB0D1F">
              <w:rPr>
                <w:rFonts w:ascii="Arial" w:hAnsi="Arial" w:cs="Arial"/>
                <w:noProof/>
                <w:sz w:val="22"/>
                <w:szCs w:val="22"/>
              </w:rPr>
              <w:tab/>
            </w:r>
            <w:r w:rsidRPr="00BB0D1F">
              <w:rPr>
                <w:rFonts w:ascii="Arial" w:hAnsi="Arial" w:cs="Arial"/>
                <w:noProof/>
                <w:sz w:val="22"/>
                <w:szCs w:val="22"/>
              </w:rPr>
              <w:fldChar w:fldCharType="begin"/>
            </w:r>
            <w:r w:rsidRPr="00BB0D1F">
              <w:rPr>
                <w:rFonts w:ascii="Arial" w:hAnsi="Arial" w:cs="Arial"/>
                <w:noProof/>
                <w:sz w:val="22"/>
                <w:szCs w:val="22"/>
              </w:rPr>
              <w:instrText>PAGEREF _Toc1118314394 \h</w:instrText>
            </w:r>
            <w:r w:rsidRPr="00BB0D1F">
              <w:rPr>
                <w:rFonts w:ascii="Arial" w:hAnsi="Arial" w:cs="Arial"/>
                <w:noProof/>
                <w:sz w:val="22"/>
                <w:szCs w:val="22"/>
              </w:rPr>
            </w:r>
            <w:r w:rsidRPr="00BB0D1F">
              <w:rPr>
                <w:rFonts w:ascii="Arial" w:hAnsi="Arial" w:cs="Arial"/>
                <w:noProof/>
                <w:sz w:val="22"/>
                <w:szCs w:val="22"/>
              </w:rPr>
              <w:fldChar w:fldCharType="separate"/>
            </w:r>
            <w:r w:rsidR="00B03842">
              <w:rPr>
                <w:rFonts w:ascii="Arial" w:hAnsi="Arial" w:cs="Arial"/>
                <w:noProof/>
                <w:sz w:val="22"/>
                <w:szCs w:val="22"/>
              </w:rPr>
              <w:t>6</w:t>
            </w:r>
            <w:r w:rsidRPr="00BB0D1F">
              <w:rPr>
                <w:rFonts w:ascii="Arial" w:hAnsi="Arial" w:cs="Arial"/>
                <w:noProof/>
                <w:sz w:val="22"/>
                <w:szCs w:val="22"/>
              </w:rPr>
              <w:fldChar w:fldCharType="end"/>
            </w:r>
          </w:hyperlink>
        </w:p>
        <w:p w14:paraId="06D88F70" w14:textId="1EA27C67" w:rsidR="3390061C" w:rsidRPr="00BB0D1F" w:rsidRDefault="3390061C" w:rsidP="00BB0D1F">
          <w:pPr>
            <w:pStyle w:val="TOC2"/>
            <w:tabs>
              <w:tab w:val="right" w:leader="dot" w:pos="9360"/>
            </w:tabs>
            <w:spacing w:line="360" w:lineRule="auto"/>
            <w:rPr>
              <w:rStyle w:val="Hyperlink"/>
              <w:rFonts w:ascii="Arial" w:hAnsi="Arial" w:cs="Arial"/>
              <w:noProof/>
              <w:color w:val="auto"/>
              <w:sz w:val="22"/>
              <w:szCs w:val="22"/>
            </w:rPr>
          </w:pPr>
          <w:hyperlink w:anchor="_Toc347512810">
            <w:r w:rsidRPr="00BB0D1F">
              <w:rPr>
                <w:rStyle w:val="Hyperlink"/>
                <w:rFonts w:ascii="Arial" w:hAnsi="Arial" w:cs="Arial"/>
                <w:noProof/>
                <w:color w:val="auto"/>
                <w:sz w:val="22"/>
                <w:szCs w:val="22"/>
              </w:rPr>
              <w:t>Policy and Legislation</w:t>
            </w:r>
            <w:r w:rsidRPr="00BB0D1F">
              <w:rPr>
                <w:rFonts w:ascii="Arial" w:hAnsi="Arial" w:cs="Arial"/>
                <w:noProof/>
                <w:sz w:val="22"/>
                <w:szCs w:val="22"/>
              </w:rPr>
              <w:tab/>
            </w:r>
            <w:r w:rsidRPr="00BB0D1F">
              <w:rPr>
                <w:rFonts w:ascii="Arial" w:hAnsi="Arial" w:cs="Arial"/>
                <w:noProof/>
                <w:sz w:val="22"/>
                <w:szCs w:val="22"/>
              </w:rPr>
              <w:fldChar w:fldCharType="begin"/>
            </w:r>
            <w:r w:rsidRPr="00BB0D1F">
              <w:rPr>
                <w:rFonts w:ascii="Arial" w:hAnsi="Arial" w:cs="Arial"/>
                <w:noProof/>
                <w:sz w:val="22"/>
                <w:szCs w:val="22"/>
              </w:rPr>
              <w:instrText>PAGEREF _Toc347512810 \h</w:instrText>
            </w:r>
            <w:r w:rsidRPr="00BB0D1F">
              <w:rPr>
                <w:rFonts w:ascii="Arial" w:hAnsi="Arial" w:cs="Arial"/>
                <w:noProof/>
                <w:sz w:val="22"/>
                <w:szCs w:val="22"/>
              </w:rPr>
            </w:r>
            <w:r w:rsidRPr="00BB0D1F">
              <w:rPr>
                <w:rFonts w:ascii="Arial" w:hAnsi="Arial" w:cs="Arial"/>
                <w:noProof/>
                <w:sz w:val="22"/>
                <w:szCs w:val="22"/>
              </w:rPr>
              <w:fldChar w:fldCharType="separate"/>
            </w:r>
            <w:r w:rsidR="00B03842">
              <w:rPr>
                <w:rFonts w:ascii="Arial" w:hAnsi="Arial" w:cs="Arial"/>
                <w:noProof/>
                <w:sz w:val="22"/>
                <w:szCs w:val="22"/>
              </w:rPr>
              <w:t>7</w:t>
            </w:r>
            <w:r w:rsidRPr="00BB0D1F">
              <w:rPr>
                <w:rFonts w:ascii="Arial" w:hAnsi="Arial" w:cs="Arial"/>
                <w:noProof/>
                <w:sz w:val="22"/>
                <w:szCs w:val="22"/>
              </w:rPr>
              <w:fldChar w:fldCharType="end"/>
            </w:r>
          </w:hyperlink>
        </w:p>
        <w:p w14:paraId="235C6C4B" w14:textId="1649626D" w:rsidR="3390061C" w:rsidRPr="00BB0D1F" w:rsidRDefault="3390061C" w:rsidP="00BB0D1F">
          <w:pPr>
            <w:pStyle w:val="TOC2"/>
            <w:tabs>
              <w:tab w:val="right" w:leader="dot" w:pos="9360"/>
            </w:tabs>
            <w:spacing w:line="360" w:lineRule="auto"/>
            <w:rPr>
              <w:rStyle w:val="Hyperlink"/>
              <w:rFonts w:ascii="Arial" w:hAnsi="Arial" w:cs="Arial"/>
              <w:noProof/>
              <w:color w:val="auto"/>
              <w:sz w:val="22"/>
              <w:szCs w:val="22"/>
            </w:rPr>
          </w:pPr>
          <w:hyperlink w:anchor="_Toc2126896305">
            <w:r w:rsidRPr="00BB0D1F">
              <w:rPr>
                <w:rStyle w:val="Hyperlink"/>
                <w:rFonts w:ascii="Arial" w:hAnsi="Arial" w:cs="Arial"/>
                <w:noProof/>
                <w:color w:val="auto"/>
                <w:sz w:val="22"/>
                <w:szCs w:val="22"/>
              </w:rPr>
              <w:t>Recommendations</w:t>
            </w:r>
            <w:r w:rsidRPr="00BB0D1F">
              <w:rPr>
                <w:rFonts w:ascii="Arial" w:hAnsi="Arial" w:cs="Arial"/>
                <w:noProof/>
                <w:sz w:val="22"/>
                <w:szCs w:val="22"/>
              </w:rPr>
              <w:tab/>
            </w:r>
            <w:r w:rsidRPr="00BB0D1F">
              <w:rPr>
                <w:rFonts w:ascii="Arial" w:hAnsi="Arial" w:cs="Arial"/>
                <w:noProof/>
                <w:sz w:val="22"/>
                <w:szCs w:val="22"/>
              </w:rPr>
              <w:fldChar w:fldCharType="begin"/>
            </w:r>
            <w:r w:rsidRPr="00BB0D1F">
              <w:rPr>
                <w:rFonts w:ascii="Arial" w:hAnsi="Arial" w:cs="Arial"/>
                <w:noProof/>
                <w:sz w:val="22"/>
                <w:szCs w:val="22"/>
              </w:rPr>
              <w:instrText>PAGEREF _Toc2126896305 \h</w:instrText>
            </w:r>
            <w:r w:rsidRPr="00BB0D1F">
              <w:rPr>
                <w:rFonts w:ascii="Arial" w:hAnsi="Arial" w:cs="Arial"/>
                <w:noProof/>
                <w:sz w:val="22"/>
                <w:szCs w:val="22"/>
              </w:rPr>
            </w:r>
            <w:r w:rsidRPr="00BB0D1F">
              <w:rPr>
                <w:rFonts w:ascii="Arial" w:hAnsi="Arial" w:cs="Arial"/>
                <w:noProof/>
                <w:sz w:val="22"/>
                <w:szCs w:val="22"/>
              </w:rPr>
              <w:fldChar w:fldCharType="separate"/>
            </w:r>
            <w:r w:rsidR="00B03842">
              <w:rPr>
                <w:rFonts w:ascii="Arial" w:hAnsi="Arial" w:cs="Arial"/>
                <w:noProof/>
                <w:sz w:val="22"/>
                <w:szCs w:val="22"/>
              </w:rPr>
              <w:t>8</w:t>
            </w:r>
            <w:r w:rsidRPr="00BB0D1F">
              <w:rPr>
                <w:rFonts w:ascii="Arial" w:hAnsi="Arial" w:cs="Arial"/>
                <w:noProof/>
                <w:sz w:val="22"/>
                <w:szCs w:val="22"/>
              </w:rPr>
              <w:fldChar w:fldCharType="end"/>
            </w:r>
          </w:hyperlink>
        </w:p>
        <w:p w14:paraId="16319C17" w14:textId="53CCB133" w:rsidR="3390061C" w:rsidRPr="00BB0D1F" w:rsidRDefault="3390061C" w:rsidP="00BB0D1F">
          <w:pPr>
            <w:pStyle w:val="TOC2"/>
            <w:tabs>
              <w:tab w:val="right" w:leader="dot" w:pos="9360"/>
            </w:tabs>
            <w:spacing w:line="360" w:lineRule="auto"/>
            <w:rPr>
              <w:rStyle w:val="Hyperlink"/>
              <w:rFonts w:ascii="Arial" w:hAnsi="Arial" w:cs="Arial"/>
              <w:noProof/>
              <w:color w:val="auto"/>
              <w:sz w:val="22"/>
              <w:szCs w:val="22"/>
            </w:rPr>
          </w:pPr>
          <w:hyperlink w:anchor="_Toc1275693467">
            <w:r w:rsidRPr="00BB0D1F">
              <w:rPr>
                <w:rStyle w:val="Hyperlink"/>
                <w:rFonts w:ascii="Arial" w:hAnsi="Arial" w:cs="Arial"/>
                <w:noProof/>
                <w:color w:val="auto"/>
                <w:sz w:val="22"/>
                <w:szCs w:val="22"/>
              </w:rPr>
              <w:t>Conclusion</w:t>
            </w:r>
            <w:r w:rsidRPr="00BB0D1F">
              <w:rPr>
                <w:rFonts w:ascii="Arial" w:hAnsi="Arial" w:cs="Arial"/>
                <w:noProof/>
                <w:sz w:val="22"/>
                <w:szCs w:val="22"/>
              </w:rPr>
              <w:tab/>
            </w:r>
            <w:r w:rsidRPr="00BB0D1F">
              <w:rPr>
                <w:rFonts w:ascii="Arial" w:hAnsi="Arial" w:cs="Arial"/>
                <w:noProof/>
                <w:sz w:val="22"/>
                <w:szCs w:val="22"/>
              </w:rPr>
              <w:fldChar w:fldCharType="begin"/>
            </w:r>
            <w:r w:rsidRPr="00BB0D1F">
              <w:rPr>
                <w:rFonts w:ascii="Arial" w:hAnsi="Arial" w:cs="Arial"/>
                <w:noProof/>
                <w:sz w:val="22"/>
                <w:szCs w:val="22"/>
              </w:rPr>
              <w:instrText>PAGEREF _Toc1275693467 \h</w:instrText>
            </w:r>
            <w:r w:rsidRPr="00BB0D1F">
              <w:rPr>
                <w:rFonts w:ascii="Arial" w:hAnsi="Arial" w:cs="Arial"/>
                <w:noProof/>
                <w:sz w:val="22"/>
                <w:szCs w:val="22"/>
              </w:rPr>
            </w:r>
            <w:r w:rsidRPr="00BB0D1F">
              <w:rPr>
                <w:rFonts w:ascii="Arial" w:hAnsi="Arial" w:cs="Arial"/>
                <w:noProof/>
                <w:sz w:val="22"/>
                <w:szCs w:val="22"/>
              </w:rPr>
              <w:fldChar w:fldCharType="separate"/>
            </w:r>
            <w:r w:rsidR="00B03842">
              <w:rPr>
                <w:rFonts w:ascii="Arial" w:hAnsi="Arial" w:cs="Arial"/>
                <w:noProof/>
                <w:sz w:val="22"/>
                <w:szCs w:val="22"/>
              </w:rPr>
              <w:t>9</w:t>
            </w:r>
            <w:r w:rsidRPr="00BB0D1F">
              <w:rPr>
                <w:rFonts w:ascii="Arial" w:hAnsi="Arial" w:cs="Arial"/>
                <w:noProof/>
                <w:sz w:val="22"/>
                <w:szCs w:val="22"/>
              </w:rPr>
              <w:fldChar w:fldCharType="end"/>
            </w:r>
          </w:hyperlink>
        </w:p>
        <w:p w14:paraId="7332B270" w14:textId="78712D3F" w:rsidR="3390061C" w:rsidRPr="00BB0D1F" w:rsidRDefault="3390061C" w:rsidP="00BB0D1F">
          <w:pPr>
            <w:pStyle w:val="TOC2"/>
            <w:tabs>
              <w:tab w:val="right" w:leader="dot" w:pos="9360"/>
            </w:tabs>
            <w:spacing w:line="360" w:lineRule="auto"/>
            <w:rPr>
              <w:rStyle w:val="Hyperlink"/>
              <w:rFonts w:ascii="Arial" w:hAnsi="Arial" w:cs="Arial"/>
              <w:color w:val="auto"/>
              <w:sz w:val="22"/>
              <w:szCs w:val="22"/>
            </w:rPr>
          </w:pPr>
          <w:hyperlink w:anchor="_Toc1525170356">
            <w:r w:rsidRPr="00BB0D1F">
              <w:rPr>
                <w:rStyle w:val="Hyperlink"/>
                <w:rFonts w:ascii="Arial" w:hAnsi="Arial" w:cs="Arial"/>
                <w:noProof/>
                <w:color w:val="auto"/>
                <w:sz w:val="22"/>
                <w:szCs w:val="22"/>
              </w:rPr>
              <w:t>References</w:t>
            </w:r>
            <w:r w:rsidRPr="00BB0D1F">
              <w:rPr>
                <w:rFonts w:ascii="Arial" w:hAnsi="Arial" w:cs="Arial"/>
                <w:noProof/>
                <w:sz w:val="22"/>
                <w:szCs w:val="22"/>
              </w:rPr>
              <w:tab/>
            </w:r>
            <w:r w:rsidRPr="00BB0D1F">
              <w:rPr>
                <w:rFonts w:ascii="Arial" w:hAnsi="Arial" w:cs="Arial"/>
                <w:noProof/>
                <w:sz w:val="22"/>
                <w:szCs w:val="22"/>
              </w:rPr>
              <w:fldChar w:fldCharType="begin"/>
            </w:r>
            <w:r w:rsidRPr="00BB0D1F">
              <w:rPr>
                <w:rFonts w:ascii="Arial" w:hAnsi="Arial" w:cs="Arial"/>
                <w:noProof/>
                <w:sz w:val="22"/>
                <w:szCs w:val="22"/>
              </w:rPr>
              <w:instrText>PAGEREF _Toc1525170356 \h</w:instrText>
            </w:r>
            <w:r w:rsidRPr="00BB0D1F">
              <w:rPr>
                <w:rFonts w:ascii="Arial" w:hAnsi="Arial" w:cs="Arial"/>
                <w:noProof/>
                <w:sz w:val="22"/>
                <w:szCs w:val="22"/>
              </w:rPr>
            </w:r>
            <w:r w:rsidRPr="00BB0D1F">
              <w:rPr>
                <w:rFonts w:ascii="Arial" w:hAnsi="Arial" w:cs="Arial"/>
                <w:noProof/>
                <w:sz w:val="22"/>
                <w:szCs w:val="22"/>
              </w:rPr>
              <w:fldChar w:fldCharType="separate"/>
            </w:r>
            <w:r w:rsidR="00B03842">
              <w:rPr>
                <w:rFonts w:ascii="Arial" w:hAnsi="Arial" w:cs="Arial"/>
                <w:noProof/>
                <w:sz w:val="22"/>
                <w:szCs w:val="22"/>
              </w:rPr>
              <w:t>9</w:t>
            </w:r>
            <w:r w:rsidRPr="00BB0D1F">
              <w:rPr>
                <w:rFonts w:ascii="Arial" w:hAnsi="Arial" w:cs="Arial"/>
                <w:noProof/>
                <w:sz w:val="22"/>
                <w:szCs w:val="22"/>
              </w:rPr>
              <w:fldChar w:fldCharType="end"/>
            </w:r>
          </w:hyperlink>
          <w:r w:rsidRPr="00BB0D1F">
            <w:rPr>
              <w:rFonts w:ascii="Arial" w:hAnsi="Arial" w:cs="Arial"/>
              <w:sz w:val="22"/>
              <w:szCs w:val="22"/>
            </w:rPr>
            <w:fldChar w:fldCharType="end"/>
          </w:r>
        </w:p>
      </w:sdtContent>
    </w:sdt>
    <w:p w14:paraId="74341A18" w14:textId="112E5E24" w:rsidR="3390061C" w:rsidRPr="00BB0D1F" w:rsidRDefault="3390061C" w:rsidP="00BB0D1F">
      <w:pPr>
        <w:spacing w:line="360" w:lineRule="auto"/>
        <w:rPr>
          <w:rFonts w:ascii="Arial" w:hAnsi="Arial" w:cs="Arial"/>
          <w:b/>
          <w:bCs/>
          <w:sz w:val="22"/>
          <w:szCs w:val="22"/>
        </w:rPr>
      </w:pPr>
    </w:p>
    <w:p w14:paraId="0561DA3E" w14:textId="0E885CFB" w:rsidR="3390061C" w:rsidRPr="00BB0D1F" w:rsidRDefault="3390061C" w:rsidP="00BB0D1F">
      <w:pPr>
        <w:spacing w:line="360" w:lineRule="auto"/>
        <w:rPr>
          <w:rFonts w:ascii="Arial" w:hAnsi="Arial" w:cs="Arial"/>
          <w:b/>
          <w:bCs/>
          <w:sz w:val="22"/>
          <w:szCs w:val="22"/>
        </w:rPr>
      </w:pPr>
    </w:p>
    <w:p w14:paraId="3AE03607" w14:textId="0D8424CC" w:rsidR="3390061C" w:rsidRPr="00BB0D1F" w:rsidRDefault="3390061C" w:rsidP="00BB0D1F">
      <w:pPr>
        <w:spacing w:line="360" w:lineRule="auto"/>
        <w:rPr>
          <w:rFonts w:ascii="Arial" w:hAnsi="Arial" w:cs="Arial"/>
          <w:b/>
          <w:bCs/>
          <w:sz w:val="22"/>
          <w:szCs w:val="22"/>
        </w:rPr>
      </w:pPr>
    </w:p>
    <w:p w14:paraId="29391DC5" w14:textId="6F4FA771" w:rsidR="3390061C" w:rsidRPr="00BB0D1F" w:rsidRDefault="3390061C" w:rsidP="00BB0D1F">
      <w:pPr>
        <w:spacing w:line="360" w:lineRule="auto"/>
        <w:rPr>
          <w:rFonts w:ascii="Arial" w:hAnsi="Arial" w:cs="Arial"/>
          <w:b/>
          <w:bCs/>
          <w:sz w:val="22"/>
          <w:szCs w:val="22"/>
        </w:rPr>
      </w:pPr>
    </w:p>
    <w:p w14:paraId="1E21653C" w14:textId="6E228DFF" w:rsidR="3390061C" w:rsidRPr="00BB0D1F" w:rsidRDefault="3390061C" w:rsidP="00BB0D1F">
      <w:pPr>
        <w:spacing w:line="360" w:lineRule="auto"/>
        <w:rPr>
          <w:rFonts w:ascii="Arial" w:hAnsi="Arial" w:cs="Arial"/>
          <w:b/>
          <w:bCs/>
          <w:sz w:val="22"/>
          <w:szCs w:val="22"/>
        </w:rPr>
      </w:pPr>
    </w:p>
    <w:p w14:paraId="6068B181" w14:textId="4576D220" w:rsidR="3390061C" w:rsidRPr="00BB0D1F" w:rsidRDefault="3390061C" w:rsidP="00BB0D1F">
      <w:pPr>
        <w:spacing w:line="360" w:lineRule="auto"/>
        <w:rPr>
          <w:rFonts w:ascii="Arial" w:hAnsi="Arial" w:cs="Arial"/>
          <w:b/>
          <w:bCs/>
          <w:sz w:val="22"/>
          <w:szCs w:val="22"/>
        </w:rPr>
      </w:pPr>
    </w:p>
    <w:p w14:paraId="119C897D" w14:textId="52B3135C" w:rsidR="3390061C" w:rsidRPr="00BB0D1F" w:rsidRDefault="3390061C" w:rsidP="00BB0D1F">
      <w:pPr>
        <w:spacing w:line="360" w:lineRule="auto"/>
        <w:rPr>
          <w:rFonts w:ascii="Arial" w:hAnsi="Arial" w:cs="Arial"/>
          <w:b/>
          <w:bCs/>
          <w:sz w:val="22"/>
          <w:szCs w:val="22"/>
        </w:rPr>
      </w:pPr>
    </w:p>
    <w:p w14:paraId="70B493F3" w14:textId="13C36ADA" w:rsidR="3390061C" w:rsidRPr="00BB0D1F" w:rsidRDefault="3390061C" w:rsidP="00BB0D1F">
      <w:pPr>
        <w:spacing w:line="360" w:lineRule="auto"/>
        <w:rPr>
          <w:rFonts w:ascii="Arial" w:hAnsi="Arial" w:cs="Arial"/>
          <w:b/>
          <w:bCs/>
          <w:sz w:val="22"/>
          <w:szCs w:val="22"/>
        </w:rPr>
      </w:pPr>
    </w:p>
    <w:p w14:paraId="187EBA77" w14:textId="40EE665B" w:rsidR="3390061C" w:rsidRPr="00BB0D1F" w:rsidRDefault="3390061C" w:rsidP="00BB0D1F">
      <w:pPr>
        <w:spacing w:line="360" w:lineRule="auto"/>
        <w:rPr>
          <w:rFonts w:ascii="Arial" w:hAnsi="Arial" w:cs="Arial"/>
          <w:b/>
          <w:bCs/>
          <w:sz w:val="22"/>
          <w:szCs w:val="22"/>
        </w:rPr>
      </w:pPr>
    </w:p>
    <w:p w14:paraId="059D5D9A" w14:textId="13FCC8CC" w:rsidR="3390061C" w:rsidRPr="00BB0D1F" w:rsidRDefault="3390061C" w:rsidP="00BB0D1F">
      <w:pPr>
        <w:spacing w:line="360" w:lineRule="auto"/>
        <w:rPr>
          <w:rFonts w:ascii="Arial" w:hAnsi="Arial" w:cs="Arial"/>
          <w:b/>
          <w:bCs/>
          <w:sz w:val="22"/>
          <w:szCs w:val="22"/>
        </w:rPr>
      </w:pPr>
    </w:p>
    <w:p w14:paraId="561A9D63" w14:textId="575AD968" w:rsidR="3390061C" w:rsidRPr="00BB0D1F" w:rsidRDefault="3390061C" w:rsidP="00BB0D1F">
      <w:pPr>
        <w:spacing w:line="360" w:lineRule="auto"/>
        <w:rPr>
          <w:rFonts w:ascii="Arial" w:hAnsi="Arial" w:cs="Arial"/>
          <w:b/>
          <w:bCs/>
          <w:sz w:val="22"/>
          <w:szCs w:val="22"/>
        </w:rPr>
      </w:pPr>
    </w:p>
    <w:p w14:paraId="1C970E24" w14:textId="44E74034" w:rsidR="3390061C" w:rsidRPr="00BB0D1F" w:rsidRDefault="3390061C" w:rsidP="00BB0D1F">
      <w:pPr>
        <w:spacing w:line="360" w:lineRule="auto"/>
        <w:rPr>
          <w:rFonts w:ascii="Arial" w:hAnsi="Arial" w:cs="Arial"/>
          <w:b/>
          <w:bCs/>
          <w:sz w:val="22"/>
          <w:szCs w:val="22"/>
        </w:rPr>
      </w:pPr>
    </w:p>
    <w:p w14:paraId="6C3FD752" w14:textId="148A9921" w:rsidR="3390061C" w:rsidRPr="00BB0D1F" w:rsidRDefault="3390061C" w:rsidP="00BB0D1F">
      <w:pPr>
        <w:spacing w:line="360" w:lineRule="auto"/>
        <w:rPr>
          <w:rFonts w:ascii="Arial" w:hAnsi="Arial" w:cs="Arial"/>
          <w:b/>
          <w:bCs/>
          <w:sz w:val="22"/>
          <w:szCs w:val="22"/>
        </w:rPr>
      </w:pPr>
    </w:p>
    <w:p w14:paraId="000E711C" w14:textId="3466AF72" w:rsidR="3390061C" w:rsidRPr="00BB0D1F" w:rsidRDefault="3390061C" w:rsidP="00BB0D1F">
      <w:pPr>
        <w:spacing w:line="360" w:lineRule="auto"/>
        <w:rPr>
          <w:rFonts w:ascii="Arial" w:hAnsi="Arial" w:cs="Arial"/>
          <w:b/>
          <w:bCs/>
          <w:sz w:val="22"/>
          <w:szCs w:val="22"/>
        </w:rPr>
      </w:pPr>
    </w:p>
    <w:p w14:paraId="4F019364" w14:textId="56B97925" w:rsidR="2DCAAE11" w:rsidRPr="00BB0D1F" w:rsidRDefault="2DCAAE11" w:rsidP="00BB0D1F">
      <w:pPr>
        <w:pStyle w:val="Heading2"/>
        <w:spacing w:line="360" w:lineRule="auto"/>
        <w:rPr>
          <w:rFonts w:ascii="Arial" w:eastAsiaTheme="minorEastAsia" w:hAnsi="Arial" w:cs="Arial"/>
          <w:b/>
          <w:bCs/>
          <w:color w:val="auto"/>
          <w:sz w:val="22"/>
          <w:szCs w:val="22"/>
        </w:rPr>
      </w:pPr>
      <w:bookmarkStart w:id="0" w:name="_Toc953869303"/>
      <w:r w:rsidRPr="00BB0D1F">
        <w:rPr>
          <w:rFonts w:ascii="Arial" w:eastAsiaTheme="minorEastAsia" w:hAnsi="Arial" w:cs="Arial"/>
          <w:b/>
          <w:bCs/>
          <w:color w:val="auto"/>
          <w:sz w:val="22"/>
          <w:szCs w:val="22"/>
        </w:rPr>
        <w:t>Abstract</w:t>
      </w:r>
      <w:bookmarkEnd w:id="0"/>
    </w:p>
    <w:p w14:paraId="7450E4D5" w14:textId="455D7B06" w:rsidR="2DCAAE11" w:rsidRPr="00BB0D1F" w:rsidRDefault="2DCAAE11" w:rsidP="361CBD8A">
      <w:pPr>
        <w:spacing w:before="240" w:after="240" w:line="360" w:lineRule="auto"/>
        <w:rPr>
          <w:rFonts w:ascii="Arial" w:hAnsi="Arial" w:cs="Arial"/>
          <w:sz w:val="22"/>
          <w:szCs w:val="22"/>
        </w:rPr>
      </w:pPr>
      <w:r w:rsidRPr="361CBD8A">
        <w:rPr>
          <w:rFonts w:ascii="Arial" w:hAnsi="Arial" w:cs="Arial"/>
          <w:sz w:val="22"/>
          <w:szCs w:val="22"/>
        </w:rPr>
        <w:t>Person-Centred Care (PCC) and Partnership Working (PW)</w:t>
      </w:r>
      <w:r w:rsidR="24019E73" w:rsidRPr="361CBD8A">
        <w:rPr>
          <w:rFonts w:ascii="Arial" w:hAnsi="Arial" w:cs="Arial"/>
          <w:sz w:val="22"/>
          <w:szCs w:val="22"/>
        </w:rPr>
        <w:t xml:space="preserve"> will </w:t>
      </w:r>
      <w:r w:rsidR="4E7812E1" w:rsidRPr="361CBD8A">
        <w:rPr>
          <w:rFonts w:ascii="Arial" w:hAnsi="Arial" w:cs="Arial"/>
          <w:sz w:val="22"/>
          <w:szCs w:val="22"/>
        </w:rPr>
        <w:t xml:space="preserve">be </w:t>
      </w:r>
      <w:r w:rsidR="24019E73" w:rsidRPr="361CBD8A">
        <w:rPr>
          <w:rFonts w:ascii="Arial" w:hAnsi="Arial" w:cs="Arial"/>
          <w:sz w:val="22"/>
          <w:szCs w:val="22"/>
        </w:rPr>
        <w:t>explored in this report</w:t>
      </w:r>
      <w:r w:rsidR="1DBD4350" w:rsidRPr="361CBD8A">
        <w:rPr>
          <w:rFonts w:ascii="Arial" w:hAnsi="Arial" w:cs="Arial"/>
          <w:sz w:val="22"/>
          <w:szCs w:val="22"/>
        </w:rPr>
        <w:t>. P</w:t>
      </w:r>
      <w:r w:rsidR="70F92A2D" w:rsidRPr="361CBD8A">
        <w:rPr>
          <w:rFonts w:ascii="Arial" w:hAnsi="Arial" w:cs="Arial"/>
          <w:sz w:val="22"/>
          <w:szCs w:val="22"/>
        </w:rPr>
        <w:t xml:space="preserve">rofessional health and social care policy and hospital practice will </w:t>
      </w:r>
      <w:r w:rsidR="5C771AAD" w:rsidRPr="361CBD8A">
        <w:rPr>
          <w:rFonts w:ascii="Arial" w:hAnsi="Arial" w:cs="Arial"/>
          <w:sz w:val="22"/>
          <w:szCs w:val="22"/>
        </w:rPr>
        <w:t xml:space="preserve">also </w:t>
      </w:r>
      <w:r w:rsidR="70F92A2D" w:rsidRPr="361CBD8A">
        <w:rPr>
          <w:rFonts w:ascii="Arial" w:hAnsi="Arial" w:cs="Arial"/>
          <w:sz w:val="22"/>
          <w:szCs w:val="22"/>
        </w:rPr>
        <w:t>be</w:t>
      </w:r>
      <w:r w:rsidRPr="361CBD8A">
        <w:rPr>
          <w:rFonts w:ascii="Arial" w:hAnsi="Arial" w:cs="Arial"/>
          <w:sz w:val="22"/>
          <w:szCs w:val="22"/>
        </w:rPr>
        <w:t xml:space="preserve"> evaluate</w:t>
      </w:r>
      <w:r w:rsidR="6CC8844A" w:rsidRPr="361CBD8A">
        <w:rPr>
          <w:rFonts w:ascii="Arial" w:hAnsi="Arial" w:cs="Arial"/>
          <w:sz w:val="22"/>
          <w:szCs w:val="22"/>
        </w:rPr>
        <w:t>d on</w:t>
      </w:r>
      <w:r w:rsidRPr="361CBD8A">
        <w:rPr>
          <w:rFonts w:ascii="Arial" w:hAnsi="Arial" w:cs="Arial"/>
          <w:sz w:val="22"/>
          <w:szCs w:val="22"/>
        </w:rPr>
        <w:t xml:space="preserve"> how they function together. Person-centred care </w:t>
      </w:r>
      <w:r w:rsidR="314B5061" w:rsidRPr="361CBD8A">
        <w:rPr>
          <w:rFonts w:ascii="Arial" w:hAnsi="Arial" w:cs="Arial"/>
          <w:sz w:val="22"/>
          <w:szCs w:val="22"/>
        </w:rPr>
        <w:t>treats</w:t>
      </w:r>
      <w:r w:rsidRPr="361CBD8A">
        <w:rPr>
          <w:rFonts w:ascii="Arial" w:hAnsi="Arial" w:cs="Arial"/>
          <w:sz w:val="22"/>
          <w:szCs w:val="22"/>
        </w:rPr>
        <w:t xml:space="preserve"> individuals with respect, dignity, and compassion, ensuring their needs and preferences guide decisions. Partnership working, meanwhile, emphasises collaboration between professionals, patients, families, and organisations to achieve coordinated, high-quality care.</w:t>
      </w:r>
    </w:p>
    <w:p w14:paraId="1560FADC" w14:textId="24640378" w:rsidR="2DCAAE11" w:rsidRPr="00BB0D1F" w:rsidRDefault="245315F9" w:rsidP="00BB0D1F">
      <w:pPr>
        <w:spacing w:before="240" w:after="240" w:line="360" w:lineRule="auto"/>
        <w:rPr>
          <w:rFonts w:ascii="Arial" w:hAnsi="Arial" w:cs="Arial"/>
          <w:sz w:val="22"/>
          <w:szCs w:val="22"/>
        </w:rPr>
      </w:pPr>
      <w:r w:rsidRPr="361CBD8A">
        <w:rPr>
          <w:rFonts w:ascii="Arial" w:hAnsi="Arial" w:cs="Arial"/>
          <w:sz w:val="22"/>
          <w:szCs w:val="22"/>
        </w:rPr>
        <w:t xml:space="preserve">Using hospitals as a practical environment, the report demonstrates the theoretical foundations of PCC, particularly Bradshaw's Taxonomy of Social Needs (1972), and analyses the ethical principles that underpin care delivery. </w:t>
      </w:r>
      <w:r w:rsidR="10997F0D" w:rsidRPr="361CBD8A">
        <w:rPr>
          <w:rFonts w:ascii="Arial" w:hAnsi="Arial" w:cs="Arial"/>
          <w:sz w:val="22"/>
          <w:szCs w:val="22"/>
        </w:rPr>
        <w:t>F</w:t>
      </w:r>
      <w:r w:rsidR="2DCAAE11" w:rsidRPr="361CBD8A">
        <w:rPr>
          <w:rFonts w:ascii="Arial" w:hAnsi="Arial" w:cs="Arial"/>
          <w:sz w:val="22"/>
          <w:szCs w:val="22"/>
        </w:rPr>
        <w:t>urther evaluat</w:t>
      </w:r>
      <w:r w:rsidR="2520BB3D" w:rsidRPr="361CBD8A">
        <w:rPr>
          <w:rFonts w:ascii="Arial" w:hAnsi="Arial" w:cs="Arial"/>
          <w:sz w:val="22"/>
          <w:szCs w:val="22"/>
        </w:rPr>
        <w:t>ing</w:t>
      </w:r>
      <w:r w:rsidR="2DCAAE11" w:rsidRPr="361CBD8A">
        <w:rPr>
          <w:rFonts w:ascii="Arial" w:hAnsi="Arial" w:cs="Arial"/>
          <w:sz w:val="22"/>
          <w:szCs w:val="22"/>
        </w:rPr>
        <w:t xml:space="preserve"> how partnership working </w:t>
      </w:r>
      <w:r w:rsidR="21DF9BB3" w:rsidRPr="361CBD8A">
        <w:rPr>
          <w:rFonts w:ascii="Arial" w:hAnsi="Arial" w:cs="Arial"/>
          <w:sz w:val="22"/>
          <w:szCs w:val="22"/>
        </w:rPr>
        <w:t xml:space="preserve">can improve </w:t>
      </w:r>
      <w:r w:rsidR="2DCAAE11" w:rsidRPr="361CBD8A">
        <w:rPr>
          <w:rFonts w:ascii="Arial" w:hAnsi="Arial" w:cs="Arial"/>
          <w:sz w:val="22"/>
          <w:szCs w:val="22"/>
        </w:rPr>
        <w:t>service efficiency and patient outcomes</w:t>
      </w:r>
      <w:r w:rsidR="25109F0B" w:rsidRPr="361CBD8A">
        <w:rPr>
          <w:rFonts w:ascii="Arial" w:hAnsi="Arial" w:cs="Arial"/>
          <w:sz w:val="22"/>
          <w:szCs w:val="22"/>
        </w:rPr>
        <w:t>, all</w:t>
      </w:r>
      <w:r w:rsidR="2DCAAE11" w:rsidRPr="361CBD8A">
        <w:rPr>
          <w:rFonts w:ascii="Arial" w:hAnsi="Arial" w:cs="Arial"/>
          <w:sz w:val="22"/>
          <w:szCs w:val="22"/>
        </w:rPr>
        <w:t xml:space="preserve"> </w:t>
      </w:r>
      <w:r w:rsidR="4598074B" w:rsidRPr="361CBD8A">
        <w:rPr>
          <w:rFonts w:ascii="Arial" w:hAnsi="Arial" w:cs="Arial"/>
          <w:sz w:val="22"/>
          <w:szCs w:val="22"/>
        </w:rPr>
        <w:t>whilst</w:t>
      </w:r>
      <w:r w:rsidR="2DCAAE11" w:rsidRPr="361CBD8A">
        <w:rPr>
          <w:rFonts w:ascii="Arial" w:hAnsi="Arial" w:cs="Arial"/>
          <w:sz w:val="22"/>
          <w:szCs w:val="22"/>
        </w:rPr>
        <w:t xml:space="preserve"> acknowledging challenges</w:t>
      </w:r>
      <w:r w:rsidR="360D5E26" w:rsidRPr="361CBD8A">
        <w:rPr>
          <w:rFonts w:ascii="Arial" w:hAnsi="Arial" w:cs="Arial"/>
          <w:sz w:val="22"/>
          <w:szCs w:val="22"/>
        </w:rPr>
        <w:t xml:space="preserve"> like</w:t>
      </w:r>
      <w:r w:rsidR="2DCAAE11" w:rsidRPr="361CBD8A">
        <w:rPr>
          <w:rFonts w:ascii="Arial" w:hAnsi="Arial" w:cs="Arial"/>
          <w:sz w:val="22"/>
          <w:szCs w:val="22"/>
        </w:rPr>
        <w:t xml:space="preserve"> communication barriers and resource constraints. </w:t>
      </w:r>
      <w:r w:rsidR="1C2F862B" w:rsidRPr="361CBD8A">
        <w:rPr>
          <w:rFonts w:ascii="Arial" w:hAnsi="Arial" w:cs="Arial"/>
          <w:sz w:val="22"/>
          <w:szCs w:val="22"/>
        </w:rPr>
        <w:t xml:space="preserve"> </w:t>
      </w:r>
    </w:p>
    <w:p w14:paraId="77315765" w14:textId="179E9F4A" w:rsidR="2DCAAE11" w:rsidRPr="00BB0D1F" w:rsidRDefault="2DCAAE11" w:rsidP="00BB0D1F">
      <w:pPr>
        <w:spacing w:before="240" w:after="240" w:line="360" w:lineRule="auto"/>
        <w:rPr>
          <w:rFonts w:ascii="Arial" w:hAnsi="Arial" w:cs="Arial"/>
          <w:sz w:val="22"/>
          <w:szCs w:val="22"/>
        </w:rPr>
      </w:pPr>
      <w:r w:rsidRPr="00BB0D1F">
        <w:rPr>
          <w:rFonts w:ascii="Arial" w:hAnsi="Arial" w:cs="Arial"/>
          <w:sz w:val="22"/>
          <w:szCs w:val="22"/>
        </w:rPr>
        <w:t xml:space="preserve">Relevant legislation, including the Care Act (2014), Health and Social Care Act (2012), and Equality Act (2010), is </w:t>
      </w:r>
      <w:r w:rsidR="3C85DE51" w:rsidRPr="00BB0D1F">
        <w:rPr>
          <w:rFonts w:ascii="Arial" w:hAnsi="Arial" w:cs="Arial"/>
          <w:sz w:val="22"/>
          <w:szCs w:val="22"/>
        </w:rPr>
        <w:t xml:space="preserve">looked at </w:t>
      </w:r>
      <w:r w:rsidRPr="00BB0D1F">
        <w:rPr>
          <w:rFonts w:ascii="Arial" w:hAnsi="Arial" w:cs="Arial"/>
          <w:sz w:val="22"/>
          <w:szCs w:val="22"/>
        </w:rPr>
        <w:t xml:space="preserve">to understand their influence on practice. The report </w:t>
      </w:r>
      <w:r w:rsidR="5BBE8E95" w:rsidRPr="00BB0D1F">
        <w:rPr>
          <w:rFonts w:ascii="Arial" w:hAnsi="Arial" w:cs="Arial"/>
          <w:sz w:val="22"/>
          <w:szCs w:val="22"/>
        </w:rPr>
        <w:t>outlines</w:t>
      </w:r>
      <w:r w:rsidRPr="00BB0D1F">
        <w:rPr>
          <w:rFonts w:ascii="Arial" w:hAnsi="Arial" w:cs="Arial"/>
          <w:sz w:val="22"/>
          <w:szCs w:val="22"/>
        </w:rPr>
        <w:t xml:space="preserve"> recommendations for improving PCC and PW in hospitals, including enhanced staff training, digital integration, and more inclusive co-production with patients. </w:t>
      </w:r>
    </w:p>
    <w:p w14:paraId="6A2EC9CC" w14:textId="04708CEA" w:rsidR="2DCAAE11" w:rsidRPr="00BB0D1F" w:rsidRDefault="2DCAAE11" w:rsidP="00BB0D1F">
      <w:pPr>
        <w:spacing w:before="240" w:after="240" w:line="360" w:lineRule="auto"/>
        <w:rPr>
          <w:rFonts w:ascii="Arial" w:hAnsi="Arial" w:cs="Arial"/>
          <w:sz w:val="22"/>
          <w:szCs w:val="22"/>
        </w:rPr>
      </w:pPr>
      <w:r w:rsidRPr="00BB0D1F">
        <w:rPr>
          <w:rFonts w:ascii="Arial" w:hAnsi="Arial" w:cs="Arial"/>
          <w:sz w:val="22"/>
          <w:szCs w:val="22"/>
        </w:rPr>
        <w:t>Overall, it highlights that while significant progress has been made, continued commitment and innovation are needed to ensure care in UK hospitals remains both person-centred and collaborative.</w:t>
      </w:r>
    </w:p>
    <w:p w14:paraId="6133737E" w14:textId="5C4E45D5" w:rsidR="2DCAAE11" w:rsidRPr="00BB0D1F" w:rsidRDefault="2DCAAE11" w:rsidP="00BB0D1F">
      <w:pPr>
        <w:pStyle w:val="Heading2"/>
        <w:spacing w:before="299" w:after="299" w:line="360" w:lineRule="auto"/>
        <w:rPr>
          <w:rFonts w:ascii="Arial" w:eastAsiaTheme="minorEastAsia" w:hAnsi="Arial" w:cs="Arial"/>
          <w:b/>
          <w:bCs/>
          <w:color w:val="auto"/>
          <w:sz w:val="22"/>
          <w:szCs w:val="22"/>
        </w:rPr>
      </w:pPr>
      <w:bookmarkStart w:id="1" w:name="_Toc14814981"/>
      <w:r w:rsidRPr="00BB0D1F">
        <w:rPr>
          <w:rFonts w:ascii="Arial" w:eastAsiaTheme="minorEastAsia" w:hAnsi="Arial" w:cs="Arial"/>
          <w:b/>
          <w:bCs/>
          <w:color w:val="auto"/>
          <w:sz w:val="22"/>
          <w:szCs w:val="22"/>
        </w:rPr>
        <w:t>Introduction</w:t>
      </w:r>
      <w:bookmarkEnd w:id="1"/>
    </w:p>
    <w:p w14:paraId="3D58804C" w14:textId="2391D349" w:rsidR="2DCAAE11" w:rsidRPr="00BB0D1F" w:rsidRDefault="2DCAAE11" w:rsidP="00BB0D1F">
      <w:pPr>
        <w:spacing w:before="240" w:after="240" w:line="360" w:lineRule="auto"/>
        <w:rPr>
          <w:rFonts w:ascii="Arial" w:hAnsi="Arial" w:cs="Arial"/>
          <w:sz w:val="22"/>
          <w:szCs w:val="22"/>
        </w:rPr>
      </w:pPr>
      <w:r w:rsidRPr="00BB0D1F">
        <w:rPr>
          <w:rFonts w:ascii="Arial" w:hAnsi="Arial" w:cs="Arial"/>
          <w:sz w:val="22"/>
          <w:szCs w:val="22"/>
        </w:rPr>
        <w:t xml:space="preserve">In modern health and social care, person-centred care and partnership working are fundamental principles shaping how services are delivered. These approaches recognise that effective care goes beyond treating illness; it involves </w:t>
      </w:r>
      <w:r w:rsidR="6E6B747D" w:rsidRPr="00BB0D1F">
        <w:rPr>
          <w:rFonts w:ascii="Arial" w:hAnsi="Arial" w:cs="Arial"/>
          <w:sz w:val="22"/>
          <w:szCs w:val="22"/>
        </w:rPr>
        <w:t>really getting to know the person, their experiences, and what matters to them, while making sure different professionals work together to give the best support.</w:t>
      </w:r>
    </w:p>
    <w:p w14:paraId="49A82411" w14:textId="7804E335" w:rsidR="6E6B747D" w:rsidRPr="00BB0D1F" w:rsidRDefault="6E6B747D" w:rsidP="00BB0D1F">
      <w:pPr>
        <w:spacing w:before="240" w:after="240" w:line="360" w:lineRule="auto"/>
        <w:rPr>
          <w:rFonts w:ascii="Arial" w:hAnsi="Arial" w:cs="Arial"/>
          <w:sz w:val="22"/>
          <w:szCs w:val="22"/>
        </w:rPr>
      </w:pPr>
      <w:r w:rsidRPr="00BB0D1F">
        <w:rPr>
          <w:rFonts w:ascii="Arial" w:hAnsi="Arial" w:cs="Arial"/>
          <w:sz w:val="22"/>
          <w:szCs w:val="22"/>
        </w:rPr>
        <w:t>The purpose of this report is to explore these two connected concepts, discuss the theories and ethical principles behind them, and consider how they are applied in UK hospital settings. Hospitals provide an ideal example, as they bring together a wide range of professionals, such as doctors, nurses, and therapists, who must work collaboratively to deliver safe, effective, and compassionate care.</w:t>
      </w:r>
    </w:p>
    <w:p w14:paraId="7994A576" w14:textId="7AB43C6B" w:rsidR="2DCAAE11" w:rsidRPr="00BB0D1F" w:rsidRDefault="2DCAAE11" w:rsidP="00BB0D1F">
      <w:pPr>
        <w:spacing w:before="240" w:after="240" w:line="360" w:lineRule="auto"/>
        <w:rPr>
          <w:rFonts w:ascii="Arial" w:hAnsi="Arial" w:cs="Arial"/>
          <w:sz w:val="22"/>
          <w:szCs w:val="22"/>
        </w:rPr>
      </w:pPr>
      <w:r w:rsidRPr="00BB0D1F">
        <w:rPr>
          <w:rFonts w:ascii="Arial" w:hAnsi="Arial" w:cs="Arial"/>
          <w:sz w:val="22"/>
          <w:szCs w:val="22"/>
        </w:rPr>
        <w:t>The report begins with a definition of PCC, followed by a discussion of relevant theories such as Bradshaw’s Taxonomy of Social Needs. It then examines ethical fundamentals, evaluates partnership working in hospitals, and analyses the role of policy and legislation. Finally, it presents recommendations for improving the implementation of PCC and PW across UK hospitals before concluding with a summary of key findings.</w:t>
      </w:r>
    </w:p>
    <w:p w14:paraId="7A634B58" w14:textId="587270D4" w:rsidR="2DCAAE11" w:rsidRPr="00BB0D1F" w:rsidRDefault="2DCAAE11" w:rsidP="00BB0D1F">
      <w:pPr>
        <w:pStyle w:val="Heading2"/>
        <w:spacing w:before="299" w:after="299" w:line="360" w:lineRule="auto"/>
        <w:rPr>
          <w:rFonts w:ascii="Arial" w:eastAsiaTheme="minorEastAsia" w:hAnsi="Arial" w:cs="Arial"/>
          <w:b/>
          <w:bCs/>
          <w:color w:val="auto"/>
          <w:sz w:val="22"/>
          <w:szCs w:val="22"/>
        </w:rPr>
      </w:pPr>
      <w:bookmarkStart w:id="2" w:name="_Toc864830969"/>
      <w:r w:rsidRPr="00BB0D1F">
        <w:rPr>
          <w:rFonts w:ascii="Arial" w:eastAsiaTheme="minorEastAsia" w:hAnsi="Arial" w:cs="Arial"/>
          <w:b/>
          <w:bCs/>
          <w:color w:val="auto"/>
          <w:sz w:val="22"/>
          <w:szCs w:val="22"/>
        </w:rPr>
        <w:t>Definition of Person-Centred Care</w:t>
      </w:r>
      <w:bookmarkEnd w:id="2"/>
    </w:p>
    <w:p w14:paraId="30A30A4C" w14:textId="6AAE41CA" w:rsidR="2DCAAE11" w:rsidRPr="00BB0D1F" w:rsidRDefault="15A9FAAA" w:rsidP="00BB0D1F">
      <w:pPr>
        <w:spacing w:before="240" w:after="240" w:line="360" w:lineRule="auto"/>
        <w:rPr>
          <w:rFonts w:ascii="Arial" w:hAnsi="Arial" w:cs="Arial"/>
          <w:sz w:val="22"/>
          <w:szCs w:val="22"/>
        </w:rPr>
      </w:pPr>
      <w:r w:rsidRPr="361CBD8A">
        <w:rPr>
          <w:rFonts w:ascii="Arial" w:hAnsi="Arial" w:cs="Arial"/>
          <w:sz w:val="22"/>
          <w:szCs w:val="22"/>
        </w:rPr>
        <w:t>Person-centered car</w:t>
      </w:r>
      <w:r w:rsidR="385913E6" w:rsidRPr="361CBD8A">
        <w:rPr>
          <w:rFonts w:ascii="Arial" w:hAnsi="Arial" w:cs="Arial"/>
          <w:sz w:val="22"/>
          <w:szCs w:val="22"/>
        </w:rPr>
        <w:t>e</w:t>
      </w:r>
      <w:r w:rsidRPr="361CBD8A">
        <w:rPr>
          <w:rFonts w:ascii="Arial" w:hAnsi="Arial" w:cs="Arial"/>
          <w:sz w:val="22"/>
          <w:szCs w:val="22"/>
        </w:rPr>
        <w:t xml:space="preserve"> is a plan of action that views patients as active participants in their care</w:t>
      </w:r>
      <w:r w:rsidR="2DCAAE11" w:rsidRPr="361CBD8A">
        <w:rPr>
          <w:rFonts w:ascii="Arial" w:hAnsi="Arial" w:cs="Arial"/>
          <w:sz w:val="22"/>
          <w:szCs w:val="22"/>
        </w:rPr>
        <w:t>, valuing their preferences, needs, and values in every clinical decision. The Health Foundation (2016) defines PCC as</w:t>
      </w:r>
      <w:r w:rsidR="4C52CA48" w:rsidRPr="361CBD8A">
        <w:rPr>
          <w:rFonts w:ascii="Arial" w:hAnsi="Arial" w:cs="Arial"/>
          <w:sz w:val="22"/>
          <w:szCs w:val="22"/>
        </w:rPr>
        <w:t xml:space="preserve"> ensuring that all clinical decisions are guided by values and providing treatment that is "respectful of and responsive to the preferences, needs, and values” of persons.</w:t>
      </w:r>
      <w:r w:rsidR="62ECF484" w:rsidRPr="361CBD8A">
        <w:rPr>
          <w:rFonts w:ascii="Arial" w:hAnsi="Arial" w:cs="Arial"/>
          <w:sz w:val="22"/>
          <w:szCs w:val="22"/>
        </w:rPr>
        <w:t xml:space="preserve"> </w:t>
      </w:r>
      <w:r w:rsidR="2B84ED25" w:rsidRPr="361CBD8A">
        <w:rPr>
          <w:rFonts w:ascii="Arial" w:hAnsi="Arial" w:cs="Arial"/>
          <w:sz w:val="22"/>
          <w:szCs w:val="22"/>
        </w:rPr>
        <w:t>In hospitals, this means really listening to patients, involving them in planning their treatment, and moving away from a one-size-fits-all approach</w:t>
      </w:r>
      <w:r w:rsidR="7738FA1A" w:rsidRPr="361CBD8A">
        <w:rPr>
          <w:rFonts w:ascii="Arial" w:hAnsi="Arial" w:cs="Arial"/>
          <w:sz w:val="22"/>
          <w:szCs w:val="22"/>
        </w:rPr>
        <w:t xml:space="preserve">. It’s about </w:t>
      </w:r>
      <w:r w:rsidR="2B84ED25" w:rsidRPr="361CBD8A">
        <w:rPr>
          <w:rFonts w:ascii="Arial" w:hAnsi="Arial" w:cs="Arial"/>
          <w:sz w:val="22"/>
          <w:szCs w:val="22"/>
        </w:rPr>
        <w:t>empathy, individuality, and mutual respect</w:t>
      </w:r>
      <w:r w:rsidR="35C6F883" w:rsidRPr="361CBD8A">
        <w:rPr>
          <w:rFonts w:ascii="Arial" w:hAnsi="Arial" w:cs="Arial"/>
          <w:sz w:val="22"/>
          <w:szCs w:val="22"/>
        </w:rPr>
        <w:t xml:space="preserve"> (Gilbar, &amp; Miola, 2015).</w:t>
      </w:r>
      <w:r w:rsidR="53480CED" w:rsidRPr="361CBD8A">
        <w:rPr>
          <w:rFonts w:ascii="Arial" w:hAnsi="Arial" w:cs="Arial"/>
          <w:sz w:val="22"/>
          <w:szCs w:val="22"/>
        </w:rPr>
        <w:t xml:space="preserve"> </w:t>
      </w:r>
    </w:p>
    <w:p w14:paraId="19C16905" w14:textId="72C8D998" w:rsidR="2DCAAE11" w:rsidRPr="00BB0D1F" w:rsidRDefault="2DCAAE11" w:rsidP="00BB0D1F">
      <w:pPr>
        <w:spacing w:before="240" w:after="240" w:line="360" w:lineRule="auto"/>
        <w:rPr>
          <w:rFonts w:ascii="Arial" w:hAnsi="Arial" w:cs="Arial"/>
          <w:sz w:val="22"/>
          <w:szCs w:val="22"/>
        </w:rPr>
      </w:pPr>
      <w:r w:rsidRPr="361CBD8A">
        <w:rPr>
          <w:rFonts w:ascii="Arial" w:hAnsi="Arial" w:cs="Arial"/>
          <w:sz w:val="22"/>
          <w:szCs w:val="22"/>
        </w:rPr>
        <w:t xml:space="preserve">The benefits of PCC in hospital settings </w:t>
      </w:r>
      <w:r w:rsidR="2CB47F07" w:rsidRPr="361CBD8A">
        <w:rPr>
          <w:rFonts w:ascii="Arial" w:hAnsi="Arial" w:cs="Arial"/>
          <w:sz w:val="22"/>
          <w:szCs w:val="22"/>
        </w:rPr>
        <w:t xml:space="preserve">is </w:t>
      </w:r>
      <w:r w:rsidR="4B8F1745" w:rsidRPr="361CBD8A">
        <w:rPr>
          <w:rFonts w:ascii="Arial" w:hAnsi="Arial" w:cs="Arial"/>
          <w:sz w:val="22"/>
          <w:szCs w:val="22"/>
        </w:rPr>
        <w:t xml:space="preserve">that it </w:t>
      </w:r>
      <w:r w:rsidR="3FAB47CA" w:rsidRPr="361CBD8A">
        <w:rPr>
          <w:rFonts w:ascii="Arial" w:hAnsi="Arial" w:cs="Arial"/>
          <w:sz w:val="22"/>
          <w:szCs w:val="22"/>
        </w:rPr>
        <w:t xml:space="preserve">improves </w:t>
      </w:r>
      <w:r w:rsidRPr="361CBD8A">
        <w:rPr>
          <w:rFonts w:ascii="Arial" w:hAnsi="Arial" w:cs="Arial"/>
          <w:sz w:val="22"/>
          <w:szCs w:val="22"/>
        </w:rPr>
        <w:t xml:space="preserve">patient satisfaction, improves adherence to treatment, and contributes to better recovery outcomes (Coulter &amp; Oldham, 2016). When patients feel listened to and respected, they are more likely to trust healthcare staff, communicate openly, and engage actively in their care. </w:t>
      </w:r>
      <w:r w:rsidR="0A606967" w:rsidRPr="361CBD8A">
        <w:rPr>
          <w:rFonts w:ascii="Arial" w:hAnsi="Arial" w:cs="Arial"/>
          <w:sz w:val="22"/>
          <w:szCs w:val="22"/>
        </w:rPr>
        <w:t>As, working in an environment that values respect and teamwork can lift morale and even help reduce burnout</w:t>
      </w:r>
      <w:r w:rsidR="2137C4BB" w:rsidRPr="361CBD8A">
        <w:rPr>
          <w:rFonts w:ascii="Arial" w:hAnsi="Arial" w:cs="Arial"/>
          <w:sz w:val="22"/>
          <w:szCs w:val="22"/>
        </w:rPr>
        <w:t xml:space="preserve"> (Parlour, Slater</w:t>
      </w:r>
      <w:r w:rsidR="1EAA7769" w:rsidRPr="361CBD8A">
        <w:rPr>
          <w:rFonts w:ascii="Arial" w:hAnsi="Arial" w:cs="Arial"/>
          <w:sz w:val="22"/>
          <w:szCs w:val="22"/>
        </w:rPr>
        <w:t xml:space="preserve"> </w:t>
      </w:r>
      <w:r w:rsidR="2137C4BB" w:rsidRPr="361CBD8A">
        <w:rPr>
          <w:rFonts w:ascii="Arial" w:hAnsi="Arial" w:cs="Arial"/>
          <w:sz w:val="22"/>
          <w:szCs w:val="22"/>
        </w:rPr>
        <w:t xml:space="preserve">et al, 2014). </w:t>
      </w:r>
      <w:r w:rsidR="271BA99D" w:rsidRPr="361CBD8A">
        <w:rPr>
          <w:rFonts w:ascii="Arial" w:hAnsi="Arial" w:cs="Arial"/>
          <w:sz w:val="22"/>
          <w:szCs w:val="22"/>
        </w:rPr>
        <w:t xml:space="preserve">  </w:t>
      </w:r>
      <w:r w:rsidR="54F399ED" w:rsidRPr="361CBD8A">
        <w:rPr>
          <w:rFonts w:ascii="Arial" w:hAnsi="Arial" w:cs="Arial"/>
          <w:sz w:val="22"/>
          <w:szCs w:val="22"/>
        </w:rPr>
        <w:t xml:space="preserve"> </w:t>
      </w:r>
    </w:p>
    <w:p w14:paraId="665BD704" w14:textId="673B82EB" w:rsidR="1C6B48E9" w:rsidRPr="00BB0D1F" w:rsidRDefault="1C6B48E9" w:rsidP="00BB0D1F">
      <w:pPr>
        <w:spacing w:before="240" w:after="240" w:line="360" w:lineRule="auto"/>
        <w:rPr>
          <w:rFonts w:ascii="Arial" w:hAnsi="Arial" w:cs="Arial"/>
          <w:sz w:val="22"/>
          <w:szCs w:val="22"/>
        </w:rPr>
      </w:pPr>
      <w:r w:rsidRPr="0B2ED8DD">
        <w:rPr>
          <w:rFonts w:ascii="Arial" w:hAnsi="Arial" w:cs="Arial"/>
          <w:sz w:val="22"/>
          <w:szCs w:val="22"/>
        </w:rPr>
        <w:t>That said, PCC isn’t always easy to put into practice. Limited staff, time pressures, and a focus on efficiency can make it hard to deliver truly personalised care. Hospitals often prioritise quick results, which can clash with the slower, more relationship-based side of PCC</w:t>
      </w:r>
      <w:r w:rsidR="6DDA38B7" w:rsidRPr="0B2ED8DD">
        <w:rPr>
          <w:rFonts w:ascii="Arial" w:hAnsi="Arial" w:cs="Arial"/>
          <w:sz w:val="22"/>
          <w:szCs w:val="22"/>
        </w:rPr>
        <w:t xml:space="preserve"> (Parlour, Slater et al, 2014)</w:t>
      </w:r>
      <w:r w:rsidRPr="0B2ED8DD">
        <w:rPr>
          <w:rFonts w:ascii="Arial" w:hAnsi="Arial" w:cs="Arial"/>
          <w:sz w:val="22"/>
          <w:szCs w:val="22"/>
        </w:rPr>
        <w:t>. On top of that, some professionals may resist change, worrying that sharing decisions with patients could undermine their authority. Overcoming these barriers takes strong leadership, good training, and a supportive culture that values patient partnership.</w:t>
      </w:r>
    </w:p>
    <w:p w14:paraId="59211701" w14:textId="31114B25" w:rsidR="2DCAAE11" w:rsidRPr="00BB0D1F" w:rsidRDefault="2DCAAE11" w:rsidP="0B2ED8DD">
      <w:pPr>
        <w:spacing w:before="299" w:after="299" w:line="360" w:lineRule="auto"/>
        <w:rPr>
          <w:rFonts w:ascii="Arial" w:hAnsi="Arial" w:cs="Arial"/>
          <w:b/>
          <w:bCs/>
          <w:sz w:val="22"/>
          <w:szCs w:val="22"/>
        </w:rPr>
      </w:pPr>
      <w:bookmarkStart w:id="3" w:name="_Toc1442677380"/>
      <w:r w:rsidRPr="0B2ED8DD">
        <w:rPr>
          <w:rFonts w:ascii="Arial" w:hAnsi="Arial" w:cs="Arial"/>
          <w:b/>
          <w:bCs/>
          <w:sz w:val="22"/>
          <w:szCs w:val="22"/>
        </w:rPr>
        <w:t>Relevant Theor</w:t>
      </w:r>
      <w:r w:rsidR="760CF40C" w:rsidRPr="0B2ED8DD">
        <w:rPr>
          <w:rFonts w:ascii="Arial" w:hAnsi="Arial" w:cs="Arial"/>
          <w:b/>
          <w:bCs/>
          <w:sz w:val="22"/>
          <w:szCs w:val="22"/>
        </w:rPr>
        <w:t>ies</w:t>
      </w:r>
      <w:r w:rsidRPr="0B2ED8DD">
        <w:rPr>
          <w:rFonts w:ascii="Arial" w:hAnsi="Arial" w:cs="Arial"/>
          <w:b/>
          <w:bCs/>
          <w:sz w:val="22"/>
          <w:szCs w:val="22"/>
        </w:rPr>
        <w:t xml:space="preserve"> Supporting P</w:t>
      </w:r>
      <w:r w:rsidR="56F15C73" w:rsidRPr="0B2ED8DD">
        <w:rPr>
          <w:rFonts w:ascii="Arial" w:hAnsi="Arial" w:cs="Arial"/>
          <w:b/>
          <w:bCs/>
          <w:sz w:val="22"/>
          <w:szCs w:val="22"/>
        </w:rPr>
        <w:t>CC</w:t>
      </w:r>
      <w:r w:rsidR="0E9699AD" w:rsidRPr="0B2ED8DD">
        <w:rPr>
          <w:rFonts w:ascii="Arial" w:hAnsi="Arial" w:cs="Arial"/>
          <w:b/>
          <w:bCs/>
          <w:sz w:val="22"/>
          <w:szCs w:val="22"/>
        </w:rPr>
        <w:t xml:space="preserve">: </w:t>
      </w:r>
      <w:bookmarkEnd w:id="3"/>
      <w:r w:rsidR="729A2788" w:rsidRPr="0B2ED8DD">
        <w:rPr>
          <w:rFonts w:ascii="Arial" w:hAnsi="Arial" w:cs="Arial"/>
          <w:b/>
          <w:bCs/>
          <w:sz w:val="22"/>
          <w:szCs w:val="22"/>
        </w:rPr>
        <w:t xml:space="preserve">Bradshaw’s Taxonomy of Social Needs (1972) in </w:t>
      </w:r>
      <w:r w:rsidR="73E98FD2" w:rsidRPr="0B2ED8DD">
        <w:rPr>
          <w:rFonts w:ascii="Arial" w:hAnsi="Arial" w:cs="Arial"/>
          <w:b/>
          <w:bCs/>
          <w:sz w:val="22"/>
          <w:szCs w:val="22"/>
        </w:rPr>
        <w:t>hospitals</w:t>
      </w:r>
    </w:p>
    <w:p w14:paraId="43878B8E" w14:textId="6868B815" w:rsidR="2DCAAE11" w:rsidRPr="00BB0D1F" w:rsidRDefault="2DCAAE11" w:rsidP="00BB0D1F">
      <w:pPr>
        <w:spacing w:before="240" w:after="240" w:line="360" w:lineRule="auto"/>
        <w:rPr>
          <w:rFonts w:ascii="Arial" w:hAnsi="Arial" w:cs="Arial"/>
          <w:sz w:val="22"/>
          <w:szCs w:val="22"/>
        </w:rPr>
      </w:pPr>
      <w:r w:rsidRPr="00BB0D1F">
        <w:rPr>
          <w:rFonts w:ascii="Arial" w:hAnsi="Arial" w:cs="Arial"/>
          <w:sz w:val="22"/>
          <w:szCs w:val="22"/>
        </w:rPr>
        <w:t>A useful theoretical framework for understanding PCC in hospitals is Bradshaw’s Taxonomy of Social Needs (1972). Bradshaw identified four types of social need</w:t>
      </w:r>
      <w:r w:rsidR="1C1E669E" w:rsidRPr="00BB0D1F">
        <w:rPr>
          <w:rFonts w:ascii="Arial" w:hAnsi="Arial" w:cs="Arial"/>
          <w:sz w:val="22"/>
          <w:szCs w:val="22"/>
        </w:rPr>
        <w:t>, n</w:t>
      </w:r>
      <w:r w:rsidRPr="00BB0D1F">
        <w:rPr>
          <w:rFonts w:ascii="Arial" w:hAnsi="Arial" w:cs="Arial"/>
          <w:sz w:val="22"/>
          <w:szCs w:val="22"/>
        </w:rPr>
        <w:t>ormative, felt, expressed, and comparative</w:t>
      </w:r>
      <w:r w:rsidR="27F4E07B" w:rsidRPr="00BB0D1F">
        <w:rPr>
          <w:rFonts w:ascii="Arial" w:hAnsi="Arial" w:cs="Arial"/>
          <w:sz w:val="22"/>
          <w:szCs w:val="22"/>
        </w:rPr>
        <w:t xml:space="preserve">, </w:t>
      </w:r>
      <w:r w:rsidRPr="00BB0D1F">
        <w:rPr>
          <w:rFonts w:ascii="Arial" w:hAnsi="Arial" w:cs="Arial"/>
          <w:sz w:val="22"/>
          <w:szCs w:val="22"/>
        </w:rPr>
        <w:t xml:space="preserve">that help explain how health services can better align with the actual needs of individuals. Normative needs are those defined by professionals, such as </w:t>
      </w:r>
      <w:r w:rsidR="3C5917D2" w:rsidRPr="00BB0D1F">
        <w:rPr>
          <w:rFonts w:ascii="Arial" w:hAnsi="Arial" w:cs="Arial"/>
          <w:sz w:val="22"/>
          <w:szCs w:val="22"/>
        </w:rPr>
        <w:t xml:space="preserve">NHS </w:t>
      </w:r>
      <w:r w:rsidRPr="00BB0D1F">
        <w:rPr>
          <w:rFonts w:ascii="Arial" w:hAnsi="Arial" w:cs="Arial"/>
          <w:sz w:val="22"/>
          <w:szCs w:val="22"/>
        </w:rPr>
        <w:t>clinical guidelines or medical standards</w:t>
      </w:r>
      <w:r w:rsidR="1FED0452" w:rsidRPr="00BB0D1F">
        <w:rPr>
          <w:rFonts w:ascii="Arial" w:hAnsi="Arial" w:cs="Arial"/>
          <w:sz w:val="22"/>
          <w:szCs w:val="22"/>
        </w:rPr>
        <w:t xml:space="preserve"> (Glas, 2019</w:t>
      </w:r>
      <w:r w:rsidR="08F23953" w:rsidRPr="00BB0D1F">
        <w:rPr>
          <w:rFonts w:ascii="Arial" w:hAnsi="Arial" w:cs="Arial"/>
          <w:sz w:val="22"/>
          <w:szCs w:val="22"/>
        </w:rPr>
        <w:t>).</w:t>
      </w:r>
      <w:r w:rsidRPr="00BB0D1F">
        <w:rPr>
          <w:rFonts w:ascii="Arial" w:hAnsi="Arial" w:cs="Arial"/>
          <w:sz w:val="22"/>
          <w:szCs w:val="22"/>
        </w:rPr>
        <w:t xml:space="preserve"> Felt needs are what individuals perceive as necessary for their wellbeing, while expressed needs are those that people actively communicate when they seek help. Comparative needs involve identifying inequalities by comparing groups who have access to services with those who do</w:t>
      </w:r>
      <w:r w:rsidR="719F885D" w:rsidRPr="00BB0D1F">
        <w:rPr>
          <w:rFonts w:ascii="Arial" w:hAnsi="Arial" w:cs="Arial"/>
          <w:sz w:val="22"/>
          <w:szCs w:val="22"/>
        </w:rPr>
        <w:t>n’</w:t>
      </w:r>
      <w:r w:rsidRPr="00BB0D1F">
        <w:rPr>
          <w:rFonts w:ascii="Arial" w:hAnsi="Arial" w:cs="Arial"/>
          <w:sz w:val="22"/>
          <w:szCs w:val="22"/>
        </w:rPr>
        <w:t>t</w:t>
      </w:r>
      <w:r w:rsidR="0A2D7E97" w:rsidRPr="00BB0D1F">
        <w:rPr>
          <w:rFonts w:ascii="Arial" w:hAnsi="Arial" w:cs="Arial"/>
          <w:sz w:val="22"/>
          <w:szCs w:val="22"/>
        </w:rPr>
        <w:t xml:space="preserve"> (Glas, 2019)</w:t>
      </w:r>
      <w:r w:rsidRPr="00BB0D1F">
        <w:rPr>
          <w:rFonts w:ascii="Arial" w:hAnsi="Arial" w:cs="Arial"/>
          <w:sz w:val="22"/>
          <w:szCs w:val="22"/>
        </w:rPr>
        <w:t>.</w:t>
      </w:r>
      <w:r w:rsidR="7D73F9A1" w:rsidRPr="00BB0D1F">
        <w:rPr>
          <w:rFonts w:ascii="Arial" w:hAnsi="Arial" w:cs="Arial"/>
          <w:sz w:val="22"/>
          <w:szCs w:val="22"/>
        </w:rPr>
        <w:t xml:space="preserve"> </w:t>
      </w:r>
    </w:p>
    <w:p w14:paraId="5D6FBCA2" w14:textId="3356BFC2" w:rsidR="2DCAAE11" w:rsidRPr="00BB0D1F" w:rsidRDefault="2DCAAE11" w:rsidP="00BB0D1F">
      <w:pPr>
        <w:spacing w:before="240" w:after="240" w:line="360" w:lineRule="auto"/>
        <w:rPr>
          <w:rFonts w:ascii="Arial" w:hAnsi="Arial" w:cs="Arial"/>
          <w:sz w:val="22"/>
          <w:szCs w:val="22"/>
        </w:rPr>
      </w:pPr>
      <w:r w:rsidRPr="00BB0D1F">
        <w:rPr>
          <w:rFonts w:ascii="Arial" w:hAnsi="Arial" w:cs="Arial"/>
          <w:sz w:val="22"/>
          <w:szCs w:val="22"/>
        </w:rPr>
        <w:t xml:space="preserve">Applying Bradshaw’s model to hospital practice highlights how effective PCC depends on balancing professional expertise (normative need) with patients’ subjective experiences (felt and expressed needs). For example, a patient recovering from surgery may have a normative need for pain management as defined by medical professionals, but they may also express a </w:t>
      </w:r>
      <w:r w:rsidR="1967DFE0" w:rsidRPr="00BB0D1F">
        <w:rPr>
          <w:rFonts w:ascii="Arial" w:hAnsi="Arial" w:cs="Arial"/>
          <w:sz w:val="22"/>
          <w:szCs w:val="22"/>
        </w:rPr>
        <w:t>desire for emotional comfort.</w:t>
      </w:r>
      <w:r w:rsidRPr="00BB0D1F">
        <w:rPr>
          <w:rFonts w:ascii="Arial" w:hAnsi="Arial" w:cs="Arial"/>
          <w:sz w:val="22"/>
          <w:szCs w:val="22"/>
        </w:rPr>
        <w:t xml:space="preserve"> Recognising and addressing both aspects ensures care </w:t>
      </w:r>
      <w:r w:rsidR="0BDB5D84" w:rsidRPr="00BB0D1F">
        <w:rPr>
          <w:rFonts w:ascii="Arial" w:hAnsi="Arial" w:cs="Arial"/>
          <w:sz w:val="22"/>
          <w:szCs w:val="22"/>
        </w:rPr>
        <w:t xml:space="preserve">that’s </w:t>
      </w:r>
      <w:r w:rsidRPr="00BB0D1F">
        <w:rPr>
          <w:rFonts w:ascii="Arial" w:hAnsi="Arial" w:cs="Arial"/>
          <w:sz w:val="22"/>
          <w:szCs w:val="22"/>
        </w:rPr>
        <w:t xml:space="preserve">genuinely person-centred. </w:t>
      </w:r>
      <w:r w:rsidR="32760156" w:rsidRPr="00BB0D1F">
        <w:rPr>
          <w:rFonts w:ascii="Arial" w:hAnsi="Arial" w:cs="Arial"/>
          <w:sz w:val="22"/>
          <w:szCs w:val="22"/>
        </w:rPr>
        <w:t>Comparative need also comes into play in hospitals, especially when health inequalities affect who gets access to care (Betancourt, Green et al., 2003). For example, patients from minority backgrounds or those who face language barriers might have unmet needs that call for more culturally sensitive and inclusive approaches.</w:t>
      </w:r>
    </w:p>
    <w:p w14:paraId="4EC64E5C" w14:textId="09190737" w:rsidR="2DCAAE11" w:rsidRPr="00BB0D1F" w:rsidRDefault="2DCAAE11" w:rsidP="00BB0D1F">
      <w:pPr>
        <w:spacing w:before="240" w:after="240" w:line="360" w:lineRule="auto"/>
        <w:rPr>
          <w:rFonts w:ascii="Arial" w:hAnsi="Arial" w:cs="Arial"/>
          <w:sz w:val="22"/>
          <w:szCs w:val="22"/>
        </w:rPr>
      </w:pPr>
      <w:r w:rsidRPr="361CBD8A">
        <w:rPr>
          <w:rFonts w:ascii="Arial" w:hAnsi="Arial" w:cs="Arial"/>
          <w:sz w:val="22"/>
          <w:szCs w:val="22"/>
        </w:rPr>
        <w:t>Bradshaw’s model supports the principles of PCC by emphasising the importance of understanding and responding to individual perspectives. In hospitals, this approach is applied through multidisciplinary care planning, patient feedback systems, and shared decision-</w:t>
      </w:r>
      <w:r w:rsidR="74750700" w:rsidRPr="361CBD8A">
        <w:rPr>
          <w:rFonts w:ascii="Arial" w:hAnsi="Arial" w:cs="Arial"/>
          <w:sz w:val="22"/>
          <w:szCs w:val="22"/>
        </w:rPr>
        <w:t>making(Harrison</w:t>
      </w:r>
      <w:r w:rsidR="5192CAE4" w:rsidRPr="361CBD8A">
        <w:rPr>
          <w:rFonts w:ascii="Arial" w:hAnsi="Arial" w:cs="Arial"/>
          <w:sz w:val="22"/>
          <w:szCs w:val="22"/>
        </w:rPr>
        <w:t>, Young et al, 2013)</w:t>
      </w:r>
      <w:r w:rsidRPr="361CBD8A">
        <w:rPr>
          <w:rFonts w:ascii="Arial" w:hAnsi="Arial" w:cs="Arial"/>
          <w:sz w:val="22"/>
          <w:szCs w:val="22"/>
        </w:rPr>
        <w:t>. However, balancing professional judgement with patient preferences can sometimes create ethical or practical tension, especially when patient choices contradict evidence-based guidance. Despite these challenges, integrating Bradshaw’s taxonomy into hospital care encourages professionals to think critically about what “need” really means and to prioritise communication and empathy in their practice.</w:t>
      </w:r>
    </w:p>
    <w:p w14:paraId="0614E670" w14:textId="4D89AFCB" w:rsidR="2DCAAE11" w:rsidRPr="00BB0D1F" w:rsidRDefault="2DCAAE11" w:rsidP="00BB0D1F">
      <w:pPr>
        <w:pStyle w:val="Heading2"/>
        <w:spacing w:before="299" w:after="299" w:line="360" w:lineRule="auto"/>
        <w:rPr>
          <w:rFonts w:ascii="Arial" w:eastAsiaTheme="minorEastAsia" w:hAnsi="Arial" w:cs="Arial"/>
          <w:b/>
          <w:bCs/>
          <w:color w:val="auto"/>
          <w:sz w:val="22"/>
          <w:szCs w:val="22"/>
        </w:rPr>
      </w:pPr>
      <w:bookmarkStart w:id="4" w:name="_Toc475724748"/>
      <w:r w:rsidRPr="00BB0D1F">
        <w:rPr>
          <w:rFonts w:ascii="Arial" w:eastAsiaTheme="minorEastAsia" w:hAnsi="Arial" w:cs="Arial"/>
          <w:b/>
          <w:bCs/>
          <w:color w:val="auto"/>
          <w:sz w:val="22"/>
          <w:szCs w:val="22"/>
        </w:rPr>
        <w:t>Ethical Fundamentals in Health and Social Care</w:t>
      </w:r>
      <w:bookmarkEnd w:id="4"/>
    </w:p>
    <w:p w14:paraId="01A698A0" w14:textId="13325502" w:rsidR="2DCAAE11" w:rsidRPr="00BB0D1F" w:rsidRDefault="6BD57B31" w:rsidP="361CBD8A">
      <w:pPr>
        <w:spacing w:before="240" w:after="240" w:line="360" w:lineRule="auto"/>
        <w:rPr>
          <w:rFonts w:ascii="Arial" w:hAnsi="Arial" w:cs="Arial"/>
          <w:sz w:val="22"/>
          <w:szCs w:val="22"/>
        </w:rPr>
      </w:pPr>
      <w:r w:rsidRPr="361CBD8A">
        <w:rPr>
          <w:rFonts w:ascii="Arial" w:hAnsi="Arial" w:cs="Arial"/>
          <w:sz w:val="22"/>
          <w:szCs w:val="22"/>
        </w:rPr>
        <w:t>W</w:t>
      </w:r>
      <w:r w:rsidR="6002EF04" w:rsidRPr="361CBD8A">
        <w:rPr>
          <w:rFonts w:ascii="Arial" w:hAnsi="Arial" w:cs="Arial"/>
          <w:sz w:val="22"/>
          <w:szCs w:val="22"/>
        </w:rPr>
        <w:t>ell needed</w:t>
      </w:r>
      <w:r w:rsidR="5A870D22" w:rsidRPr="361CBD8A">
        <w:rPr>
          <w:rFonts w:ascii="Arial" w:hAnsi="Arial" w:cs="Arial"/>
          <w:sz w:val="22"/>
          <w:szCs w:val="22"/>
        </w:rPr>
        <w:t xml:space="preserve"> in person-centred care and partnership </w:t>
      </w:r>
      <w:r w:rsidR="6E8E4358" w:rsidRPr="361CBD8A">
        <w:rPr>
          <w:rFonts w:ascii="Arial" w:hAnsi="Arial" w:cs="Arial"/>
          <w:sz w:val="22"/>
          <w:szCs w:val="22"/>
        </w:rPr>
        <w:t xml:space="preserve">working is Ethical principles but </w:t>
      </w:r>
      <w:r w:rsidR="6002EF04" w:rsidRPr="361CBD8A">
        <w:rPr>
          <w:rFonts w:ascii="Arial" w:hAnsi="Arial" w:cs="Arial"/>
          <w:sz w:val="22"/>
          <w:szCs w:val="22"/>
        </w:rPr>
        <w:t xml:space="preserve">must be </w:t>
      </w:r>
      <w:r w:rsidR="1F6D9328" w:rsidRPr="361CBD8A">
        <w:rPr>
          <w:rFonts w:ascii="Arial" w:hAnsi="Arial" w:cs="Arial"/>
          <w:sz w:val="22"/>
          <w:szCs w:val="22"/>
        </w:rPr>
        <w:t>executed</w:t>
      </w:r>
      <w:r w:rsidR="6002EF04" w:rsidRPr="361CBD8A">
        <w:rPr>
          <w:rFonts w:ascii="Arial" w:hAnsi="Arial" w:cs="Arial"/>
          <w:sz w:val="22"/>
          <w:szCs w:val="22"/>
        </w:rPr>
        <w:t xml:space="preserve"> correctly</w:t>
      </w:r>
      <w:r w:rsidR="2DCAAE11" w:rsidRPr="361CBD8A">
        <w:rPr>
          <w:rFonts w:ascii="Arial" w:hAnsi="Arial" w:cs="Arial"/>
          <w:sz w:val="22"/>
          <w:szCs w:val="22"/>
        </w:rPr>
        <w:t xml:space="preserve">. Beauchamp and Childress (2019) identify four </w:t>
      </w:r>
      <w:r w:rsidR="7941F115" w:rsidRPr="361CBD8A">
        <w:rPr>
          <w:rFonts w:ascii="Arial" w:hAnsi="Arial" w:cs="Arial"/>
          <w:sz w:val="22"/>
          <w:szCs w:val="22"/>
        </w:rPr>
        <w:t>fundamental ethical principles that are</w:t>
      </w:r>
      <w:r w:rsidR="5451D038" w:rsidRPr="361CBD8A">
        <w:rPr>
          <w:rFonts w:ascii="Arial" w:hAnsi="Arial" w:cs="Arial"/>
          <w:sz w:val="22"/>
          <w:szCs w:val="22"/>
        </w:rPr>
        <w:t xml:space="preserve"> </w:t>
      </w:r>
      <w:r w:rsidR="2DCAAE11" w:rsidRPr="361CBD8A">
        <w:rPr>
          <w:rFonts w:ascii="Arial" w:hAnsi="Arial" w:cs="Arial"/>
          <w:sz w:val="22"/>
          <w:szCs w:val="22"/>
        </w:rPr>
        <w:t>autonomy, beneficence, non-maleficence, and justice</w:t>
      </w:r>
      <w:r w:rsidR="1A36C9E0" w:rsidRPr="361CBD8A">
        <w:rPr>
          <w:rFonts w:ascii="Arial" w:hAnsi="Arial" w:cs="Arial"/>
          <w:sz w:val="22"/>
          <w:szCs w:val="22"/>
        </w:rPr>
        <w:t xml:space="preserve">, </w:t>
      </w:r>
      <w:r w:rsidR="2DCAAE11" w:rsidRPr="361CBD8A">
        <w:rPr>
          <w:rFonts w:ascii="Arial" w:hAnsi="Arial" w:cs="Arial"/>
          <w:sz w:val="22"/>
          <w:szCs w:val="22"/>
        </w:rPr>
        <w:t xml:space="preserve">which </w:t>
      </w:r>
      <w:r w:rsidR="170887D4" w:rsidRPr="361CBD8A">
        <w:rPr>
          <w:rFonts w:ascii="Arial" w:hAnsi="Arial" w:cs="Arial"/>
          <w:sz w:val="22"/>
          <w:szCs w:val="22"/>
        </w:rPr>
        <w:t xml:space="preserve">form </w:t>
      </w:r>
      <w:r w:rsidR="2DCAAE11" w:rsidRPr="361CBD8A">
        <w:rPr>
          <w:rFonts w:ascii="Arial" w:hAnsi="Arial" w:cs="Arial"/>
          <w:sz w:val="22"/>
          <w:szCs w:val="22"/>
        </w:rPr>
        <w:t>a foundation for decision-making in health and social care</w:t>
      </w:r>
      <w:r w:rsidR="5C87E451" w:rsidRPr="361CBD8A">
        <w:rPr>
          <w:rFonts w:ascii="Arial" w:hAnsi="Arial" w:cs="Arial"/>
          <w:sz w:val="22"/>
          <w:szCs w:val="22"/>
        </w:rPr>
        <w:t xml:space="preserve"> </w:t>
      </w:r>
      <w:r w:rsidR="74F233FA" w:rsidRPr="361CBD8A">
        <w:rPr>
          <w:rFonts w:ascii="Arial" w:hAnsi="Arial" w:cs="Arial"/>
          <w:sz w:val="22"/>
          <w:szCs w:val="22"/>
        </w:rPr>
        <w:t>(</w:t>
      </w:r>
      <w:r w:rsidR="5C87E451" w:rsidRPr="361CBD8A">
        <w:rPr>
          <w:rFonts w:ascii="Arial" w:hAnsi="Arial" w:cs="Arial"/>
          <w:sz w:val="22"/>
          <w:szCs w:val="22"/>
        </w:rPr>
        <w:t>Glas, 2019</w:t>
      </w:r>
      <w:r w:rsidR="6E5BCA18" w:rsidRPr="361CBD8A">
        <w:rPr>
          <w:rFonts w:ascii="Arial" w:hAnsi="Arial" w:cs="Arial"/>
          <w:sz w:val="22"/>
          <w:szCs w:val="22"/>
        </w:rPr>
        <w:t>)</w:t>
      </w:r>
      <w:r w:rsidR="2DCAAE11" w:rsidRPr="361CBD8A">
        <w:rPr>
          <w:rFonts w:ascii="Arial" w:hAnsi="Arial" w:cs="Arial"/>
          <w:sz w:val="22"/>
          <w:szCs w:val="22"/>
        </w:rPr>
        <w:t>. In hospitals, autonomy is particularly important because it ensures patients have the right to make informed choices about their treatment. Respecting autonomy means providing clear information, obtaining consent, and acknowledging a person’s right to refuse care. Beneficence and non-maleficence require professionals to act in the patient’s best interest and avoid causing harm, while justice relates to fairness and equality in the distribution of healthcare resources</w:t>
      </w:r>
      <w:r w:rsidR="62BD2118" w:rsidRPr="361CBD8A">
        <w:rPr>
          <w:rFonts w:ascii="Arial" w:hAnsi="Arial" w:cs="Arial"/>
          <w:sz w:val="22"/>
          <w:szCs w:val="22"/>
        </w:rPr>
        <w:t xml:space="preserve"> </w:t>
      </w:r>
      <w:r w:rsidR="2B7203C3" w:rsidRPr="361CBD8A">
        <w:rPr>
          <w:rFonts w:ascii="Arial" w:hAnsi="Arial" w:cs="Arial"/>
          <w:sz w:val="22"/>
          <w:szCs w:val="22"/>
        </w:rPr>
        <w:t>(Cheraghi, Valizadeh,et al, 2023).</w:t>
      </w:r>
    </w:p>
    <w:p w14:paraId="3C2B2CC3" w14:textId="32AD4DD4" w:rsidR="2DCAAE11" w:rsidRPr="00BB0D1F" w:rsidRDefault="2DCAAE11" w:rsidP="361CBD8A">
      <w:pPr>
        <w:spacing w:before="240" w:after="240" w:line="360" w:lineRule="auto"/>
        <w:rPr>
          <w:rFonts w:ascii="Arial" w:hAnsi="Arial" w:cs="Arial"/>
          <w:sz w:val="22"/>
          <w:szCs w:val="22"/>
        </w:rPr>
      </w:pPr>
      <w:r w:rsidRPr="361CBD8A">
        <w:rPr>
          <w:rFonts w:ascii="Arial" w:hAnsi="Arial" w:cs="Arial"/>
          <w:sz w:val="22"/>
          <w:szCs w:val="22"/>
        </w:rPr>
        <w:t>These ethical principles align closely with the goals of PCC and PW. For example, promoting autonomy and beneficence reflects the essence of PCC</w:t>
      </w:r>
      <w:r w:rsidR="457C61EE" w:rsidRPr="361CBD8A">
        <w:rPr>
          <w:rFonts w:ascii="Arial" w:hAnsi="Arial" w:cs="Arial"/>
          <w:sz w:val="22"/>
          <w:szCs w:val="22"/>
        </w:rPr>
        <w:t xml:space="preserve">, </w:t>
      </w:r>
      <w:r w:rsidRPr="361CBD8A">
        <w:rPr>
          <w:rFonts w:ascii="Arial" w:hAnsi="Arial" w:cs="Arial"/>
          <w:sz w:val="22"/>
          <w:szCs w:val="22"/>
        </w:rPr>
        <w:t>supporting individuals to make choices that align with their own values and circumstances</w:t>
      </w:r>
      <w:r w:rsidR="4404C218" w:rsidRPr="361CBD8A">
        <w:rPr>
          <w:rFonts w:ascii="Arial" w:hAnsi="Arial" w:cs="Arial"/>
          <w:sz w:val="22"/>
          <w:szCs w:val="22"/>
        </w:rPr>
        <w:t xml:space="preserve"> (Burley and Arai, 2023)</w:t>
      </w:r>
      <w:r w:rsidRPr="361CBD8A">
        <w:rPr>
          <w:rFonts w:ascii="Arial" w:hAnsi="Arial" w:cs="Arial"/>
          <w:sz w:val="22"/>
          <w:szCs w:val="22"/>
        </w:rPr>
        <w:t>. In hospitals, ethical dilemmas often arise when these principles conflict. A common example involves patients who refuse life-saving treatment due to personal or religious beliefs. Healthcare professionals may struggle between respecting autonomy and fulfilling their duty of care. In such situations, partnership working can help by involving multidisciplinary teams, ethics committees, and family members in decision-making, ensuring that diverse perspectives are considered</w:t>
      </w:r>
      <w:r w:rsidR="0B5C7DB6" w:rsidRPr="361CBD8A">
        <w:rPr>
          <w:rFonts w:ascii="Arial" w:hAnsi="Arial" w:cs="Arial"/>
          <w:sz w:val="22"/>
          <w:szCs w:val="22"/>
        </w:rPr>
        <w:t xml:space="preserve"> (Burley and Arai, 2023)</w:t>
      </w:r>
      <w:r w:rsidRPr="361CBD8A">
        <w:rPr>
          <w:rFonts w:ascii="Arial" w:hAnsi="Arial" w:cs="Arial"/>
          <w:sz w:val="22"/>
          <w:szCs w:val="22"/>
        </w:rPr>
        <w:t>.</w:t>
      </w:r>
    </w:p>
    <w:p w14:paraId="52FA877D" w14:textId="6D1D81A4" w:rsidR="2DCAAE11" w:rsidRPr="00BB0D1F" w:rsidRDefault="2DCAAE11" w:rsidP="00BB0D1F">
      <w:pPr>
        <w:spacing w:before="240" w:after="240" w:line="360" w:lineRule="auto"/>
        <w:rPr>
          <w:rFonts w:ascii="Arial" w:hAnsi="Arial" w:cs="Arial"/>
          <w:sz w:val="22"/>
          <w:szCs w:val="22"/>
        </w:rPr>
      </w:pPr>
      <w:r w:rsidRPr="361CBD8A">
        <w:rPr>
          <w:rFonts w:ascii="Arial" w:hAnsi="Arial" w:cs="Arial"/>
          <w:sz w:val="22"/>
          <w:szCs w:val="22"/>
        </w:rPr>
        <w:t xml:space="preserve">Differing viewpoints within hospitals can complicate ethical decisions, but open communication and reflective practice can help resolve tensions. The NMC Code (2018) and the HCPC Standards (2023) emphasise that ethical, person-centred practice depends on empathy, transparency, and accountability. Upholding these principles in everyday hospital care ensures that patients are treated not just as </w:t>
      </w:r>
      <w:r w:rsidR="646A4B66" w:rsidRPr="361CBD8A">
        <w:rPr>
          <w:rFonts w:ascii="Arial" w:hAnsi="Arial" w:cs="Arial"/>
          <w:sz w:val="22"/>
          <w:szCs w:val="22"/>
        </w:rPr>
        <w:t>treatment recipients</w:t>
      </w:r>
      <w:r w:rsidRPr="361CBD8A">
        <w:rPr>
          <w:rFonts w:ascii="Arial" w:hAnsi="Arial" w:cs="Arial"/>
          <w:sz w:val="22"/>
          <w:szCs w:val="22"/>
        </w:rPr>
        <w:t xml:space="preserve"> but as partners with rights, values, and individuality.</w:t>
      </w:r>
    </w:p>
    <w:p w14:paraId="6D913FAB" w14:textId="79F56F27" w:rsidR="2DCAAE11" w:rsidRPr="00BB0D1F" w:rsidRDefault="2DCAAE11" w:rsidP="00BB0D1F">
      <w:pPr>
        <w:pStyle w:val="Heading2"/>
        <w:spacing w:before="299" w:after="299" w:line="360" w:lineRule="auto"/>
        <w:rPr>
          <w:rFonts w:ascii="Arial" w:eastAsiaTheme="minorEastAsia" w:hAnsi="Arial" w:cs="Arial"/>
          <w:b/>
          <w:bCs/>
          <w:color w:val="auto"/>
          <w:sz w:val="22"/>
          <w:szCs w:val="22"/>
        </w:rPr>
      </w:pPr>
      <w:bookmarkStart w:id="5" w:name="_Toc1118314394"/>
      <w:r w:rsidRPr="00BB0D1F">
        <w:rPr>
          <w:rFonts w:ascii="Arial" w:eastAsiaTheme="minorEastAsia" w:hAnsi="Arial" w:cs="Arial"/>
          <w:b/>
          <w:bCs/>
          <w:color w:val="auto"/>
          <w:sz w:val="22"/>
          <w:szCs w:val="22"/>
        </w:rPr>
        <w:t>Evaluation of Partnership Working in Health and Social Care</w:t>
      </w:r>
      <w:bookmarkEnd w:id="5"/>
    </w:p>
    <w:p w14:paraId="30F9DF45" w14:textId="607854E1" w:rsidR="2DCAAE11" w:rsidRPr="00BB0D1F" w:rsidRDefault="69B74EC2" w:rsidP="00BB0D1F">
      <w:pPr>
        <w:spacing w:before="240" w:after="240" w:line="360" w:lineRule="auto"/>
        <w:rPr>
          <w:rFonts w:ascii="Arial" w:hAnsi="Arial" w:cs="Arial"/>
          <w:sz w:val="22"/>
          <w:szCs w:val="22"/>
        </w:rPr>
      </w:pPr>
      <w:r w:rsidRPr="361CBD8A">
        <w:rPr>
          <w:rFonts w:ascii="Arial" w:hAnsi="Arial" w:cs="Arial"/>
          <w:sz w:val="22"/>
          <w:szCs w:val="22"/>
        </w:rPr>
        <w:t xml:space="preserve">Partnership working is the process by which professionals, organisations, and service users collaborate planning and delivering care that meets shared goals. </w:t>
      </w:r>
      <w:r w:rsidR="2DCAAE11" w:rsidRPr="361CBD8A">
        <w:rPr>
          <w:rFonts w:ascii="Arial" w:hAnsi="Arial" w:cs="Arial"/>
          <w:sz w:val="22"/>
          <w:szCs w:val="22"/>
        </w:rPr>
        <w:t xml:space="preserve">The Department of Health (2009) describes partnership working as a collaborative approach built on mutual trust, respect, and shared responsibility. In hospitals, partnership working involves coordination between doctors, nurses, social workers, physiotherapists, and external agencies to provide </w:t>
      </w:r>
      <w:r w:rsidR="3AA382F0" w:rsidRPr="361CBD8A">
        <w:rPr>
          <w:rFonts w:ascii="Arial" w:hAnsi="Arial" w:cs="Arial"/>
          <w:sz w:val="22"/>
          <w:szCs w:val="22"/>
        </w:rPr>
        <w:t xml:space="preserve">smooth </w:t>
      </w:r>
      <w:r w:rsidR="2DCAAE11" w:rsidRPr="361CBD8A">
        <w:rPr>
          <w:rFonts w:ascii="Arial" w:hAnsi="Arial" w:cs="Arial"/>
          <w:sz w:val="22"/>
          <w:szCs w:val="22"/>
        </w:rPr>
        <w:t>care transitions between hospital and community settings</w:t>
      </w:r>
      <w:r w:rsidR="1B37B08E" w:rsidRPr="361CBD8A">
        <w:rPr>
          <w:rFonts w:ascii="Arial" w:hAnsi="Arial" w:cs="Arial"/>
          <w:sz w:val="22"/>
          <w:szCs w:val="22"/>
        </w:rPr>
        <w:t xml:space="preserve"> (Asadi-Lari, Packham and Gray, 2003)</w:t>
      </w:r>
      <w:r w:rsidR="2DCAAE11" w:rsidRPr="361CBD8A">
        <w:rPr>
          <w:rFonts w:ascii="Arial" w:hAnsi="Arial" w:cs="Arial"/>
          <w:sz w:val="22"/>
          <w:szCs w:val="22"/>
        </w:rPr>
        <w:t>.</w:t>
      </w:r>
    </w:p>
    <w:p w14:paraId="5B9AE7AC" w14:textId="47C20E48" w:rsidR="4402FD2E" w:rsidRPr="00BB0D1F" w:rsidRDefault="4402FD2E" w:rsidP="00BB0D1F">
      <w:pPr>
        <w:spacing w:before="240" w:after="240" w:line="360" w:lineRule="auto"/>
        <w:rPr>
          <w:rFonts w:ascii="Arial" w:hAnsi="Arial" w:cs="Arial"/>
          <w:sz w:val="22"/>
          <w:szCs w:val="22"/>
        </w:rPr>
      </w:pPr>
      <w:r w:rsidRPr="361CBD8A">
        <w:rPr>
          <w:rFonts w:ascii="Arial" w:hAnsi="Arial" w:cs="Arial"/>
          <w:sz w:val="22"/>
          <w:szCs w:val="22"/>
        </w:rPr>
        <w:t>The benefits of partnership working in hospitals are significant</w:t>
      </w:r>
      <w:r w:rsidR="742A2D94" w:rsidRPr="361CBD8A">
        <w:rPr>
          <w:rFonts w:ascii="Arial" w:hAnsi="Arial" w:cs="Arial"/>
          <w:sz w:val="22"/>
          <w:szCs w:val="22"/>
        </w:rPr>
        <w:t xml:space="preserve"> because </w:t>
      </w:r>
      <w:r w:rsidRPr="361CBD8A">
        <w:rPr>
          <w:rFonts w:ascii="Arial" w:hAnsi="Arial" w:cs="Arial"/>
          <w:sz w:val="22"/>
          <w:szCs w:val="22"/>
        </w:rPr>
        <w:t>helps improve communication between teams, avoids duplication of services, and ensures patients get smoother, more coordinated care (NHS England, 2022</w:t>
      </w:r>
      <w:r w:rsidR="36C9496E" w:rsidRPr="361CBD8A">
        <w:rPr>
          <w:rFonts w:ascii="Arial" w:hAnsi="Arial" w:cs="Arial"/>
          <w:sz w:val="22"/>
          <w:szCs w:val="22"/>
        </w:rPr>
        <w:t>)</w:t>
      </w:r>
      <w:r w:rsidRPr="361CBD8A">
        <w:rPr>
          <w:rFonts w:ascii="Arial" w:hAnsi="Arial" w:cs="Arial"/>
          <w:sz w:val="22"/>
          <w:szCs w:val="22"/>
        </w:rPr>
        <w:t>. When medical, psychological, and social support are joined up, patients tend to have better outcomes and are generally more satisfied with their experience</w:t>
      </w:r>
      <w:r w:rsidR="3245E2E5" w:rsidRPr="361CBD8A">
        <w:rPr>
          <w:rFonts w:ascii="Arial" w:hAnsi="Arial" w:cs="Arial"/>
          <w:sz w:val="22"/>
          <w:szCs w:val="22"/>
        </w:rPr>
        <w:t xml:space="preserve"> (Rycroft-Malone, Burton et al, 2016)</w:t>
      </w:r>
      <w:r w:rsidRPr="361CBD8A">
        <w:rPr>
          <w:rFonts w:ascii="Arial" w:hAnsi="Arial" w:cs="Arial"/>
          <w:sz w:val="22"/>
          <w:szCs w:val="22"/>
        </w:rPr>
        <w:t xml:space="preserve">. </w:t>
      </w:r>
      <w:r w:rsidR="0F1D1C83" w:rsidRPr="361CBD8A">
        <w:rPr>
          <w:rFonts w:ascii="Arial" w:hAnsi="Arial" w:cs="Arial"/>
          <w:sz w:val="22"/>
          <w:szCs w:val="22"/>
        </w:rPr>
        <w:t xml:space="preserve">Implementing </w:t>
      </w:r>
      <w:r w:rsidRPr="361CBD8A">
        <w:rPr>
          <w:rFonts w:ascii="Arial" w:hAnsi="Arial" w:cs="Arial"/>
          <w:sz w:val="22"/>
          <w:szCs w:val="22"/>
        </w:rPr>
        <w:t xml:space="preserve">Integrated Care Systems (ICSs) in the UK is a step toward this kind of collaboration. ICSs are designed to connect hospitals with primary care, community health, and social services so that care feels more seamless for patients. </w:t>
      </w:r>
      <w:r w:rsidR="4F0BB28A" w:rsidRPr="361CBD8A">
        <w:rPr>
          <w:rFonts w:ascii="Arial" w:hAnsi="Arial" w:cs="Arial"/>
          <w:sz w:val="22"/>
          <w:szCs w:val="22"/>
        </w:rPr>
        <w:t>ICSs are designed to improve population health and reduce inequalities by encouraging joint decision-making and resource sharing</w:t>
      </w:r>
      <w:r w:rsidRPr="361CBD8A">
        <w:rPr>
          <w:rFonts w:ascii="Arial" w:hAnsi="Arial" w:cs="Arial"/>
          <w:sz w:val="22"/>
          <w:szCs w:val="22"/>
        </w:rPr>
        <w:t xml:space="preserve"> (Ham, 2021)</w:t>
      </w:r>
      <w:r w:rsidR="5A325925" w:rsidRPr="361CBD8A">
        <w:rPr>
          <w:rFonts w:ascii="Arial" w:hAnsi="Arial" w:cs="Arial"/>
          <w:sz w:val="22"/>
          <w:szCs w:val="22"/>
        </w:rPr>
        <w:t>.</w:t>
      </w:r>
    </w:p>
    <w:p w14:paraId="351B306F" w14:textId="319583C3" w:rsidR="5A325925" w:rsidRPr="00BB0D1F" w:rsidRDefault="5A325925" w:rsidP="00BB0D1F">
      <w:pPr>
        <w:spacing w:before="240" w:after="240" w:line="360" w:lineRule="auto"/>
        <w:rPr>
          <w:rFonts w:ascii="Arial" w:hAnsi="Arial" w:cs="Arial"/>
          <w:sz w:val="22"/>
          <w:szCs w:val="22"/>
        </w:rPr>
      </w:pPr>
      <w:r w:rsidRPr="00BB0D1F">
        <w:rPr>
          <w:rFonts w:ascii="Arial" w:hAnsi="Arial" w:cs="Arial"/>
          <w:sz w:val="22"/>
          <w:szCs w:val="22"/>
        </w:rPr>
        <w:t>Nevertheless, partnership working also faces challenges.</w:t>
      </w:r>
      <w:r w:rsidR="4402FD2E" w:rsidRPr="00BB0D1F">
        <w:rPr>
          <w:rFonts w:ascii="Arial" w:hAnsi="Arial" w:cs="Arial"/>
          <w:sz w:val="22"/>
          <w:szCs w:val="22"/>
        </w:rPr>
        <w:t xml:space="preserve"> Hospitals often have </w:t>
      </w:r>
      <w:r w:rsidR="05525153" w:rsidRPr="00BB0D1F">
        <w:rPr>
          <w:rFonts w:ascii="Arial" w:hAnsi="Arial" w:cs="Arial"/>
          <w:sz w:val="22"/>
          <w:szCs w:val="22"/>
        </w:rPr>
        <w:t>rigid</w:t>
      </w:r>
      <w:r w:rsidR="4402FD2E" w:rsidRPr="00BB0D1F">
        <w:rPr>
          <w:rFonts w:ascii="Arial" w:hAnsi="Arial" w:cs="Arial"/>
          <w:sz w:val="22"/>
          <w:szCs w:val="22"/>
        </w:rPr>
        <w:t xml:space="preserve"> hierarchies, which can make collaboration tricky (Ferlie &amp; Shortell, 2001). </w:t>
      </w:r>
      <w:r w:rsidR="3ECFDB44" w:rsidRPr="00BB0D1F">
        <w:rPr>
          <w:rFonts w:ascii="Arial" w:hAnsi="Arial" w:cs="Arial"/>
          <w:sz w:val="22"/>
          <w:szCs w:val="22"/>
        </w:rPr>
        <w:t>Since</w:t>
      </w:r>
      <w:r w:rsidR="3FED14D4" w:rsidRPr="00BB0D1F">
        <w:rPr>
          <w:rFonts w:ascii="Arial" w:hAnsi="Arial" w:cs="Arial"/>
          <w:sz w:val="22"/>
          <w:szCs w:val="22"/>
        </w:rPr>
        <w:t>, c</w:t>
      </w:r>
      <w:r w:rsidR="4402FD2E" w:rsidRPr="00BB0D1F">
        <w:rPr>
          <w:rFonts w:ascii="Arial" w:hAnsi="Arial" w:cs="Arial"/>
          <w:sz w:val="22"/>
          <w:szCs w:val="22"/>
        </w:rPr>
        <w:t>ommunication breakdowns between departments can lead to gaps in care, and differences in organisational culture, funding, and professional priorities can slow down progress (Hudson, Hardy, Henwood &amp; Wistow, 1999). A common example is delayed hospital discharge</w:t>
      </w:r>
      <w:r w:rsidR="081B0ABA" w:rsidRPr="00BB0D1F">
        <w:rPr>
          <w:rFonts w:ascii="Arial" w:hAnsi="Arial" w:cs="Arial"/>
          <w:sz w:val="22"/>
          <w:szCs w:val="22"/>
        </w:rPr>
        <w:t xml:space="preserve">, </w:t>
      </w:r>
      <w:r w:rsidR="4402FD2E" w:rsidRPr="00BB0D1F">
        <w:rPr>
          <w:rFonts w:ascii="Arial" w:hAnsi="Arial" w:cs="Arial"/>
          <w:sz w:val="22"/>
          <w:szCs w:val="22"/>
        </w:rPr>
        <w:t>something that often happens when hospital and community teams aren’t fully aligned. Even with these challenges, when partnership working is backed by strong leadership, open communication, and shared goals, it can really boost both efficiency and patient experience in hospital settings (Curry &amp; Ham, 2010</w:t>
      </w:r>
      <w:r w:rsidR="1EFE7C25" w:rsidRPr="00BB0D1F">
        <w:rPr>
          <w:rFonts w:ascii="Arial" w:hAnsi="Arial" w:cs="Arial"/>
          <w:sz w:val="22"/>
          <w:szCs w:val="22"/>
        </w:rPr>
        <w:t>)</w:t>
      </w:r>
      <w:r w:rsidR="4402FD2E" w:rsidRPr="00BB0D1F">
        <w:rPr>
          <w:rFonts w:ascii="Arial" w:hAnsi="Arial" w:cs="Arial"/>
          <w:sz w:val="22"/>
          <w:szCs w:val="22"/>
        </w:rPr>
        <w:t>.</w:t>
      </w:r>
    </w:p>
    <w:p w14:paraId="03921F2F" w14:textId="78F762B9" w:rsidR="2DCAAE11" w:rsidRPr="00BB0D1F" w:rsidRDefault="2DCAAE11" w:rsidP="00BB0D1F">
      <w:pPr>
        <w:pStyle w:val="Heading2"/>
        <w:spacing w:before="299" w:after="299" w:line="360" w:lineRule="auto"/>
        <w:rPr>
          <w:rFonts w:ascii="Arial" w:eastAsiaTheme="minorEastAsia" w:hAnsi="Arial" w:cs="Arial"/>
          <w:b/>
          <w:bCs/>
          <w:color w:val="auto"/>
          <w:sz w:val="22"/>
          <w:szCs w:val="22"/>
        </w:rPr>
      </w:pPr>
      <w:bookmarkStart w:id="6" w:name="_Toc347512810"/>
      <w:r w:rsidRPr="00BB0D1F">
        <w:rPr>
          <w:rFonts w:ascii="Arial" w:eastAsiaTheme="minorEastAsia" w:hAnsi="Arial" w:cs="Arial"/>
          <w:b/>
          <w:bCs/>
          <w:color w:val="auto"/>
          <w:sz w:val="22"/>
          <w:szCs w:val="22"/>
        </w:rPr>
        <w:t>Policy and Legislation</w:t>
      </w:r>
      <w:bookmarkEnd w:id="6"/>
    </w:p>
    <w:p w14:paraId="30306D49" w14:textId="08BCF365" w:rsidR="2DCAAE11" w:rsidRPr="00BB0D1F" w:rsidRDefault="2DCAAE11" w:rsidP="00BB0D1F">
      <w:pPr>
        <w:spacing w:before="240" w:after="240" w:line="360" w:lineRule="auto"/>
        <w:rPr>
          <w:rFonts w:ascii="Arial" w:hAnsi="Arial" w:cs="Arial"/>
          <w:sz w:val="22"/>
          <w:szCs w:val="22"/>
        </w:rPr>
      </w:pPr>
      <w:r w:rsidRPr="361CBD8A">
        <w:rPr>
          <w:rFonts w:ascii="Arial" w:hAnsi="Arial" w:cs="Arial"/>
          <w:sz w:val="22"/>
          <w:szCs w:val="22"/>
        </w:rPr>
        <w:t xml:space="preserve">UK health and social care policy provides a comprehensive framework supporting both PCC and PW. The Health and Social Care Act (2012) and </w:t>
      </w:r>
      <w:r w:rsidR="0374D4F6" w:rsidRPr="361CBD8A">
        <w:rPr>
          <w:rFonts w:ascii="Arial" w:hAnsi="Arial" w:cs="Arial"/>
          <w:sz w:val="22"/>
          <w:szCs w:val="22"/>
        </w:rPr>
        <w:t xml:space="preserve">the </w:t>
      </w:r>
      <w:r w:rsidRPr="361CBD8A">
        <w:rPr>
          <w:rFonts w:ascii="Arial" w:hAnsi="Arial" w:cs="Arial"/>
          <w:sz w:val="22"/>
          <w:szCs w:val="22"/>
        </w:rPr>
        <w:t>recent</w:t>
      </w:r>
      <w:r w:rsidR="30436C55" w:rsidRPr="361CBD8A">
        <w:rPr>
          <w:rFonts w:ascii="Arial" w:hAnsi="Arial" w:cs="Arial"/>
          <w:sz w:val="22"/>
          <w:szCs w:val="22"/>
        </w:rPr>
        <w:t xml:space="preserve">ly </w:t>
      </w:r>
      <w:r w:rsidR="4E2DC449" w:rsidRPr="361CBD8A">
        <w:rPr>
          <w:rFonts w:ascii="Arial" w:hAnsi="Arial" w:cs="Arial"/>
          <w:sz w:val="22"/>
          <w:szCs w:val="22"/>
        </w:rPr>
        <w:t>reviewed Health</w:t>
      </w:r>
      <w:r w:rsidRPr="361CBD8A">
        <w:rPr>
          <w:rFonts w:ascii="Arial" w:hAnsi="Arial" w:cs="Arial"/>
          <w:sz w:val="22"/>
          <w:szCs w:val="22"/>
        </w:rPr>
        <w:t xml:space="preserve"> and Care Act (2022) emphasise the need for integrated services and patient-centred decision-making. The Care Act (2014) places the wellbeing of individuals at the core of social care law, making personalisation a legal duty. The Equality Act (2010) ensures that services are delivered fairly, without discrimination based on protected characteristics such as age, disability, or race. The Human Rights Act (1998) further protects individuals’ rights to dignity, respect, and autonomy in healthcare.</w:t>
      </w:r>
    </w:p>
    <w:p w14:paraId="360E00EF" w14:textId="51FB2FDC" w:rsidR="2DCAAE11" w:rsidRPr="00BB0D1F" w:rsidRDefault="2DCAAE11" w:rsidP="00BB0D1F">
      <w:pPr>
        <w:spacing w:before="240" w:after="240" w:line="360" w:lineRule="auto"/>
        <w:rPr>
          <w:rFonts w:ascii="Arial" w:hAnsi="Arial" w:cs="Arial"/>
          <w:sz w:val="22"/>
          <w:szCs w:val="22"/>
        </w:rPr>
      </w:pPr>
      <w:r w:rsidRPr="361CBD8A">
        <w:rPr>
          <w:rFonts w:ascii="Arial" w:hAnsi="Arial" w:cs="Arial"/>
          <w:sz w:val="22"/>
          <w:szCs w:val="22"/>
        </w:rPr>
        <w:t>In hospitals, these laws and policies influence everyday practice. For instance, the Equality Act guides staff to provide accessible services for patients with disabilities, while the Care Act promotes collaboration between hospital discharge teams and community care providers.</w:t>
      </w:r>
      <w:r w:rsidR="63B603FC" w:rsidRPr="361CBD8A">
        <w:rPr>
          <w:rFonts w:ascii="Arial" w:hAnsi="Arial" w:cs="Arial"/>
          <w:sz w:val="22"/>
          <w:szCs w:val="22"/>
        </w:rPr>
        <w:t xml:space="preserve"> The importance of Integrated Care Systems is reinforced by the Health and Care Act (2022), which mandates that hospitals collaborate with other neighbourhood organisations to deliver coordinated care</w:t>
      </w:r>
      <w:r w:rsidRPr="361CBD8A">
        <w:rPr>
          <w:rFonts w:ascii="Arial" w:hAnsi="Arial" w:cs="Arial"/>
          <w:sz w:val="22"/>
          <w:szCs w:val="22"/>
        </w:rPr>
        <w:t>. However, implementing these policies can be challenging due to financial pressures and staffing shortages. Even with strong legislative support, hospitals may struggle to meet the expectations of fully person-centred and integrated care without adequate resources.</w:t>
      </w:r>
    </w:p>
    <w:p w14:paraId="0D1D7F21" w14:textId="3CC87AF1" w:rsidR="2DCAAE11" w:rsidRPr="00BB0D1F" w:rsidRDefault="2DCAAE11" w:rsidP="00BB0D1F">
      <w:pPr>
        <w:pStyle w:val="Heading2"/>
        <w:spacing w:before="299" w:after="299" w:line="360" w:lineRule="auto"/>
        <w:rPr>
          <w:rFonts w:ascii="Arial" w:eastAsiaTheme="minorEastAsia" w:hAnsi="Arial" w:cs="Arial"/>
          <w:b/>
          <w:bCs/>
          <w:color w:val="auto"/>
          <w:sz w:val="22"/>
          <w:szCs w:val="22"/>
        </w:rPr>
      </w:pPr>
      <w:bookmarkStart w:id="7" w:name="_Toc2126896305"/>
      <w:r w:rsidRPr="00BB0D1F">
        <w:rPr>
          <w:rFonts w:ascii="Arial" w:eastAsiaTheme="minorEastAsia" w:hAnsi="Arial" w:cs="Arial"/>
          <w:b/>
          <w:bCs/>
          <w:color w:val="auto"/>
          <w:sz w:val="22"/>
          <w:szCs w:val="22"/>
        </w:rPr>
        <w:t>Recommendations</w:t>
      </w:r>
      <w:r w:rsidR="7E5FE159" w:rsidRPr="00BB0D1F">
        <w:rPr>
          <w:rFonts w:ascii="Arial" w:eastAsiaTheme="minorEastAsia" w:hAnsi="Arial" w:cs="Arial"/>
          <w:b/>
          <w:bCs/>
          <w:color w:val="auto"/>
          <w:sz w:val="22"/>
          <w:szCs w:val="22"/>
        </w:rPr>
        <w:t xml:space="preserve"> </w:t>
      </w:r>
      <w:bookmarkEnd w:id="7"/>
    </w:p>
    <w:p w14:paraId="03BE5793" w14:textId="0D96EA09" w:rsidR="0DFFBFF5" w:rsidRPr="00BB0D1F" w:rsidRDefault="0DFFBFF5" w:rsidP="00BB0D1F">
      <w:pPr>
        <w:spacing w:before="240" w:after="240" w:line="360" w:lineRule="auto"/>
        <w:rPr>
          <w:rFonts w:ascii="Arial" w:hAnsi="Arial" w:cs="Arial"/>
          <w:sz w:val="22"/>
          <w:szCs w:val="22"/>
        </w:rPr>
      </w:pPr>
      <w:r w:rsidRPr="00BB0D1F">
        <w:rPr>
          <w:rFonts w:ascii="Arial" w:hAnsi="Arial" w:cs="Arial"/>
          <w:sz w:val="22"/>
          <w:szCs w:val="22"/>
        </w:rPr>
        <w:t xml:space="preserve">While hospitals in the UK have made progress in delivering person-centred and collaborative care, targeted improvements in workforce training remain essential. Evidence shows that training programmes focused on communication, empathy, and shared decision-making significantly improve patient experience and sustain person-centred interactions, even under high-pressure conditions (BMC Medical Education, 2019). </w:t>
      </w:r>
    </w:p>
    <w:p w14:paraId="26C4DC39" w14:textId="0E9B9664" w:rsidR="2646A272" w:rsidRPr="00BB0D1F" w:rsidRDefault="2646A272" w:rsidP="00BB0D1F">
      <w:pPr>
        <w:spacing w:before="240" w:after="240" w:line="360" w:lineRule="auto"/>
        <w:rPr>
          <w:rFonts w:ascii="Arial" w:hAnsi="Arial" w:cs="Arial"/>
          <w:sz w:val="22"/>
          <w:szCs w:val="22"/>
        </w:rPr>
      </w:pPr>
      <w:r w:rsidRPr="00BB0D1F">
        <w:rPr>
          <w:rFonts w:ascii="Arial" w:hAnsi="Arial" w:cs="Arial"/>
          <w:sz w:val="22"/>
          <w:szCs w:val="22"/>
        </w:rPr>
        <w:t xml:space="preserve">This can be achieved by embedding regular reflective practice, such as structured feedback or peer review, which strengthens staff skills and promotes ethical care. </w:t>
      </w:r>
      <w:r w:rsidR="1DC19F65" w:rsidRPr="00BB0D1F">
        <w:rPr>
          <w:rFonts w:ascii="Arial" w:hAnsi="Arial" w:cs="Arial"/>
          <w:sz w:val="22"/>
          <w:szCs w:val="22"/>
        </w:rPr>
        <w:t xml:space="preserve">Mann, </w:t>
      </w:r>
      <w:r w:rsidR="0020EFDE" w:rsidRPr="00BB0D1F">
        <w:rPr>
          <w:rFonts w:ascii="Arial" w:hAnsi="Arial" w:cs="Arial"/>
          <w:sz w:val="22"/>
          <w:szCs w:val="22"/>
        </w:rPr>
        <w:t xml:space="preserve">Gordon and MacLeod, (2009) </w:t>
      </w:r>
      <w:r w:rsidRPr="00BB0D1F">
        <w:rPr>
          <w:rFonts w:ascii="Arial" w:hAnsi="Arial" w:cs="Arial"/>
          <w:sz w:val="22"/>
          <w:szCs w:val="22"/>
        </w:rPr>
        <w:t xml:space="preserve">shows that reflective practice improves empathy, communication, and ethical decision-making among healthcare professionals, enabling staff to respond more effectively to patient needs. For example, </w:t>
      </w:r>
      <w:r w:rsidR="3F2062A3" w:rsidRPr="00BB0D1F">
        <w:rPr>
          <w:rFonts w:ascii="Arial" w:hAnsi="Arial" w:cs="Arial"/>
          <w:sz w:val="22"/>
          <w:szCs w:val="22"/>
        </w:rPr>
        <w:t xml:space="preserve">a study of nursing undergraduates found that reflective practice </w:t>
      </w:r>
      <w:r w:rsidR="7E6C1E35" w:rsidRPr="00BB0D1F">
        <w:rPr>
          <w:rFonts w:ascii="Arial" w:hAnsi="Arial" w:cs="Arial"/>
          <w:sz w:val="22"/>
          <w:szCs w:val="22"/>
        </w:rPr>
        <w:t xml:space="preserve">enables </w:t>
      </w:r>
      <w:r w:rsidR="3F2062A3" w:rsidRPr="00BB0D1F">
        <w:rPr>
          <w:rFonts w:ascii="Arial" w:hAnsi="Arial" w:cs="Arial"/>
          <w:sz w:val="22"/>
          <w:szCs w:val="22"/>
        </w:rPr>
        <w:t>the ability to “think in another person’s shoes,” supporting more compassionate, patient</w:t>
      </w:r>
      <w:r w:rsidR="3F2062A3" w:rsidRPr="00BB0D1F">
        <w:rPr>
          <w:rFonts w:ascii="Cambria Math" w:hAnsi="Cambria Math" w:cs="Cambria Math"/>
          <w:sz w:val="22"/>
          <w:szCs w:val="22"/>
        </w:rPr>
        <w:t>‑</w:t>
      </w:r>
      <w:r w:rsidR="3F2062A3" w:rsidRPr="00BB0D1F">
        <w:rPr>
          <w:rFonts w:ascii="Arial" w:hAnsi="Arial" w:cs="Arial"/>
          <w:sz w:val="22"/>
          <w:szCs w:val="22"/>
        </w:rPr>
        <w:t>centred care</w:t>
      </w:r>
      <w:r w:rsidR="41BBAE5D" w:rsidRPr="00BB0D1F">
        <w:rPr>
          <w:rFonts w:ascii="Arial" w:hAnsi="Arial" w:cs="Arial"/>
          <w:sz w:val="22"/>
          <w:szCs w:val="22"/>
        </w:rPr>
        <w:t>,</w:t>
      </w:r>
      <w:r w:rsidR="46840BE3" w:rsidRPr="00BB0D1F">
        <w:rPr>
          <w:rFonts w:ascii="Arial" w:hAnsi="Arial" w:cs="Arial"/>
          <w:sz w:val="22"/>
          <w:szCs w:val="22"/>
        </w:rPr>
        <w:t xml:space="preserve"> </w:t>
      </w:r>
      <w:r w:rsidR="46840BE3" w:rsidRPr="00BB0D1F">
        <w:rPr>
          <w:rFonts w:ascii="Arial" w:eastAsia="Arial" w:hAnsi="Arial" w:cs="Arial"/>
          <w:sz w:val="22"/>
          <w:szCs w:val="22"/>
        </w:rPr>
        <w:t>suggest</w:t>
      </w:r>
      <w:r w:rsidR="5AF74D18" w:rsidRPr="00BB0D1F">
        <w:rPr>
          <w:rFonts w:ascii="Arial" w:eastAsia="Arial" w:hAnsi="Arial" w:cs="Arial"/>
          <w:sz w:val="22"/>
          <w:szCs w:val="22"/>
        </w:rPr>
        <w:t xml:space="preserve">ing </w:t>
      </w:r>
      <w:r w:rsidR="46840BE3" w:rsidRPr="00BB0D1F">
        <w:rPr>
          <w:rFonts w:ascii="Arial" w:eastAsia="Arial" w:hAnsi="Arial" w:cs="Arial"/>
          <w:sz w:val="22"/>
          <w:szCs w:val="22"/>
        </w:rPr>
        <w:t>that reflective practice helps develop moral reasoning</w:t>
      </w:r>
      <w:r w:rsidR="63E7FD38" w:rsidRPr="00BB0D1F">
        <w:rPr>
          <w:rFonts w:ascii="Arial" w:eastAsia="Arial" w:hAnsi="Arial" w:cs="Arial"/>
          <w:sz w:val="22"/>
          <w:szCs w:val="22"/>
        </w:rPr>
        <w:t xml:space="preserve"> </w:t>
      </w:r>
      <w:r w:rsidR="63E7FD38" w:rsidRPr="00BB0D1F">
        <w:rPr>
          <w:rFonts w:ascii="Arial" w:hAnsi="Arial" w:cs="Arial"/>
          <w:sz w:val="22"/>
          <w:szCs w:val="22"/>
        </w:rPr>
        <w:t xml:space="preserve">(Yang and Zou, 2025). </w:t>
      </w:r>
    </w:p>
    <w:p w14:paraId="39625155" w14:textId="65A8B4A7" w:rsidR="2E819649" w:rsidRPr="00BB0D1F" w:rsidRDefault="2E819649" w:rsidP="00BB0D1F">
      <w:pPr>
        <w:spacing w:before="240" w:after="240" w:line="360" w:lineRule="auto"/>
        <w:rPr>
          <w:rFonts w:ascii="Arial" w:eastAsia="Arial" w:hAnsi="Arial" w:cs="Arial"/>
          <w:sz w:val="22"/>
          <w:szCs w:val="22"/>
        </w:rPr>
      </w:pPr>
      <w:r w:rsidRPr="0B2ED8DD">
        <w:rPr>
          <w:rFonts w:ascii="Arial" w:hAnsi="Arial" w:cs="Arial"/>
          <w:sz w:val="22"/>
          <w:szCs w:val="22"/>
        </w:rPr>
        <w:t>A</w:t>
      </w:r>
      <w:r w:rsidR="2646A272" w:rsidRPr="0B2ED8DD">
        <w:rPr>
          <w:rFonts w:ascii="Arial" w:hAnsi="Arial" w:cs="Arial"/>
          <w:sz w:val="22"/>
          <w:szCs w:val="22"/>
        </w:rPr>
        <w:t>ddition</w:t>
      </w:r>
      <w:r w:rsidR="52B8C30E" w:rsidRPr="0B2ED8DD">
        <w:rPr>
          <w:rFonts w:ascii="Arial" w:hAnsi="Arial" w:cs="Arial"/>
          <w:sz w:val="22"/>
          <w:szCs w:val="22"/>
        </w:rPr>
        <w:t>ally</w:t>
      </w:r>
      <w:r w:rsidR="2646A272" w:rsidRPr="0B2ED8DD">
        <w:rPr>
          <w:rFonts w:ascii="Arial" w:hAnsi="Arial" w:cs="Arial"/>
          <w:sz w:val="22"/>
          <w:szCs w:val="22"/>
        </w:rPr>
        <w:t xml:space="preserve">, </w:t>
      </w:r>
      <w:r w:rsidR="6ED7BBDA" w:rsidRPr="0B2ED8DD">
        <w:rPr>
          <w:rFonts w:ascii="Arial" w:hAnsi="Arial" w:cs="Arial"/>
          <w:sz w:val="22"/>
          <w:szCs w:val="22"/>
        </w:rPr>
        <w:t xml:space="preserve">investing in </w:t>
      </w:r>
      <w:r w:rsidR="2646A272" w:rsidRPr="0B2ED8DD">
        <w:rPr>
          <w:rFonts w:ascii="Arial" w:hAnsi="Arial" w:cs="Arial"/>
          <w:sz w:val="22"/>
          <w:szCs w:val="22"/>
        </w:rPr>
        <w:t xml:space="preserve">digital tools </w:t>
      </w:r>
      <w:r w:rsidR="54C2CBB4" w:rsidRPr="0B2ED8DD">
        <w:rPr>
          <w:rFonts w:ascii="Arial" w:hAnsi="Arial" w:cs="Arial"/>
          <w:sz w:val="22"/>
          <w:szCs w:val="22"/>
        </w:rPr>
        <w:t>like</w:t>
      </w:r>
      <w:r w:rsidR="2646A272" w:rsidRPr="0B2ED8DD">
        <w:rPr>
          <w:rFonts w:ascii="Arial" w:hAnsi="Arial" w:cs="Arial"/>
          <w:sz w:val="22"/>
          <w:szCs w:val="22"/>
        </w:rPr>
        <w:t xml:space="preserve"> shared electronic health records (EHRs) improve</w:t>
      </w:r>
      <w:r w:rsidR="0CEE64F2" w:rsidRPr="0B2ED8DD">
        <w:rPr>
          <w:rFonts w:ascii="Arial" w:hAnsi="Arial" w:cs="Arial"/>
          <w:sz w:val="22"/>
          <w:szCs w:val="22"/>
        </w:rPr>
        <w:t>s</w:t>
      </w:r>
      <w:r w:rsidR="2646A272" w:rsidRPr="0B2ED8DD">
        <w:rPr>
          <w:rFonts w:ascii="Arial" w:hAnsi="Arial" w:cs="Arial"/>
          <w:sz w:val="22"/>
          <w:szCs w:val="22"/>
        </w:rPr>
        <w:t xml:space="preserve"> partnership working by enabling smoother coordination between hospital departments. </w:t>
      </w:r>
      <w:r w:rsidR="5F859C22" w:rsidRPr="0B2ED8DD">
        <w:rPr>
          <w:rFonts w:ascii="Arial" w:hAnsi="Arial" w:cs="Arial"/>
          <w:sz w:val="22"/>
          <w:szCs w:val="22"/>
        </w:rPr>
        <w:t>According to Blease et al</w:t>
      </w:r>
      <w:r w:rsidR="6D8BBD5B" w:rsidRPr="0B2ED8DD">
        <w:rPr>
          <w:rFonts w:ascii="Arial" w:hAnsi="Arial" w:cs="Arial"/>
          <w:sz w:val="22"/>
          <w:szCs w:val="22"/>
        </w:rPr>
        <w:t>,</w:t>
      </w:r>
      <w:r w:rsidR="5F859C22" w:rsidRPr="0B2ED8DD">
        <w:rPr>
          <w:rFonts w:ascii="Arial" w:hAnsi="Arial" w:cs="Arial"/>
          <w:sz w:val="22"/>
          <w:szCs w:val="22"/>
        </w:rPr>
        <w:t xml:space="preserve"> (2020) </w:t>
      </w:r>
      <w:r w:rsidR="2646A272" w:rsidRPr="0B2ED8DD">
        <w:rPr>
          <w:rFonts w:ascii="Arial" w:hAnsi="Arial" w:cs="Arial"/>
          <w:sz w:val="22"/>
          <w:szCs w:val="22"/>
        </w:rPr>
        <w:t xml:space="preserve">integrated EHRs enhance information sharing, reduce duplication of tests, and support timely, well-informed decision-making. </w:t>
      </w:r>
      <w:r w:rsidR="577CBE13" w:rsidRPr="0B2ED8DD">
        <w:rPr>
          <w:rFonts w:ascii="Arial" w:eastAsia="Arial" w:hAnsi="Arial" w:cs="Arial"/>
          <w:sz w:val="22"/>
          <w:szCs w:val="22"/>
        </w:rPr>
        <w:t>NHS England likewise highlights that shared care records give clinicians access to up-to-date information across settings, which facilitates faster clinical decisions and improves safety</w:t>
      </w:r>
      <w:r w:rsidR="465BEB4D" w:rsidRPr="0B2ED8DD">
        <w:rPr>
          <w:rFonts w:ascii="Arial" w:eastAsia="Arial" w:hAnsi="Arial" w:cs="Arial"/>
          <w:sz w:val="22"/>
          <w:szCs w:val="22"/>
        </w:rPr>
        <w:t xml:space="preserve">, </w:t>
      </w:r>
      <w:r w:rsidR="577CBE13" w:rsidRPr="0B2ED8DD">
        <w:rPr>
          <w:rFonts w:ascii="Arial" w:eastAsia="Arial" w:hAnsi="Arial" w:cs="Arial"/>
          <w:sz w:val="22"/>
          <w:szCs w:val="22"/>
        </w:rPr>
        <w:t xml:space="preserve">for example, reconciling medications on admission </w:t>
      </w:r>
      <w:r w:rsidR="13D08D62" w:rsidRPr="0B2ED8DD">
        <w:rPr>
          <w:rFonts w:ascii="Arial" w:eastAsia="Arial" w:hAnsi="Arial" w:cs="Arial"/>
          <w:sz w:val="22"/>
          <w:szCs w:val="22"/>
        </w:rPr>
        <w:t>(</w:t>
      </w:r>
      <w:r w:rsidR="577CBE13" w:rsidRPr="0B2ED8DD">
        <w:rPr>
          <w:rFonts w:ascii="Arial" w:eastAsia="Arial" w:hAnsi="Arial" w:cs="Arial"/>
          <w:sz w:val="22"/>
          <w:szCs w:val="22"/>
        </w:rPr>
        <w:t>NHS England</w:t>
      </w:r>
      <w:r w:rsidR="4522A1B5" w:rsidRPr="0B2ED8DD">
        <w:rPr>
          <w:rFonts w:ascii="Arial" w:eastAsia="Arial" w:hAnsi="Arial" w:cs="Arial"/>
          <w:sz w:val="22"/>
          <w:szCs w:val="22"/>
        </w:rPr>
        <w:t>, 2022)</w:t>
      </w:r>
      <w:r w:rsidR="6C9BD2C3" w:rsidRPr="0B2ED8DD">
        <w:rPr>
          <w:rFonts w:ascii="Arial" w:eastAsia="Arial" w:hAnsi="Arial" w:cs="Arial"/>
          <w:sz w:val="22"/>
          <w:szCs w:val="22"/>
        </w:rPr>
        <w:t xml:space="preserve">. </w:t>
      </w:r>
      <w:r w:rsidR="0F6B44A7" w:rsidRPr="0B2ED8DD">
        <w:rPr>
          <w:rFonts w:ascii="Arial" w:eastAsia="Arial" w:hAnsi="Arial" w:cs="Arial"/>
          <w:sz w:val="22"/>
          <w:szCs w:val="22"/>
        </w:rPr>
        <w:t>Also,</w:t>
      </w:r>
      <w:r w:rsidR="577CBE13" w:rsidRPr="0B2ED8DD">
        <w:rPr>
          <w:rFonts w:ascii="Arial" w:eastAsia="Arial" w:hAnsi="Arial" w:cs="Arial"/>
          <w:sz w:val="22"/>
          <w:szCs w:val="22"/>
        </w:rPr>
        <w:t xml:space="preserve"> having systems that “talk” to each other is vital</w:t>
      </w:r>
      <w:r w:rsidR="6ABD9768" w:rsidRPr="0B2ED8DD">
        <w:rPr>
          <w:rFonts w:ascii="Arial" w:eastAsia="Arial" w:hAnsi="Arial" w:cs="Arial"/>
          <w:sz w:val="22"/>
          <w:szCs w:val="22"/>
        </w:rPr>
        <w:t xml:space="preserve"> because </w:t>
      </w:r>
      <w:r w:rsidR="577CBE13" w:rsidRPr="0B2ED8DD">
        <w:rPr>
          <w:rFonts w:ascii="Arial" w:eastAsia="Arial" w:hAnsi="Arial" w:cs="Arial"/>
          <w:sz w:val="22"/>
          <w:szCs w:val="22"/>
        </w:rPr>
        <w:t xml:space="preserve">shared, linked records support integrated care and reduce risks caused by fragmented data. </w:t>
      </w:r>
    </w:p>
    <w:p w14:paraId="55C3ED4F" w14:textId="677D6630" w:rsidR="2646A272" w:rsidRPr="00BB0D1F" w:rsidRDefault="2646A272" w:rsidP="00BB0D1F">
      <w:pPr>
        <w:spacing w:before="240" w:after="240" w:line="360" w:lineRule="auto"/>
        <w:rPr>
          <w:rFonts w:ascii="Arial" w:hAnsi="Arial" w:cs="Arial"/>
          <w:sz w:val="22"/>
          <w:szCs w:val="22"/>
        </w:rPr>
      </w:pPr>
      <w:r w:rsidRPr="00BB0D1F">
        <w:rPr>
          <w:rFonts w:ascii="Arial" w:hAnsi="Arial" w:cs="Arial"/>
          <w:sz w:val="22"/>
          <w:szCs w:val="22"/>
        </w:rPr>
        <w:t xml:space="preserve">However, successful implementation depends on proper staff training and governance, as poorly managed systems can cause errors, and patient safety risks (Munyisia, Yu and Hailey, 2021). Together, reflective practice and effective digital integration provide strong evidence </w:t>
      </w:r>
      <w:r w:rsidR="1041ABF8" w:rsidRPr="00BB0D1F">
        <w:rPr>
          <w:rFonts w:ascii="Arial" w:hAnsi="Arial" w:cs="Arial"/>
          <w:sz w:val="22"/>
          <w:szCs w:val="22"/>
        </w:rPr>
        <w:t xml:space="preserve">in </w:t>
      </w:r>
      <w:r w:rsidR="08498741" w:rsidRPr="00BB0D1F">
        <w:rPr>
          <w:rFonts w:ascii="Arial" w:hAnsi="Arial" w:cs="Arial"/>
          <w:sz w:val="22"/>
          <w:szCs w:val="22"/>
        </w:rPr>
        <w:t>recommendations</w:t>
      </w:r>
      <w:r w:rsidR="1041ABF8" w:rsidRPr="00BB0D1F">
        <w:rPr>
          <w:rFonts w:ascii="Arial" w:hAnsi="Arial" w:cs="Arial"/>
          <w:sz w:val="22"/>
          <w:szCs w:val="22"/>
        </w:rPr>
        <w:t xml:space="preserve"> </w:t>
      </w:r>
      <w:r w:rsidRPr="00BB0D1F">
        <w:rPr>
          <w:rFonts w:ascii="Arial" w:hAnsi="Arial" w:cs="Arial"/>
          <w:sz w:val="22"/>
          <w:szCs w:val="22"/>
        </w:rPr>
        <w:t xml:space="preserve">that improve person-centred and </w:t>
      </w:r>
      <w:r w:rsidR="4876A53D" w:rsidRPr="00BB0D1F">
        <w:rPr>
          <w:rFonts w:ascii="Arial" w:hAnsi="Arial" w:cs="Arial"/>
          <w:sz w:val="22"/>
          <w:szCs w:val="22"/>
        </w:rPr>
        <w:t xml:space="preserve">partnered working </w:t>
      </w:r>
      <w:r w:rsidRPr="00BB0D1F">
        <w:rPr>
          <w:rFonts w:ascii="Arial" w:hAnsi="Arial" w:cs="Arial"/>
          <w:sz w:val="22"/>
          <w:szCs w:val="22"/>
        </w:rPr>
        <w:t>in hospitals.</w:t>
      </w:r>
    </w:p>
    <w:p w14:paraId="512B8D07" w14:textId="3CCE7CFE" w:rsidR="2DCAAE11" w:rsidRPr="00BB0D1F" w:rsidRDefault="2DCAAE11" w:rsidP="00BB0D1F">
      <w:pPr>
        <w:pStyle w:val="Heading2"/>
        <w:spacing w:before="299" w:after="299" w:line="360" w:lineRule="auto"/>
        <w:rPr>
          <w:rFonts w:ascii="Arial" w:eastAsiaTheme="minorEastAsia" w:hAnsi="Arial" w:cs="Arial"/>
          <w:b/>
          <w:bCs/>
          <w:color w:val="auto"/>
          <w:sz w:val="22"/>
          <w:szCs w:val="22"/>
        </w:rPr>
      </w:pPr>
      <w:bookmarkStart w:id="8" w:name="_Toc1275693467"/>
      <w:r w:rsidRPr="00BB0D1F">
        <w:rPr>
          <w:rFonts w:ascii="Arial" w:eastAsiaTheme="minorEastAsia" w:hAnsi="Arial" w:cs="Arial"/>
          <w:b/>
          <w:bCs/>
          <w:color w:val="auto"/>
          <w:sz w:val="22"/>
          <w:szCs w:val="22"/>
        </w:rPr>
        <w:t>Conclusion</w:t>
      </w:r>
      <w:bookmarkEnd w:id="8"/>
    </w:p>
    <w:p w14:paraId="36CDAAF6" w14:textId="28EB8268" w:rsidR="2DCAAE11" w:rsidRPr="00BB0D1F" w:rsidRDefault="2DCAAE11" w:rsidP="00BB0D1F">
      <w:pPr>
        <w:spacing w:before="240" w:after="240" w:line="360" w:lineRule="auto"/>
        <w:rPr>
          <w:rFonts w:ascii="Arial" w:hAnsi="Arial" w:cs="Arial"/>
          <w:sz w:val="22"/>
          <w:szCs w:val="22"/>
        </w:rPr>
      </w:pPr>
      <w:r w:rsidRPr="361CBD8A">
        <w:rPr>
          <w:rFonts w:ascii="Arial" w:hAnsi="Arial" w:cs="Arial"/>
          <w:sz w:val="22"/>
          <w:szCs w:val="22"/>
        </w:rPr>
        <w:t xml:space="preserve">In summary, </w:t>
      </w:r>
      <w:r w:rsidR="545F446B" w:rsidRPr="361CBD8A">
        <w:rPr>
          <w:rFonts w:ascii="Arial" w:hAnsi="Arial" w:cs="Arial"/>
          <w:sz w:val="22"/>
          <w:szCs w:val="22"/>
        </w:rPr>
        <w:t>Partnerships and person-</w:t>
      </w:r>
      <w:r w:rsidR="0E50C9C6" w:rsidRPr="361CBD8A">
        <w:rPr>
          <w:rFonts w:ascii="Arial" w:hAnsi="Arial" w:cs="Arial"/>
          <w:sz w:val="22"/>
          <w:szCs w:val="22"/>
        </w:rPr>
        <w:t>centred</w:t>
      </w:r>
      <w:r w:rsidR="545F446B" w:rsidRPr="361CBD8A">
        <w:rPr>
          <w:rFonts w:ascii="Arial" w:hAnsi="Arial" w:cs="Arial"/>
          <w:sz w:val="22"/>
          <w:szCs w:val="22"/>
        </w:rPr>
        <w:t xml:space="preserve"> care are crucial to modern hospital practice. To ensure that treatment is in line with patients' needs, values, and preferences, person-centred care prioritises acknowledging patients as active participants in their care.</w:t>
      </w:r>
      <w:r w:rsidRPr="361CBD8A">
        <w:rPr>
          <w:rFonts w:ascii="Arial" w:hAnsi="Arial" w:cs="Arial"/>
          <w:sz w:val="22"/>
          <w:szCs w:val="22"/>
        </w:rPr>
        <w:t xml:space="preserve"> Partnership working complements this approach by promoting collaboration among professionals, patients, and organisations to deliver coordinated and efficient services.</w:t>
      </w:r>
    </w:p>
    <w:p w14:paraId="518382F6" w14:textId="1BD0765A" w:rsidR="0C542FBB" w:rsidRPr="00BB0D1F" w:rsidRDefault="0C542FBB" w:rsidP="00BB0D1F">
      <w:pPr>
        <w:spacing w:before="240" w:after="240" w:line="360" w:lineRule="auto"/>
        <w:rPr>
          <w:rFonts w:ascii="Arial" w:hAnsi="Arial" w:cs="Arial"/>
          <w:sz w:val="22"/>
          <w:szCs w:val="22"/>
        </w:rPr>
      </w:pPr>
      <w:r w:rsidRPr="00BB0D1F">
        <w:rPr>
          <w:rFonts w:ascii="Arial" w:hAnsi="Arial" w:cs="Arial"/>
          <w:sz w:val="22"/>
          <w:szCs w:val="22"/>
        </w:rPr>
        <w:t xml:space="preserve">Theories like Bradshaw’s Taxonomy of Social Needs </w:t>
      </w:r>
      <w:r w:rsidR="2D6CCF43" w:rsidRPr="00BB0D1F">
        <w:rPr>
          <w:rFonts w:ascii="Arial" w:hAnsi="Arial" w:cs="Arial"/>
          <w:sz w:val="22"/>
          <w:szCs w:val="22"/>
        </w:rPr>
        <w:t xml:space="preserve">(1972) </w:t>
      </w:r>
      <w:r w:rsidRPr="00BB0D1F">
        <w:rPr>
          <w:rFonts w:ascii="Arial" w:hAnsi="Arial" w:cs="Arial"/>
          <w:sz w:val="22"/>
          <w:szCs w:val="22"/>
        </w:rPr>
        <w:t>remind us how important it is to balance professional knowledge with what patients actually want and need. At the same time, ethical principles such as autonomy, beneficence, and justice help guide decision-making in complex hospital settings.</w:t>
      </w:r>
    </w:p>
    <w:p w14:paraId="19950018" w14:textId="25FD5AAB" w:rsidR="0C542FBB" w:rsidRDefault="0C542FBB" w:rsidP="361CBD8A">
      <w:pPr>
        <w:spacing w:before="240" w:after="240" w:line="360" w:lineRule="auto"/>
        <w:rPr>
          <w:rFonts w:ascii="Arial" w:hAnsi="Arial" w:cs="Arial"/>
          <w:sz w:val="22"/>
          <w:szCs w:val="22"/>
        </w:rPr>
      </w:pPr>
      <w:r w:rsidRPr="361CBD8A">
        <w:rPr>
          <w:rFonts w:ascii="Arial" w:hAnsi="Arial" w:cs="Arial"/>
          <w:sz w:val="22"/>
          <w:szCs w:val="22"/>
        </w:rPr>
        <w:t>Even though UK policies and laws strongly support these ideas, putting them into practice isn’t always easy. Hospitals still face challenges like limited resources, communication gaps, and fragmented systems. Moving forward, improving staff training, investing in digital tools, and encouraging a culture of shared learning and co-production will be key to strengthening both person-centred care and partnership working</w:t>
      </w:r>
      <w:r w:rsidR="2DCAAE11" w:rsidRPr="361CBD8A">
        <w:rPr>
          <w:rFonts w:ascii="Arial" w:hAnsi="Arial" w:cs="Arial"/>
          <w:sz w:val="22"/>
          <w:szCs w:val="22"/>
        </w:rPr>
        <w:t xml:space="preserve"> in the years ahead. Ultimately, achieving these goals will ensure that hospitals continue to deliver care that is clinically effective </w:t>
      </w:r>
      <w:r w:rsidR="5851A4F2" w:rsidRPr="361CBD8A">
        <w:rPr>
          <w:rFonts w:ascii="Arial" w:hAnsi="Arial" w:cs="Arial"/>
          <w:sz w:val="22"/>
          <w:szCs w:val="22"/>
        </w:rPr>
        <w:t xml:space="preserve">and shows </w:t>
      </w:r>
      <w:r w:rsidR="2DCAAE11" w:rsidRPr="361CBD8A">
        <w:rPr>
          <w:rFonts w:ascii="Arial" w:hAnsi="Arial" w:cs="Arial"/>
          <w:sz w:val="22"/>
          <w:szCs w:val="22"/>
        </w:rPr>
        <w:t>compassionate, inclusive, and truly person-centred</w:t>
      </w:r>
      <w:r w:rsidR="4E269C27" w:rsidRPr="361CBD8A">
        <w:rPr>
          <w:rFonts w:ascii="Arial" w:hAnsi="Arial" w:cs="Arial"/>
          <w:sz w:val="22"/>
          <w:szCs w:val="22"/>
        </w:rPr>
        <w:t xml:space="preserve"> care</w:t>
      </w:r>
      <w:r w:rsidR="2DCAAE11" w:rsidRPr="361CBD8A">
        <w:rPr>
          <w:rFonts w:ascii="Arial" w:hAnsi="Arial" w:cs="Arial"/>
          <w:sz w:val="22"/>
          <w:szCs w:val="22"/>
        </w:rPr>
        <w:t>.</w:t>
      </w:r>
    </w:p>
    <w:p w14:paraId="347CFAE7" w14:textId="46F7D0B2" w:rsidR="624230E3" w:rsidRPr="00BB0D1F" w:rsidRDefault="624230E3" w:rsidP="43C3AD1F">
      <w:pPr>
        <w:pStyle w:val="Heading2"/>
        <w:spacing w:before="299" w:after="299" w:line="360" w:lineRule="auto"/>
        <w:rPr>
          <w:rFonts w:ascii="Arial" w:eastAsiaTheme="minorEastAsia" w:hAnsi="Arial" w:cs="Arial"/>
          <w:b/>
          <w:bCs/>
          <w:color w:val="auto"/>
          <w:sz w:val="22"/>
          <w:szCs w:val="22"/>
          <w:lang w:val="en-US"/>
        </w:rPr>
      </w:pPr>
      <w:bookmarkStart w:id="9" w:name="_Toc1525170356"/>
      <w:r w:rsidRPr="43C3AD1F">
        <w:rPr>
          <w:rFonts w:ascii="Arial" w:eastAsiaTheme="minorEastAsia" w:hAnsi="Arial" w:cs="Arial"/>
          <w:b/>
          <w:bCs/>
          <w:color w:val="auto"/>
          <w:sz w:val="22"/>
          <w:szCs w:val="22"/>
        </w:rPr>
        <w:t>References</w:t>
      </w:r>
      <w:bookmarkEnd w:id="9"/>
    </w:p>
    <w:p w14:paraId="70437A1F" w14:textId="025FC8C5" w:rsidR="2DFEF968" w:rsidRPr="00BB0D1F" w:rsidRDefault="2DFEF968" w:rsidP="00BB0D1F">
      <w:pPr>
        <w:spacing w:before="240" w:after="240" w:line="360" w:lineRule="auto"/>
        <w:rPr>
          <w:rFonts w:ascii="Arial" w:hAnsi="Arial" w:cs="Arial"/>
          <w:sz w:val="22"/>
          <w:szCs w:val="22"/>
          <w:lang w:val="en-US"/>
        </w:rPr>
      </w:pPr>
      <w:r w:rsidRPr="00BB0D1F">
        <w:rPr>
          <w:rFonts w:ascii="Arial" w:hAnsi="Arial" w:cs="Arial"/>
          <w:sz w:val="22"/>
          <w:szCs w:val="22"/>
        </w:rPr>
        <w:t>Asadi-Lari, M., Packham, C. and Gray, D. (2003) ‘Need for redefining needs’, Health and Quality of Life Outcomes, 1(1), p.34.</w:t>
      </w:r>
    </w:p>
    <w:p w14:paraId="16376AB6" w14:textId="27B53F51" w:rsidR="2DFEF968" w:rsidRPr="00BB0D1F" w:rsidRDefault="2DFEF968" w:rsidP="00BB0D1F">
      <w:pPr>
        <w:spacing w:before="240" w:after="240" w:line="360" w:lineRule="auto"/>
        <w:rPr>
          <w:rFonts w:ascii="Arial" w:hAnsi="Arial" w:cs="Arial"/>
          <w:sz w:val="22"/>
          <w:szCs w:val="22"/>
          <w:lang w:val="en-US"/>
        </w:rPr>
      </w:pPr>
      <w:r w:rsidRPr="00BB0D1F">
        <w:rPr>
          <w:rFonts w:ascii="Arial" w:hAnsi="Arial" w:cs="Arial"/>
          <w:sz w:val="22"/>
          <w:szCs w:val="22"/>
        </w:rPr>
        <w:t>Beauchamp, T.L. and Childress, J.F. (2019) Principles of Biomedical Ethics. 8th edn. Oxford: Oxford University Press.</w:t>
      </w:r>
    </w:p>
    <w:p w14:paraId="72474F8C" w14:textId="19CC0ED9" w:rsidR="2DFEF968" w:rsidRPr="00BB0D1F" w:rsidRDefault="2DFEF968" w:rsidP="00BB0D1F">
      <w:pPr>
        <w:spacing w:before="240" w:after="240" w:line="360" w:lineRule="auto"/>
        <w:rPr>
          <w:rFonts w:ascii="Arial" w:hAnsi="Arial" w:cs="Arial"/>
          <w:sz w:val="22"/>
          <w:szCs w:val="22"/>
        </w:rPr>
      </w:pPr>
      <w:r w:rsidRPr="00BB0D1F">
        <w:rPr>
          <w:rFonts w:ascii="Arial" w:hAnsi="Arial" w:cs="Arial"/>
          <w:sz w:val="22"/>
          <w:szCs w:val="22"/>
        </w:rPr>
        <w:t>Betancourt, J.R., Green, A.R., Carrillo, J.E. and Ananeh-Firempong 2nd, O. (2003) ‘Defining cultural competence: a practical framework for addressing racial/ethnic disparities in health and health care’, Public Health Reports, 118(4), p.293.</w:t>
      </w:r>
    </w:p>
    <w:p w14:paraId="765D4EE3" w14:textId="181531DE" w:rsidR="2DFEF968" w:rsidRPr="00BB0D1F" w:rsidRDefault="2DFEF968" w:rsidP="00BB0D1F">
      <w:pPr>
        <w:spacing w:before="240" w:after="240" w:line="360" w:lineRule="auto"/>
        <w:rPr>
          <w:rFonts w:ascii="Arial" w:hAnsi="Arial" w:cs="Arial"/>
          <w:sz w:val="22"/>
          <w:szCs w:val="22"/>
          <w:lang w:val="en-US"/>
        </w:rPr>
      </w:pPr>
      <w:r w:rsidRPr="00BB0D1F">
        <w:rPr>
          <w:rFonts w:ascii="Arial" w:hAnsi="Arial" w:cs="Arial"/>
          <w:sz w:val="22"/>
          <w:szCs w:val="22"/>
        </w:rPr>
        <w:t>Bradshaw, J. (1972) ‘The taxonomy of social need’, in McLachlan, G. (ed.) Problems and Progress in Medical Care: Essays on Current Research. London: Oxford University Press, pp. 69–82.</w:t>
      </w:r>
    </w:p>
    <w:p w14:paraId="06E6C2DA" w14:textId="70688545" w:rsidR="2DFEF968" w:rsidRPr="00BB0D1F" w:rsidRDefault="2DFEF968" w:rsidP="00BB0D1F">
      <w:pPr>
        <w:spacing w:before="240" w:after="240" w:line="360" w:lineRule="auto"/>
        <w:rPr>
          <w:rFonts w:ascii="Arial" w:hAnsi="Arial" w:cs="Arial"/>
          <w:sz w:val="22"/>
          <w:szCs w:val="22"/>
          <w:lang w:val="en-US"/>
        </w:rPr>
      </w:pPr>
      <w:r w:rsidRPr="00BB0D1F">
        <w:rPr>
          <w:rFonts w:ascii="Arial" w:hAnsi="Arial" w:cs="Arial"/>
          <w:sz w:val="22"/>
          <w:szCs w:val="22"/>
        </w:rPr>
        <w:t>Bragadóttir, H., Kalisch, B.J., Flygenring, B.G. and Tryggvadóttir, G.B. (2023) ‘The relationship of nursing teamwork and job satisfaction in hospitals’, SAGE Open Nursing, 9, p.23779608231175027.</w:t>
      </w:r>
    </w:p>
    <w:p w14:paraId="78349B8F" w14:textId="3403290F" w:rsidR="2DFEF968" w:rsidRPr="00BB0D1F" w:rsidRDefault="2DFEF968" w:rsidP="00BB0D1F">
      <w:pPr>
        <w:spacing w:before="240" w:after="240" w:line="360" w:lineRule="auto"/>
        <w:rPr>
          <w:rFonts w:ascii="Arial" w:hAnsi="Arial" w:cs="Arial"/>
          <w:sz w:val="22"/>
          <w:szCs w:val="22"/>
          <w:lang w:val="en-US"/>
        </w:rPr>
      </w:pPr>
      <w:r w:rsidRPr="00BB0D1F">
        <w:rPr>
          <w:rFonts w:ascii="Arial" w:hAnsi="Arial" w:cs="Arial"/>
          <w:sz w:val="22"/>
          <w:szCs w:val="22"/>
        </w:rPr>
        <w:t>Brooker, D. and Latham, I. (2016) Person-Centred Dementia Care: Making Services Better. 2nd edn. London: Jessica Kingsley Publishers.</w:t>
      </w:r>
    </w:p>
    <w:p w14:paraId="3A1E027B" w14:textId="03C0479C" w:rsidR="2DFEF968" w:rsidRPr="00BB0D1F" w:rsidRDefault="2DFEF968" w:rsidP="00BB0D1F">
      <w:pPr>
        <w:spacing w:before="240" w:after="240" w:line="360" w:lineRule="auto"/>
        <w:rPr>
          <w:rFonts w:ascii="Arial" w:hAnsi="Arial" w:cs="Arial"/>
          <w:sz w:val="22"/>
          <w:szCs w:val="22"/>
          <w:lang w:val="en-US"/>
        </w:rPr>
      </w:pPr>
      <w:r w:rsidRPr="00BB0D1F">
        <w:rPr>
          <w:rFonts w:ascii="Arial" w:hAnsi="Arial" w:cs="Arial"/>
          <w:sz w:val="22"/>
          <w:szCs w:val="22"/>
        </w:rPr>
        <w:t>Burley, G. and Arai, L. (2023) ‘Ethics and ethical dilemmas in health and social care’, in Foundations for 21st-Century Health and Social Care. Abingdon: Routledge, pp. 188–199.</w:t>
      </w:r>
    </w:p>
    <w:p w14:paraId="1D982D1C" w14:textId="6B20CADD" w:rsidR="2DFEF968" w:rsidRPr="00BB0D1F" w:rsidRDefault="2DFEF968" w:rsidP="00BB0D1F">
      <w:pPr>
        <w:spacing w:before="240" w:after="240" w:line="360" w:lineRule="auto"/>
        <w:rPr>
          <w:rFonts w:ascii="Arial" w:hAnsi="Arial" w:cs="Arial"/>
          <w:sz w:val="22"/>
          <w:szCs w:val="22"/>
          <w:lang w:val="en-US"/>
        </w:rPr>
      </w:pPr>
      <w:r w:rsidRPr="00BB0D1F">
        <w:rPr>
          <w:rFonts w:ascii="Arial" w:hAnsi="Arial" w:cs="Arial"/>
          <w:sz w:val="22"/>
          <w:szCs w:val="22"/>
        </w:rPr>
        <w:t>Care Act 2014 (c.23). London: The Stationery Office.</w:t>
      </w:r>
    </w:p>
    <w:p w14:paraId="279628CB" w14:textId="004B56F0" w:rsidR="2DFEF968" w:rsidRPr="00BB0D1F" w:rsidRDefault="2DFEF968" w:rsidP="00BB0D1F">
      <w:pPr>
        <w:spacing w:before="240" w:after="240" w:line="360" w:lineRule="auto"/>
        <w:rPr>
          <w:rFonts w:ascii="Arial" w:hAnsi="Arial" w:cs="Arial"/>
          <w:sz w:val="22"/>
          <w:szCs w:val="22"/>
          <w:lang w:val="en-US"/>
        </w:rPr>
      </w:pPr>
      <w:r w:rsidRPr="00BB0D1F">
        <w:rPr>
          <w:rFonts w:ascii="Arial" w:hAnsi="Arial" w:cs="Arial"/>
          <w:sz w:val="22"/>
          <w:szCs w:val="22"/>
        </w:rPr>
        <w:t>Cheraghi, R., Valizadeh, L., Zamanzadeh, V., Hassankhani, H. and Jafarzadeh, A. (2023) ‘Clarification of ethical principle of the beneficence in nursing care: an integrative review’, BMC Nursing, 22(1), p.89.</w:t>
      </w:r>
    </w:p>
    <w:p w14:paraId="40573C55" w14:textId="0520C636" w:rsidR="2DFEF968" w:rsidRPr="00BB0D1F" w:rsidRDefault="2DFEF968" w:rsidP="00BB0D1F">
      <w:pPr>
        <w:spacing w:before="240" w:after="240" w:line="360" w:lineRule="auto"/>
        <w:rPr>
          <w:rFonts w:ascii="Arial" w:hAnsi="Arial" w:cs="Arial"/>
          <w:sz w:val="22"/>
          <w:szCs w:val="22"/>
          <w:lang w:val="en-US"/>
        </w:rPr>
      </w:pPr>
      <w:r w:rsidRPr="00BB0D1F">
        <w:rPr>
          <w:rFonts w:ascii="Arial" w:hAnsi="Arial" w:cs="Arial"/>
          <w:sz w:val="22"/>
          <w:szCs w:val="22"/>
        </w:rPr>
        <w:t>Coulter, A. and Oldham, J. (2016) ‘Person-centred care: What is it and how do we get there?’, Future Hospital Journal, 3(2), pp.114–116.</w:t>
      </w:r>
    </w:p>
    <w:p w14:paraId="399FF4D2" w14:textId="295AC2B8" w:rsidR="2DFEF968" w:rsidRPr="00BB0D1F" w:rsidRDefault="2DFEF968" w:rsidP="00BB0D1F">
      <w:pPr>
        <w:spacing w:before="240" w:after="240" w:line="360" w:lineRule="auto"/>
        <w:rPr>
          <w:rFonts w:ascii="Arial" w:hAnsi="Arial" w:cs="Arial"/>
          <w:sz w:val="22"/>
          <w:szCs w:val="22"/>
          <w:lang w:val="en-US"/>
        </w:rPr>
      </w:pPr>
      <w:r w:rsidRPr="00BB0D1F">
        <w:rPr>
          <w:rFonts w:ascii="Arial" w:hAnsi="Arial" w:cs="Arial"/>
          <w:sz w:val="22"/>
          <w:szCs w:val="22"/>
        </w:rPr>
        <w:t>Curry, N. and Ham, C. (2010) Clinical and Service Integration: The Route to Improved Outcomes. London: The King’s Fund.</w:t>
      </w:r>
    </w:p>
    <w:p w14:paraId="21575617" w14:textId="3A3295D1" w:rsidR="2DFEF968" w:rsidRPr="00BB0D1F" w:rsidRDefault="2DFEF968" w:rsidP="00BB0D1F">
      <w:pPr>
        <w:spacing w:before="240" w:after="240" w:line="360" w:lineRule="auto"/>
        <w:rPr>
          <w:rFonts w:ascii="Arial" w:hAnsi="Arial" w:cs="Arial"/>
          <w:sz w:val="22"/>
          <w:szCs w:val="22"/>
          <w:lang w:val="en-US"/>
        </w:rPr>
      </w:pPr>
      <w:r w:rsidRPr="00BB0D1F">
        <w:rPr>
          <w:rFonts w:ascii="Arial" w:hAnsi="Arial" w:cs="Arial"/>
          <w:sz w:val="22"/>
          <w:szCs w:val="22"/>
        </w:rPr>
        <w:t>Department of Health (2009) Partnership Working in Health and Social Care: A Framework for Action. London: Department of Health.</w:t>
      </w:r>
    </w:p>
    <w:p w14:paraId="427A1523" w14:textId="2DB9B704" w:rsidR="2DFEF968" w:rsidRPr="00BB0D1F" w:rsidRDefault="2DFEF968" w:rsidP="00BB0D1F">
      <w:pPr>
        <w:spacing w:before="240" w:after="240" w:line="360" w:lineRule="auto"/>
        <w:rPr>
          <w:rFonts w:ascii="Arial" w:hAnsi="Arial" w:cs="Arial"/>
          <w:sz w:val="22"/>
          <w:szCs w:val="22"/>
          <w:lang w:val="en-US"/>
        </w:rPr>
      </w:pPr>
      <w:r w:rsidRPr="00BB0D1F">
        <w:rPr>
          <w:rFonts w:ascii="Arial" w:hAnsi="Arial" w:cs="Arial"/>
          <w:sz w:val="22"/>
          <w:szCs w:val="22"/>
        </w:rPr>
        <w:t>Equality Act 2010 (c.15). London: The Stationery Office.</w:t>
      </w:r>
    </w:p>
    <w:p w14:paraId="601D03C6" w14:textId="4C9CCD5E" w:rsidR="2DFEF968" w:rsidRPr="00BB0D1F" w:rsidRDefault="2DFEF968" w:rsidP="00BB0D1F">
      <w:pPr>
        <w:spacing w:before="240" w:after="240" w:line="360" w:lineRule="auto"/>
        <w:rPr>
          <w:rFonts w:ascii="Arial" w:hAnsi="Arial" w:cs="Arial"/>
          <w:sz w:val="22"/>
          <w:szCs w:val="22"/>
          <w:lang w:val="en-US"/>
        </w:rPr>
      </w:pPr>
      <w:r w:rsidRPr="00BB0D1F">
        <w:rPr>
          <w:rFonts w:ascii="Arial" w:hAnsi="Arial" w:cs="Arial"/>
          <w:sz w:val="22"/>
          <w:szCs w:val="22"/>
        </w:rPr>
        <w:t>Ferlie, E. and Shortell, S.M. (2001) ‘Improving the quality of health care in the United Kingdom and the United States: A framework for change’, The Milbank Quarterly, 79(2), pp.281–315.</w:t>
      </w:r>
    </w:p>
    <w:p w14:paraId="180DE6F3" w14:textId="6ECAE546" w:rsidR="2DFEF968" w:rsidRPr="00BB0D1F" w:rsidRDefault="2DFEF968" w:rsidP="00BB0D1F">
      <w:pPr>
        <w:spacing w:before="240" w:after="240" w:line="360" w:lineRule="auto"/>
        <w:rPr>
          <w:rFonts w:ascii="Arial" w:hAnsi="Arial" w:cs="Arial"/>
          <w:sz w:val="22"/>
          <w:szCs w:val="22"/>
          <w:lang w:val="en-US"/>
        </w:rPr>
      </w:pPr>
      <w:r w:rsidRPr="00BB0D1F">
        <w:rPr>
          <w:rFonts w:ascii="Arial" w:hAnsi="Arial" w:cs="Arial"/>
          <w:sz w:val="22"/>
          <w:szCs w:val="22"/>
        </w:rPr>
        <w:t>Glas, G. (2019) ‘A normative practice approach to health care’, in The Normative Nature of Social Practices and Ethics in Professional Environments. Hershey, PA: IGI Global, pp.164–184.</w:t>
      </w:r>
    </w:p>
    <w:p w14:paraId="7AB868D4" w14:textId="229A377C" w:rsidR="2DFEF968" w:rsidRPr="00BB0D1F" w:rsidRDefault="2DFEF968" w:rsidP="00BB0D1F">
      <w:pPr>
        <w:spacing w:before="240" w:after="240" w:line="360" w:lineRule="auto"/>
        <w:rPr>
          <w:rFonts w:ascii="Arial" w:hAnsi="Arial" w:cs="Arial"/>
          <w:sz w:val="22"/>
          <w:szCs w:val="22"/>
          <w:lang w:val="en-US"/>
        </w:rPr>
      </w:pPr>
      <w:r w:rsidRPr="00BB0D1F">
        <w:rPr>
          <w:rFonts w:ascii="Arial" w:hAnsi="Arial" w:cs="Arial"/>
          <w:sz w:val="22"/>
          <w:szCs w:val="22"/>
        </w:rPr>
        <w:t>Glasby, J. and Dickinson, H. (2014) Partnership Working in Health and Social Care: What is Integrated Care and How Can We Deliver It? 2nd edn. Bristol: Policy Press.</w:t>
      </w:r>
    </w:p>
    <w:p w14:paraId="22986585" w14:textId="08CAA108" w:rsidR="2DFEF968" w:rsidRPr="00BB0D1F" w:rsidRDefault="2DFEF968" w:rsidP="00BB0D1F">
      <w:pPr>
        <w:spacing w:before="240" w:after="240" w:line="360" w:lineRule="auto"/>
        <w:rPr>
          <w:rFonts w:ascii="Arial" w:hAnsi="Arial" w:cs="Arial"/>
          <w:sz w:val="22"/>
          <w:szCs w:val="22"/>
          <w:lang w:val="en-US"/>
        </w:rPr>
      </w:pPr>
      <w:r w:rsidRPr="00BB0D1F">
        <w:rPr>
          <w:rFonts w:ascii="Arial" w:hAnsi="Arial" w:cs="Arial"/>
          <w:sz w:val="22"/>
          <w:szCs w:val="22"/>
        </w:rPr>
        <w:t>Gilbar, R. and Miola, J. (2015) ‘One size fits all? On patient autonomy, medical decision-making, and the impact of culture’, Medical Law Review, 23(3), pp.375–399.</w:t>
      </w:r>
    </w:p>
    <w:p w14:paraId="7853C17C" w14:textId="6AA17614" w:rsidR="2DFEF968" w:rsidRPr="00BB0D1F" w:rsidRDefault="2DFEF968" w:rsidP="00BB0D1F">
      <w:pPr>
        <w:spacing w:before="240" w:after="240" w:line="360" w:lineRule="auto"/>
        <w:rPr>
          <w:rFonts w:ascii="Arial" w:hAnsi="Arial" w:cs="Arial"/>
          <w:sz w:val="22"/>
          <w:szCs w:val="22"/>
          <w:lang w:val="en-US"/>
        </w:rPr>
      </w:pPr>
      <w:r w:rsidRPr="00BB0D1F">
        <w:rPr>
          <w:rFonts w:ascii="Arial" w:hAnsi="Arial" w:cs="Arial"/>
          <w:sz w:val="22"/>
          <w:szCs w:val="22"/>
        </w:rPr>
        <w:t>Ham, C. (2021) Integrated Care Systems Explained: Making Sense of Systems, Places and Neighbourhoods. London: The King’s Fund.</w:t>
      </w:r>
    </w:p>
    <w:p w14:paraId="119C2A3C" w14:textId="12383FC5" w:rsidR="2DFEF968" w:rsidRPr="00BB0D1F" w:rsidRDefault="2DFEF968" w:rsidP="00BB0D1F">
      <w:pPr>
        <w:spacing w:before="240" w:after="240" w:line="360" w:lineRule="auto"/>
        <w:rPr>
          <w:rFonts w:ascii="Arial" w:hAnsi="Arial" w:cs="Arial"/>
          <w:sz w:val="22"/>
          <w:szCs w:val="22"/>
          <w:lang w:val="en-US"/>
        </w:rPr>
      </w:pPr>
      <w:r w:rsidRPr="00BB0D1F">
        <w:rPr>
          <w:rFonts w:ascii="Arial" w:hAnsi="Arial" w:cs="Arial"/>
          <w:sz w:val="22"/>
          <w:szCs w:val="22"/>
        </w:rPr>
        <w:t>Harrison, J.D., Young, J.M., Butow, P.N. and Solomon, M.J. (2013) ‘Needs in health care: what beast is that?’, International Journal of Health Services, 43(3), pp.567–585.</w:t>
      </w:r>
    </w:p>
    <w:p w14:paraId="643EA6F3" w14:textId="49C34EAF" w:rsidR="2DFEF968" w:rsidRPr="00BB0D1F" w:rsidRDefault="2DFEF968" w:rsidP="00BB0D1F">
      <w:pPr>
        <w:spacing w:before="240" w:after="240" w:line="360" w:lineRule="auto"/>
        <w:rPr>
          <w:rFonts w:ascii="Arial" w:hAnsi="Arial" w:cs="Arial"/>
          <w:sz w:val="22"/>
          <w:szCs w:val="22"/>
          <w:lang w:val="en-US"/>
        </w:rPr>
      </w:pPr>
      <w:r w:rsidRPr="00BB0D1F">
        <w:rPr>
          <w:rFonts w:ascii="Arial" w:hAnsi="Arial" w:cs="Arial"/>
          <w:sz w:val="22"/>
          <w:szCs w:val="22"/>
        </w:rPr>
        <w:t>Health and Care Act 2022 (c.31). London: The Stationery Office.</w:t>
      </w:r>
    </w:p>
    <w:p w14:paraId="7C50AE20" w14:textId="3C80FB46" w:rsidR="2DFEF968" w:rsidRPr="00BB0D1F" w:rsidRDefault="2DFEF968" w:rsidP="00BB0D1F">
      <w:pPr>
        <w:spacing w:before="240" w:after="240" w:line="360" w:lineRule="auto"/>
        <w:rPr>
          <w:rFonts w:ascii="Arial" w:hAnsi="Arial" w:cs="Arial"/>
          <w:sz w:val="22"/>
          <w:szCs w:val="22"/>
          <w:lang w:val="en-US"/>
        </w:rPr>
      </w:pPr>
      <w:r w:rsidRPr="00BB0D1F">
        <w:rPr>
          <w:rFonts w:ascii="Arial" w:hAnsi="Arial" w:cs="Arial"/>
          <w:sz w:val="22"/>
          <w:szCs w:val="22"/>
        </w:rPr>
        <w:t>Health and Care Professions Council (HCPC) (2023) Standards of Conduct, Performance and Ethics. London: HCPC. Available at: https://www.hcpc-uk.org/standards/standards-of-conduct-performance-and-ethics/ (Accessed: 10 November 2025).</w:t>
      </w:r>
    </w:p>
    <w:p w14:paraId="3905D880" w14:textId="6766860D" w:rsidR="2DFEF968" w:rsidRPr="00BB0D1F" w:rsidRDefault="2DFEF968" w:rsidP="00BB0D1F">
      <w:pPr>
        <w:spacing w:before="240" w:after="240" w:line="360" w:lineRule="auto"/>
        <w:rPr>
          <w:rFonts w:ascii="Arial" w:hAnsi="Arial" w:cs="Arial"/>
          <w:sz w:val="22"/>
          <w:szCs w:val="22"/>
          <w:lang w:val="en-US"/>
        </w:rPr>
      </w:pPr>
      <w:r w:rsidRPr="00BB0D1F">
        <w:rPr>
          <w:rFonts w:ascii="Arial" w:hAnsi="Arial" w:cs="Arial"/>
          <w:sz w:val="22"/>
          <w:szCs w:val="22"/>
        </w:rPr>
        <w:t>Health and Social Care Act 2012 (c.7). London: The Stationery Office.</w:t>
      </w:r>
    </w:p>
    <w:p w14:paraId="3FADE152" w14:textId="62BCC54A" w:rsidR="2DFEF968" w:rsidRPr="00BB0D1F" w:rsidRDefault="2DFEF968" w:rsidP="00BB0D1F">
      <w:pPr>
        <w:spacing w:before="240" w:after="240" w:line="360" w:lineRule="auto"/>
        <w:rPr>
          <w:rFonts w:ascii="Arial" w:hAnsi="Arial" w:cs="Arial"/>
          <w:sz w:val="22"/>
          <w:szCs w:val="22"/>
          <w:lang w:val="en-US"/>
        </w:rPr>
      </w:pPr>
      <w:r w:rsidRPr="00BB0D1F">
        <w:rPr>
          <w:rFonts w:ascii="Arial" w:hAnsi="Arial" w:cs="Arial"/>
          <w:sz w:val="22"/>
          <w:szCs w:val="22"/>
        </w:rPr>
        <w:t>Health Foundation (2016) Person-Centred Care Made Simple: What Everyone Should Know about Person-Centred Care. London: The Health Foundation. Available at: https://www.health.org.uk/publications/person-centred-care-made-simple (Accessed: 10 November 2025).</w:t>
      </w:r>
    </w:p>
    <w:p w14:paraId="139598A4" w14:textId="5E694EAE" w:rsidR="2DFEF968" w:rsidRPr="00BB0D1F" w:rsidRDefault="2DFEF968" w:rsidP="00BB0D1F">
      <w:pPr>
        <w:spacing w:before="240" w:after="240" w:line="360" w:lineRule="auto"/>
        <w:rPr>
          <w:rFonts w:ascii="Arial" w:hAnsi="Arial" w:cs="Arial"/>
          <w:sz w:val="22"/>
          <w:szCs w:val="22"/>
          <w:lang w:val="en-US"/>
        </w:rPr>
      </w:pPr>
      <w:r w:rsidRPr="00BB0D1F">
        <w:rPr>
          <w:rFonts w:ascii="Arial" w:hAnsi="Arial" w:cs="Arial"/>
          <w:sz w:val="22"/>
          <w:szCs w:val="22"/>
        </w:rPr>
        <w:t>Hudson, B., Hardy, B., Henwood, M. and Wistow, G. (1999) ‘In pursuit of inter-agency collaboration in the public sector’, Public Management Review, 1(2), pp.235–260.</w:t>
      </w:r>
    </w:p>
    <w:p w14:paraId="6039BA75" w14:textId="6179B1E7" w:rsidR="2DFEF968" w:rsidRPr="00BB0D1F" w:rsidRDefault="2DFEF968" w:rsidP="00BB0D1F">
      <w:pPr>
        <w:spacing w:before="240" w:after="240" w:line="360" w:lineRule="auto"/>
        <w:rPr>
          <w:rFonts w:ascii="Arial" w:hAnsi="Arial" w:cs="Arial"/>
          <w:sz w:val="22"/>
          <w:szCs w:val="22"/>
          <w:lang w:val="en-US"/>
        </w:rPr>
      </w:pPr>
      <w:r w:rsidRPr="00BB0D1F">
        <w:rPr>
          <w:rFonts w:ascii="Arial" w:hAnsi="Arial" w:cs="Arial"/>
          <w:sz w:val="22"/>
          <w:szCs w:val="22"/>
        </w:rPr>
        <w:t>Human Rights Act 1998 (c.42). London: The Stationery Office.</w:t>
      </w:r>
    </w:p>
    <w:p w14:paraId="3C066C9F" w14:textId="6F8FC90C" w:rsidR="2DFEF968" w:rsidRPr="00BB0D1F" w:rsidRDefault="2DFEF968" w:rsidP="00BB0D1F">
      <w:pPr>
        <w:spacing w:before="240" w:after="240" w:line="360" w:lineRule="auto"/>
        <w:rPr>
          <w:rFonts w:ascii="Arial" w:hAnsi="Arial" w:cs="Arial"/>
          <w:sz w:val="22"/>
          <w:szCs w:val="22"/>
          <w:lang w:val="en-US"/>
        </w:rPr>
      </w:pPr>
      <w:r w:rsidRPr="00BB0D1F">
        <w:rPr>
          <w:rFonts w:ascii="Arial" w:hAnsi="Arial" w:cs="Arial"/>
          <w:sz w:val="22"/>
          <w:szCs w:val="22"/>
        </w:rPr>
        <w:t>Kitwood, T. (1997) Dementia Reconsidered: The Person Comes First. Buckingham: Open University Press.</w:t>
      </w:r>
    </w:p>
    <w:p w14:paraId="0801EEAF" w14:textId="6EE4B8D5" w:rsidR="4EDF9CF9" w:rsidRPr="00BB0D1F" w:rsidRDefault="4EDF9CF9" w:rsidP="00BB0D1F">
      <w:pPr>
        <w:spacing w:before="240" w:after="240" w:line="360" w:lineRule="auto"/>
        <w:rPr>
          <w:rFonts w:ascii="Arial" w:hAnsi="Arial" w:cs="Arial"/>
          <w:sz w:val="22"/>
          <w:szCs w:val="22"/>
        </w:rPr>
      </w:pPr>
      <w:r w:rsidRPr="00BB0D1F">
        <w:rPr>
          <w:rFonts w:ascii="Arial" w:hAnsi="Arial" w:cs="Arial"/>
          <w:sz w:val="22"/>
          <w:szCs w:val="22"/>
        </w:rPr>
        <w:t>Mann, K., Gordon, J. and MacLeod, A., 2009. Reflection and reflective practice in health professions education: a systematic review. Advances in Health Sciences Education, 14(4), pp.595-621.</w:t>
      </w:r>
    </w:p>
    <w:p w14:paraId="08B56574" w14:textId="4C329C15" w:rsidR="2DFEF968" w:rsidRPr="00BB0D1F" w:rsidRDefault="2DFEF968" w:rsidP="00BB0D1F">
      <w:pPr>
        <w:spacing w:before="240" w:after="240" w:line="360" w:lineRule="auto"/>
        <w:rPr>
          <w:rFonts w:ascii="Arial" w:hAnsi="Arial" w:cs="Arial"/>
          <w:sz w:val="22"/>
          <w:szCs w:val="22"/>
          <w:lang w:val="en-US"/>
        </w:rPr>
      </w:pPr>
      <w:r w:rsidRPr="00BB0D1F">
        <w:rPr>
          <w:rFonts w:ascii="Arial" w:hAnsi="Arial" w:cs="Arial"/>
          <w:sz w:val="22"/>
          <w:szCs w:val="22"/>
        </w:rPr>
        <w:t>McCormack, B. and McCance, T. (2017) Person-Centred Practice in Nursing and Health Care: Theory and Practice. 2nd edn. Oxford: Wiley-Blackwell.</w:t>
      </w:r>
    </w:p>
    <w:p w14:paraId="4BD52E33" w14:textId="5769993A" w:rsidR="2DFEF968" w:rsidRPr="00BB0D1F" w:rsidRDefault="2DFEF968" w:rsidP="00BB0D1F">
      <w:pPr>
        <w:spacing w:before="240" w:after="240" w:line="360" w:lineRule="auto"/>
        <w:rPr>
          <w:rFonts w:ascii="Arial" w:hAnsi="Arial" w:cs="Arial"/>
          <w:sz w:val="22"/>
          <w:szCs w:val="22"/>
          <w:lang w:val="en-US"/>
        </w:rPr>
      </w:pPr>
      <w:r w:rsidRPr="00BB0D1F">
        <w:rPr>
          <w:rFonts w:ascii="Arial" w:hAnsi="Arial" w:cs="Arial"/>
          <w:sz w:val="22"/>
          <w:szCs w:val="22"/>
        </w:rPr>
        <w:t>NHS England (2019) The NHS Long Term Plan. London: NHS England. Available at: https://www.longtermplan.nhs.uk/ (Accessed: 10 November 2025).</w:t>
      </w:r>
    </w:p>
    <w:p w14:paraId="040CDABD" w14:textId="6B199A3C" w:rsidR="2DFEF968" w:rsidRPr="00BB0D1F" w:rsidRDefault="2DFEF968" w:rsidP="00BB0D1F">
      <w:pPr>
        <w:spacing w:before="240" w:after="240" w:line="360" w:lineRule="auto"/>
        <w:rPr>
          <w:rFonts w:ascii="Arial" w:hAnsi="Arial" w:cs="Arial"/>
          <w:sz w:val="22"/>
          <w:szCs w:val="22"/>
          <w:lang w:val="en-US"/>
        </w:rPr>
      </w:pPr>
      <w:r w:rsidRPr="00BB0D1F">
        <w:rPr>
          <w:rFonts w:ascii="Arial" w:hAnsi="Arial" w:cs="Arial"/>
          <w:sz w:val="22"/>
          <w:szCs w:val="22"/>
        </w:rPr>
        <w:t>NHS England (2022) What Are Integrated Care Systems (ICSs)? Available at: https://www.england.nhs.uk/integratedcare/what-is-integrated-care/ (Accessed: 13 November 2025).</w:t>
      </w:r>
    </w:p>
    <w:p w14:paraId="00DF015E" w14:textId="3C868C9D" w:rsidR="2DFEF968" w:rsidRPr="00BB0D1F" w:rsidRDefault="2DFEF968" w:rsidP="00BB0D1F">
      <w:pPr>
        <w:spacing w:before="240" w:after="240" w:line="360" w:lineRule="auto"/>
        <w:rPr>
          <w:rFonts w:ascii="Arial" w:hAnsi="Arial" w:cs="Arial"/>
          <w:sz w:val="22"/>
          <w:szCs w:val="22"/>
          <w:lang w:val="en-US"/>
        </w:rPr>
      </w:pPr>
      <w:r w:rsidRPr="00BB0D1F">
        <w:rPr>
          <w:rFonts w:ascii="Arial" w:hAnsi="Arial" w:cs="Arial"/>
          <w:sz w:val="22"/>
          <w:szCs w:val="22"/>
        </w:rPr>
        <w:t>Nursing and Midwifery Council (NMC) (2018) The Code: Professional Standards of Practice and Behaviour for Nurses, Midwives and Nursing Associates. London: NMC. Available at: https://www.nmc.org.uk/standards/code/ (Accessed: 10 November 2025).</w:t>
      </w:r>
    </w:p>
    <w:p w14:paraId="4350CECD" w14:textId="31774696" w:rsidR="2DFEF968" w:rsidRPr="00BB0D1F" w:rsidRDefault="2DFEF968" w:rsidP="00BB0D1F">
      <w:pPr>
        <w:spacing w:before="240" w:after="240" w:line="360" w:lineRule="auto"/>
        <w:rPr>
          <w:rFonts w:ascii="Arial" w:hAnsi="Arial" w:cs="Arial"/>
          <w:sz w:val="22"/>
          <w:szCs w:val="22"/>
          <w:lang w:val="en-US"/>
        </w:rPr>
      </w:pPr>
      <w:r w:rsidRPr="00BB0D1F">
        <w:rPr>
          <w:rFonts w:ascii="Arial" w:hAnsi="Arial" w:cs="Arial"/>
          <w:sz w:val="22"/>
          <w:szCs w:val="22"/>
        </w:rPr>
        <w:t>Parlour, R., Slater, P.F., McCormack, B., Gallen, A. and Kavanagh, P. (2014) ‘The relationship between positive patient experience in acute hospitals and person-centred care’, International Journal of Research in Nursing, 5(1), pp.27–36.</w:t>
      </w:r>
    </w:p>
    <w:p w14:paraId="02C7A236" w14:textId="3F89D1D6" w:rsidR="2DFEF968" w:rsidRPr="00BB0D1F" w:rsidRDefault="2DFEF968" w:rsidP="00BB0D1F">
      <w:pPr>
        <w:spacing w:before="240" w:after="240" w:line="360" w:lineRule="auto"/>
        <w:rPr>
          <w:rFonts w:ascii="Arial" w:hAnsi="Arial" w:cs="Arial"/>
          <w:sz w:val="22"/>
          <w:szCs w:val="22"/>
          <w:lang w:val="en-US"/>
        </w:rPr>
      </w:pPr>
      <w:r w:rsidRPr="00BB0D1F">
        <w:rPr>
          <w:rFonts w:ascii="Arial" w:hAnsi="Arial" w:cs="Arial"/>
          <w:sz w:val="22"/>
          <w:szCs w:val="22"/>
        </w:rPr>
        <w:t>Rycroft-Malone, J., Burton, C.R., Bucknall, T., Graham, I.D., Hutchinson, A.M. and Stacey, D. (2013) ‘Collaboration and co-production of knowledge in healthcare: Opportunities and challenges’, Implementation Science, 8(1), p.22.</w:t>
      </w:r>
    </w:p>
    <w:p w14:paraId="4261C95A" w14:textId="318A7120" w:rsidR="3390061C" w:rsidRPr="00BB0D1F" w:rsidRDefault="5B25FFB4" w:rsidP="00BB0D1F">
      <w:pPr>
        <w:spacing w:before="240" w:after="240" w:line="360" w:lineRule="auto"/>
        <w:rPr>
          <w:rFonts w:ascii="Arial" w:hAnsi="Arial" w:cs="Arial"/>
          <w:sz w:val="22"/>
          <w:szCs w:val="22"/>
        </w:rPr>
      </w:pPr>
      <w:r w:rsidRPr="00BB0D1F">
        <w:rPr>
          <w:rFonts w:ascii="Arial" w:hAnsi="Arial" w:cs="Arial"/>
          <w:sz w:val="22"/>
          <w:szCs w:val="22"/>
        </w:rPr>
        <w:t xml:space="preserve">Yang, Q. and Zou, W. (2025). The impact of reflective practice on the development of nursing undergraduate students. BMC Medical Education, 25(1). </w:t>
      </w:r>
      <w:proofErr w:type="spellStart"/>
      <w:r w:rsidRPr="00BB0D1F">
        <w:rPr>
          <w:rFonts w:ascii="Arial" w:hAnsi="Arial" w:cs="Arial"/>
          <w:sz w:val="22"/>
          <w:szCs w:val="22"/>
        </w:rPr>
        <w:t>doi:https</w:t>
      </w:r>
      <w:proofErr w:type="spellEnd"/>
      <w:r w:rsidRPr="00BB0D1F">
        <w:rPr>
          <w:rFonts w:ascii="Arial" w:hAnsi="Arial" w:cs="Arial"/>
          <w:sz w:val="22"/>
          <w:szCs w:val="22"/>
        </w:rPr>
        <w:t>://doi.org/10.1186/s12909-025-07490-3.</w:t>
      </w:r>
    </w:p>
    <w:sectPr w:rsidR="3390061C" w:rsidRPr="00BB0D1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354E87"/>
    <w:multiLevelType w:val="hybridMultilevel"/>
    <w:tmpl w:val="E902829A"/>
    <w:lvl w:ilvl="0" w:tplc="BF0484D0">
      <w:start w:val="1"/>
      <w:numFmt w:val="bullet"/>
      <w:lvlText w:val=""/>
      <w:lvlJc w:val="left"/>
      <w:pPr>
        <w:ind w:left="720" w:hanging="360"/>
      </w:pPr>
      <w:rPr>
        <w:rFonts w:ascii="Symbol" w:hAnsi="Symbol" w:hint="default"/>
      </w:rPr>
    </w:lvl>
    <w:lvl w:ilvl="1" w:tplc="9E84DE5A">
      <w:start w:val="1"/>
      <w:numFmt w:val="bullet"/>
      <w:lvlText w:val="o"/>
      <w:lvlJc w:val="left"/>
      <w:pPr>
        <w:ind w:left="1440" w:hanging="360"/>
      </w:pPr>
      <w:rPr>
        <w:rFonts w:ascii="Courier New" w:hAnsi="Courier New" w:hint="default"/>
      </w:rPr>
    </w:lvl>
    <w:lvl w:ilvl="2" w:tplc="DB9ED752">
      <w:start w:val="1"/>
      <w:numFmt w:val="bullet"/>
      <w:lvlText w:val=""/>
      <w:lvlJc w:val="left"/>
      <w:pPr>
        <w:ind w:left="2160" w:hanging="360"/>
      </w:pPr>
      <w:rPr>
        <w:rFonts w:ascii="Wingdings" w:hAnsi="Wingdings" w:hint="default"/>
      </w:rPr>
    </w:lvl>
    <w:lvl w:ilvl="3" w:tplc="EBB41A8C">
      <w:start w:val="1"/>
      <w:numFmt w:val="bullet"/>
      <w:lvlText w:val=""/>
      <w:lvlJc w:val="left"/>
      <w:pPr>
        <w:ind w:left="2880" w:hanging="360"/>
      </w:pPr>
      <w:rPr>
        <w:rFonts w:ascii="Symbol" w:hAnsi="Symbol" w:hint="default"/>
      </w:rPr>
    </w:lvl>
    <w:lvl w:ilvl="4" w:tplc="B770D87C">
      <w:start w:val="1"/>
      <w:numFmt w:val="bullet"/>
      <w:lvlText w:val="o"/>
      <w:lvlJc w:val="left"/>
      <w:pPr>
        <w:ind w:left="3600" w:hanging="360"/>
      </w:pPr>
      <w:rPr>
        <w:rFonts w:ascii="Courier New" w:hAnsi="Courier New" w:hint="default"/>
      </w:rPr>
    </w:lvl>
    <w:lvl w:ilvl="5" w:tplc="9B48995C">
      <w:start w:val="1"/>
      <w:numFmt w:val="bullet"/>
      <w:lvlText w:val=""/>
      <w:lvlJc w:val="left"/>
      <w:pPr>
        <w:ind w:left="4320" w:hanging="360"/>
      </w:pPr>
      <w:rPr>
        <w:rFonts w:ascii="Wingdings" w:hAnsi="Wingdings" w:hint="default"/>
      </w:rPr>
    </w:lvl>
    <w:lvl w:ilvl="6" w:tplc="F3E066DE">
      <w:start w:val="1"/>
      <w:numFmt w:val="bullet"/>
      <w:lvlText w:val=""/>
      <w:lvlJc w:val="left"/>
      <w:pPr>
        <w:ind w:left="5040" w:hanging="360"/>
      </w:pPr>
      <w:rPr>
        <w:rFonts w:ascii="Symbol" w:hAnsi="Symbol" w:hint="default"/>
      </w:rPr>
    </w:lvl>
    <w:lvl w:ilvl="7" w:tplc="E6D875D6">
      <w:start w:val="1"/>
      <w:numFmt w:val="bullet"/>
      <w:lvlText w:val="o"/>
      <w:lvlJc w:val="left"/>
      <w:pPr>
        <w:ind w:left="5760" w:hanging="360"/>
      </w:pPr>
      <w:rPr>
        <w:rFonts w:ascii="Courier New" w:hAnsi="Courier New" w:hint="default"/>
      </w:rPr>
    </w:lvl>
    <w:lvl w:ilvl="8" w:tplc="0A3844DC">
      <w:start w:val="1"/>
      <w:numFmt w:val="bullet"/>
      <w:lvlText w:val=""/>
      <w:lvlJc w:val="left"/>
      <w:pPr>
        <w:ind w:left="6480" w:hanging="360"/>
      </w:pPr>
      <w:rPr>
        <w:rFonts w:ascii="Wingdings" w:hAnsi="Wingdings" w:hint="default"/>
      </w:rPr>
    </w:lvl>
  </w:abstractNum>
  <w:abstractNum w:abstractNumId="1" w15:restartNumberingAfterBreak="0">
    <w:nsid w:val="35B7B84E"/>
    <w:multiLevelType w:val="hybridMultilevel"/>
    <w:tmpl w:val="1344844C"/>
    <w:lvl w:ilvl="0" w:tplc="EB5A7698">
      <w:start w:val="1"/>
      <w:numFmt w:val="bullet"/>
      <w:lvlText w:val=""/>
      <w:lvlJc w:val="left"/>
      <w:pPr>
        <w:ind w:left="720" w:hanging="360"/>
      </w:pPr>
      <w:rPr>
        <w:rFonts w:ascii="Symbol" w:hAnsi="Symbol" w:hint="default"/>
      </w:rPr>
    </w:lvl>
    <w:lvl w:ilvl="1" w:tplc="403CBAF2">
      <w:start w:val="1"/>
      <w:numFmt w:val="bullet"/>
      <w:lvlText w:val="o"/>
      <w:lvlJc w:val="left"/>
      <w:pPr>
        <w:ind w:left="1440" w:hanging="360"/>
      </w:pPr>
      <w:rPr>
        <w:rFonts w:ascii="Courier New" w:hAnsi="Courier New" w:hint="default"/>
      </w:rPr>
    </w:lvl>
    <w:lvl w:ilvl="2" w:tplc="4BEC2722">
      <w:start w:val="1"/>
      <w:numFmt w:val="bullet"/>
      <w:lvlText w:val=""/>
      <w:lvlJc w:val="left"/>
      <w:pPr>
        <w:ind w:left="2160" w:hanging="360"/>
      </w:pPr>
      <w:rPr>
        <w:rFonts w:ascii="Wingdings" w:hAnsi="Wingdings" w:hint="default"/>
      </w:rPr>
    </w:lvl>
    <w:lvl w:ilvl="3" w:tplc="925EC48E">
      <w:start w:val="1"/>
      <w:numFmt w:val="bullet"/>
      <w:lvlText w:val=""/>
      <w:lvlJc w:val="left"/>
      <w:pPr>
        <w:ind w:left="2880" w:hanging="360"/>
      </w:pPr>
      <w:rPr>
        <w:rFonts w:ascii="Symbol" w:hAnsi="Symbol" w:hint="default"/>
      </w:rPr>
    </w:lvl>
    <w:lvl w:ilvl="4" w:tplc="F9362686">
      <w:start w:val="1"/>
      <w:numFmt w:val="bullet"/>
      <w:lvlText w:val="o"/>
      <w:lvlJc w:val="left"/>
      <w:pPr>
        <w:ind w:left="3600" w:hanging="360"/>
      </w:pPr>
      <w:rPr>
        <w:rFonts w:ascii="Courier New" w:hAnsi="Courier New" w:hint="default"/>
      </w:rPr>
    </w:lvl>
    <w:lvl w:ilvl="5" w:tplc="4928D15E">
      <w:start w:val="1"/>
      <w:numFmt w:val="bullet"/>
      <w:lvlText w:val=""/>
      <w:lvlJc w:val="left"/>
      <w:pPr>
        <w:ind w:left="4320" w:hanging="360"/>
      </w:pPr>
      <w:rPr>
        <w:rFonts w:ascii="Wingdings" w:hAnsi="Wingdings" w:hint="default"/>
      </w:rPr>
    </w:lvl>
    <w:lvl w:ilvl="6" w:tplc="96861A8C">
      <w:start w:val="1"/>
      <w:numFmt w:val="bullet"/>
      <w:lvlText w:val=""/>
      <w:lvlJc w:val="left"/>
      <w:pPr>
        <w:ind w:left="5040" w:hanging="360"/>
      </w:pPr>
      <w:rPr>
        <w:rFonts w:ascii="Symbol" w:hAnsi="Symbol" w:hint="default"/>
      </w:rPr>
    </w:lvl>
    <w:lvl w:ilvl="7" w:tplc="BEFC79A8">
      <w:start w:val="1"/>
      <w:numFmt w:val="bullet"/>
      <w:lvlText w:val="o"/>
      <w:lvlJc w:val="left"/>
      <w:pPr>
        <w:ind w:left="5760" w:hanging="360"/>
      </w:pPr>
      <w:rPr>
        <w:rFonts w:ascii="Courier New" w:hAnsi="Courier New" w:hint="default"/>
      </w:rPr>
    </w:lvl>
    <w:lvl w:ilvl="8" w:tplc="8F984658">
      <w:start w:val="1"/>
      <w:numFmt w:val="bullet"/>
      <w:lvlText w:val=""/>
      <w:lvlJc w:val="left"/>
      <w:pPr>
        <w:ind w:left="6480" w:hanging="360"/>
      </w:pPr>
      <w:rPr>
        <w:rFonts w:ascii="Wingdings" w:hAnsi="Wingdings" w:hint="default"/>
      </w:rPr>
    </w:lvl>
  </w:abstractNum>
  <w:num w:numId="1" w16cid:durableId="1917208622">
    <w:abstractNumId w:val="0"/>
  </w:num>
  <w:num w:numId="2" w16cid:durableId="7916302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ED89E4E"/>
    <w:rsid w:val="000354B9"/>
    <w:rsid w:val="0020EFDE"/>
    <w:rsid w:val="002761B4"/>
    <w:rsid w:val="002970BC"/>
    <w:rsid w:val="002F048B"/>
    <w:rsid w:val="0038EA79"/>
    <w:rsid w:val="005E4AEF"/>
    <w:rsid w:val="005F1AF0"/>
    <w:rsid w:val="006135D4"/>
    <w:rsid w:val="006E49A1"/>
    <w:rsid w:val="00A65455"/>
    <w:rsid w:val="00B03842"/>
    <w:rsid w:val="00B0388C"/>
    <w:rsid w:val="00B04A74"/>
    <w:rsid w:val="00B163EE"/>
    <w:rsid w:val="00BB0D1F"/>
    <w:rsid w:val="00C54EC3"/>
    <w:rsid w:val="00FD3336"/>
    <w:rsid w:val="012ECCF5"/>
    <w:rsid w:val="01A6DABD"/>
    <w:rsid w:val="01ACDD45"/>
    <w:rsid w:val="01B805FA"/>
    <w:rsid w:val="0374D4F6"/>
    <w:rsid w:val="03BD2078"/>
    <w:rsid w:val="04917E3D"/>
    <w:rsid w:val="05525153"/>
    <w:rsid w:val="055FB171"/>
    <w:rsid w:val="05627E81"/>
    <w:rsid w:val="0567CAB0"/>
    <w:rsid w:val="06CC6363"/>
    <w:rsid w:val="0742B34D"/>
    <w:rsid w:val="07D7CC91"/>
    <w:rsid w:val="081B0ABA"/>
    <w:rsid w:val="08498741"/>
    <w:rsid w:val="0870756E"/>
    <w:rsid w:val="08F23953"/>
    <w:rsid w:val="0A116486"/>
    <w:rsid w:val="0A2D7E97"/>
    <w:rsid w:val="0A606967"/>
    <w:rsid w:val="0B2ED8DD"/>
    <w:rsid w:val="0B3290D8"/>
    <w:rsid w:val="0B5C7DB6"/>
    <w:rsid w:val="0B64F1DE"/>
    <w:rsid w:val="0BC59BE8"/>
    <w:rsid w:val="0BDB5D84"/>
    <w:rsid w:val="0BF37BC7"/>
    <w:rsid w:val="0C542FBB"/>
    <w:rsid w:val="0CEE64F2"/>
    <w:rsid w:val="0D378F6B"/>
    <w:rsid w:val="0DDAA006"/>
    <w:rsid w:val="0DFFBFF5"/>
    <w:rsid w:val="0E50C9C6"/>
    <w:rsid w:val="0E9699AD"/>
    <w:rsid w:val="0ED89E4E"/>
    <w:rsid w:val="0F1D1C83"/>
    <w:rsid w:val="0F6B44A7"/>
    <w:rsid w:val="0F7262F7"/>
    <w:rsid w:val="0FE2D46B"/>
    <w:rsid w:val="1041ABF8"/>
    <w:rsid w:val="1072DE51"/>
    <w:rsid w:val="108DCA74"/>
    <w:rsid w:val="10997F0D"/>
    <w:rsid w:val="110FBD16"/>
    <w:rsid w:val="1169892D"/>
    <w:rsid w:val="11B12D4F"/>
    <w:rsid w:val="11D41398"/>
    <w:rsid w:val="12016128"/>
    <w:rsid w:val="12912D43"/>
    <w:rsid w:val="12AE64C4"/>
    <w:rsid w:val="13D08D62"/>
    <w:rsid w:val="14A9DA7E"/>
    <w:rsid w:val="14BE8D66"/>
    <w:rsid w:val="14BF05E1"/>
    <w:rsid w:val="155081CB"/>
    <w:rsid w:val="15A9FAAA"/>
    <w:rsid w:val="15C5545A"/>
    <w:rsid w:val="16916738"/>
    <w:rsid w:val="170887D4"/>
    <w:rsid w:val="1716B800"/>
    <w:rsid w:val="1899EC0F"/>
    <w:rsid w:val="18CBBCA6"/>
    <w:rsid w:val="18D87C26"/>
    <w:rsid w:val="192B56A4"/>
    <w:rsid w:val="1967DFE0"/>
    <w:rsid w:val="19B19CE5"/>
    <w:rsid w:val="19EE86E2"/>
    <w:rsid w:val="1A36C9E0"/>
    <w:rsid w:val="1B37B08E"/>
    <w:rsid w:val="1B59108C"/>
    <w:rsid w:val="1C1E669E"/>
    <w:rsid w:val="1C2F862B"/>
    <w:rsid w:val="1C592713"/>
    <w:rsid w:val="1C6B48E9"/>
    <w:rsid w:val="1D42422D"/>
    <w:rsid w:val="1D6AC044"/>
    <w:rsid w:val="1DBD4350"/>
    <w:rsid w:val="1DC19F65"/>
    <w:rsid w:val="1EAA7769"/>
    <w:rsid w:val="1EFE7C25"/>
    <w:rsid w:val="1F6D9328"/>
    <w:rsid w:val="1FED0452"/>
    <w:rsid w:val="20677606"/>
    <w:rsid w:val="2137C4BB"/>
    <w:rsid w:val="21DF9BB3"/>
    <w:rsid w:val="22D6E82A"/>
    <w:rsid w:val="2366A221"/>
    <w:rsid w:val="239D49F2"/>
    <w:rsid w:val="24019E73"/>
    <w:rsid w:val="245315F9"/>
    <w:rsid w:val="24A6E609"/>
    <w:rsid w:val="24CC599C"/>
    <w:rsid w:val="25100278"/>
    <w:rsid w:val="25109F0B"/>
    <w:rsid w:val="2520BB3D"/>
    <w:rsid w:val="2559A9DE"/>
    <w:rsid w:val="2646A272"/>
    <w:rsid w:val="264A4C12"/>
    <w:rsid w:val="269E6EAE"/>
    <w:rsid w:val="26D78BD1"/>
    <w:rsid w:val="26F54AA8"/>
    <w:rsid w:val="271BA99D"/>
    <w:rsid w:val="27234FFC"/>
    <w:rsid w:val="2755F95E"/>
    <w:rsid w:val="27F4E07B"/>
    <w:rsid w:val="27FE98D2"/>
    <w:rsid w:val="28F54B5D"/>
    <w:rsid w:val="295D5E92"/>
    <w:rsid w:val="29660192"/>
    <w:rsid w:val="29E048B1"/>
    <w:rsid w:val="2AA06F65"/>
    <w:rsid w:val="2B7203C3"/>
    <w:rsid w:val="2B84ED25"/>
    <w:rsid w:val="2BE20CEF"/>
    <w:rsid w:val="2C3CAD9B"/>
    <w:rsid w:val="2C72B2DF"/>
    <w:rsid w:val="2CB47F07"/>
    <w:rsid w:val="2D6CCF43"/>
    <w:rsid w:val="2DCAAE11"/>
    <w:rsid w:val="2DFEF968"/>
    <w:rsid w:val="2E67631F"/>
    <w:rsid w:val="2E819649"/>
    <w:rsid w:val="2F097330"/>
    <w:rsid w:val="2FCE634C"/>
    <w:rsid w:val="2FD49EA6"/>
    <w:rsid w:val="30069AB5"/>
    <w:rsid w:val="30436C55"/>
    <w:rsid w:val="30C48BB5"/>
    <w:rsid w:val="31269808"/>
    <w:rsid w:val="314B5061"/>
    <w:rsid w:val="315908E8"/>
    <w:rsid w:val="315FE886"/>
    <w:rsid w:val="3164789F"/>
    <w:rsid w:val="31720442"/>
    <w:rsid w:val="3245E2E5"/>
    <w:rsid w:val="32760156"/>
    <w:rsid w:val="32F2A4D4"/>
    <w:rsid w:val="33385495"/>
    <w:rsid w:val="3390061C"/>
    <w:rsid w:val="349A18D6"/>
    <w:rsid w:val="34BCE33D"/>
    <w:rsid w:val="35C6F883"/>
    <w:rsid w:val="360D5E26"/>
    <w:rsid w:val="361CBD8A"/>
    <w:rsid w:val="361DD7E1"/>
    <w:rsid w:val="365BE143"/>
    <w:rsid w:val="366FFAB3"/>
    <w:rsid w:val="36C9496E"/>
    <w:rsid w:val="37BB3CF5"/>
    <w:rsid w:val="383A4FA9"/>
    <w:rsid w:val="385913E6"/>
    <w:rsid w:val="394442C9"/>
    <w:rsid w:val="3A2CED72"/>
    <w:rsid w:val="3A305C96"/>
    <w:rsid w:val="3A8D45F6"/>
    <w:rsid w:val="3AA382F0"/>
    <w:rsid w:val="3B7EDAA9"/>
    <w:rsid w:val="3C5917D2"/>
    <w:rsid w:val="3C70C6EC"/>
    <w:rsid w:val="3C85DE51"/>
    <w:rsid w:val="3D2207DD"/>
    <w:rsid w:val="3D902329"/>
    <w:rsid w:val="3DE125CC"/>
    <w:rsid w:val="3ECFDB44"/>
    <w:rsid w:val="3F2062A3"/>
    <w:rsid w:val="3FAB47CA"/>
    <w:rsid w:val="3FED14D4"/>
    <w:rsid w:val="403B8B0D"/>
    <w:rsid w:val="416F6D67"/>
    <w:rsid w:val="41BBAE5D"/>
    <w:rsid w:val="421F0653"/>
    <w:rsid w:val="4261C980"/>
    <w:rsid w:val="42DE3FCE"/>
    <w:rsid w:val="438B5918"/>
    <w:rsid w:val="438E3F0B"/>
    <w:rsid w:val="43C3AD1F"/>
    <w:rsid w:val="43EE14D9"/>
    <w:rsid w:val="4402823D"/>
    <w:rsid w:val="4402FD2E"/>
    <w:rsid w:val="4404C218"/>
    <w:rsid w:val="4471EB35"/>
    <w:rsid w:val="4481FCD8"/>
    <w:rsid w:val="44C119B0"/>
    <w:rsid w:val="44F2CE5F"/>
    <w:rsid w:val="44FC749A"/>
    <w:rsid w:val="4522A1B5"/>
    <w:rsid w:val="457C61EE"/>
    <w:rsid w:val="4598074B"/>
    <w:rsid w:val="45F8EA8D"/>
    <w:rsid w:val="46000606"/>
    <w:rsid w:val="465BEB4D"/>
    <w:rsid w:val="468353B9"/>
    <w:rsid w:val="46840BE3"/>
    <w:rsid w:val="470D2480"/>
    <w:rsid w:val="47536F7A"/>
    <w:rsid w:val="47A58904"/>
    <w:rsid w:val="48456B74"/>
    <w:rsid w:val="4871DCB6"/>
    <w:rsid w:val="4876A53D"/>
    <w:rsid w:val="49131C22"/>
    <w:rsid w:val="491C26A0"/>
    <w:rsid w:val="4A1A2A2A"/>
    <w:rsid w:val="4AB7FAA1"/>
    <w:rsid w:val="4AEDDC56"/>
    <w:rsid w:val="4B2CD7CA"/>
    <w:rsid w:val="4B4C7F47"/>
    <w:rsid w:val="4B534D6F"/>
    <w:rsid w:val="4B7265BF"/>
    <w:rsid w:val="4B8F1745"/>
    <w:rsid w:val="4BCA818F"/>
    <w:rsid w:val="4BE6D82B"/>
    <w:rsid w:val="4C52CA48"/>
    <w:rsid w:val="4CDC20B6"/>
    <w:rsid w:val="4DA37F4F"/>
    <w:rsid w:val="4DCE6F6C"/>
    <w:rsid w:val="4DD43162"/>
    <w:rsid w:val="4E269C27"/>
    <w:rsid w:val="4E2DC449"/>
    <w:rsid w:val="4E7812E1"/>
    <w:rsid w:val="4EDF9CF9"/>
    <w:rsid w:val="4F0BB28A"/>
    <w:rsid w:val="4F5AD656"/>
    <w:rsid w:val="4FA40084"/>
    <w:rsid w:val="50DF2523"/>
    <w:rsid w:val="5192CAE4"/>
    <w:rsid w:val="51DE53AD"/>
    <w:rsid w:val="521B1D1C"/>
    <w:rsid w:val="525EEC2E"/>
    <w:rsid w:val="52B8C30E"/>
    <w:rsid w:val="53480CED"/>
    <w:rsid w:val="5451D038"/>
    <w:rsid w:val="545F446B"/>
    <w:rsid w:val="54C2CBB4"/>
    <w:rsid w:val="54E9497A"/>
    <w:rsid w:val="54F399ED"/>
    <w:rsid w:val="5663904A"/>
    <w:rsid w:val="56F15C73"/>
    <w:rsid w:val="574E4FE0"/>
    <w:rsid w:val="577CBE13"/>
    <w:rsid w:val="57A940B9"/>
    <w:rsid w:val="58258F6B"/>
    <w:rsid w:val="5851A4F2"/>
    <w:rsid w:val="59E9600D"/>
    <w:rsid w:val="5A325925"/>
    <w:rsid w:val="5A870D22"/>
    <w:rsid w:val="5AF74D18"/>
    <w:rsid w:val="5B25FFB4"/>
    <w:rsid w:val="5BBE8E95"/>
    <w:rsid w:val="5C771AAD"/>
    <w:rsid w:val="5C87E451"/>
    <w:rsid w:val="5CB06A8E"/>
    <w:rsid w:val="5CD360BF"/>
    <w:rsid w:val="5D7C8C83"/>
    <w:rsid w:val="5E0A820C"/>
    <w:rsid w:val="5E98F3C6"/>
    <w:rsid w:val="5ED5D6AD"/>
    <w:rsid w:val="5F4304A3"/>
    <w:rsid w:val="5F6D8210"/>
    <w:rsid w:val="5F859C22"/>
    <w:rsid w:val="6002EF04"/>
    <w:rsid w:val="6170E230"/>
    <w:rsid w:val="624230E3"/>
    <w:rsid w:val="6283A016"/>
    <w:rsid w:val="62BD2118"/>
    <w:rsid w:val="62ECF484"/>
    <w:rsid w:val="632AC59F"/>
    <w:rsid w:val="63B603FC"/>
    <w:rsid w:val="63E7FD38"/>
    <w:rsid w:val="644B9531"/>
    <w:rsid w:val="6457A7B8"/>
    <w:rsid w:val="646A4B66"/>
    <w:rsid w:val="649106A8"/>
    <w:rsid w:val="64A502C6"/>
    <w:rsid w:val="65BC0EE0"/>
    <w:rsid w:val="66342B5B"/>
    <w:rsid w:val="664B92E1"/>
    <w:rsid w:val="6678435F"/>
    <w:rsid w:val="67661083"/>
    <w:rsid w:val="67AD8DBA"/>
    <w:rsid w:val="67C63C04"/>
    <w:rsid w:val="67F484F3"/>
    <w:rsid w:val="68F019F4"/>
    <w:rsid w:val="69474BBE"/>
    <w:rsid w:val="69B74EC2"/>
    <w:rsid w:val="6AA4C83C"/>
    <w:rsid w:val="6ABD9768"/>
    <w:rsid w:val="6BD57B31"/>
    <w:rsid w:val="6C9BD2C3"/>
    <w:rsid w:val="6CC8844A"/>
    <w:rsid w:val="6CF3F891"/>
    <w:rsid w:val="6D16FAE1"/>
    <w:rsid w:val="6D196BC6"/>
    <w:rsid w:val="6D8BBD5B"/>
    <w:rsid w:val="6DCFD4C4"/>
    <w:rsid w:val="6DDA38B7"/>
    <w:rsid w:val="6DF60435"/>
    <w:rsid w:val="6DF9906E"/>
    <w:rsid w:val="6E5BCA18"/>
    <w:rsid w:val="6E6B747D"/>
    <w:rsid w:val="6E865A58"/>
    <w:rsid w:val="6E8E4358"/>
    <w:rsid w:val="6ED7BBDA"/>
    <w:rsid w:val="6EEB895E"/>
    <w:rsid w:val="6F55615C"/>
    <w:rsid w:val="6FE0FA68"/>
    <w:rsid w:val="70E750B5"/>
    <w:rsid w:val="70F92A2D"/>
    <w:rsid w:val="7173602B"/>
    <w:rsid w:val="719F885D"/>
    <w:rsid w:val="71C35260"/>
    <w:rsid w:val="71FC07DB"/>
    <w:rsid w:val="72386BDC"/>
    <w:rsid w:val="729A2788"/>
    <w:rsid w:val="72B58297"/>
    <w:rsid w:val="73C08964"/>
    <w:rsid w:val="73E98FD2"/>
    <w:rsid w:val="74022A14"/>
    <w:rsid w:val="7413778C"/>
    <w:rsid w:val="742A2D94"/>
    <w:rsid w:val="7437CB3A"/>
    <w:rsid w:val="746FE58E"/>
    <w:rsid w:val="74750700"/>
    <w:rsid w:val="74F233FA"/>
    <w:rsid w:val="753C4145"/>
    <w:rsid w:val="760CF40C"/>
    <w:rsid w:val="766FE450"/>
    <w:rsid w:val="771002F3"/>
    <w:rsid w:val="7738FA1A"/>
    <w:rsid w:val="779BFAD0"/>
    <w:rsid w:val="7853979D"/>
    <w:rsid w:val="7941F115"/>
    <w:rsid w:val="794C1B4E"/>
    <w:rsid w:val="79F6A4BB"/>
    <w:rsid w:val="7A4A9067"/>
    <w:rsid w:val="7A5CE003"/>
    <w:rsid w:val="7ABA58FA"/>
    <w:rsid w:val="7AD36863"/>
    <w:rsid w:val="7B11B79C"/>
    <w:rsid w:val="7B5EAB99"/>
    <w:rsid w:val="7CAE0934"/>
    <w:rsid w:val="7D05A238"/>
    <w:rsid w:val="7D102F95"/>
    <w:rsid w:val="7D64683C"/>
    <w:rsid w:val="7D73F9A1"/>
    <w:rsid w:val="7E50F6FF"/>
    <w:rsid w:val="7E5FE159"/>
    <w:rsid w:val="7E6C1E35"/>
    <w:rsid w:val="7EEF88EB"/>
    <w:rsid w:val="7F037EE9"/>
    <w:rsid w:val="7F97B22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D89E4E"/>
  <w15:chartTrackingRefBased/>
  <w15:docId w15:val="{12972CA6-C317-49BA-A029-B3CB751B71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58258F6B"/>
    <w:rPr>
      <w:lang w:val="en-GB"/>
    </w:rPr>
  </w:style>
  <w:style w:type="paragraph" w:styleId="Heading1">
    <w:name w:val="heading 1"/>
    <w:basedOn w:val="Normal"/>
    <w:next w:val="Normal"/>
    <w:link w:val="Heading1Char"/>
    <w:uiPriority w:val="9"/>
    <w:qFormat/>
    <w:rsid w:val="58258F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58258F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58258F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58258F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58258F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58258F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58258F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58258F6B"/>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58258F6B"/>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rsid w:val="58258F6B"/>
    <w:pPr>
      <w:spacing w:after="80" w:line="240" w:lineRule="auto"/>
      <w:contextualSpacing/>
    </w:pPr>
    <w:rPr>
      <w:rFonts w:asciiTheme="majorHAnsi" w:eastAsiaTheme="majorEastAsia" w:hAnsiTheme="majorHAnsi" w:cstheme="majorBidi"/>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58258F6B"/>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58258F6B"/>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58258F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3390061C"/>
    <w:rPr>
      <w:color w:val="467886"/>
      <w:u w:val="single"/>
    </w:rPr>
  </w:style>
  <w:style w:type="paragraph" w:styleId="TOC2">
    <w:name w:val="toc 2"/>
    <w:basedOn w:val="Normal"/>
    <w:next w:val="Normal"/>
    <w:uiPriority w:val="39"/>
    <w:unhideWhenUsed/>
    <w:rsid w:val="58258F6B"/>
    <w:pPr>
      <w:spacing w:after="100"/>
      <w:ind w:left="220"/>
    </w:pPr>
  </w:style>
  <w:style w:type="paragraph" w:styleId="ListParagraph">
    <w:name w:val="List Paragraph"/>
    <w:basedOn w:val="Normal"/>
    <w:uiPriority w:val="34"/>
    <w:qFormat/>
    <w:rsid w:val="58258F6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7f583abb162e15951c854b004f062071">
  <xsd:schema xmlns:xsd="http://www.w3.org/2001/XMLSchema" xmlns:xs="http://www.w3.org/2001/XMLSchema" xmlns:p="http://schemas.microsoft.com/office/2006/metadata/properties" xmlns:ns3="0085e1a2-9cbf-4b92-866b-21f3c89040b6" targetNamespace="http://schemas.microsoft.com/office/2006/metadata/properties" ma:root="true" ma:fieldsID="b824c35ee60e8293b0bcb289eecd649a"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B7159691-6DF2-448A-A089-65E57712166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8A0B5BD-4A0E-4643-87DB-325DD82EFCCA}">
  <ds:schemaRefs>
    <ds:schemaRef ds:uri="http://schemas.microsoft.com/sharepoint/v3/contenttype/forms"/>
  </ds:schemaRefs>
</ds:datastoreItem>
</file>

<file path=customXml/itemProps3.xml><?xml version="1.0" encoding="utf-8"?>
<ds:datastoreItem xmlns:ds="http://schemas.openxmlformats.org/officeDocument/2006/customXml" ds:itemID="{A7416DC5-8931-4BB6-849E-945CD3CF2BE7}">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3373</Words>
  <Characters>19229</Characters>
  <Application>Microsoft Office Word</Application>
  <DocSecurity>4</DocSecurity>
  <Lines>160</Lines>
  <Paragraphs>45</Paragraphs>
  <ScaleCrop>false</ScaleCrop>
  <Company/>
  <LinksUpToDate>false</LinksUpToDate>
  <CharactersWithSpaces>22557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Marcia Miller (2406690)</dc:creator>
  <cp:keywords/>
  <dc:description/>
  <cp:lastModifiedBy>Marcia Miller (2406690)</cp:lastModifiedBy>
  <cp:revision>9</cp:revision>
  <dcterms:created xsi:type="dcterms:W3CDTF">2025-11-16T16:37:00Z</dcterms:created>
  <dcterms:modified xsi:type="dcterms:W3CDTF">2025-11-16T02:50:00Z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