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sz w:val="24"/>
          <w:szCs w:val="24"/>
        </w:rPr>
      </w:pPr>
      <w:r>
        <w:rPr>
          <w:rFonts w:hint="eastAsia"/>
          <w:b/>
          <w:bCs/>
          <w:sz w:val="28"/>
          <w:szCs w:val="28"/>
        </w:rPr>
        <w:t>Biophilic and Retro Aesthetics in Reconstructing Soft–Resilient Menswear</w:t>
      </w:r>
    </w:p>
    <w:p>
      <w:pPr>
        <w:ind w:firstLine="3258" w:firstLineChars="1550"/>
        <w:rPr>
          <w:rFonts w:hint="default"/>
          <w:b/>
          <w:bCs/>
          <w:sz w:val="21"/>
          <w:szCs w:val="21"/>
          <w:lang w:val="en-US"/>
        </w:rPr>
      </w:pPr>
    </w:p>
    <w:p>
      <w:pPr>
        <w:rPr>
          <w:rFonts w:hint="default"/>
          <w:b w:val="0"/>
          <w:bCs w:val="0"/>
          <w:sz w:val="18"/>
          <w:szCs w:val="18"/>
          <w:lang w:val="en-US"/>
        </w:rPr>
      </w:pPr>
      <w:r>
        <w:rPr>
          <w:rFonts w:hint="default"/>
          <w:b w:val="0"/>
          <w:bCs w:val="0"/>
          <w:sz w:val="18"/>
          <w:szCs w:val="18"/>
          <w:lang w:val="en-US"/>
        </w:rPr>
        <w:t>University of Wales Trinity Saint David</w:t>
      </w:r>
    </w:p>
    <w:p>
      <w:pPr>
        <w:rPr>
          <w:rFonts w:hint="default"/>
          <w:b w:val="0"/>
          <w:bCs w:val="0"/>
          <w:sz w:val="18"/>
          <w:szCs w:val="18"/>
          <w:lang w:val="en-US"/>
        </w:rPr>
      </w:pPr>
      <w:r>
        <w:rPr>
          <w:rFonts w:hint="default"/>
          <w:b w:val="0"/>
          <w:bCs w:val="0"/>
          <w:sz w:val="18"/>
          <w:szCs w:val="18"/>
          <w:lang w:val="en-US"/>
        </w:rPr>
        <w:t>Professional Doctorate Art &amp; Design</w:t>
      </w:r>
    </w:p>
    <w:p>
      <w:pPr>
        <w:rPr>
          <w:rFonts w:hint="default"/>
          <w:b w:val="0"/>
          <w:bCs w:val="0"/>
          <w:sz w:val="18"/>
          <w:szCs w:val="18"/>
          <w:lang w:val="en-US"/>
        </w:rPr>
      </w:pPr>
      <w:r>
        <w:rPr>
          <w:rFonts w:hint="default"/>
          <w:b w:val="0"/>
          <w:bCs w:val="0"/>
          <w:sz w:val="18"/>
          <w:szCs w:val="18"/>
          <w:lang w:val="en-US"/>
        </w:rPr>
        <w:t>Syudent name:Qiubing Liu</w:t>
      </w:r>
    </w:p>
    <w:p>
      <w:pPr>
        <w:rPr>
          <w:rFonts w:hint="default"/>
          <w:b w:val="0"/>
          <w:bCs w:val="0"/>
          <w:sz w:val="18"/>
          <w:szCs w:val="18"/>
          <w:lang w:val="en-US"/>
        </w:rPr>
      </w:pPr>
      <w:r>
        <w:rPr>
          <w:rFonts w:hint="default"/>
          <w:b w:val="0"/>
          <w:bCs w:val="0"/>
          <w:sz w:val="18"/>
          <w:szCs w:val="18"/>
          <w:lang w:val="en-US"/>
        </w:rPr>
        <w:t>Student number:2426081</w:t>
      </w:r>
    </w:p>
    <w:p>
      <w:pPr>
        <w:ind w:firstLine="3258" w:firstLineChars="1550"/>
        <w:rPr>
          <w:rFonts w:hint="default"/>
          <w:b/>
          <w:bCs/>
          <w:sz w:val="21"/>
          <w:szCs w:val="21"/>
          <w:lang w:val="en-US"/>
        </w:rPr>
      </w:pPr>
    </w:p>
    <w:p>
      <w:pPr>
        <w:ind w:firstLine="3258" w:firstLineChars="1550"/>
        <w:rPr>
          <w:rFonts w:hint="default"/>
          <w:b/>
          <w:bCs/>
          <w:sz w:val="21"/>
          <w:szCs w:val="21"/>
          <w:lang w:val="en-US"/>
        </w:rPr>
      </w:pPr>
    </w:p>
    <w:p>
      <w:pPr>
        <w:ind w:firstLine="3258" w:firstLineChars="1550"/>
        <w:rPr>
          <w:rFonts w:hint="default"/>
          <w:b/>
          <w:bCs/>
          <w:sz w:val="21"/>
          <w:szCs w:val="21"/>
          <w:lang w:val="en-US"/>
        </w:rPr>
      </w:pPr>
    </w:p>
    <w:p>
      <w:pPr>
        <w:ind w:firstLine="3258" w:firstLineChars="1550"/>
        <w:rPr>
          <w:rFonts w:hint="default"/>
          <w:b/>
          <w:bCs/>
          <w:sz w:val="21"/>
          <w:szCs w:val="21"/>
          <w:lang w:val="en-US"/>
        </w:rPr>
      </w:pPr>
    </w:p>
    <w:p>
      <w:pPr>
        <w:ind w:firstLine="3258" w:firstLineChars="1550"/>
        <w:rPr>
          <w:rFonts w:hint="default"/>
          <w:b/>
          <w:bCs/>
          <w:sz w:val="21"/>
          <w:szCs w:val="21"/>
          <w:lang w:val="en-US"/>
        </w:rPr>
      </w:pPr>
    </w:p>
    <w:p>
      <w:pPr>
        <w:ind w:firstLine="3223" w:firstLineChars="1150"/>
        <w:rPr>
          <w:rFonts w:hint="default"/>
          <w:b/>
          <w:bCs/>
          <w:sz w:val="28"/>
          <w:szCs w:val="28"/>
          <w:lang w:val="en-US"/>
        </w:rPr>
      </w:pPr>
      <w:r>
        <w:rPr>
          <w:rFonts w:hint="default"/>
          <w:b/>
          <w:bCs/>
          <w:sz w:val="28"/>
          <w:szCs w:val="28"/>
          <w:lang w:val="en-US"/>
        </w:rPr>
        <w:t>contents</w:t>
      </w:r>
    </w:p>
    <w:p>
      <w:pPr>
        <w:keepNext w:val="0"/>
        <w:keepLines w:val="0"/>
        <w:widowControl/>
        <w:suppressLineNumbers w:val="0"/>
        <w:jc w:val="left"/>
        <w:rPr>
          <w:rFonts w:hint="default"/>
          <w:sz w:val="21"/>
          <w:szCs w:val="21"/>
          <w:lang w:val="en-US"/>
        </w:rPr>
      </w:pPr>
      <w:r>
        <w:rPr>
          <w:rFonts w:ascii="Helvetica Neue" w:hAnsi="Helvetica Neue" w:eastAsia="Helvetica Neue" w:cs="Helvetica Neue"/>
          <w:b/>
          <w:bCs/>
          <w:color w:val="000000"/>
          <w:kern w:val="0"/>
          <w:sz w:val="24"/>
          <w:szCs w:val="24"/>
          <w:lang w:val="en-US" w:eastAsia="zh-CN" w:bidi="ar"/>
        </w:rPr>
        <w:t>I.</w:t>
      </w:r>
      <w:r>
        <w:rPr>
          <w:rFonts w:hint="eastAsia"/>
          <w:b/>
          <w:bCs/>
          <w:sz w:val="21"/>
          <w:szCs w:val="21"/>
        </w:rPr>
        <w:t xml:space="preserve"> Introduction</w:t>
      </w:r>
      <w:r>
        <w:rPr>
          <w:rFonts w:hint="default"/>
          <w:b/>
          <w:bCs/>
          <w:sz w:val="21"/>
          <w:szCs w:val="21"/>
          <w:lang w:val="en-US"/>
        </w:rPr>
        <w:t xml:space="preserve"> and </w:t>
      </w:r>
      <w:r>
        <w:rPr>
          <w:rFonts w:hint="default"/>
          <w:b/>
          <w:bCs/>
          <w:sz w:val="21"/>
          <w:szCs w:val="21"/>
          <w:lang w:val="en-US" w:eastAsia="zh-CN"/>
        </w:rPr>
        <w:t>research context</w:t>
      </w:r>
    </w:p>
    <w:p>
      <w:pPr>
        <w:keepNext w:val="0"/>
        <w:keepLines w:val="0"/>
        <w:widowControl/>
        <w:suppressLineNumbers w:val="0"/>
        <w:jc w:val="left"/>
        <w:rPr>
          <w:rFonts w:hint="eastAsia"/>
          <w:b/>
          <w:bCs/>
          <w:sz w:val="21"/>
          <w:szCs w:val="21"/>
        </w:rPr>
      </w:pPr>
      <w:r>
        <w:rPr>
          <w:rFonts w:ascii="Helvetica Neue" w:hAnsi="Helvetica Neue" w:eastAsia="Helvetica Neue" w:cs="Helvetica Neue"/>
          <w:b/>
          <w:bCs/>
          <w:color w:val="000000"/>
          <w:kern w:val="0"/>
          <w:sz w:val="24"/>
          <w:szCs w:val="24"/>
          <w:lang w:val="en-US" w:eastAsia="zh-CN" w:bidi="ar"/>
        </w:rPr>
        <w:t>II.</w:t>
      </w:r>
      <w:r>
        <w:rPr>
          <w:rFonts w:hint="eastAsia" w:ascii="Helvetica Neue" w:hAnsi="Helvetica Neue" w:eastAsia="Helvetica Neue" w:cs="Helvetica Neue"/>
          <w:b/>
          <w:bCs/>
          <w:color w:val="000000"/>
          <w:kern w:val="0"/>
          <w:sz w:val="24"/>
          <w:szCs w:val="24"/>
          <w:lang w:val="en-US" w:eastAsia="zh-CN" w:bidi="ar"/>
        </w:rPr>
        <w:t xml:space="preserve"> </w:t>
      </w:r>
      <w:r>
        <w:rPr>
          <w:rFonts w:hint="eastAsia"/>
          <w:b/>
          <w:bCs/>
          <w:sz w:val="21"/>
          <w:szCs w:val="21"/>
        </w:rPr>
        <w:t>Ontological Position</w:t>
      </w:r>
    </w:p>
    <w:p>
      <w:pPr>
        <w:rPr>
          <w:rFonts w:hint="eastAsia"/>
          <w:b w:val="0"/>
          <w:bCs w:val="0"/>
          <w:sz w:val="18"/>
          <w:szCs w:val="18"/>
        </w:rPr>
      </w:pPr>
      <w:r>
        <w:rPr>
          <w:rFonts w:hint="eastAsia"/>
          <w:b w:val="0"/>
          <w:bCs w:val="0"/>
          <w:sz w:val="18"/>
          <w:szCs w:val="18"/>
        </w:rPr>
        <w:t>2.1 The Existence of Masculine Grace: From Cultural Suppression to the Emergence of Embodied Structures</w:t>
      </w:r>
    </w:p>
    <w:p>
      <w:pPr>
        <w:rPr>
          <w:rFonts w:hint="eastAsia"/>
          <w:b w:val="0"/>
          <w:bCs w:val="0"/>
          <w:sz w:val="18"/>
          <w:szCs w:val="18"/>
        </w:rPr>
      </w:pPr>
      <w:r>
        <w:rPr>
          <w:rFonts w:hint="eastAsia"/>
          <w:b w:val="0"/>
          <w:bCs w:val="0"/>
          <w:sz w:val="18"/>
          <w:szCs w:val="18"/>
        </w:rPr>
        <w:t>2.2 Retro Aesthetics as a Mode of Being: Contemporary Reactivation within a Historical Horizon</w:t>
      </w:r>
    </w:p>
    <w:p>
      <w:pPr>
        <w:rPr>
          <w:rFonts w:hint="default"/>
          <w:b w:val="0"/>
          <w:bCs w:val="0"/>
          <w:sz w:val="21"/>
          <w:szCs w:val="21"/>
          <w:lang w:val="en-US"/>
        </w:rPr>
      </w:pPr>
      <w:r>
        <w:rPr>
          <w:rFonts w:hint="eastAsia"/>
          <w:b w:val="0"/>
          <w:bCs w:val="0"/>
          <w:sz w:val="18"/>
          <w:szCs w:val="18"/>
        </w:rPr>
        <w:t>2.3 ‘Nature, Retro, Male Body’ as a Worldview: The Ontological Foundation of the Supple Gentleman</w:t>
      </w:r>
    </w:p>
    <w:p>
      <w:pPr>
        <w:keepNext w:val="0"/>
        <w:keepLines w:val="0"/>
        <w:widowControl/>
        <w:suppressLineNumbers w:val="0"/>
        <w:jc w:val="left"/>
        <w:rPr>
          <w:rFonts w:hint="eastAsia"/>
          <w:sz w:val="22"/>
          <w:szCs w:val="22"/>
        </w:rPr>
      </w:pPr>
      <w:r>
        <w:rPr>
          <w:rFonts w:ascii="Helvetica Neue" w:hAnsi="Helvetica Neue" w:eastAsia="Helvetica Neue" w:cs="Helvetica Neue"/>
          <w:b/>
          <w:bCs/>
          <w:color w:val="000000"/>
          <w:kern w:val="0"/>
          <w:sz w:val="24"/>
          <w:szCs w:val="24"/>
          <w:lang w:val="en-US" w:eastAsia="zh-CN" w:bidi="ar"/>
        </w:rPr>
        <w:t>III.</w:t>
      </w:r>
      <w:r>
        <w:rPr>
          <w:rFonts w:hint="eastAsia" w:ascii="Helvetica Neue" w:hAnsi="Helvetica Neue" w:eastAsia="Helvetica Neue" w:cs="Helvetica Neue"/>
          <w:b/>
          <w:bCs/>
          <w:color w:val="000000"/>
          <w:kern w:val="0"/>
          <w:sz w:val="24"/>
          <w:szCs w:val="24"/>
          <w:lang w:val="en-US" w:eastAsia="zh-CN" w:bidi="ar"/>
        </w:rPr>
        <w:t xml:space="preserve"> </w:t>
      </w:r>
      <w:r>
        <w:rPr>
          <w:rFonts w:hint="eastAsia"/>
          <w:b/>
          <w:bCs/>
          <w:sz w:val="21"/>
          <w:szCs w:val="21"/>
        </w:rPr>
        <w:t>Epistemological Position</w:t>
      </w:r>
    </w:p>
    <w:p>
      <w:pPr>
        <w:rPr>
          <w:rFonts w:hint="eastAsia"/>
          <w:b w:val="0"/>
          <w:bCs w:val="0"/>
          <w:sz w:val="18"/>
          <w:szCs w:val="18"/>
        </w:rPr>
      </w:pPr>
      <w:r>
        <w:rPr>
          <w:rFonts w:hint="eastAsia"/>
          <w:b w:val="0"/>
          <w:bCs w:val="0"/>
          <w:sz w:val="18"/>
          <w:szCs w:val="18"/>
        </w:rPr>
        <w:t>3.1 Practice-as-Research: Generating Knowledge Through Practice</w:t>
      </w:r>
    </w:p>
    <w:p>
      <w:pPr>
        <w:rPr>
          <w:rFonts w:hint="eastAsia"/>
          <w:b w:val="0"/>
          <w:bCs w:val="0"/>
          <w:sz w:val="18"/>
          <w:szCs w:val="18"/>
        </w:rPr>
      </w:pPr>
      <w:r>
        <w:rPr>
          <w:rFonts w:hint="eastAsia"/>
          <w:b w:val="0"/>
          <w:bCs w:val="0"/>
          <w:sz w:val="18"/>
          <w:szCs w:val="18"/>
        </w:rPr>
        <w:t>3.2 Transdisciplinary Epistemology: The Formation of Knowledge Systems for Reconstructing Masculine Femininity</w:t>
      </w:r>
    </w:p>
    <w:p>
      <w:pPr>
        <w:rPr>
          <w:rFonts w:hint="eastAsia"/>
          <w:b w:val="0"/>
          <w:bCs w:val="0"/>
          <w:sz w:val="18"/>
          <w:szCs w:val="18"/>
        </w:rPr>
      </w:pPr>
      <w:r>
        <w:rPr>
          <w:rFonts w:hint="eastAsia"/>
          <w:b w:val="0"/>
          <w:bCs w:val="0"/>
          <w:sz w:val="18"/>
          <w:szCs w:val="18"/>
        </w:rPr>
        <w:t>3.3 Validity: Ensuring Credibility in Knowledge Production</w:t>
      </w:r>
    </w:p>
    <w:p>
      <w:pPr>
        <w:rPr>
          <w:rFonts w:hint="eastAsia"/>
          <w:b/>
          <w:bCs/>
          <w:sz w:val="18"/>
          <w:szCs w:val="18"/>
        </w:rPr>
      </w:pPr>
      <w:r>
        <w:rPr>
          <w:rFonts w:hint="eastAsia"/>
          <w:b/>
          <w:bCs/>
          <w:sz w:val="22"/>
          <w:szCs w:val="22"/>
          <w:lang w:val="en-US" w:eastAsia="zh-CN"/>
        </w:rPr>
        <w:t>I</w:t>
      </w:r>
      <w:r>
        <w:rPr>
          <w:rFonts w:hint="eastAsia"/>
          <w:b/>
          <w:bCs/>
          <w:sz w:val="22"/>
          <w:szCs w:val="22"/>
        </w:rPr>
        <w:t>V. Theory of Values</w:t>
      </w:r>
    </w:p>
    <w:p>
      <w:pPr>
        <w:rPr>
          <w:rFonts w:hint="eastAsia"/>
          <w:b w:val="0"/>
          <w:bCs w:val="0"/>
          <w:sz w:val="18"/>
          <w:szCs w:val="18"/>
        </w:rPr>
      </w:pPr>
      <w:r>
        <w:rPr>
          <w:rFonts w:hint="eastAsia"/>
          <w:b w:val="0"/>
          <w:bCs w:val="0"/>
          <w:sz w:val="18"/>
          <w:szCs w:val="18"/>
        </w:rPr>
        <w:t>4.1 The Force Logic of Flexibility and Gentility: Reconstructing the Rigid Masculine Paradigm</w:t>
      </w:r>
    </w:p>
    <w:p>
      <w:pPr>
        <w:rPr>
          <w:rFonts w:hint="eastAsia"/>
          <w:b w:val="0"/>
          <w:bCs w:val="0"/>
          <w:sz w:val="18"/>
          <w:szCs w:val="18"/>
        </w:rPr>
      </w:pPr>
      <w:r>
        <w:rPr>
          <w:rFonts w:hint="eastAsia"/>
          <w:b w:val="0"/>
          <w:bCs w:val="0"/>
          <w:sz w:val="18"/>
          <w:szCs w:val="18"/>
        </w:rPr>
        <w:t>4.2 Ecological Ethics: Inspiration from Natural Systems for Design Values</w:t>
      </w:r>
    </w:p>
    <w:p>
      <w:pPr>
        <w:rPr>
          <w:rFonts w:hint="eastAsia"/>
          <w:b w:val="0"/>
          <w:bCs w:val="0"/>
          <w:sz w:val="21"/>
          <w:szCs w:val="21"/>
        </w:rPr>
      </w:pPr>
      <w:r>
        <w:rPr>
          <w:rFonts w:hint="eastAsia"/>
          <w:b w:val="0"/>
          <w:bCs w:val="0"/>
          <w:sz w:val="18"/>
          <w:szCs w:val="18"/>
        </w:rPr>
        <w:t>4.3 Subjectivity and Cross-Cultural Positionality: The Cultural Foundations of Research Value</w:t>
      </w:r>
    </w:p>
    <w:p>
      <w:pPr>
        <w:rPr>
          <w:rFonts w:hint="eastAsia"/>
          <w:b/>
          <w:bCs/>
          <w:sz w:val="21"/>
          <w:szCs w:val="21"/>
        </w:rPr>
      </w:pPr>
      <w:r>
        <w:rPr>
          <w:rFonts w:hint="eastAsia"/>
          <w:b/>
          <w:bCs/>
          <w:sz w:val="21"/>
          <w:szCs w:val="21"/>
        </w:rPr>
        <w:t>V. Critical Discussion: Theory-Practice Integration</w:t>
      </w:r>
    </w:p>
    <w:p>
      <w:pPr>
        <w:rPr>
          <w:rFonts w:hint="eastAsia"/>
          <w:b w:val="0"/>
          <w:bCs w:val="0"/>
          <w:sz w:val="18"/>
          <w:szCs w:val="18"/>
        </w:rPr>
      </w:pPr>
      <w:r>
        <w:rPr>
          <w:rFonts w:hint="eastAsia"/>
          <w:b w:val="0"/>
          <w:bCs w:val="0"/>
          <w:sz w:val="18"/>
          <w:szCs w:val="18"/>
          <w:lang w:val="en-US" w:eastAsia="zh-CN"/>
        </w:rPr>
        <w:t>5</w:t>
      </w:r>
      <w:r>
        <w:rPr>
          <w:rFonts w:hint="eastAsia"/>
          <w:b w:val="0"/>
          <w:bCs w:val="0"/>
          <w:sz w:val="18"/>
          <w:szCs w:val="18"/>
        </w:rPr>
        <w:t>.1 Cultural and Structural Shifts in Masculine Femininity: From Emotional Expression to Body Language</w:t>
      </w:r>
    </w:p>
    <w:p>
      <w:pPr>
        <w:rPr>
          <w:rFonts w:hint="eastAsia"/>
          <w:b w:val="0"/>
          <w:bCs w:val="0"/>
          <w:sz w:val="18"/>
          <w:szCs w:val="18"/>
        </w:rPr>
      </w:pPr>
      <w:r>
        <w:rPr>
          <w:rFonts w:hint="eastAsia"/>
          <w:b w:val="0"/>
          <w:bCs w:val="0"/>
          <w:sz w:val="18"/>
          <w:szCs w:val="18"/>
          <w:lang w:val="en-US" w:eastAsia="zh-CN"/>
        </w:rPr>
        <w:t>5</w:t>
      </w:r>
      <w:r>
        <w:rPr>
          <w:rFonts w:hint="eastAsia"/>
          <w:b w:val="0"/>
          <w:bCs w:val="0"/>
          <w:sz w:val="18"/>
          <w:szCs w:val="18"/>
        </w:rPr>
        <w:t>.2 Retro and Nature: The Generative Logic of Flexible Structural Language</w:t>
      </w:r>
    </w:p>
    <w:p>
      <w:pPr>
        <w:rPr>
          <w:rFonts w:hint="eastAsia"/>
          <w:b w:val="0"/>
          <w:bCs w:val="0"/>
          <w:sz w:val="18"/>
          <w:szCs w:val="18"/>
        </w:rPr>
      </w:pPr>
      <w:r>
        <w:rPr>
          <w:rFonts w:hint="eastAsia"/>
          <w:b w:val="0"/>
          <w:bCs w:val="0"/>
          <w:sz w:val="18"/>
          <w:szCs w:val="18"/>
          <w:lang w:val="en-US" w:eastAsia="zh-CN"/>
        </w:rPr>
        <w:t>5</w:t>
      </w:r>
      <w:r>
        <w:rPr>
          <w:rFonts w:hint="eastAsia"/>
          <w:b w:val="0"/>
          <w:bCs w:val="0"/>
          <w:sz w:val="18"/>
          <w:szCs w:val="18"/>
        </w:rPr>
        <w:t>.3 Historical Rebellion and Global Femininity: The Dual Revelations of Dandyism and International Fashion</w:t>
      </w:r>
    </w:p>
    <w:p>
      <w:pPr>
        <w:rPr>
          <w:rFonts w:hint="eastAsia"/>
          <w:b w:val="0"/>
          <w:bCs w:val="0"/>
          <w:sz w:val="18"/>
          <w:szCs w:val="18"/>
        </w:rPr>
      </w:pPr>
      <w:r>
        <w:rPr>
          <w:rFonts w:hint="eastAsia"/>
          <w:b w:val="0"/>
          <w:bCs w:val="0"/>
          <w:sz w:val="18"/>
          <w:szCs w:val="18"/>
          <w:lang w:val="en-US" w:eastAsia="zh-CN"/>
        </w:rPr>
        <w:t>5</w:t>
      </w:r>
      <w:r>
        <w:rPr>
          <w:rFonts w:hint="eastAsia"/>
          <w:b w:val="0"/>
          <w:bCs w:val="0"/>
          <w:sz w:val="18"/>
          <w:szCs w:val="18"/>
        </w:rPr>
        <w:t>.4 Cross-Cultural Perspectives and Contributions from Chinese Designers: Eastern Extensions of Flexible Language</w:t>
      </w:r>
    </w:p>
    <w:p>
      <w:pPr>
        <w:keepNext w:val="0"/>
        <w:keepLines w:val="0"/>
        <w:widowControl/>
        <w:suppressLineNumbers w:val="0"/>
        <w:jc w:val="left"/>
        <w:rPr>
          <w:rFonts w:hint="eastAsia" w:eastAsia="宋体"/>
          <w:b/>
          <w:bCs/>
          <w:sz w:val="21"/>
          <w:szCs w:val="21"/>
          <w:lang w:eastAsia="zh-CN"/>
        </w:rPr>
      </w:pPr>
      <w:r>
        <w:rPr>
          <w:rFonts w:ascii="Helvetica Neue" w:hAnsi="Helvetica Neue" w:eastAsia="Helvetica Neue" w:cs="Helvetica Neue"/>
          <w:b/>
          <w:bCs/>
          <w:color w:val="000000"/>
          <w:kern w:val="0"/>
          <w:sz w:val="24"/>
          <w:szCs w:val="24"/>
          <w:lang w:val="en-US" w:eastAsia="zh-CN" w:bidi="ar"/>
        </w:rPr>
        <w:t>VI.</w:t>
      </w:r>
      <w:r>
        <w:rPr>
          <w:rFonts w:hint="eastAsia" w:ascii="Helvetica Neue" w:hAnsi="Helvetica Neue" w:eastAsia="Helvetica Neue" w:cs="Helvetica Neue"/>
          <w:b/>
          <w:bCs/>
          <w:color w:val="000000"/>
          <w:kern w:val="0"/>
          <w:sz w:val="24"/>
          <w:szCs w:val="24"/>
          <w:lang w:val="en-US" w:eastAsia="zh-CN" w:bidi="ar"/>
        </w:rPr>
        <w:t xml:space="preserve"> </w:t>
      </w:r>
      <w:r>
        <w:rPr>
          <w:rFonts w:hint="eastAsia"/>
          <w:b/>
          <w:bCs/>
          <w:sz w:val="21"/>
          <w:szCs w:val="21"/>
        </w:rPr>
        <w:t>Conclusion</w:t>
      </w:r>
    </w:p>
    <w:p>
      <w:pPr>
        <w:numPr>
          <w:ilvl w:val="0"/>
          <w:numId w:val="0"/>
        </w:numPr>
        <w:rPr>
          <w:rFonts w:hint="default"/>
          <w:b/>
          <w:bCs/>
          <w:sz w:val="24"/>
          <w:szCs w:val="24"/>
          <w:lang w:val="en-US" w:eastAsia="zh-CN"/>
        </w:rPr>
      </w:pPr>
      <w:r>
        <w:rPr>
          <w:rFonts w:hint="default"/>
          <w:b/>
          <w:bCs/>
          <w:sz w:val="24"/>
          <w:szCs w:val="32"/>
          <w:lang w:val="en-US"/>
        </w:rPr>
        <w:t>References list</w:t>
      </w:r>
    </w:p>
    <w:p>
      <w:pPr>
        <w:rPr>
          <w:rFonts w:hint="eastAsia"/>
          <w:b/>
          <w:bCs/>
          <w:sz w:val="21"/>
          <w:szCs w:val="21"/>
        </w:rPr>
      </w:pPr>
    </w:p>
    <w:p>
      <w:pPr>
        <w:rPr>
          <w:rFonts w:hint="eastAsia"/>
          <w:b/>
          <w:bCs/>
          <w:sz w:val="21"/>
          <w:szCs w:val="21"/>
        </w:rPr>
      </w:pPr>
    </w:p>
    <w:p>
      <w:pPr>
        <w:rPr>
          <w:rFonts w:hint="eastAsia"/>
          <w:b/>
          <w:bCs/>
          <w:sz w:val="21"/>
          <w:szCs w:val="21"/>
        </w:rPr>
      </w:pPr>
    </w:p>
    <w:p>
      <w:pPr>
        <w:keepNext w:val="0"/>
        <w:keepLines w:val="0"/>
        <w:widowControl/>
        <w:suppressLineNumbers w:val="0"/>
        <w:jc w:val="left"/>
        <w:rPr>
          <w:rFonts w:hint="default" w:eastAsia="宋体"/>
          <w:sz w:val="21"/>
          <w:szCs w:val="21"/>
          <w:lang w:val="en-US" w:eastAsia="zh-CN"/>
        </w:rPr>
      </w:pPr>
      <w:r>
        <w:rPr>
          <w:rFonts w:ascii="Helvetica Neue" w:hAnsi="Helvetica Neue" w:eastAsia="Helvetica Neue" w:cs="Helvetica Neue"/>
          <w:b/>
          <w:bCs/>
          <w:color w:val="000000"/>
          <w:kern w:val="0"/>
          <w:sz w:val="24"/>
          <w:szCs w:val="24"/>
          <w:lang w:val="en-US" w:eastAsia="zh-CN" w:bidi="ar"/>
        </w:rPr>
        <w:t>I.</w:t>
      </w:r>
      <w:r>
        <w:rPr>
          <w:rFonts w:hint="eastAsia"/>
          <w:b/>
          <w:bCs/>
          <w:sz w:val="21"/>
          <w:szCs w:val="21"/>
        </w:rPr>
        <w:t xml:space="preserve"> Introduction</w:t>
      </w:r>
      <w:r>
        <w:rPr>
          <w:rFonts w:hint="eastAsia"/>
          <w:b/>
          <w:bCs/>
          <w:sz w:val="21"/>
          <w:szCs w:val="21"/>
          <w:lang w:val="en-US" w:eastAsia="zh-CN"/>
        </w:rPr>
        <w:t xml:space="preserve"> </w:t>
      </w:r>
      <w:r>
        <w:rPr>
          <w:rFonts w:hint="default"/>
          <w:b/>
          <w:bCs/>
          <w:sz w:val="21"/>
          <w:szCs w:val="21"/>
          <w:lang w:val="en-US" w:eastAsia="zh-CN"/>
        </w:rPr>
        <w:t>and research context</w:t>
      </w:r>
    </w:p>
    <w:p>
      <w:pPr>
        <w:rPr>
          <w:rFonts w:hint="eastAsia"/>
          <w:sz w:val="18"/>
          <w:szCs w:val="18"/>
        </w:rPr>
      </w:pPr>
      <w:r>
        <w:rPr>
          <w:rFonts w:hint="eastAsia"/>
          <w:sz w:val="18"/>
          <w:szCs w:val="18"/>
        </w:rPr>
        <w:t>Within contemporary visual culture and fashion discourse, masculine grace has long occupied a repressed position. Its disappearance is not a natural evolution, but rather the result of modern society's disciplining of male bodies and emotional expression. As industrialisation ushered in functionalism and rational aesthetics, male attire gradually shifted from the curves, ornamentation, and lightness of the Baroque and Rococo periods towards ruggedness, simplification, and restraint. Grace was progressively stripped away as an aesthetic category deemed ‘unmanly’. Consequently, this study focuses on a pivotal cultural rupture: why has femininity been excluded from contemporary masculinity?</w:t>
      </w:r>
    </w:p>
    <w:p>
      <w:pPr>
        <w:rPr>
          <w:rFonts w:hint="eastAsia"/>
          <w:sz w:val="18"/>
          <w:szCs w:val="18"/>
        </w:rPr>
      </w:pPr>
    </w:p>
    <w:p>
      <w:pPr>
        <w:rPr>
          <w:rFonts w:hint="eastAsia"/>
          <w:sz w:val="18"/>
          <w:szCs w:val="18"/>
        </w:rPr>
      </w:pPr>
      <w:r>
        <w:rPr>
          <w:rFonts w:hint="eastAsia"/>
          <w:sz w:val="18"/>
          <w:szCs w:val="18"/>
        </w:rPr>
        <w:t>Butler's (1990) theory of gender performance posits that gender is ‘the result of the body being repeatedly stylised,’ implying that femininity is not absent from male essence but actively excluded through normative performance. Concurrently, Connell's (1995) concept of hegemonic masculinity reinforces strength, restraint, and emotional suppression, making it difficult for men to engage with emotional dimensions such as softness, intimacy, and vulnerability. This constructs softness as a deviant risk symbol. Meanwhile, fashion theory continually emphasises clothing as an extension of bodily culture, possessing the function of externalising emotions and social meanings. Wilson (2003) observes that clothing perpetually participates in the visual production of identity and desire. The contemporary contraction of menswear language renders the traditional ‘masculinity = ruggedness’ narrative increasingly incapable of encompassing new identity experiences. Consequently, reactivating masculine softness transcends aesthetic concerns, engaging instead with the renegotiation of bodily politics.</w:t>
      </w:r>
    </w:p>
    <w:p>
      <w:pPr>
        <w:rPr>
          <w:rFonts w:hint="eastAsia"/>
          <w:sz w:val="18"/>
          <w:szCs w:val="18"/>
        </w:rPr>
      </w:pPr>
    </w:p>
    <w:p>
      <w:pPr>
        <w:rPr>
          <w:rFonts w:hint="eastAsia"/>
          <w:sz w:val="18"/>
          <w:szCs w:val="18"/>
        </w:rPr>
      </w:pPr>
      <w:r>
        <w:rPr>
          <w:rFonts w:hint="eastAsia"/>
          <w:sz w:val="18"/>
          <w:szCs w:val="18"/>
        </w:rPr>
        <w:t>This study specifically examines the potential of natural forms and retro aesthetics in constructing softness. Biophilic theory (Kellert &amp; Calabrese, 2015) highlights deep psychological and aesthetic connections between humans and natural structures; the branching and layered patterns of leaf veins, root systems, or mycelia embody a ‘soft-but-strong’ logic of life. Previous practice analyses demonstrate that when these natural structures are transposed onto the male body, they generate a ‘soft ecological body,’ offering new structural metaphors for masculinity that transcend industrial rigidity.</w:t>
      </w:r>
    </w:p>
    <w:p>
      <w:pPr>
        <w:rPr>
          <w:rFonts w:hint="eastAsia"/>
          <w:sz w:val="18"/>
          <w:szCs w:val="18"/>
        </w:rPr>
      </w:pPr>
    </w:p>
    <w:p>
      <w:pPr>
        <w:rPr>
          <w:rFonts w:hint="eastAsia"/>
          <w:sz w:val="18"/>
          <w:szCs w:val="18"/>
        </w:rPr>
      </w:pPr>
      <w:r>
        <w:rPr>
          <w:rFonts w:hint="eastAsia"/>
          <w:sz w:val="18"/>
          <w:szCs w:val="18"/>
        </w:rPr>
        <w:t>Although masculine softness has garnered increasing attention in recent gender and cultural studies, existing literature remains predominantly centred on gender theory or the history of dress itself. A systematic theoretical framework for the interdisciplinary visual construction of ‘nature, retro, masculine softness’ remains lacking. Particularly within design research, how softness is regenerated at the levels of structural logic, material behaviour, and cultural symbolism remains an under-explored academic void. In other words, research has yet to address whether male softness can transcend traditional aesthetic frameworks to become a verifiable structural language, wearable material characteristic, and culturally legitimate mode of bodily expression. Consequently, these unresolved questions converge upon the overarching research inquiry: How can male softness be reconstructed as a soft–resilient structural and aesthetic language through the integration of retro menswear silhouettes, natural biophilic forms, and practice-led methods, in order to rethink masculinity in a culturally and ecologically grounded way? This research thus concerns not only the cultural redefinition of softness, but also seeks to propose a contemporary model of masculinity that combines cultural depth with ecological resilience through the integration of structural experimentation, natural logic, and historical perspective.</w:t>
      </w:r>
    </w:p>
    <w:p>
      <w:pPr>
        <w:rPr>
          <w:rFonts w:hint="eastAsia"/>
          <w:sz w:val="18"/>
          <w:szCs w:val="18"/>
        </w:rPr>
      </w:pPr>
    </w:p>
    <w:p>
      <w:pPr>
        <w:rPr>
          <w:rFonts w:hint="eastAsia"/>
          <w:sz w:val="18"/>
          <w:szCs w:val="18"/>
        </w:rPr>
      </w:pPr>
      <w:r>
        <w:rPr>
          <w:rFonts w:hint="eastAsia"/>
          <w:sz w:val="18"/>
          <w:szCs w:val="18"/>
        </w:rPr>
        <w:t>Combining ontological, epistemological, and ethical dimensions, and employing practice as a mode of knowledge production, this research will construct a new visual language of softness through raw fabric structural experiments, sketching and AI image generation, model recruitment, and a planned visual presentation. Ultimately, it aims to liberate male softness from long-term cultural suppression, transforming it into a contemporary mode of expression with aesthetic, ethical, and ecological significance.</w:t>
      </w:r>
    </w:p>
    <w:p>
      <w:pPr>
        <w:rPr>
          <w:rFonts w:hint="eastAsia"/>
          <w:sz w:val="18"/>
          <w:szCs w:val="18"/>
        </w:rPr>
      </w:pPr>
    </w:p>
    <w:p>
      <w:pPr>
        <w:rPr>
          <w:rFonts w:hint="eastAsia"/>
          <w:sz w:val="18"/>
          <w:szCs w:val="18"/>
        </w:rPr>
      </w:pPr>
    </w:p>
    <w:p>
      <w:pPr>
        <w:rPr>
          <w:rFonts w:hint="eastAsia"/>
          <w:sz w:val="18"/>
          <w:szCs w:val="18"/>
        </w:rPr>
      </w:pPr>
    </w:p>
    <w:p>
      <w:pPr>
        <w:rPr>
          <w:rFonts w:hint="eastAsia"/>
          <w:b/>
          <w:bCs/>
          <w:sz w:val="21"/>
          <w:szCs w:val="21"/>
        </w:rPr>
      </w:pPr>
      <w:r>
        <w:rPr>
          <w:rFonts w:ascii="Helvetica Neue" w:hAnsi="Helvetica Neue" w:eastAsia="Helvetica Neue" w:cs="Helvetica Neue"/>
          <w:b/>
          <w:bCs/>
          <w:color w:val="000000"/>
          <w:kern w:val="0"/>
          <w:sz w:val="24"/>
          <w:szCs w:val="24"/>
          <w:lang w:val="en-US" w:eastAsia="zh-CN" w:bidi="ar"/>
        </w:rPr>
        <w:t>II.</w:t>
      </w:r>
      <w:r>
        <w:rPr>
          <w:rFonts w:hint="eastAsia"/>
          <w:b/>
          <w:bCs/>
          <w:sz w:val="21"/>
          <w:szCs w:val="21"/>
        </w:rPr>
        <w:t xml:space="preserve"> Ontological Position</w:t>
      </w:r>
    </w:p>
    <w:p>
      <w:pPr>
        <w:rPr>
          <w:rFonts w:hint="eastAsia"/>
          <w:sz w:val="18"/>
          <w:szCs w:val="18"/>
        </w:rPr>
      </w:pPr>
      <w:r>
        <w:rPr>
          <w:rFonts w:hint="eastAsia"/>
          <w:sz w:val="18"/>
          <w:szCs w:val="18"/>
        </w:rPr>
        <w:t>This chapter aims to elucidate the ontological stance of this research, namely how “masculine grace” as a reality is perceived, understood, and generated within the interplay of the body, nature, and historical culture. Defining ontology concerns not only the mode of existence of the research subject but also determines how design, the body, and cultural materials are treated as sources of knowledge production. Through an interdisciplinary examination of natural structures, retro-vocalic expressions, and the male body, this study proposes that masculine grace is not a ‘created’ form but a persistent reality that has been suppressed, fragmented, and concealed across different historical periods.</w:t>
      </w:r>
    </w:p>
    <w:p>
      <w:pPr>
        <w:rPr>
          <w:rFonts w:hint="eastAsia"/>
          <w:sz w:val="18"/>
          <w:szCs w:val="18"/>
        </w:rPr>
      </w:pPr>
    </w:p>
    <w:p>
      <w:pPr>
        <w:rPr>
          <w:rFonts w:hint="eastAsia"/>
          <w:b/>
          <w:bCs/>
          <w:sz w:val="18"/>
          <w:szCs w:val="18"/>
        </w:rPr>
      </w:pPr>
      <w:r>
        <w:rPr>
          <w:rFonts w:hint="eastAsia"/>
          <w:b/>
          <w:bCs/>
          <w:sz w:val="18"/>
          <w:szCs w:val="18"/>
        </w:rPr>
        <w:t>2.1 The Existence of Masculine Grace: From Cultural Suppression to the Emergence of Embodied Structures</w:t>
      </w:r>
    </w:p>
    <w:p>
      <w:pPr>
        <w:rPr>
          <w:rFonts w:hint="eastAsia"/>
          <w:sz w:val="18"/>
          <w:szCs w:val="18"/>
        </w:rPr>
      </w:pPr>
      <w:r>
        <w:rPr>
          <w:rFonts w:hint="eastAsia"/>
          <w:sz w:val="18"/>
          <w:szCs w:val="18"/>
        </w:rPr>
        <w:t>Within modernity, male grace is often deemed incompatible with dominant masculine norms. Yet ontologically, grace has not vanished but represents bodily potential long constrained by cultural mechanisms. This study conceptualises male grace as a ‘latent yet activatable embodied practice,’ its mode of existence shaped by gender performance mechanisms, garment-body interactions, and the logic of natural structural forces.</w:t>
      </w:r>
    </w:p>
    <w:p>
      <w:pPr>
        <w:rPr>
          <w:rFonts w:hint="eastAsia"/>
          <w:sz w:val="18"/>
          <w:szCs w:val="18"/>
        </w:rPr>
      </w:pPr>
    </w:p>
    <w:p>
      <w:pPr>
        <w:rPr>
          <w:rFonts w:hint="eastAsia"/>
          <w:sz w:val="18"/>
          <w:szCs w:val="18"/>
        </w:rPr>
      </w:pPr>
      <w:r>
        <w:rPr>
          <w:rFonts w:hint="eastAsia"/>
          <w:sz w:val="18"/>
          <w:szCs w:val="18"/>
        </w:rPr>
        <w:t>Building upon Butler’s (1990) assertion that ‘gender is performatively constituted’ (p.25), gender is not essential but repeatedly constructed through bodily movements, postures, and attire. The perception that femininity ‘does not belong to men’ stems not from its non-existence, but from cultural constraints on which bodily expressions are deemed acceptable. Connell's (1995) analysis of hegemonic masculinity reveals how this structure suppresses emotional and feminine expression by maintaining male dominance, thereby coding femininity as a symbol of ‘insufficient masculinity.’ Thus, femininity's existence hinges on societal permission for its visibility, not on men's inherent capacity for it. Consequently, this study posits that masculine femininity constitutes a suppressed bodily practice possessing latent potential for re-emergence. When cultural contexts relax restrictions on visibility, femininity can re-enter bodily expression and social perception.</w:t>
      </w:r>
    </w:p>
    <w:p>
      <w:pPr>
        <w:rPr>
          <w:rFonts w:hint="eastAsia"/>
          <w:sz w:val="18"/>
          <w:szCs w:val="18"/>
        </w:rPr>
      </w:pPr>
    </w:p>
    <w:p>
      <w:pPr>
        <w:rPr>
          <w:rFonts w:hint="eastAsia"/>
          <w:sz w:val="18"/>
          <w:szCs w:val="18"/>
        </w:rPr>
      </w:pPr>
      <w:r>
        <w:rPr>
          <w:rFonts w:hint="eastAsia"/>
          <w:sz w:val="18"/>
          <w:szCs w:val="18"/>
        </w:rPr>
        <w:t>Wilson (2003) emphasises that clothing constitutes an embodied knowledge system rather than mere adornment attached to the body. Femininity is thus not an abstract concept of temperament but emerges through the interplay of materials, structural lines, and bodily movements. This study's practice demonstrates that leaf-vein-like lines, supple materials, and vintage embellishments not only alter bodily form but also transform how the body is viewed and understood, converting femininity from a visual symbol into ‘knowledge that is acted upon and experienced’.</w:t>
      </w:r>
    </w:p>
    <w:p>
      <w:pPr>
        <w:rPr>
          <w:rFonts w:hint="eastAsia"/>
          <w:sz w:val="18"/>
          <w:szCs w:val="18"/>
        </w:rPr>
      </w:pPr>
    </w:p>
    <w:p>
      <w:pPr>
        <w:rPr>
          <w:rFonts w:hint="eastAsia"/>
          <w:sz w:val="18"/>
          <w:szCs w:val="18"/>
        </w:rPr>
      </w:pPr>
      <w:r>
        <w:rPr>
          <w:rFonts w:hint="eastAsia"/>
          <w:sz w:val="18"/>
          <w:szCs w:val="18"/>
        </w:rPr>
        <w:t>Natural forms further furnish femininity with an alternative logic of power. Mycelial networks, root systems, and leaf-vein patterns exhibit a resilient lightness, distributed resilience, and adaptive tenacity—constituting a force structure counterposed to the industrial masculine paradigm of ‘rigidity-control.’ Natural structures thus demonstrate that softness is not fragility, but a highly effective expression of force within living systems. For the ontology of masculine femininity, this signifies that flexibility is not merely an aesthetic quality, but an ecological grounding for bodily existence.</w:t>
      </w:r>
    </w:p>
    <w:p>
      <w:pPr>
        <w:rPr>
          <w:rFonts w:hint="default"/>
          <w:sz w:val="18"/>
          <w:szCs w:val="18"/>
          <w:lang w:val="en-US"/>
        </w:rPr>
      </w:pPr>
    </w:p>
    <w:p>
      <w:pPr>
        <w:rPr>
          <w:rFonts w:hint="eastAsia"/>
          <w:b/>
          <w:bCs/>
          <w:sz w:val="18"/>
          <w:szCs w:val="18"/>
        </w:rPr>
      </w:pPr>
      <w:r>
        <w:rPr>
          <w:rFonts w:hint="eastAsia"/>
          <w:b/>
          <w:bCs/>
          <w:sz w:val="18"/>
          <w:szCs w:val="18"/>
        </w:rPr>
        <w:t>2.2 Retro Aesthetics as a Mode of Being: Contemporary Reactivation within a Historical Horizon</w:t>
      </w:r>
    </w:p>
    <w:p>
      <w:pPr>
        <w:rPr>
          <w:rFonts w:hint="eastAsia"/>
          <w:sz w:val="18"/>
          <w:szCs w:val="18"/>
        </w:rPr>
      </w:pPr>
      <w:r>
        <w:rPr>
          <w:rFonts w:hint="eastAsia"/>
          <w:sz w:val="18"/>
          <w:szCs w:val="18"/>
        </w:rPr>
        <w:t>The retro aesthetics explored herein—encompassing Baroque, Rococo, and Dandyism—are not understood as mere visual styles, but rather as tangible evidence of the historical existence of masculine grace. Through examining these historical sartorial systems, one observes that masculine grace once enjoyed high visibility within culture. Its ornamentation, curvature, and intricate structures once constituted a visual language of power and refinement, thereby providing essential cultural grounding for contemporary reactivation of grace. Drawing upon Gadamer’s discourse on the ‘fusion of horizons,’ meaning regenerates through dialogue when the contemporary interpreter’s horizon encounters historical value systems. Consequently, this study regards retro aesthetics as a ‘historical mode of existence’ retaining contemporary potential, seeking to reawaken its flexible aesthetics suppressed by modernity through present-day practice.</w:t>
      </w:r>
    </w:p>
    <w:p>
      <w:pPr>
        <w:rPr>
          <w:rFonts w:hint="eastAsia"/>
          <w:sz w:val="18"/>
          <w:szCs w:val="18"/>
        </w:rPr>
      </w:pPr>
    </w:p>
    <w:p>
      <w:pPr>
        <w:rPr>
          <w:rFonts w:hint="eastAsia"/>
          <w:sz w:val="18"/>
          <w:szCs w:val="18"/>
        </w:rPr>
      </w:pPr>
      <w:r>
        <w:rPr>
          <w:rFonts w:hint="eastAsia"/>
          <w:sz w:val="18"/>
          <w:szCs w:val="18"/>
        </w:rPr>
        <w:t>During the Baroque era, masculine authority did not rely on the ruggedness later emphasised, but instead projected prestige through inflated volumes, dramatic curves, and intricate ornamentation. This demonstrates that power could be expressed through flexible structures and visual opulence. Rococo menswear further amplified the aesthetic logic of nature and intimacy: floral motifs, scrollwork, lightweight fabrics, and intricate embroidery collectively formed a visual language emphasising delicacy and bodily intimacy, establishing softness as the core aesthetic within male sartorial culture. By the nineteenth century, dandyism centred on rigorous self-discipline and elegance, transforming softness into a symbol of taste, restraint, and self-cultivation; As Bourdieu (1984) observed, ‘Taste classifies, and it classifies the classifier’ (p.190). Gentility thus defines not only aesthetic objects but the subject itself. Within dandyism, softness manifests as a masterfully controlled bodily presentation—the result of power being reshaped into elegance, composure, and cultural capital.</w:t>
      </w:r>
    </w:p>
    <w:p>
      <w:pPr>
        <w:rPr>
          <w:rFonts w:hint="eastAsia"/>
          <w:sz w:val="18"/>
          <w:szCs w:val="18"/>
        </w:rPr>
      </w:pPr>
    </w:p>
    <w:p>
      <w:pPr>
        <w:rPr>
          <w:rFonts w:hint="eastAsia"/>
          <w:sz w:val="18"/>
          <w:szCs w:val="18"/>
        </w:rPr>
      </w:pPr>
      <w:r>
        <w:rPr>
          <w:rFonts w:hint="eastAsia"/>
          <w:sz w:val="18"/>
          <w:szCs w:val="18"/>
        </w:rPr>
        <w:t>Within this study's ontological framework, retro aesthetics serve not merely as visual references but as historically validated flexible structural logics, providing crucial cultural and philosophical foundations for the contemporary reconfiguration of masculine grace. By reactivating these historical perspectives, this research demonstrates that masculine grace does not represent a departure from tradition but rather the reproduction and expansion of its latent aesthetic resources.</w:t>
      </w:r>
    </w:p>
    <w:p>
      <w:pPr>
        <w:rPr>
          <w:rFonts w:hint="eastAsia"/>
          <w:sz w:val="18"/>
          <w:szCs w:val="18"/>
        </w:rPr>
      </w:pPr>
    </w:p>
    <w:p>
      <w:pPr>
        <w:rPr>
          <w:rFonts w:hint="eastAsia"/>
          <w:b/>
          <w:bCs/>
          <w:sz w:val="18"/>
          <w:szCs w:val="18"/>
        </w:rPr>
      </w:pPr>
      <w:r>
        <w:rPr>
          <w:rFonts w:hint="eastAsia"/>
          <w:b/>
          <w:bCs/>
          <w:sz w:val="18"/>
          <w:szCs w:val="18"/>
        </w:rPr>
        <w:t>2.3‘Nature, Retro, Male Body’ as a Worldview: The Ontological Foundation of the Supple Gentleman</w:t>
      </w:r>
    </w:p>
    <w:p>
      <w:pPr>
        <w:rPr>
          <w:rFonts w:hint="eastAsia"/>
          <w:sz w:val="18"/>
          <w:szCs w:val="18"/>
        </w:rPr>
      </w:pPr>
      <w:r>
        <w:rPr>
          <w:rFonts w:hint="eastAsia"/>
          <w:sz w:val="18"/>
          <w:szCs w:val="18"/>
        </w:rPr>
        <w:t>Building upon preceding discussions of gender performance, embodied knowledge, and natural structures, this section conceives male grace as a mode of being co-constituted by bodily practices, natural logic, and historical context—rather than a mere visual style. Primarily, the male body is regarded as a dynamic entity amenable to softening and re-narration. As Butler (1990) posits, ‘gender is performatively constituted’ (p.25), continually generated through bodily practices. Thus, when vein-like structures, supple materials, and fluid lines shape the body, the male form exhibits a fluidity akin to natural ecosystems rather than the rigid forms of the industrial era. Wilson's (2003) discourse on clothing as embodied knowledge further illustrates that bodily expression is perpetually reshaped within materials and structures.</w:t>
      </w:r>
    </w:p>
    <w:p>
      <w:pPr>
        <w:rPr>
          <w:rFonts w:hint="eastAsia"/>
          <w:sz w:val="18"/>
          <w:szCs w:val="18"/>
        </w:rPr>
      </w:pPr>
    </w:p>
    <w:p>
      <w:pPr>
        <w:rPr>
          <w:rFonts w:hint="eastAsia"/>
          <w:sz w:val="18"/>
          <w:szCs w:val="18"/>
        </w:rPr>
      </w:pPr>
      <w:r>
        <w:rPr>
          <w:rFonts w:hint="eastAsia"/>
          <w:sz w:val="18"/>
          <w:szCs w:val="18"/>
        </w:rPr>
        <w:t>Secondly, nature and vintage aesthetics jointly form the dual foundation of soft masculinity. Nature provides a ‘soft yet strong’ structural paradigm, while Baroque, Rococo, and Dandyism lend historical legitimacy to softness, ensuring it remains connected to cultural memory rather than detached from tradition. Drawing upon Gadamer's concept of ‘fusion of horizons,’ these historical resources of softness acquire renewed significance through dialogue with the contemporary male body.</w:t>
      </w:r>
    </w:p>
    <w:p>
      <w:pPr>
        <w:rPr>
          <w:rFonts w:hint="eastAsia"/>
          <w:sz w:val="18"/>
          <w:szCs w:val="18"/>
        </w:rPr>
      </w:pPr>
    </w:p>
    <w:p>
      <w:pPr>
        <w:rPr>
          <w:rFonts w:hint="eastAsia"/>
          <w:sz w:val="18"/>
          <w:szCs w:val="18"/>
        </w:rPr>
      </w:pPr>
      <w:r>
        <w:rPr>
          <w:rFonts w:hint="eastAsia"/>
          <w:sz w:val="18"/>
          <w:szCs w:val="18"/>
        </w:rPr>
        <w:t>Within this framework, the‘Resilient Gentleman’emerges as this study's proposed model for contemporary masculine softness. This concept combines the resilience of natural structures with the symbolic capital of vintage gentlemanhood, responding to contemporary men's need for emotional and identity expression. It offers a gentle yet resolute reflection on hegemonic masculinity, expanding the expressive potential of the male body. In summary, the ‘Resilient Gentleman’ constitutes an ontological worldview integrating natural logic, historical depth, and bodily practice.</w:t>
      </w:r>
    </w:p>
    <w:p>
      <w:pPr>
        <w:rPr>
          <w:rFonts w:hint="eastAsia"/>
          <w:sz w:val="18"/>
          <w:szCs w:val="18"/>
        </w:rPr>
      </w:pPr>
    </w:p>
    <w:p>
      <w:pPr>
        <w:rPr>
          <w:rFonts w:hint="eastAsia"/>
          <w:sz w:val="18"/>
          <w:szCs w:val="18"/>
        </w:rPr>
      </w:pPr>
    </w:p>
    <w:p>
      <w:pPr>
        <w:rPr>
          <w:rFonts w:hint="eastAsia"/>
          <w:sz w:val="18"/>
          <w:szCs w:val="18"/>
        </w:rPr>
      </w:pPr>
    </w:p>
    <w:p>
      <w:pPr>
        <w:rPr>
          <w:rFonts w:hint="eastAsia"/>
          <w:sz w:val="22"/>
          <w:szCs w:val="22"/>
        </w:rPr>
      </w:pPr>
      <w:r>
        <w:rPr>
          <w:rFonts w:ascii="Helvetica Neue" w:hAnsi="Helvetica Neue" w:eastAsia="Helvetica Neue" w:cs="Helvetica Neue"/>
          <w:b/>
          <w:bCs/>
          <w:color w:val="000000"/>
          <w:kern w:val="0"/>
          <w:sz w:val="24"/>
          <w:szCs w:val="24"/>
          <w:lang w:val="en-US" w:eastAsia="zh-CN" w:bidi="ar"/>
        </w:rPr>
        <w:t>III.</w:t>
      </w:r>
      <w:r>
        <w:rPr>
          <w:rFonts w:hint="eastAsia" w:ascii="Helvetica Neue" w:hAnsi="Helvetica Neue" w:eastAsia="Helvetica Neue" w:cs="Helvetica Neue"/>
          <w:b/>
          <w:bCs/>
          <w:color w:val="000000"/>
          <w:kern w:val="0"/>
          <w:sz w:val="24"/>
          <w:szCs w:val="24"/>
          <w:lang w:val="en-US" w:eastAsia="zh-CN" w:bidi="ar"/>
        </w:rPr>
        <w:t xml:space="preserve"> </w:t>
      </w:r>
      <w:r>
        <w:rPr>
          <w:rFonts w:hint="eastAsia"/>
          <w:b/>
          <w:bCs/>
          <w:sz w:val="21"/>
          <w:szCs w:val="21"/>
        </w:rPr>
        <w:t>Epistemological Position</w:t>
      </w:r>
    </w:p>
    <w:p>
      <w:pPr>
        <w:rPr>
          <w:rFonts w:hint="eastAsia"/>
          <w:sz w:val="18"/>
          <w:szCs w:val="18"/>
        </w:rPr>
      </w:pPr>
      <w:r>
        <w:rPr>
          <w:rFonts w:hint="eastAsia"/>
          <w:sz w:val="18"/>
          <w:szCs w:val="18"/>
        </w:rPr>
        <w:t>This study's epistemological stance rests upon a triple foundation: practice-as-research, transdisciplinarity, and the efficacy of subjectivity within design research. Unlike traditional text-dependent approaches, this investigation posits that knowledge is not solely contained within linguistic expression, but is instead produced, manifested, and transformed through design actions, material manipulation, bodily experience, and visual generation (Barrett &amp; Bolt, 2007). Consequently, this study adopts a practice-centred epistemological framework, treating sketching, AI-generated imagery, draping of unfinished fabric, garment deconstruction and reconstruction, and runway visual experiments as primary pathways for theoretical reflection rather than ancillary tools.</w:t>
      </w:r>
    </w:p>
    <w:p>
      <w:pPr>
        <w:rPr>
          <w:rFonts w:hint="eastAsia"/>
          <w:sz w:val="18"/>
          <w:szCs w:val="18"/>
        </w:rPr>
      </w:pPr>
    </w:p>
    <w:p>
      <w:pPr>
        <w:rPr>
          <w:rFonts w:hint="eastAsia"/>
          <w:b/>
          <w:bCs/>
          <w:sz w:val="18"/>
          <w:szCs w:val="18"/>
        </w:rPr>
      </w:pPr>
      <w:r>
        <w:rPr>
          <w:rFonts w:hint="eastAsia"/>
          <w:b/>
          <w:bCs/>
          <w:sz w:val="18"/>
          <w:szCs w:val="18"/>
        </w:rPr>
        <w:t>3.1 Practice-as-Research: Generating Knowledge Through Practice</w:t>
      </w:r>
    </w:p>
    <w:p>
      <w:pPr>
        <w:rPr>
          <w:rFonts w:hint="eastAsia"/>
          <w:sz w:val="18"/>
          <w:szCs w:val="18"/>
        </w:rPr>
      </w:pPr>
      <w:r>
        <w:rPr>
          <w:rFonts w:hint="eastAsia"/>
          <w:sz w:val="18"/>
          <w:szCs w:val="18"/>
        </w:rPr>
        <w:t>Practice-as-Research (PaR) emphasises that practice can ‘generate its own type of knowledge’ (Barrett &amp; Bolt, 2007, p.1), providing a legitimate foundation for design research. Knowledge production in this study is not retrospectively articulated through language after practice, but generated in real-time through continuous visual and material experimentation. For example:</w:t>
      </w:r>
    </w:p>
    <w:p>
      <w:pPr>
        <w:rPr>
          <w:rFonts w:hint="eastAsia"/>
          <w:sz w:val="18"/>
          <w:szCs w:val="18"/>
        </w:rPr>
      </w:pPr>
      <w:r>
        <w:rPr>
          <w:rFonts w:hint="eastAsia"/>
          <w:sz w:val="18"/>
          <w:szCs w:val="18"/>
        </w:rPr>
        <w:t>• AI image generation: Serving as a visual deduction tool, it tests ‘masculine softness’ across diverse natural structures, forming preliminary morphological logic.</w:t>
      </w:r>
    </w:p>
    <w:p>
      <w:pPr>
        <w:rPr>
          <w:rFonts w:hint="eastAsia"/>
          <w:sz w:val="18"/>
          <w:szCs w:val="18"/>
        </w:rPr>
      </w:pPr>
      <w:r>
        <w:rPr>
          <w:rFonts w:hint="eastAsia"/>
          <w:sz w:val="18"/>
          <w:szCs w:val="18"/>
        </w:rPr>
        <w:t>• Raw fabric draping: Through fabric drape behaviour, folds, and support mechanisms, it tests the structural logic of ‘soft yet strong,’ translating leaf vein fractals and fungal mycelium structures into wearable forms.</w:t>
      </w:r>
    </w:p>
    <w:p>
      <w:pPr>
        <w:rPr>
          <w:rFonts w:hint="eastAsia"/>
          <w:sz w:val="18"/>
          <w:szCs w:val="18"/>
        </w:rPr>
      </w:pPr>
      <w:r>
        <w:rPr>
          <w:rFonts w:hint="eastAsia"/>
          <w:sz w:val="18"/>
          <w:szCs w:val="18"/>
        </w:rPr>
        <w:t>• Hand-drawn and structural sketches: These develop an understanding of methods to soften the male form through visual deduction, including variations in shoulder line curvature, chest circumference adjustments, and flexible waist structures.</w:t>
      </w:r>
    </w:p>
    <w:p>
      <w:pPr>
        <w:rPr>
          <w:rFonts w:hint="eastAsia"/>
          <w:sz w:val="18"/>
          <w:szCs w:val="18"/>
        </w:rPr>
      </w:pPr>
    </w:p>
    <w:p>
      <w:pPr>
        <w:rPr>
          <w:rFonts w:hint="eastAsia"/>
          <w:sz w:val="18"/>
          <w:szCs w:val="18"/>
        </w:rPr>
      </w:pPr>
      <w:r>
        <w:rPr>
          <w:rFonts w:hint="eastAsia"/>
          <w:sz w:val="18"/>
          <w:szCs w:val="18"/>
        </w:rPr>
        <w:t>As Edwards (1997) observes, ‘masculinity is always visually constructed and culturally encoded’ (p.5). Thus, the visual practice itself constitutes a conceptual act of defining masculinity. Each instance of draping, cutting, or AI-generated imagery in this research constitutes a visual recoding of masculinity, serving as the researcher's direct mode of producing knowledge on ‘masculine grace’. Within this framework, practice functions not merely as a pathway for theoretical validation, but as a ‘productive act’ possessing epistemological significance.</w:t>
      </w:r>
    </w:p>
    <w:p>
      <w:pPr>
        <w:rPr>
          <w:rFonts w:hint="eastAsia"/>
          <w:sz w:val="18"/>
          <w:szCs w:val="18"/>
        </w:rPr>
      </w:pPr>
    </w:p>
    <w:p>
      <w:pPr>
        <w:rPr>
          <w:rFonts w:hint="eastAsia"/>
          <w:b/>
          <w:bCs/>
          <w:sz w:val="18"/>
          <w:szCs w:val="18"/>
        </w:rPr>
      </w:pPr>
      <w:r>
        <w:rPr>
          <w:rFonts w:hint="eastAsia"/>
          <w:b/>
          <w:bCs/>
          <w:sz w:val="18"/>
          <w:szCs w:val="18"/>
        </w:rPr>
        <w:t>3.2 Transdisciplinary Epistemology: The Formation of Knowledge Systems for Reconstructing Masculine Femininity</w:t>
      </w:r>
    </w:p>
    <w:p>
      <w:pPr>
        <w:rPr>
          <w:rFonts w:hint="eastAsia"/>
          <w:sz w:val="18"/>
          <w:szCs w:val="18"/>
        </w:rPr>
      </w:pPr>
      <w:r>
        <w:rPr>
          <w:rFonts w:hint="eastAsia"/>
          <w:sz w:val="18"/>
          <w:szCs w:val="18"/>
        </w:rPr>
        <w:t>Nicolescu (2002) argues that the core of interdisciplinary research lies in transcending disciplinary boundaries to form new cognitive structures capable of addressing complex problems. The reconfiguration of masculine grace involves multiple dimensions—body politics, visual culture, natural structures, and historical aesthetics—whose complexity renders any single theory incapable of fully explaining its generative mechanisms. Therefore, grounded in an interdisciplinary epistemology, this study facilitates the convergence and collision of diverse knowledge systems in practice to generate novel interpretive frameworks. Through this approach, masculine grace is no longer viewed as a purely aesthetic phenomenon but emerges as a cross-disciplinary object of inquiry. Consequently, the core theoretical framework is integrated into two mutually reinforcing pillars: “Body and History” and “Nature and Power,” delineating the cultural and structural logics of grace.</w:t>
      </w:r>
    </w:p>
    <w:p>
      <w:pPr>
        <w:rPr>
          <w:rFonts w:hint="eastAsia"/>
          <w:sz w:val="18"/>
          <w:szCs w:val="18"/>
        </w:rPr>
      </w:pPr>
    </w:p>
    <w:p>
      <w:pPr>
        <w:rPr>
          <w:rFonts w:hint="eastAsia"/>
          <w:sz w:val="18"/>
          <w:szCs w:val="18"/>
        </w:rPr>
      </w:pPr>
      <w:r>
        <w:rPr>
          <w:rFonts w:hint="eastAsia"/>
          <w:sz w:val="18"/>
          <w:szCs w:val="18"/>
        </w:rPr>
        <w:t>Gender studies and fashion history jointly reveal the cultural logic behind the suppression and reemergence of male femininity. Butler (1990) posits that gender is “performatively constituted” (p. 25), continuously generated through bodily practices; thus, femininity is not naturally absent but historically excluded by cultural norms. Connell (1995) further exposes the mechanisms marginalizing softness through her analysis of hegemonic masculinity, providing a theoretical foundation for reinterpreting the openness and mutability of the male body. Concurrently, Ribeiro (2003) notes that Baroque and Rococo menswear embodied social status through ornamentation, color, and fluidity, demonstrating that softness constitutes an authentic legacy in male history rather than a modern aberration. Edwards (1997) posits that masculinity itself possesses visual-cultural attributes, rendering experiments with color, material, and silhouette not merely design strategies but modes of knowledge production. Thus, masculinity possesses both cultural legitimacy and historical precedents; its resurgence is not “aberrant” but a reactivation of a marginalized tradition.</w:t>
      </w:r>
    </w:p>
    <w:p>
      <w:pPr>
        <w:rPr>
          <w:rFonts w:hint="eastAsia"/>
          <w:sz w:val="18"/>
          <w:szCs w:val="18"/>
        </w:rPr>
      </w:pPr>
    </w:p>
    <w:p>
      <w:pPr>
        <w:rPr>
          <w:rFonts w:hint="eastAsia"/>
          <w:sz w:val="18"/>
          <w:szCs w:val="18"/>
        </w:rPr>
      </w:pPr>
      <w:r>
        <w:rPr>
          <w:rFonts w:hint="eastAsia"/>
          <w:sz w:val="18"/>
          <w:szCs w:val="18"/>
        </w:rPr>
        <w:t>Natural science and cultural philosophy jointly elucidate how softness generates and acquires social meaning. Kellert and Calabrese (2015) note that natural structures embody the ecological logic of “soft yet strong” at formal and sensory levels, providing an empirical foundation for the materiality and morphology of soft structures. The Biomimicry Institute (2020) further emphasizes that natural systems can serve as design methodologies. This allows the vein-like seams, layered structures, and curved lines examined in this study to possess not only aesthetic value but also verifiable structural origins. Concurrently, Bourdieu (1984) contends that symbolic capital determines the social status associated with aesthetic taste. This implies that softness can be reevaluated within specific contexts as a symbolic resource of gentlemanly culture. Foucault's (1977; 1978) analysis of the body and power further reveals how the male body is defined, constrained, and rewritten under disciplinary mechanisms, offering a critical lens for deconstructing and reflecting on effeminate practices.</w:t>
      </w:r>
    </w:p>
    <w:p>
      <w:pPr>
        <w:rPr>
          <w:rFonts w:hint="eastAsia"/>
          <w:sz w:val="18"/>
          <w:szCs w:val="18"/>
        </w:rPr>
      </w:pPr>
    </w:p>
    <w:p>
      <w:pPr>
        <w:rPr>
          <w:rFonts w:hint="eastAsia"/>
          <w:sz w:val="18"/>
          <w:szCs w:val="18"/>
        </w:rPr>
      </w:pPr>
      <w:r>
        <w:rPr>
          <w:rFonts w:hint="eastAsia"/>
          <w:sz w:val="18"/>
          <w:szCs w:val="18"/>
        </w:rPr>
        <w:t>In summary, an interdisciplinary epistemology enables this study to establish multi-layered connections across cultural, ecological, and bodily dimensions, forming a knowledge system of masculine grace centered on practice and grounded in the juxtaposition of structure and meaning. This system not only underpins the theorization of the “flexible gentleman” but also opens new cultural imaginative spaces for contemporary menswear design.</w:t>
      </w:r>
    </w:p>
    <w:p>
      <w:pPr>
        <w:rPr>
          <w:rFonts w:hint="eastAsia"/>
          <w:sz w:val="18"/>
          <w:szCs w:val="18"/>
        </w:rPr>
      </w:pPr>
    </w:p>
    <w:p>
      <w:pPr>
        <w:rPr>
          <w:rFonts w:hint="eastAsia"/>
          <w:b/>
          <w:bCs/>
          <w:sz w:val="18"/>
          <w:szCs w:val="18"/>
        </w:rPr>
      </w:pPr>
      <w:r>
        <w:rPr>
          <w:rFonts w:hint="eastAsia"/>
          <w:b/>
          <w:bCs/>
          <w:sz w:val="18"/>
          <w:szCs w:val="18"/>
        </w:rPr>
        <w:t>3.3 Validity: Ensuring Credibility in Knowledge Production</w:t>
      </w:r>
    </w:p>
    <w:p>
      <w:pPr>
        <w:rPr>
          <w:rFonts w:hint="eastAsia"/>
          <w:sz w:val="18"/>
          <w:szCs w:val="18"/>
        </w:rPr>
      </w:pPr>
      <w:r>
        <w:rPr>
          <w:rFonts w:hint="eastAsia"/>
          <w:sz w:val="18"/>
          <w:szCs w:val="18"/>
        </w:rPr>
        <w:t>In practice-based research, “validity” does not concern the correctness of findings, but rather ensuring a traceable, verifiable knowledge process between theory, materials, and subject experience. Guided by Lincoln and Guba's (1985) naturalistic standards, this study establishes credibility through three mutually reinforcing pathways: the practice-theory cycle, material and embodied reproducibility, and positional reflection through autoethnography.</w:t>
      </w:r>
    </w:p>
    <w:p>
      <w:pPr>
        <w:rPr>
          <w:rFonts w:hint="eastAsia"/>
          <w:sz w:val="18"/>
          <w:szCs w:val="18"/>
        </w:rPr>
      </w:pPr>
    </w:p>
    <w:p>
      <w:pPr>
        <w:rPr>
          <w:rFonts w:hint="eastAsia"/>
          <w:sz w:val="18"/>
          <w:szCs w:val="18"/>
        </w:rPr>
      </w:pPr>
      <w:r>
        <w:rPr>
          <w:rFonts w:hint="eastAsia"/>
          <w:sz w:val="18"/>
          <w:szCs w:val="18"/>
        </w:rPr>
        <w:t>(1) Practice-Theory Cycle: Testing and Reconstructing Theory Through Action</w:t>
      </w:r>
    </w:p>
    <w:p>
      <w:pPr>
        <w:rPr>
          <w:rFonts w:hint="eastAsia"/>
          <w:sz w:val="18"/>
          <w:szCs w:val="18"/>
        </w:rPr>
      </w:pPr>
      <w:r>
        <w:rPr>
          <w:rFonts w:hint="eastAsia"/>
          <w:sz w:val="18"/>
          <w:szCs w:val="18"/>
        </w:rPr>
        <w:t>Interdisciplinary theories provide an initial framework, yet their validity is continually tested, refined, and embodied through practice. For instance, the natural form logic of biophilic design was tested for translatability through experiments with stitching, folds, and layered structures. Thus, theory ceases to be an abstract presupposition; it gains validity through iterative ‘theory-practice-reflection’ cycles, its rationality grounded in interpretability and field validation.</w:t>
      </w:r>
    </w:p>
    <w:p>
      <w:pPr>
        <w:rPr>
          <w:rFonts w:hint="eastAsia"/>
          <w:sz w:val="18"/>
          <w:szCs w:val="18"/>
        </w:rPr>
      </w:pPr>
    </w:p>
    <w:p>
      <w:pPr>
        <w:rPr>
          <w:rFonts w:hint="eastAsia"/>
          <w:sz w:val="18"/>
          <w:szCs w:val="18"/>
        </w:rPr>
      </w:pPr>
      <w:r>
        <w:rPr>
          <w:rFonts w:hint="eastAsia"/>
          <w:sz w:val="18"/>
          <w:szCs w:val="18"/>
        </w:rPr>
        <w:t>(2) Material-Bodily Reproducibility: Establishing Reliability and Transferability</w:t>
      </w:r>
    </w:p>
    <w:p>
      <w:pPr>
        <w:rPr>
          <w:rFonts w:hint="eastAsia"/>
          <w:sz w:val="18"/>
          <w:szCs w:val="18"/>
        </w:rPr>
      </w:pPr>
      <w:r>
        <w:rPr>
          <w:rFonts w:hint="eastAsia"/>
          <w:sz w:val="18"/>
          <w:szCs w:val="18"/>
        </w:rPr>
        <w:t>To ensure the reliability of structural language, this study subjected core structures—such as vein-like seams, fabric folds, and layered botanical logic—to cross-material and cross-body testing across lightweight cotton, wool blends, and medium-weight fabrics. Key assessments included tension stability, predictability of pleat direction, and structural performance under dynamic conditions. Barrett and Bolt (2007) emphasise that the validity of practice-based research relies on ‘traceable processes of practice’. Consequently, video documentation, hand-drawn annotations, and structural deconstruction collectively form an evidence chain, lending the experimental findings dependability and transferability.</w:t>
      </w:r>
    </w:p>
    <w:p>
      <w:pPr>
        <w:rPr>
          <w:rFonts w:hint="eastAsia"/>
          <w:sz w:val="18"/>
          <w:szCs w:val="18"/>
        </w:rPr>
      </w:pPr>
    </w:p>
    <w:p>
      <w:pPr>
        <w:rPr>
          <w:rFonts w:hint="eastAsia"/>
          <w:sz w:val="18"/>
          <w:szCs w:val="18"/>
        </w:rPr>
      </w:pPr>
      <w:r>
        <w:rPr>
          <w:rFonts w:hint="eastAsia"/>
          <w:sz w:val="18"/>
          <w:szCs w:val="18"/>
        </w:rPr>
        <w:t>(3) Autoethnography: Positionality as a Source of Valid Cultural Interpretation</w:t>
      </w:r>
    </w:p>
    <w:p>
      <w:pPr>
        <w:rPr>
          <w:rFonts w:hint="eastAsia"/>
          <w:sz w:val="18"/>
          <w:szCs w:val="18"/>
        </w:rPr>
      </w:pPr>
      <w:r>
        <w:rPr>
          <w:rFonts w:hint="eastAsia"/>
          <w:sz w:val="18"/>
          <w:szCs w:val="18"/>
        </w:rPr>
        <w:t>Per Ellis, Adams and Bochner (2011), autoethnography permits researchers to comprehend cultural phenomena through personal experience, integrating subjectivity into knowledge production. In this study, the researcher—a Chinese male practising design in Britain—draws upon his cultural background, aesthetic experiences, and identity consciousness to interpret concepts of ‘flexibility,’ ‘gentlemanliness,’ and ‘natural resilience.’ This reflexive positioning not only deepens interpretative insight but also renders the knowledge-formation process traceable (confirmability), thereby constituting a crucial source of credibility.</w:t>
      </w:r>
    </w:p>
    <w:p>
      <w:pPr>
        <w:rPr>
          <w:rFonts w:hint="eastAsia"/>
          <w:sz w:val="18"/>
          <w:szCs w:val="18"/>
        </w:rPr>
      </w:pPr>
      <w:bookmarkStart w:id="0" w:name="_GoBack"/>
      <w:bookmarkEnd w:id="0"/>
    </w:p>
    <w:p>
      <w:pPr>
        <w:rPr>
          <w:rFonts w:hint="eastAsia"/>
          <w:sz w:val="18"/>
          <w:szCs w:val="18"/>
        </w:rPr>
      </w:pPr>
    </w:p>
    <w:p>
      <w:pPr>
        <w:rPr>
          <w:rFonts w:hint="eastAsia"/>
          <w:b/>
          <w:bCs/>
          <w:sz w:val="22"/>
          <w:szCs w:val="22"/>
        </w:rPr>
      </w:pPr>
      <w:r>
        <w:rPr>
          <w:rFonts w:hint="eastAsia"/>
          <w:b/>
          <w:bCs/>
          <w:sz w:val="22"/>
          <w:szCs w:val="22"/>
          <w:lang w:val="en-US" w:eastAsia="zh-CN"/>
        </w:rPr>
        <w:t>I</w:t>
      </w:r>
      <w:r>
        <w:rPr>
          <w:rFonts w:hint="eastAsia"/>
          <w:b/>
          <w:bCs/>
          <w:sz w:val="22"/>
          <w:szCs w:val="22"/>
        </w:rPr>
        <w:t>V. Theory of Values</w:t>
      </w:r>
    </w:p>
    <w:p>
      <w:pPr>
        <w:rPr>
          <w:rFonts w:hint="eastAsia"/>
          <w:sz w:val="18"/>
          <w:szCs w:val="18"/>
        </w:rPr>
      </w:pPr>
      <w:r>
        <w:rPr>
          <w:rFonts w:hint="eastAsia"/>
          <w:sz w:val="18"/>
          <w:szCs w:val="18"/>
        </w:rPr>
        <w:t>This study's value system is founded upon the interplay between resilience, gentlemanliness, ecological consciousness, and subjectivity. The theory of values not only furnishes aesthetic judgements for the research but also shapes its ethical stance and cultural orientation.</w:t>
      </w:r>
    </w:p>
    <w:p>
      <w:pPr>
        <w:rPr>
          <w:rFonts w:hint="eastAsia"/>
          <w:sz w:val="18"/>
          <w:szCs w:val="18"/>
        </w:rPr>
      </w:pPr>
    </w:p>
    <w:p>
      <w:pPr>
        <w:rPr>
          <w:rFonts w:hint="eastAsia"/>
          <w:b/>
          <w:bCs/>
          <w:sz w:val="18"/>
          <w:szCs w:val="18"/>
        </w:rPr>
      </w:pPr>
      <w:r>
        <w:rPr>
          <w:rFonts w:hint="eastAsia"/>
          <w:b/>
          <w:bCs/>
          <w:sz w:val="18"/>
          <w:szCs w:val="18"/>
        </w:rPr>
        <w:t>4.1 The Force Logic of Flexibility and Gentility: Reconstructing the Rigid Masculine Paradigm</w:t>
      </w:r>
    </w:p>
    <w:p>
      <w:pPr>
        <w:rPr>
          <w:rFonts w:hint="eastAsia"/>
          <w:sz w:val="18"/>
          <w:szCs w:val="18"/>
        </w:rPr>
      </w:pPr>
      <w:r>
        <w:rPr>
          <w:rFonts w:hint="eastAsia"/>
          <w:sz w:val="18"/>
          <w:szCs w:val="18"/>
        </w:rPr>
        <w:t>Natural structures demonstrate that strength manifests as ‘softness embodying rigidity’. In nature, force arises from the synergy of materials, structures, and sensory experiences. Sohn (2017)'s assertion that ‘soft masculinity highlights emotional openness and aesthetic expression’(p.222) further illustrates that flexibility itself possesses cultural value. Consequently, this study conceives resilience as a form of power possessing both structural logic and emotional expression, challenging the ‘rigid control’ upon which Connell (1995)'s hegemonic masculinity relies.</w:t>
      </w:r>
    </w:p>
    <w:p>
      <w:pPr>
        <w:rPr>
          <w:rFonts w:hint="eastAsia"/>
          <w:sz w:val="18"/>
          <w:szCs w:val="18"/>
        </w:rPr>
      </w:pPr>
    </w:p>
    <w:p>
      <w:pPr>
        <w:rPr>
          <w:rFonts w:hint="eastAsia"/>
          <w:sz w:val="18"/>
          <w:szCs w:val="18"/>
        </w:rPr>
      </w:pPr>
      <w:r>
        <w:rPr>
          <w:rFonts w:hint="eastAsia"/>
          <w:sz w:val="18"/>
          <w:szCs w:val="18"/>
        </w:rPr>
        <w:t>Gentility, meanwhile, confers cultural legitimacy upon softness. Research by Ribeiro (2003) and Edwards (1997) demonstrates that historically, male attire employed soft ornamentation as a class symbol, indicating that gentlemanliness inherently incorporates an aesthetic dimension of softness. Consequently, this study combines flexibility with gentlemanliness to propose an alternative logic of masculine power—emphasising refinement, restraint, and elegance rather than domination.</w:t>
      </w:r>
    </w:p>
    <w:p>
      <w:pPr>
        <w:rPr>
          <w:rFonts w:hint="eastAsia"/>
          <w:sz w:val="18"/>
          <w:szCs w:val="18"/>
        </w:rPr>
      </w:pPr>
    </w:p>
    <w:p>
      <w:pPr>
        <w:rPr>
          <w:rFonts w:hint="eastAsia"/>
          <w:b/>
          <w:bCs/>
          <w:sz w:val="18"/>
          <w:szCs w:val="18"/>
        </w:rPr>
      </w:pPr>
      <w:r>
        <w:rPr>
          <w:rFonts w:hint="eastAsia"/>
          <w:b/>
          <w:bCs/>
          <w:sz w:val="18"/>
          <w:szCs w:val="18"/>
        </w:rPr>
        <w:t>4.2 Ecological Ethics: Inspiration from Natural Systems for Design Values</w:t>
      </w:r>
    </w:p>
    <w:p>
      <w:pPr>
        <w:rPr>
          <w:rFonts w:hint="eastAsia"/>
          <w:sz w:val="18"/>
          <w:szCs w:val="18"/>
        </w:rPr>
      </w:pPr>
      <w:r>
        <w:rPr>
          <w:rFonts w:hint="eastAsia"/>
          <w:sz w:val="18"/>
          <w:szCs w:val="18"/>
        </w:rPr>
        <w:t>The question posed by the Biomimicry Institute (2020)—‘What would the fashion industry look like if it acted like a natural ecosystem?’—provides the ecological value foundation for this study. Ecological ethics prioritises cycles, adaptability, and coexistence over bodily control. Hultman &amp; Pulé (2018) propose an ‘ecological masculinity,’ advocating that masculine power should pivot towards care and responsibility. This aligns with this study's values of flexible structures, natural inspiration, and reinterpretation of the male body.</w:t>
      </w:r>
    </w:p>
    <w:p>
      <w:pPr>
        <w:rPr>
          <w:rFonts w:hint="eastAsia"/>
          <w:sz w:val="18"/>
          <w:szCs w:val="18"/>
        </w:rPr>
      </w:pPr>
    </w:p>
    <w:p>
      <w:pPr>
        <w:rPr>
          <w:rFonts w:hint="eastAsia"/>
          <w:b/>
          <w:bCs/>
          <w:sz w:val="18"/>
          <w:szCs w:val="18"/>
        </w:rPr>
      </w:pPr>
      <w:r>
        <w:rPr>
          <w:rFonts w:hint="eastAsia"/>
          <w:b/>
          <w:bCs/>
          <w:sz w:val="18"/>
          <w:szCs w:val="18"/>
        </w:rPr>
        <w:t>4.3 Subjectivity and Cross-Cultural Positionality: The Cultural Foundations of Research Value</w:t>
      </w:r>
    </w:p>
    <w:p>
      <w:pPr>
        <w:rPr>
          <w:rFonts w:hint="eastAsia"/>
          <w:sz w:val="18"/>
          <w:szCs w:val="18"/>
        </w:rPr>
      </w:pPr>
      <w:r>
        <w:rPr>
          <w:rFonts w:hint="eastAsia"/>
          <w:sz w:val="18"/>
          <w:szCs w:val="18"/>
        </w:rPr>
        <w:t>Following Ellis, Adams, and Bochner (2011), the researcher's experience constitutes valid knowledge, making subjectivity a crucial dimension of this study's value system. As a Chinese designer practising in Britain, the researcher's cultural background directly influences interpretations of flexibility, gentlemanliness, and natural structures. The Eastern philosophy of ‘yielding to overcome rigidity’ aligns with natural form logic, providing a cultural foundation for resilient construction; simultaneously, the fusion of Eastern flexibility with Western gentlemanly aesthetics renders masculine grace a cross-cultural phenomenon rather than an extension of singular traditions. Furthermore, the divergence between British visual norms of masculinity (Edwards, 1997) and Chinese aesthetics heightens the researcher's sensitivity to the ways in which the male body is viewed and regulated. This cross-cultural positionality not only shapes aesthetic judgements but also provides explicit cultural and ethical underpinnings for the resilient gentleman model.</w:t>
      </w: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rFonts w:hint="eastAsia"/>
          <w:b/>
          <w:bCs/>
          <w:sz w:val="21"/>
          <w:szCs w:val="21"/>
        </w:rPr>
      </w:pPr>
      <w:r>
        <w:rPr>
          <w:rFonts w:hint="eastAsia"/>
          <w:b/>
          <w:bCs/>
          <w:sz w:val="21"/>
          <w:szCs w:val="21"/>
        </w:rPr>
        <w:t>V. Critical Discussion: Theory-Practice Integration</w:t>
      </w:r>
    </w:p>
    <w:p>
      <w:pPr>
        <w:rPr>
          <w:rFonts w:hint="eastAsia"/>
          <w:sz w:val="18"/>
          <w:szCs w:val="18"/>
        </w:rPr>
      </w:pPr>
      <w:r>
        <w:rPr>
          <w:rFonts w:hint="eastAsia"/>
          <w:sz w:val="18"/>
          <w:szCs w:val="18"/>
        </w:rPr>
        <w:t>This chapter systematically analyses the generative mechanisms of masculine grace within cultural, structural and cross-cultural contexts through dialogue between practical outcomes and theoretical frameworks. It demonstrates how softness is redefined through the body, materials and historical narratives, forming resilient pathways for masculine expression.</w:t>
      </w:r>
    </w:p>
    <w:p>
      <w:pPr>
        <w:rPr>
          <w:rFonts w:hint="eastAsia"/>
          <w:sz w:val="18"/>
          <w:szCs w:val="18"/>
        </w:rPr>
      </w:pPr>
    </w:p>
    <w:p>
      <w:pPr>
        <w:rPr>
          <w:rFonts w:hint="eastAsia"/>
          <w:b/>
          <w:bCs/>
          <w:sz w:val="18"/>
          <w:szCs w:val="18"/>
        </w:rPr>
      </w:pPr>
      <w:r>
        <w:rPr>
          <w:rFonts w:hint="eastAsia"/>
          <w:b/>
          <w:bCs/>
          <w:sz w:val="18"/>
          <w:szCs w:val="18"/>
          <w:lang w:val="en-US" w:eastAsia="zh-CN"/>
        </w:rPr>
        <w:t>5</w:t>
      </w:r>
      <w:r>
        <w:rPr>
          <w:rFonts w:hint="eastAsia"/>
          <w:b/>
          <w:bCs/>
          <w:sz w:val="18"/>
          <w:szCs w:val="18"/>
        </w:rPr>
        <w:t>.1 Cultural and Structural Shifts in Masculine Femininity: From Emotional Expression to Body Language</w:t>
      </w:r>
    </w:p>
    <w:p>
      <w:pPr>
        <w:rPr>
          <w:rFonts w:hint="eastAsia"/>
          <w:sz w:val="18"/>
          <w:szCs w:val="18"/>
        </w:rPr>
      </w:pPr>
      <w:r>
        <w:rPr>
          <w:rFonts w:hint="eastAsia"/>
          <w:sz w:val="18"/>
          <w:szCs w:val="18"/>
        </w:rPr>
        <w:t>Contemporary gender studies indicate masculinity is transitioning from industrialised control and restraint towards more sensitive and open expression (Cheung &amp; Choi, 2023; Lee, 2020). This study demonstrates that such a shift not only alters aesthetic styles but also generates observable and verifiable ‘structural languages of softness’ at the bodily level. Fitting, tailoring, and runway presentations reveal that softness does not diminish masculine identity but instead offers new expressive avenues, fostering positive associations between masculinity and emotional visibility.</w:t>
      </w:r>
    </w:p>
    <w:p>
      <w:pPr>
        <w:rPr>
          <w:rFonts w:hint="eastAsia"/>
          <w:sz w:val="18"/>
          <w:szCs w:val="18"/>
        </w:rPr>
      </w:pPr>
    </w:p>
    <w:p>
      <w:pPr>
        <w:rPr>
          <w:rFonts w:hint="eastAsia"/>
          <w:sz w:val="18"/>
          <w:szCs w:val="18"/>
        </w:rPr>
      </w:pPr>
      <w:r>
        <w:rPr>
          <w:rFonts w:hint="eastAsia"/>
          <w:sz w:val="18"/>
          <w:szCs w:val="18"/>
        </w:rPr>
        <w:t>In structural experiments, pale purple, pale yellow, and pink hues combined with refined tailoring significantly enhanced the body's capacity for emotional presentation. Heller (2009) posits that purple symbolises ambiguity, dignity, and creativity – symbols recontextualised in practice: the colours retain masculine gravitas while introducing flexible openness. This research thus confirms that softness is no longer the antithesis of masculinity, but rather a resource that, through structural processing, gains cultural legitimacy and expressive power. Flexibility is validated here as a mechanism for reconstructing male identity, not a fleeting trend; it possesses emotional depth, structural grounding, and cross-cultural significance.</w:t>
      </w:r>
    </w:p>
    <w:p>
      <w:pPr>
        <w:rPr>
          <w:rFonts w:hint="eastAsia"/>
          <w:sz w:val="18"/>
          <w:szCs w:val="18"/>
        </w:rPr>
      </w:pPr>
    </w:p>
    <w:p>
      <w:pPr>
        <w:rPr>
          <w:rFonts w:hint="eastAsia"/>
          <w:b/>
          <w:bCs/>
          <w:sz w:val="18"/>
          <w:szCs w:val="18"/>
        </w:rPr>
      </w:pPr>
      <w:r>
        <w:rPr>
          <w:rFonts w:hint="eastAsia"/>
          <w:b/>
          <w:bCs/>
          <w:sz w:val="18"/>
          <w:szCs w:val="18"/>
          <w:lang w:val="en-US" w:eastAsia="zh-CN"/>
        </w:rPr>
        <w:t>5</w:t>
      </w:r>
      <w:r>
        <w:rPr>
          <w:rFonts w:hint="eastAsia"/>
          <w:b/>
          <w:bCs/>
          <w:sz w:val="18"/>
          <w:szCs w:val="18"/>
        </w:rPr>
        <w:t>.2 Retro and Nature: The Generative Logic of Flexible Structural Language</w:t>
      </w:r>
    </w:p>
    <w:p>
      <w:pPr>
        <w:rPr>
          <w:rFonts w:hint="eastAsia"/>
          <w:sz w:val="18"/>
          <w:szCs w:val="18"/>
        </w:rPr>
      </w:pPr>
      <w:r>
        <w:rPr>
          <w:rFonts w:hint="eastAsia"/>
          <w:sz w:val="18"/>
          <w:szCs w:val="18"/>
        </w:rPr>
        <w:t>This study posits retro and nature as dual sources of flexible language, jointly underpinning the formation of flexible aesthetics at both historical and structural levels.The retro framework provides historical legitimacy for flexibility. Classic indigo, beige, and structured lines (Dyer, 2017; Ribeiro, 2003) demonstrate that masculine softness historically existed through forms of elegance and restraint. Retro tailoring elements—shoulder lines, chest pleats, and cinched waists—serve as pivotal points for flexible structure, anchoring softness within traditional menswear logic to maintain stability and recognisability. This allows viewers to interpret new soft energies within a context of ‘gentlemanliness’.</w:t>
      </w:r>
    </w:p>
    <w:p>
      <w:pPr>
        <w:rPr>
          <w:rFonts w:hint="eastAsia"/>
          <w:sz w:val="18"/>
          <w:szCs w:val="18"/>
        </w:rPr>
      </w:pPr>
    </w:p>
    <w:p>
      <w:pPr>
        <w:rPr>
          <w:rFonts w:hint="eastAsia"/>
          <w:sz w:val="18"/>
          <w:szCs w:val="18"/>
        </w:rPr>
      </w:pPr>
      <w:r>
        <w:rPr>
          <w:rFonts w:hint="eastAsia"/>
          <w:sz w:val="18"/>
          <w:szCs w:val="18"/>
        </w:rPr>
        <w:t>Natural frameworks provide the vital logic for flexible structures. Leaf-vein stitching, layered botanical structures, and natural colour palettes form a ‘soft yet powerful’ material language. Kellert (2018) notes that natural structures convey vitality and profound security, while this study's repeated structural testing validates the wearability of natural logic: flexible strength derives from force distribution, rebound, and adaptability, not rigidity or bulk.</w:t>
      </w:r>
    </w:p>
    <w:p>
      <w:pPr>
        <w:rPr>
          <w:rFonts w:hint="eastAsia"/>
          <w:sz w:val="18"/>
          <w:szCs w:val="18"/>
        </w:rPr>
      </w:pPr>
    </w:p>
    <w:p>
      <w:pPr>
        <w:rPr>
          <w:rFonts w:hint="eastAsia"/>
          <w:sz w:val="18"/>
          <w:szCs w:val="18"/>
        </w:rPr>
      </w:pPr>
      <w:r>
        <w:rPr>
          <w:rFonts w:hint="eastAsia"/>
          <w:sz w:val="18"/>
          <w:szCs w:val="18"/>
        </w:rPr>
        <w:t>This force logic is further clarified under the Biomimicry Institute's (2020) ecological principles: flexibility generates resilience through cushioning, synergy, and elasticity, not through resistance. Tests demonstrate that leaf vein sutures effectively disperse stress, plant layering produces ‘organic responses’, and light colour palettes reduce bodily aggression, presenting the male form in a more approachable posture. This ecological logic of strength aligns profoundly with Eastern philosophy of yielding to overcome rigidity, demonstrating that softness is not merely an aesthetic strategy but a sustainable source of structural resilience for the male form.</w:t>
      </w:r>
    </w:p>
    <w:p>
      <w:pPr>
        <w:rPr>
          <w:rFonts w:hint="eastAsia"/>
          <w:sz w:val="18"/>
          <w:szCs w:val="18"/>
        </w:rPr>
      </w:pPr>
    </w:p>
    <w:p>
      <w:pPr>
        <w:rPr>
          <w:rFonts w:hint="eastAsia"/>
          <w:sz w:val="18"/>
          <w:szCs w:val="18"/>
        </w:rPr>
      </w:pPr>
    </w:p>
    <w:p>
      <w:pPr>
        <w:rPr>
          <w:rFonts w:hint="eastAsia"/>
          <w:b/>
          <w:bCs/>
          <w:sz w:val="18"/>
          <w:szCs w:val="18"/>
        </w:rPr>
      </w:pPr>
      <w:r>
        <w:rPr>
          <w:rFonts w:hint="eastAsia"/>
          <w:b/>
          <w:bCs/>
          <w:sz w:val="18"/>
          <w:szCs w:val="18"/>
          <w:lang w:val="en-US" w:eastAsia="zh-CN"/>
        </w:rPr>
        <w:t>5</w:t>
      </w:r>
      <w:r>
        <w:rPr>
          <w:rFonts w:hint="eastAsia"/>
          <w:b/>
          <w:bCs/>
          <w:sz w:val="18"/>
          <w:szCs w:val="18"/>
        </w:rPr>
        <w:t>.3 Historical Rebellion and Global Femininity: The Dual Revelations of Dandyism and International Fashion</w:t>
      </w:r>
    </w:p>
    <w:p>
      <w:pPr>
        <w:rPr>
          <w:rFonts w:hint="eastAsia"/>
          <w:sz w:val="18"/>
          <w:szCs w:val="18"/>
        </w:rPr>
      </w:pPr>
      <w:r>
        <w:rPr>
          <w:rFonts w:hint="eastAsia"/>
          <w:sz w:val="18"/>
          <w:szCs w:val="18"/>
        </w:rPr>
        <w:t>Situating masculine femininity within broader cultural history and international fashion contexts, Dandyism offers a significant rebellious tradition for femininity. Bazire and Velasco Zapata (2025) note that the Dandy challenged the industrial era's emphasis on functional, controlling masculinity through slender physiques and refined adornment. This study's structural experiment extends this logic: details of softness—such as lavender piping and botanical textures—are integrated into rigorous tailoring, creating a ‘restrained extravagance’ that subverts hegemonic masculine visual norms while preserving the masculine body's gravitas and legibility. Thus, the ‘flexible gentleman’ is not a mere revival of the Dandy, but a contemporary extension of its ethos, transforming softness into an ethically and historically grounded mode of masculine expression.</w:t>
      </w:r>
    </w:p>
    <w:p>
      <w:pPr>
        <w:rPr>
          <w:rFonts w:hint="eastAsia"/>
          <w:sz w:val="18"/>
          <w:szCs w:val="18"/>
        </w:rPr>
      </w:pPr>
    </w:p>
    <w:p>
      <w:pPr>
        <w:rPr>
          <w:rFonts w:hint="eastAsia"/>
          <w:sz w:val="18"/>
          <w:szCs w:val="18"/>
        </w:rPr>
      </w:pPr>
      <w:r>
        <w:rPr>
          <w:rFonts w:hint="eastAsia"/>
          <w:sz w:val="18"/>
          <w:szCs w:val="18"/>
        </w:rPr>
        <w:t>This historical trajectory finds further resonance within the international fashion discourse. Valentino merges soft hues with structure to articulate ‘gentleness is a form of power’ (Fury, 2023), while Louis Vuitton and Gucci (Volga, 2019; Yotka, 2019) redefine the male form through vintage ornamentation and emotive silhouettes, while Palomo Spain (Satenstein, 2017) subverts gender norms with pink hues, high saturation, and lightweight fabrics. These examples demonstrate that softness has become a globally shared aesthetic language, forging a new visual grammar between strength, emotion, and identity expression. The flexible structural model proposed in this study positions itself within this global context, responding to the expanding pathways of masculine softness within international fashion.</w:t>
      </w:r>
    </w:p>
    <w:p>
      <w:pPr>
        <w:rPr>
          <w:rFonts w:hint="eastAsia"/>
          <w:sz w:val="18"/>
          <w:szCs w:val="18"/>
        </w:rPr>
      </w:pPr>
    </w:p>
    <w:p>
      <w:pPr>
        <w:rPr>
          <w:rFonts w:hint="eastAsia"/>
          <w:b/>
          <w:bCs/>
          <w:sz w:val="18"/>
          <w:szCs w:val="18"/>
        </w:rPr>
      </w:pPr>
      <w:r>
        <w:rPr>
          <w:rFonts w:hint="eastAsia"/>
          <w:b/>
          <w:bCs/>
          <w:sz w:val="18"/>
          <w:szCs w:val="18"/>
          <w:lang w:val="en-US" w:eastAsia="zh-CN"/>
        </w:rPr>
        <w:t>5</w:t>
      </w:r>
      <w:r>
        <w:rPr>
          <w:rFonts w:hint="eastAsia"/>
          <w:b/>
          <w:bCs/>
          <w:sz w:val="18"/>
          <w:szCs w:val="18"/>
        </w:rPr>
        <w:t>.4 Cross-Cultural Perspectives and Contributions from Chinese Designers: Eastern Extensions of Flexible Language</w:t>
      </w:r>
    </w:p>
    <w:p>
      <w:pPr>
        <w:rPr>
          <w:rFonts w:hint="eastAsia"/>
          <w:sz w:val="18"/>
          <w:szCs w:val="18"/>
        </w:rPr>
      </w:pPr>
      <w:r>
        <w:rPr>
          <w:rFonts w:hint="eastAsia"/>
          <w:sz w:val="18"/>
          <w:szCs w:val="18"/>
        </w:rPr>
        <w:t>Cross-cultural research reveals that Chinese designers offer structural logic and philosophical foundations for male flexibility distinct from Western frameworks. Feng Chen Wang emphasises gender fluidity as a ‘structural language liberating the body,’while Uma Wang's natural materials and fluid forms embody the resilient vitality of flexibility (Berkeley, 2024; FHCM, 2021). These examples demonstrate how Eastern philosophies of softness—emphasising adaptability, resilience, and natural synergy—generate distinctive structural expressions on the male form, forming deep intertextuality with this study's ‘retro and natural’ framework.</w:t>
      </w:r>
    </w:p>
    <w:p>
      <w:pPr>
        <w:rPr>
          <w:rFonts w:hint="eastAsia"/>
          <w:sz w:val="18"/>
          <w:szCs w:val="18"/>
        </w:rPr>
      </w:pPr>
    </w:p>
    <w:p>
      <w:pPr>
        <w:rPr>
          <w:rFonts w:hint="eastAsia"/>
          <w:sz w:val="18"/>
          <w:szCs w:val="18"/>
        </w:rPr>
      </w:pPr>
      <w:r>
        <w:rPr>
          <w:rFonts w:hint="eastAsia"/>
          <w:sz w:val="18"/>
          <w:szCs w:val="18"/>
        </w:rPr>
        <w:t>Within this context, the researcher's Chinese identity functions not as bias but as a theoretical resource, enabling the flexible gentleman model to forge cross-cultural connections between Eastern philosophy of softness, natural structures, and Western retro aesthetics. This perspective not only expands the theoretical foundations of masculine softness but also offers new methodological contributions to global menswear narratives, demonstrating how softness can be rewritten, amplified, and restructured across cultural differences.</w:t>
      </w:r>
    </w:p>
    <w:p>
      <w:pPr>
        <w:rPr>
          <w:rFonts w:hint="eastAsia"/>
          <w:sz w:val="18"/>
          <w:szCs w:val="18"/>
        </w:rPr>
      </w:pPr>
    </w:p>
    <w:p>
      <w:pPr>
        <w:rPr>
          <w:rFonts w:hint="eastAsia"/>
          <w:sz w:val="18"/>
          <w:szCs w:val="18"/>
        </w:rPr>
      </w:pPr>
    </w:p>
    <w:p>
      <w:pPr>
        <w:rPr>
          <w:rFonts w:hint="eastAsia"/>
          <w:sz w:val="18"/>
          <w:szCs w:val="18"/>
        </w:rPr>
      </w:pPr>
    </w:p>
    <w:p>
      <w:pPr>
        <w:rPr>
          <w:rFonts w:hint="eastAsia" w:eastAsia="宋体"/>
          <w:b/>
          <w:bCs/>
          <w:sz w:val="21"/>
          <w:szCs w:val="21"/>
          <w:lang w:eastAsia="zh-CN"/>
        </w:rPr>
      </w:pPr>
      <w:r>
        <w:rPr>
          <w:rFonts w:ascii="Helvetica Neue" w:hAnsi="Helvetica Neue" w:eastAsia="Helvetica Neue" w:cs="Helvetica Neue"/>
          <w:b/>
          <w:bCs/>
          <w:color w:val="000000"/>
          <w:kern w:val="0"/>
          <w:sz w:val="24"/>
          <w:szCs w:val="24"/>
          <w:lang w:val="en-US" w:eastAsia="zh-CN" w:bidi="ar"/>
        </w:rPr>
        <w:t>VI.</w:t>
      </w:r>
      <w:r>
        <w:rPr>
          <w:rFonts w:hint="eastAsia"/>
          <w:b/>
          <w:bCs/>
          <w:sz w:val="21"/>
          <w:szCs w:val="21"/>
        </w:rPr>
        <w:t xml:space="preserve"> Conclusion</w:t>
      </w:r>
    </w:p>
    <w:p>
      <w:pPr>
        <w:rPr>
          <w:rFonts w:hint="eastAsia"/>
          <w:sz w:val="18"/>
          <w:szCs w:val="18"/>
          <w:lang w:val="en-US"/>
        </w:rPr>
      </w:pPr>
      <w:r>
        <w:rPr>
          <w:rFonts w:hint="eastAsia"/>
          <w:sz w:val="18"/>
          <w:szCs w:val="18"/>
          <w:lang w:val="en-US"/>
        </w:rPr>
        <w:t>This study centres on the core theme of‘the structural reconstruction of masculine grace’, unfolding within a triple framework of ontology, epistemology, and axiology. Employing an interdisciplinary approach, it integrates natural structures, retro aesthetics, and practice-oriented research into a unified analytical system. The six chapters collectively demonstrate that masculine grace is not a visual attribute superimposed upon the body, but rather an aesthetic reality long inherent within natural logic, historical discourse, and bodily potential—yet persistently suppressed by cultural discipline. Gender performance theory demonstrates that gender is constituted through repetitive bodily practices (Butler, 1990), while the social mechanisms of hegemonic masculinity further erase the visibility of softness (Connell, 1995). Consequently, this study emphasises, from an ontological perspective, the persistent existence of softness as a‘latent structure,’illustrating how it regains expressive capacity through material, structural, and visual processes.</w:t>
      </w:r>
    </w:p>
    <w:p>
      <w:pPr>
        <w:rPr>
          <w:rFonts w:hint="eastAsia"/>
          <w:sz w:val="18"/>
          <w:szCs w:val="18"/>
          <w:lang w:val="en-US"/>
        </w:rPr>
      </w:pPr>
    </w:p>
    <w:p>
      <w:pPr>
        <w:rPr>
          <w:rFonts w:hint="eastAsia"/>
          <w:sz w:val="18"/>
          <w:szCs w:val="18"/>
          <w:lang w:val="en-US"/>
        </w:rPr>
      </w:pPr>
      <w:r>
        <w:rPr>
          <w:rFonts w:hint="eastAsia"/>
          <w:sz w:val="18"/>
          <w:szCs w:val="18"/>
          <w:lang w:val="en-US"/>
        </w:rPr>
        <w:t>At the epistemological level, this study particularly underscores the necessity of an interdisciplinary approach. The structural reconstruction of masculine softness involves multiple knowledge domains including natural structures, biomechanics, costume history, gender studies, visual culture, and material behaviour. No single framework can adequately explain its complex generative mechanisms. Consequently, this research constructs a practice-centred knowledge production pathway, forming a complementary mechanism through raw fabric experiments, visual deduction, embodied assessment, and cross-disciplinary literature integration. This interdisciplinary approach reveals how softness is‘translated’and‘validated’across knowledge systems. For instance, the soft-but-strong logic of natural structures is transformed into wearable structural strength through material testing; historical softness enters contemporary bodily contexts via deconstructive visual experiments; and cultural theories gain embodied evidence through fitting sessions and movement analysis. This methodological framework not only constitutes a traceable chain of evidence but also aligns with the epistemological paradigm of‘practice as knowledge’(Barrett &amp; Bolt, 2007). It establishes methodological rigour according to Lincoln &amp; Guba's (1985) credibility principles while adhering to BERA's (2018) ethical guidelines to ensure transparency in cross-cultural bodily representations.</w:t>
      </w:r>
    </w:p>
    <w:p>
      <w:pPr>
        <w:rPr>
          <w:rFonts w:hint="eastAsia"/>
          <w:sz w:val="18"/>
          <w:szCs w:val="18"/>
          <w:lang w:val="en-US"/>
        </w:rPr>
      </w:pPr>
    </w:p>
    <w:p>
      <w:pPr>
        <w:rPr>
          <w:rFonts w:hint="eastAsia"/>
          <w:sz w:val="18"/>
          <w:szCs w:val="18"/>
          <w:lang w:val="en-US"/>
        </w:rPr>
      </w:pPr>
      <w:r>
        <w:rPr>
          <w:rFonts w:hint="eastAsia"/>
          <w:sz w:val="18"/>
          <w:szCs w:val="18"/>
          <w:lang w:val="en-US"/>
        </w:rPr>
        <w:t>At the value-theoretical level, this study proposes the ‘Resilient Gentleman’ as a structural model for contemporary male flexibility. Findings reveal: the soft-but-strong principle in natural structures (Kellert &amp; Calabrese, 2015) can be effectively translated into the structural language of the male body through stitching forces, layered organisation, and fabric resilience; retro aesthetics demonstrate that softness historically symbolised power, refinement, and taste (Ribeiro, 2003; Bourdieu, 1984), granting flexibility contemporary cultural legitimacy beyond mere gender neutrality trends. Cross-cultural analysis further reveals profound resonance between Eastern philosophy of softness and natural resilience logic, endowing the Resilient Gentleman model with cross-cultural adaptability and interpretive power, providing a more inclusive theoretical foundation for contemporary male values.</w:t>
      </w:r>
    </w:p>
    <w:p>
      <w:pPr>
        <w:rPr>
          <w:rFonts w:hint="eastAsia"/>
          <w:sz w:val="18"/>
          <w:szCs w:val="18"/>
          <w:lang w:val="en-US"/>
        </w:rPr>
      </w:pPr>
    </w:p>
    <w:p>
      <w:pPr>
        <w:rPr>
          <w:rFonts w:hint="eastAsia"/>
          <w:sz w:val="18"/>
          <w:szCs w:val="18"/>
          <w:lang w:val="en-US"/>
        </w:rPr>
      </w:pPr>
      <w:r>
        <w:rPr>
          <w:rFonts w:hint="eastAsia"/>
          <w:sz w:val="18"/>
          <w:szCs w:val="18"/>
          <w:lang w:val="en-US"/>
        </w:rPr>
        <w:t>Grounded in ontological, epistemological, axiological, and interdisciplinary research approaches, this study's contributions can be summarised in three aspects: (1) Theoretical contribution: Positing softness as embodied practice and structural logic rather than purely visual style, thereby offering a new theoretical paradigm for masculinity studies; (2) Methodological contribution: Demonstrating how structural experimentation, visual generation, material testing, and bodily assessment collectively constitute a knowledge system for masculine softness, offering replicable and verifiable methodological pathways for practice-based research; (3) Design contribution: Constructing a wearable, analysable, and culturally profound structural language of flexibility, charting new directions for contemporary menswear narratives.</w:t>
      </w:r>
    </w:p>
    <w:p>
      <w:pPr>
        <w:rPr>
          <w:rFonts w:hint="eastAsia"/>
          <w:sz w:val="18"/>
          <w:szCs w:val="18"/>
          <w:lang w:val="en-US"/>
        </w:rPr>
      </w:pPr>
    </w:p>
    <w:p>
      <w:pPr>
        <w:rPr>
          <w:rFonts w:hint="eastAsia"/>
          <w:sz w:val="18"/>
          <w:szCs w:val="18"/>
          <w:lang w:val="en-US"/>
        </w:rPr>
      </w:pPr>
      <w:r>
        <w:rPr>
          <w:rFonts w:hint="eastAsia"/>
          <w:sz w:val="18"/>
          <w:szCs w:val="18"/>
          <w:lang w:val="en-US"/>
        </w:rPr>
        <w:t>Future research will focus on three expansions: (1) Conducting physical runway shows in the UK to observe the generative mechanisms of the ‘nature-vintage-body’ narrative within real spatial contexts; (2) Further optimising the structural craftsmanship, material performance, and commercial sustainability of the four ready-to-wear collections, enabling flexible structures to enter broader cultural dissemination and industrial applications; (3) Expanding immersive visual experiments to extend the flexible gentleman model into dynamic narratives, spatial experiences, and the politics of the body. Collectively, this research not only addresses the longstanding absence of masculine grace within modern cultural systems but also provides, through a theory-practice integrated approach, a sustainable, cross-cultural, and empowering expressive framework for the future reconfiguration of masculinity.</w:t>
      </w:r>
    </w:p>
    <w:p>
      <w:pPr>
        <w:rPr>
          <w:sz w:val="18"/>
          <w:szCs w:val="18"/>
          <w:lang w:val="en-US"/>
        </w:rPr>
      </w:pPr>
    </w:p>
    <w:p>
      <w:pPr>
        <w:rPr>
          <w:sz w:val="18"/>
          <w:szCs w:val="18"/>
          <w:lang w:val="en-US"/>
        </w:rPr>
      </w:pPr>
    </w:p>
    <w:p>
      <w:pPr>
        <w:rPr>
          <w:sz w:val="18"/>
          <w:szCs w:val="18"/>
          <w:lang w:val="en-US"/>
        </w:rPr>
      </w:pPr>
    </w:p>
    <w:p>
      <w:pPr>
        <w:rPr>
          <w:rFonts w:hint="eastAsia"/>
          <w:b/>
          <w:bCs/>
          <w:sz w:val="24"/>
          <w:szCs w:val="24"/>
        </w:rPr>
      </w:pPr>
      <w:r>
        <w:rPr>
          <w:rFonts w:hint="default"/>
          <w:b/>
          <w:bCs/>
          <w:sz w:val="24"/>
          <w:szCs w:val="24"/>
          <w:lang w:val="en-US"/>
        </w:rPr>
        <w:t>R</w:t>
      </w:r>
      <w:r>
        <w:rPr>
          <w:b/>
          <w:bCs/>
          <w:sz w:val="24"/>
          <w:szCs w:val="24"/>
          <w:lang w:val="en-US"/>
        </w:rPr>
        <w:t>eferences</w:t>
      </w:r>
    </w:p>
    <w:p>
      <w:pPr>
        <w:rPr>
          <w:rFonts w:hint="eastAsia"/>
          <w:sz w:val="18"/>
          <w:szCs w:val="18"/>
        </w:rPr>
      </w:pPr>
      <w:r>
        <w:rPr>
          <w:rFonts w:hint="eastAsia"/>
          <w:sz w:val="18"/>
          <w:szCs w:val="18"/>
        </w:rPr>
        <w:t>•Barrett, E. &amp; Bolt, B. (2007). Practice as Research: Approaches to Creative Arts Enquiry. London: I.B. Tauris.</w:t>
      </w:r>
    </w:p>
    <w:p>
      <w:pPr>
        <w:rPr>
          <w:rFonts w:hint="eastAsia"/>
          <w:sz w:val="18"/>
          <w:szCs w:val="18"/>
        </w:rPr>
      </w:pPr>
      <w:r>
        <w:rPr>
          <w:rFonts w:hint="eastAsia"/>
          <w:sz w:val="18"/>
          <w:szCs w:val="18"/>
        </w:rPr>
        <w:t>•Bazire, L. and Velasco Zapata, L. (2025)</w:t>
      </w:r>
      <w:r>
        <w:rPr>
          <w:rFonts w:hint="default"/>
          <w:sz w:val="18"/>
          <w:szCs w:val="18"/>
          <w:lang w:val="en-US"/>
        </w:rPr>
        <w:t xml:space="preserve">. </w:t>
      </w:r>
      <w:r>
        <w:rPr>
          <w:rFonts w:hint="eastAsia"/>
          <w:sz w:val="18"/>
          <w:szCs w:val="18"/>
        </w:rPr>
        <w:t xml:space="preserve">Dandyism revival: The story of the 21st-century neo-dandies. </w:t>
      </w:r>
    </w:p>
    <w:p>
      <w:pPr>
        <w:rPr>
          <w:rFonts w:hint="eastAsia"/>
          <w:sz w:val="18"/>
          <w:szCs w:val="18"/>
        </w:rPr>
      </w:pPr>
      <w:r>
        <w:rPr>
          <w:rFonts w:hint="eastAsia"/>
          <w:sz w:val="18"/>
          <w:szCs w:val="18"/>
        </w:rPr>
        <w:t>•BERA (2018)</w:t>
      </w:r>
      <w:r>
        <w:rPr>
          <w:rFonts w:hint="default"/>
          <w:sz w:val="18"/>
          <w:szCs w:val="18"/>
          <w:lang w:val="en-US"/>
        </w:rPr>
        <w:t xml:space="preserve">. </w:t>
      </w:r>
      <w:r>
        <w:rPr>
          <w:rFonts w:hint="eastAsia"/>
          <w:sz w:val="18"/>
          <w:szCs w:val="18"/>
        </w:rPr>
        <w:t xml:space="preserve">Ethical Guidelines for Educational Research. British Educational Research Association. </w:t>
      </w:r>
    </w:p>
    <w:p>
      <w:pPr>
        <w:rPr>
          <w:rFonts w:hint="eastAsia"/>
          <w:sz w:val="18"/>
          <w:szCs w:val="18"/>
        </w:rPr>
      </w:pPr>
      <w:r>
        <w:rPr>
          <w:rFonts w:hint="eastAsia"/>
          <w:sz w:val="18"/>
          <w:szCs w:val="18"/>
        </w:rPr>
        <w:t>•Berkeley, L. (2024)</w:t>
      </w:r>
      <w:r>
        <w:rPr>
          <w:rFonts w:hint="default"/>
          <w:sz w:val="18"/>
          <w:szCs w:val="18"/>
          <w:lang w:val="en-US"/>
        </w:rPr>
        <w:t>.</w:t>
      </w:r>
      <w:r>
        <w:rPr>
          <w:rFonts w:hint="eastAsia"/>
          <w:sz w:val="18"/>
          <w:szCs w:val="18"/>
        </w:rPr>
        <w:t>Feng Chen Wang: Gender, Form and Contemporary Chinese Menswear. London: Fashion History Journal.</w:t>
      </w:r>
    </w:p>
    <w:p>
      <w:pPr>
        <w:rPr>
          <w:rFonts w:hint="eastAsia"/>
          <w:sz w:val="18"/>
          <w:szCs w:val="18"/>
        </w:rPr>
      </w:pPr>
      <w:r>
        <w:rPr>
          <w:rFonts w:hint="eastAsia"/>
          <w:sz w:val="18"/>
          <w:szCs w:val="18"/>
        </w:rPr>
        <w:t>•Biomimicry Institute</w:t>
      </w:r>
      <w:r>
        <w:rPr>
          <w:rFonts w:hint="default"/>
          <w:sz w:val="18"/>
          <w:szCs w:val="18"/>
          <w:lang w:val="en-US"/>
        </w:rPr>
        <w:t xml:space="preserve">. </w:t>
      </w:r>
      <w:r>
        <w:rPr>
          <w:rFonts w:hint="eastAsia"/>
          <w:sz w:val="18"/>
          <w:szCs w:val="18"/>
        </w:rPr>
        <w:t>(2020)</w:t>
      </w:r>
      <w:r>
        <w:rPr>
          <w:rFonts w:hint="default"/>
          <w:sz w:val="18"/>
          <w:szCs w:val="18"/>
          <w:lang w:val="en-US"/>
        </w:rPr>
        <w:t>.</w:t>
      </w:r>
      <w:r>
        <w:rPr>
          <w:rFonts w:hint="eastAsia"/>
          <w:sz w:val="18"/>
          <w:szCs w:val="18"/>
        </w:rPr>
        <w:t xml:space="preserve"> The Nature of Fashion: Design for Transformation. Missoula: Biomimicry Institute.</w:t>
      </w:r>
    </w:p>
    <w:p>
      <w:pPr>
        <w:rPr>
          <w:rFonts w:hint="default"/>
          <w:sz w:val="18"/>
          <w:szCs w:val="18"/>
          <w:lang w:val="en-US"/>
        </w:rPr>
      </w:pPr>
      <w:r>
        <w:rPr>
          <w:rFonts w:hint="eastAsia"/>
          <w:sz w:val="18"/>
          <w:szCs w:val="18"/>
        </w:rPr>
        <w:t>•Bourdieu, P. (1984)</w:t>
      </w:r>
      <w:r>
        <w:rPr>
          <w:rFonts w:hint="default"/>
          <w:sz w:val="18"/>
          <w:szCs w:val="18"/>
          <w:lang w:val="en-US"/>
        </w:rPr>
        <w:t>.</w:t>
      </w:r>
      <w:r>
        <w:rPr>
          <w:rFonts w:hint="eastAsia"/>
          <w:sz w:val="18"/>
          <w:szCs w:val="18"/>
        </w:rPr>
        <w:t xml:space="preserve"> Distinction: A Social Critique of the Judgement of Taste. Cambridge, MA: Harvard University Press</w:t>
      </w:r>
      <w:r>
        <w:rPr>
          <w:rFonts w:hint="default"/>
          <w:sz w:val="18"/>
          <w:szCs w:val="18"/>
          <w:lang w:val="en-US"/>
        </w:rPr>
        <w:t>.</w:t>
      </w:r>
    </w:p>
    <w:p>
      <w:pPr>
        <w:rPr>
          <w:rFonts w:hint="eastAsia"/>
          <w:sz w:val="18"/>
          <w:szCs w:val="18"/>
        </w:rPr>
      </w:pPr>
      <w:r>
        <w:rPr>
          <w:rFonts w:hint="eastAsia"/>
          <w:sz w:val="18"/>
          <w:szCs w:val="18"/>
        </w:rPr>
        <w:t>•Butler, J. (1990). Gender Trouble: Feminism and the Subversion of Identity. New York: Routledge.</w:t>
      </w:r>
    </w:p>
    <w:p>
      <w:pPr>
        <w:rPr>
          <w:rFonts w:hint="eastAsia"/>
          <w:sz w:val="18"/>
          <w:szCs w:val="18"/>
        </w:rPr>
      </w:pPr>
      <w:r>
        <w:rPr>
          <w:rFonts w:hint="eastAsia"/>
          <w:sz w:val="18"/>
          <w:szCs w:val="18"/>
        </w:rPr>
        <w:t>•Cheung, T.C. and Choi, S.Y. (2023)</w:t>
      </w:r>
      <w:r>
        <w:rPr>
          <w:rFonts w:hint="default"/>
          <w:sz w:val="18"/>
          <w:szCs w:val="18"/>
          <w:lang w:val="en-US"/>
        </w:rPr>
        <w:t>.</w:t>
      </w:r>
      <w:r>
        <w:rPr>
          <w:rFonts w:hint="eastAsia"/>
          <w:sz w:val="18"/>
          <w:szCs w:val="18"/>
        </w:rPr>
        <w:t>‘Quantitative study of soft masculine trends in contemporary menswear using semantic network analysis’, Journal of the Korean Society of Clothing and Textiles, 46(6), pp. 1–16.</w:t>
      </w:r>
    </w:p>
    <w:p>
      <w:pPr>
        <w:rPr>
          <w:rFonts w:hint="eastAsia"/>
          <w:sz w:val="18"/>
          <w:szCs w:val="18"/>
        </w:rPr>
      </w:pPr>
      <w:r>
        <w:rPr>
          <w:rFonts w:hint="eastAsia"/>
          <w:sz w:val="18"/>
          <w:szCs w:val="18"/>
        </w:rPr>
        <w:t>•Connell, R.W. (1995). Masculinities. Berkeley: University of California Press.</w:t>
      </w:r>
    </w:p>
    <w:p>
      <w:pPr>
        <w:rPr>
          <w:rFonts w:hint="eastAsia"/>
          <w:sz w:val="18"/>
          <w:szCs w:val="18"/>
        </w:rPr>
      </w:pPr>
      <w:r>
        <w:rPr>
          <w:rFonts w:hint="eastAsia"/>
          <w:sz w:val="18"/>
          <w:szCs w:val="18"/>
        </w:rPr>
        <w:t xml:space="preserve">•Dyer, R. (2017) </w:t>
      </w:r>
      <w:r>
        <w:rPr>
          <w:rFonts w:hint="default"/>
          <w:sz w:val="18"/>
          <w:szCs w:val="18"/>
          <w:lang w:val="en-US"/>
        </w:rPr>
        <w:t>.</w:t>
      </w:r>
      <w:r>
        <w:rPr>
          <w:rFonts w:hint="eastAsia"/>
          <w:sz w:val="18"/>
          <w:szCs w:val="18"/>
        </w:rPr>
        <w:t>White. London: Routledge.</w:t>
      </w:r>
    </w:p>
    <w:p>
      <w:pPr>
        <w:rPr>
          <w:rFonts w:hint="eastAsia"/>
          <w:sz w:val="18"/>
          <w:szCs w:val="18"/>
        </w:rPr>
      </w:pPr>
      <w:r>
        <w:rPr>
          <w:rFonts w:hint="eastAsia"/>
          <w:sz w:val="18"/>
          <w:szCs w:val="18"/>
        </w:rPr>
        <w:t>•Edwards, T.</w:t>
      </w:r>
      <w:r>
        <w:rPr>
          <w:rFonts w:hint="default"/>
          <w:sz w:val="18"/>
          <w:szCs w:val="18"/>
          <w:lang w:val="en-US"/>
        </w:rPr>
        <w:t>(</w:t>
      </w:r>
      <w:r>
        <w:rPr>
          <w:rFonts w:hint="eastAsia"/>
          <w:sz w:val="18"/>
          <w:szCs w:val="18"/>
        </w:rPr>
        <w:t>1997</w:t>
      </w:r>
      <w:r>
        <w:rPr>
          <w:rFonts w:hint="default"/>
          <w:sz w:val="18"/>
          <w:szCs w:val="18"/>
          <w:lang w:val="en-US"/>
        </w:rPr>
        <w:t>)</w:t>
      </w:r>
      <w:r>
        <w:rPr>
          <w:rFonts w:hint="eastAsia"/>
          <w:sz w:val="18"/>
          <w:szCs w:val="18"/>
        </w:rPr>
        <w:t>.</w:t>
      </w:r>
      <w:r>
        <w:rPr>
          <w:rFonts w:hint="default"/>
          <w:sz w:val="18"/>
          <w:szCs w:val="18"/>
          <w:lang w:val="en-US"/>
        </w:rPr>
        <w:t xml:space="preserve"> </w:t>
      </w:r>
      <w:r>
        <w:rPr>
          <w:rFonts w:hint="eastAsia"/>
          <w:sz w:val="18"/>
          <w:szCs w:val="18"/>
        </w:rPr>
        <w:t>Men in the Mirror: Men’s Fashion, Masculinity and Consumer Society. London: Cassell.</w:t>
      </w:r>
    </w:p>
    <w:p>
      <w:pPr>
        <w:rPr>
          <w:rFonts w:hint="eastAsia"/>
          <w:sz w:val="18"/>
          <w:szCs w:val="18"/>
        </w:rPr>
      </w:pPr>
      <w:r>
        <w:rPr>
          <w:rFonts w:hint="eastAsia"/>
          <w:sz w:val="18"/>
          <w:szCs w:val="18"/>
        </w:rPr>
        <w:t>•Ellis, C., Adams, T. &amp; Bochner, A. (2011)</w:t>
      </w:r>
      <w:r>
        <w:rPr>
          <w:rFonts w:hint="default"/>
          <w:sz w:val="18"/>
          <w:szCs w:val="18"/>
          <w:lang w:val="en-US"/>
        </w:rPr>
        <w:t>.</w:t>
      </w:r>
      <w:r>
        <w:rPr>
          <w:rFonts w:hint="eastAsia"/>
          <w:sz w:val="18"/>
          <w:szCs w:val="18"/>
        </w:rPr>
        <w:t>‘Autoethnography: An Overview’, Forum: Qualitative Social Research, 12(1), pp. 1–18.</w:t>
      </w:r>
    </w:p>
    <w:p>
      <w:pPr>
        <w:rPr>
          <w:rFonts w:hint="eastAsia"/>
          <w:sz w:val="18"/>
          <w:szCs w:val="18"/>
        </w:rPr>
      </w:pPr>
      <w:r>
        <w:rPr>
          <w:rFonts w:hint="eastAsia"/>
          <w:sz w:val="18"/>
          <w:szCs w:val="18"/>
        </w:rPr>
        <w:t>•FHCM (2021)</w:t>
      </w:r>
      <w:r>
        <w:rPr>
          <w:rFonts w:hint="default"/>
          <w:sz w:val="18"/>
          <w:szCs w:val="18"/>
          <w:lang w:val="en-US"/>
        </w:rPr>
        <w:t>.</w:t>
      </w:r>
      <w:r>
        <w:rPr>
          <w:rFonts w:hint="eastAsia"/>
          <w:sz w:val="18"/>
          <w:szCs w:val="18"/>
          <w:lang w:val="en-US" w:eastAsia="zh-CN"/>
        </w:rPr>
        <w:t xml:space="preserve"> </w:t>
      </w:r>
      <w:r>
        <w:rPr>
          <w:rFonts w:hint="eastAsia"/>
          <w:sz w:val="18"/>
          <w:szCs w:val="18"/>
        </w:rPr>
        <w:t>Fédération de la Haute Couture et de la Mode. Designer Profile: Uma Wang. Paris: FHCM.</w:t>
      </w:r>
    </w:p>
    <w:p>
      <w:pPr>
        <w:rPr>
          <w:rFonts w:hint="eastAsia"/>
          <w:sz w:val="18"/>
          <w:szCs w:val="18"/>
        </w:rPr>
      </w:pPr>
      <w:r>
        <w:rPr>
          <w:rFonts w:hint="eastAsia"/>
          <w:sz w:val="18"/>
          <w:szCs w:val="18"/>
        </w:rPr>
        <w:t>•Foucault, M. (1977)</w:t>
      </w:r>
      <w:r>
        <w:rPr>
          <w:rFonts w:hint="default"/>
          <w:sz w:val="18"/>
          <w:szCs w:val="18"/>
          <w:lang w:val="en-US"/>
        </w:rPr>
        <w:t>.</w:t>
      </w:r>
      <w:r>
        <w:rPr>
          <w:rFonts w:hint="eastAsia"/>
          <w:sz w:val="18"/>
          <w:szCs w:val="18"/>
        </w:rPr>
        <w:t xml:space="preserve"> Discipline and Punish: The Birth of the Prison. New York: Pantheon.</w:t>
      </w:r>
    </w:p>
    <w:p>
      <w:pPr>
        <w:rPr>
          <w:rFonts w:hint="eastAsia"/>
          <w:sz w:val="18"/>
          <w:szCs w:val="18"/>
        </w:rPr>
      </w:pPr>
      <w:r>
        <w:rPr>
          <w:rFonts w:hint="eastAsia"/>
          <w:sz w:val="18"/>
          <w:szCs w:val="18"/>
        </w:rPr>
        <w:t>•Foucault, M. (1978)</w:t>
      </w:r>
      <w:r>
        <w:rPr>
          <w:rFonts w:hint="default"/>
          <w:sz w:val="18"/>
          <w:szCs w:val="18"/>
          <w:lang w:val="en-US"/>
        </w:rPr>
        <w:t>.</w:t>
      </w:r>
      <w:r>
        <w:rPr>
          <w:rFonts w:hint="eastAsia"/>
          <w:sz w:val="18"/>
          <w:szCs w:val="18"/>
        </w:rPr>
        <w:t xml:space="preserve"> The History of Sexuality, Volume 1. New York: Pantheon.</w:t>
      </w:r>
    </w:p>
    <w:p>
      <w:pPr>
        <w:rPr>
          <w:rFonts w:hint="eastAsia"/>
          <w:sz w:val="18"/>
          <w:szCs w:val="18"/>
        </w:rPr>
      </w:pPr>
      <w:r>
        <w:rPr>
          <w:rFonts w:hint="eastAsia"/>
          <w:sz w:val="18"/>
          <w:szCs w:val="18"/>
        </w:rPr>
        <w:t>•Fury, A. (2023)</w:t>
      </w:r>
      <w:r>
        <w:rPr>
          <w:rFonts w:hint="default"/>
          <w:sz w:val="18"/>
          <w:szCs w:val="18"/>
          <w:lang w:val="en-US"/>
        </w:rPr>
        <w:t>.</w:t>
      </w:r>
      <w:r>
        <w:rPr>
          <w:rFonts w:hint="eastAsia"/>
          <w:sz w:val="18"/>
          <w:szCs w:val="18"/>
        </w:rPr>
        <w:t>‘Valentino’s Gentle Questioning of Modern Masculinity’, AnOther Magazine, 19 June.</w:t>
      </w:r>
    </w:p>
    <w:p>
      <w:pPr>
        <w:rPr>
          <w:rFonts w:hint="eastAsia"/>
          <w:sz w:val="18"/>
          <w:szCs w:val="18"/>
        </w:rPr>
      </w:pPr>
      <w:r>
        <w:rPr>
          <w:rFonts w:hint="eastAsia"/>
          <w:sz w:val="18"/>
          <w:szCs w:val="18"/>
        </w:rPr>
        <w:t>•Heller, E. (2009)</w:t>
      </w:r>
      <w:r>
        <w:rPr>
          <w:rFonts w:hint="default"/>
          <w:sz w:val="18"/>
          <w:szCs w:val="18"/>
          <w:lang w:val="en-US"/>
        </w:rPr>
        <w:t>.</w:t>
      </w:r>
      <w:r>
        <w:rPr>
          <w:rFonts w:hint="eastAsia"/>
          <w:sz w:val="18"/>
          <w:szCs w:val="18"/>
        </w:rPr>
        <w:t xml:space="preserve"> Psychology of Colour: How Colours Affect Us and What Each One Means. König.</w:t>
      </w:r>
    </w:p>
    <w:p>
      <w:pPr>
        <w:rPr>
          <w:rFonts w:hint="default"/>
          <w:sz w:val="18"/>
          <w:szCs w:val="18"/>
          <w:lang w:val="en-US" w:eastAsia="zh-CN"/>
        </w:rPr>
      </w:pPr>
      <w:r>
        <w:rPr>
          <w:rFonts w:hint="eastAsia"/>
          <w:sz w:val="18"/>
          <w:szCs w:val="18"/>
        </w:rPr>
        <w:t>•Hultman, M. and Pulé, P. (2018)</w:t>
      </w:r>
      <w:r>
        <w:rPr>
          <w:rFonts w:hint="default"/>
          <w:sz w:val="18"/>
          <w:szCs w:val="18"/>
          <w:lang w:val="en-US"/>
        </w:rPr>
        <w:t>.</w:t>
      </w:r>
      <w:r>
        <w:rPr>
          <w:rFonts w:hint="eastAsia"/>
          <w:sz w:val="18"/>
          <w:szCs w:val="18"/>
        </w:rPr>
        <w:t xml:space="preserve"> Ecological Masculinities: Theoretical Foundations and Practical</w:t>
      </w:r>
      <w:r>
        <w:rPr>
          <w:rFonts w:hint="default"/>
          <w:sz w:val="18"/>
          <w:szCs w:val="18"/>
          <w:lang w:val="en-US"/>
        </w:rPr>
        <w:t>.</w:t>
      </w:r>
    </w:p>
    <w:p>
      <w:pPr>
        <w:rPr>
          <w:rFonts w:hint="eastAsia"/>
          <w:sz w:val="18"/>
          <w:szCs w:val="18"/>
        </w:rPr>
      </w:pPr>
      <w:r>
        <w:rPr>
          <w:rFonts w:hint="eastAsia"/>
          <w:sz w:val="18"/>
          <w:szCs w:val="18"/>
        </w:rPr>
        <w:t>•Kellert, S.R. and Calabrese, E. (2015)</w:t>
      </w:r>
      <w:r>
        <w:rPr>
          <w:rFonts w:hint="default"/>
          <w:sz w:val="18"/>
          <w:szCs w:val="18"/>
          <w:lang w:val="en-US"/>
        </w:rPr>
        <w:t>.</w:t>
      </w:r>
      <w:r>
        <w:rPr>
          <w:rFonts w:hint="eastAsia"/>
          <w:sz w:val="18"/>
          <w:szCs w:val="18"/>
        </w:rPr>
        <w:t xml:space="preserve"> The Practice of Biophilic Design. New Haven: Yale University.</w:t>
      </w:r>
    </w:p>
    <w:p>
      <w:pPr>
        <w:rPr>
          <w:rFonts w:hint="eastAsia"/>
          <w:sz w:val="18"/>
          <w:szCs w:val="18"/>
        </w:rPr>
      </w:pPr>
      <w:r>
        <w:rPr>
          <w:rFonts w:hint="eastAsia"/>
          <w:sz w:val="18"/>
          <w:szCs w:val="18"/>
        </w:rPr>
        <w:t>•Kellert, S.R. (2018)</w:t>
      </w:r>
      <w:r>
        <w:rPr>
          <w:rFonts w:hint="default"/>
          <w:sz w:val="18"/>
          <w:szCs w:val="18"/>
          <w:lang w:val="en-US"/>
        </w:rPr>
        <w:t>.</w:t>
      </w:r>
      <w:r>
        <w:rPr>
          <w:rFonts w:hint="eastAsia"/>
          <w:sz w:val="18"/>
          <w:szCs w:val="18"/>
        </w:rPr>
        <w:t xml:space="preserve"> Nature by Design: The Practice of Biophilic Design. Yale University Press.</w:t>
      </w:r>
    </w:p>
    <w:p>
      <w:pPr>
        <w:rPr>
          <w:rFonts w:hint="eastAsia"/>
          <w:sz w:val="18"/>
          <w:szCs w:val="18"/>
        </w:rPr>
      </w:pPr>
      <w:r>
        <w:rPr>
          <w:rFonts w:hint="eastAsia"/>
          <w:sz w:val="18"/>
          <w:szCs w:val="18"/>
        </w:rPr>
        <w:t>•Lee, H.R. (2020)</w:t>
      </w:r>
      <w:r>
        <w:rPr>
          <w:rFonts w:hint="default"/>
          <w:sz w:val="18"/>
          <w:szCs w:val="18"/>
          <w:lang w:val="en-US"/>
        </w:rPr>
        <w:t>.</w:t>
      </w:r>
      <w:r>
        <w:rPr>
          <w:rFonts w:hint="eastAsia"/>
          <w:sz w:val="18"/>
          <w:szCs w:val="18"/>
        </w:rPr>
        <w:t>‘“Neo-Crosssexual” fashion in contemporary men’s suits’, Fashion and Textiles, 7(19).</w:t>
      </w:r>
    </w:p>
    <w:p>
      <w:pPr>
        <w:rPr>
          <w:rFonts w:hint="eastAsia"/>
          <w:sz w:val="18"/>
          <w:szCs w:val="18"/>
        </w:rPr>
      </w:pPr>
      <w:r>
        <w:rPr>
          <w:rFonts w:hint="eastAsia"/>
          <w:sz w:val="18"/>
          <w:szCs w:val="18"/>
        </w:rPr>
        <w:t>•Lincoln, Y. &amp; Guba, E. (1985)</w:t>
      </w:r>
      <w:r>
        <w:rPr>
          <w:rFonts w:hint="default"/>
          <w:sz w:val="18"/>
          <w:szCs w:val="18"/>
          <w:lang w:val="en-US"/>
        </w:rPr>
        <w:t xml:space="preserve">. </w:t>
      </w:r>
      <w:r>
        <w:rPr>
          <w:rFonts w:hint="eastAsia"/>
          <w:sz w:val="18"/>
          <w:szCs w:val="18"/>
        </w:rPr>
        <w:t>Naturalistic Inquiry. Newbury Park, CA: Sage Publications.</w:t>
      </w:r>
    </w:p>
    <w:p>
      <w:pPr>
        <w:rPr>
          <w:rFonts w:hint="eastAsia"/>
          <w:sz w:val="18"/>
          <w:szCs w:val="18"/>
        </w:rPr>
      </w:pPr>
      <w:r>
        <w:rPr>
          <w:rFonts w:hint="eastAsia"/>
          <w:sz w:val="18"/>
          <w:szCs w:val="18"/>
        </w:rPr>
        <w:t>•Nicolescu, B. (2002)</w:t>
      </w:r>
      <w:r>
        <w:rPr>
          <w:rFonts w:hint="default"/>
          <w:sz w:val="18"/>
          <w:szCs w:val="18"/>
          <w:lang w:val="en-US"/>
        </w:rPr>
        <w:t>.</w:t>
      </w:r>
      <w:r>
        <w:rPr>
          <w:rFonts w:hint="eastAsia"/>
          <w:sz w:val="18"/>
          <w:szCs w:val="18"/>
        </w:rPr>
        <w:t xml:space="preserve"> Manifesto of Transdisciplinarity. New York: SUNY Press.</w:t>
      </w:r>
    </w:p>
    <w:p>
      <w:pPr>
        <w:rPr>
          <w:rFonts w:hint="eastAsia"/>
          <w:sz w:val="18"/>
          <w:szCs w:val="18"/>
        </w:rPr>
      </w:pPr>
      <w:r>
        <w:rPr>
          <w:rFonts w:hint="eastAsia"/>
          <w:sz w:val="18"/>
          <w:szCs w:val="18"/>
        </w:rPr>
        <w:t>•Ribeiro, A. (2003)</w:t>
      </w:r>
      <w:r>
        <w:rPr>
          <w:rFonts w:hint="default"/>
          <w:sz w:val="18"/>
          <w:szCs w:val="18"/>
          <w:lang w:val="en-US"/>
        </w:rPr>
        <w:t>.</w:t>
      </w:r>
      <w:r>
        <w:rPr>
          <w:rFonts w:hint="eastAsia"/>
          <w:sz w:val="18"/>
          <w:szCs w:val="18"/>
        </w:rPr>
        <w:t xml:space="preserve"> Fashion and Fiction: Dress in Art and Literature in Stuart England. New Haven: Yale University Press.</w:t>
      </w:r>
    </w:p>
    <w:p>
      <w:pPr>
        <w:rPr>
          <w:rFonts w:hint="eastAsia"/>
          <w:sz w:val="18"/>
          <w:szCs w:val="18"/>
        </w:rPr>
      </w:pPr>
      <w:r>
        <w:rPr>
          <w:rFonts w:hint="eastAsia"/>
          <w:sz w:val="18"/>
          <w:szCs w:val="18"/>
        </w:rPr>
        <w:t>•Satenstein, L. (2017)</w:t>
      </w:r>
      <w:r>
        <w:rPr>
          <w:rFonts w:hint="default"/>
          <w:sz w:val="18"/>
          <w:szCs w:val="18"/>
          <w:lang w:val="en-US"/>
        </w:rPr>
        <w:t>.</w:t>
      </w:r>
      <w:r>
        <w:rPr>
          <w:rFonts w:hint="eastAsia"/>
          <w:sz w:val="18"/>
          <w:szCs w:val="18"/>
        </w:rPr>
        <w:t>‘Meet the Spanish Label Putting a Fairy-Tale Spin on Menswear’, Vogue, 10 January.</w:t>
      </w:r>
    </w:p>
    <w:p>
      <w:pPr>
        <w:rPr>
          <w:rFonts w:hint="eastAsia" w:eastAsia="宋体"/>
          <w:sz w:val="18"/>
          <w:szCs w:val="18"/>
          <w:lang w:eastAsia="zh-CN"/>
        </w:rPr>
      </w:pPr>
      <w:r>
        <w:rPr>
          <w:rFonts w:hint="eastAsia"/>
          <w:sz w:val="18"/>
          <w:szCs w:val="18"/>
        </w:rPr>
        <w:t>•Sohn, A. (2017)</w:t>
      </w:r>
      <w:r>
        <w:rPr>
          <w:rFonts w:hint="default"/>
          <w:sz w:val="18"/>
          <w:szCs w:val="18"/>
          <w:lang w:val="en-US"/>
        </w:rPr>
        <w:t>.</w:t>
      </w:r>
      <w:r>
        <w:rPr>
          <w:rFonts w:hint="eastAsia"/>
          <w:sz w:val="18"/>
          <w:szCs w:val="18"/>
        </w:rPr>
        <w:t>‘Soft Masculinity and K-pop Culture’, Journal of Gender Studies, 26(2), pp. 220–232.</w:t>
      </w:r>
    </w:p>
    <w:p>
      <w:pPr>
        <w:rPr>
          <w:rFonts w:hint="eastAsia"/>
          <w:sz w:val="18"/>
          <w:szCs w:val="18"/>
        </w:rPr>
      </w:pPr>
      <w:r>
        <w:rPr>
          <w:rFonts w:hint="eastAsia"/>
          <w:sz w:val="18"/>
          <w:szCs w:val="18"/>
        </w:rPr>
        <w:t>•Volga, L. (2019)</w:t>
      </w:r>
      <w:r>
        <w:rPr>
          <w:rFonts w:hint="default"/>
          <w:sz w:val="18"/>
          <w:szCs w:val="18"/>
          <w:lang w:val="en-US"/>
        </w:rPr>
        <w:t>.</w:t>
      </w:r>
      <w:r>
        <w:rPr>
          <w:rFonts w:hint="eastAsia"/>
          <w:sz w:val="18"/>
          <w:szCs w:val="18"/>
        </w:rPr>
        <w:t>‘Spring flowers inspire Louis Vuitton menswear collection’, Reuters Lifestyle, 20 June.</w:t>
      </w:r>
    </w:p>
    <w:p>
      <w:pPr>
        <w:rPr>
          <w:rFonts w:hint="eastAsia"/>
          <w:sz w:val="18"/>
          <w:szCs w:val="18"/>
        </w:rPr>
      </w:pPr>
      <w:r>
        <w:rPr>
          <w:rFonts w:hint="eastAsia"/>
          <w:sz w:val="18"/>
          <w:szCs w:val="18"/>
        </w:rPr>
        <w:t>•Wilson, E. (2003). Adorned in Dreams: Fashion and Modernity. London: I.B. Tauris.</w:t>
      </w:r>
    </w:p>
    <w:p>
      <w:pPr>
        <w:rPr>
          <w:rFonts w:hint="eastAsia"/>
          <w:sz w:val="18"/>
          <w:szCs w:val="18"/>
        </w:rPr>
      </w:pPr>
      <w:r>
        <w:rPr>
          <w:rFonts w:hint="eastAsia"/>
          <w:sz w:val="18"/>
          <w:szCs w:val="18"/>
        </w:rPr>
        <w:t>•Yotka, S. (2019)‘How Gucci’s Alessandro Michele Kick-Started Fashion’s Genderless Revolution’, GQ (US), 28 October.</w:t>
      </w: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rFonts w:hint="eastAsia"/>
          <w:sz w:val="18"/>
          <w:szCs w:val="18"/>
        </w:rPr>
      </w:pPr>
    </w:p>
    <w:p>
      <w:pPr>
        <w:rPr>
          <w:sz w:val="18"/>
          <w:szCs w:val="18"/>
        </w:rPr>
      </w:pPr>
    </w:p>
    <w:p>
      <w:pPr>
        <w:rPr>
          <w:rFonts w:hint="eastAsia"/>
          <w:sz w:val="10"/>
          <w:szCs w:val="13"/>
        </w:rPr>
      </w:pPr>
    </w:p>
    <w:p>
      <w:pPr>
        <w:rPr>
          <w:rFonts w:hint="eastAsia"/>
          <w:sz w:val="10"/>
          <w:szCs w:val="13"/>
        </w:rPr>
      </w:pPr>
    </w:p>
    <w:p>
      <w:pPr>
        <w:rPr>
          <w:rFonts w:hint="eastAsia"/>
          <w:sz w:val="10"/>
          <w:szCs w:val="13"/>
        </w:rPr>
      </w:pPr>
    </w:p>
    <w:p>
      <w:pPr>
        <w:rPr>
          <w:rFonts w:hint="eastAsia"/>
          <w:sz w:val="10"/>
          <w:szCs w:val="13"/>
        </w:rPr>
      </w:pPr>
    </w:p>
    <w:p>
      <w:pPr>
        <w:rPr>
          <w:rFonts w:hint="eastAsia"/>
          <w:sz w:val="10"/>
          <w:szCs w:val="13"/>
        </w:rPr>
      </w:pPr>
    </w:p>
    <w:p>
      <w:pPr>
        <w:rPr>
          <w:sz w:val="10"/>
          <w:szCs w:val="13"/>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00000000" w:usb1="00000000" w:usb2="00000000" w:usb3="00000000" w:csb0="00160000" w:csb1="00000000"/>
  </w:font>
  <w:font w:name="Helvetica Neue">
    <w:panose1 w:val="020005030000000200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1"/>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FB56E65"/>
    <w:rsid w:val="3F9FAC74"/>
    <w:rsid w:val="67FD0666"/>
    <w:rsid w:val="796EEC7E"/>
    <w:rsid w:val="7DF3F9DD"/>
    <w:rsid w:val="B37D1F57"/>
    <w:rsid w:val="BFB56E65"/>
    <w:rsid w:val="EB6659F9"/>
    <w:rsid w:val="EE77486D"/>
    <w:rsid w:val="FF2E5C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Calibri" w:hAnsi="Calibri" w:eastAsia="宋体" w:cs="Times New Roman"/>
      <w:kern w:val="0"/>
      <w:sz w:val="24"/>
      <w:szCs w:val="24"/>
      <w:lang w:val="en-US" w:eastAsia="zh-CN" w:bidi="ar"/>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30</TotalTime>
  <ScaleCrop>false</ScaleCrop>
  <LinksUpToDate>false</LinksUpToDate>
  <CharactersWithSpaces>0</CharactersWithSpaces>
  <Application>WPS Office_6.0.0.8068_F1E327BC-269C-435d-A152-05C5408002CA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2025-12-02T14:14:00Z</dcterms:created>
  <dc:creator>WPS_1602149442</dc:creator>
  <cp:lastModifiedBy>WPS_1602149442</cp:lastModifiedBy>
  <dcterms:modified xsi:type="dcterms:W3CDTF">2025-12-08T16:57:57Z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2052-6.0.0.8068</vt:lpwstr>
  </property>
  <property fmtid="{D5CDD505-2E9C-101B-9397-08002B2CF9AE}" pid="3" name="ICV">
    <vt:lpwstr>467AE9993AB9C59F950337699C9D7C53_43</vt:lpwstr>
  </property>
</Properties>
</file>