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003D1" w14:textId="6576E3FF" w:rsidR="00640001" w:rsidRPr="00EB5CD2" w:rsidRDefault="005D63CC" w:rsidP="00C62AF8">
      <w:pPr>
        <w:jc w:val="both"/>
        <w:rPr>
          <w:rFonts w:asciiTheme="majorHAnsi" w:hAnsiTheme="majorHAnsi" w:cstheme="majorHAnsi"/>
          <w:b/>
          <w:bCs/>
          <w:color w:val="000000" w:themeColor="text1"/>
        </w:rPr>
      </w:pPr>
      <w:r w:rsidRPr="00EB5CD2">
        <w:rPr>
          <w:rFonts w:asciiTheme="majorHAnsi" w:hAnsiTheme="majorHAnsi" w:cstheme="majorHAnsi"/>
          <w:b/>
          <w:bCs/>
          <w:color w:val="000000" w:themeColor="text1"/>
        </w:rPr>
        <w:t>Kane Simmonds</w:t>
      </w:r>
    </w:p>
    <w:p w14:paraId="7574B529" w14:textId="297B52C9" w:rsidR="005D63CC" w:rsidRPr="00EB5CD2" w:rsidRDefault="005D63CC" w:rsidP="00C62AF8">
      <w:pPr>
        <w:jc w:val="both"/>
        <w:rPr>
          <w:rFonts w:asciiTheme="majorHAnsi" w:hAnsiTheme="majorHAnsi" w:cstheme="majorHAnsi"/>
          <w:b/>
          <w:bCs/>
          <w:color w:val="000000" w:themeColor="text1"/>
        </w:rPr>
      </w:pPr>
      <w:r w:rsidRPr="00EB5CD2">
        <w:rPr>
          <w:rFonts w:asciiTheme="majorHAnsi" w:hAnsiTheme="majorHAnsi" w:cstheme="majorHAnsi"/>
          <w:b/>
          <w:bCs/>
          <w:color w:val="000000" w:themeColor="text1"/>
        </w:rPr>
        <w:t xml:space="preserve">Student Number: </w:t>
      </w:r>
      <w:hyperlink r:id="rId4" w:history="1">
        <w:r w:rsidRPr="00EB5CD2">
          <w:rPr>
            <w:rStyle w:val="Hyperlink"/>
            <w:rFonts w:asciiTheme="majorHAnsi" w:hAnsiTheme="majorHAnsi" w:cstheme="majorHAnsi"/>
            <w:b/>
            <w:bCs/>
            <w:color w:val="000000" w:themeColor="text1"/>
          </w:rPr>
          <w:t>2134502@Student.uwtsd.ac.uk</w:t>
        </w:r>
      </w:hyperlink>
    </w:p>
    <w:p w14:paraId="219ED5A5" w14:textId="77777777" w:rsidR="00B74148" w:rsidRPr="00EB5CD2" w:rsidRDefault="00B74148" w:rsidP="00C62AF8">
      <w:pPr>
        <w:jc w:val="both"/>
        <w:rPr>
          <w:rFonts w:asciiTheme="majorHAnsi" w:hAnsiTheme="majorHAnsi" w:cstheme="majorHAnsi"/>
          <w:b/>
          <w:bCs/>
          <w:color w:val="000000" w:themeColor="text1"/>
        </w:rPr>
      </w:pPr>
    </w:p>
    <w:p w14:paraId="7631C0C4"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Essay One: </w:t>
      </w:r>
    </w:p>
    <w:p w14:paraId="6DBD2193"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0BBE06B5"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How has the organisational culture in policing changed due to professionalisation, and how can organisational culture affect officers’ well-being and resilience? </w:t>
      </w:r>
    </w:p>
    <w:p w14:paraId="5EDC9A32"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4984638B" w14:textId="7F7446F0" w:rsidR="009C46D8" w:rsidRPr="00EB5CD2" w:rsidRDefault="004E1D36"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This essay discusses the evolution of organisational culture within policing, particularly its development shaped by professionalism. Additionally, it explores the implications of organisational culture on the wellbeing and resilience of police officers.</w:t>
      </w:r>
    </w:p>
    <w:p w14:paraId="0ED3A782" w14:textId="77777777" w:rsidR="004E1D36" w:rsidRPr="00EB5CD2" w:rsidRDefault="004E1D36"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6CD353E1"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Organisational culture in the Police</w:t>
      </w:r>
    </w:p>
    <w:p w14:paraId="35D23540"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6A0614C5" w14:textId="7B22ED25" w:rsidR="00451638" w:rsidRPr="00EB5CD2" w:rsidRDefault="004E1D36" w:rsidP="00C62AF8">
      <w:pPr>
        <w:shd w:val="clear" w:color="auto" w:fill="FFFFFF"/>
        <w:spacing w:after="0" w:line="240" w:lineRule="auto"/>
        <w:jc w:val="both"/>
        <w:textAlignment w:val="baseline"/>
        <w:rPr>
          <w:rFonts w:asciiTheme="majorHAnsi" w:hAnsiTheme="majorHAnsi" w:cstheme="majorHAnsi"/>
          <w:color w:val="000000" w:themeColor="text1"/>
          <w:shd w:val="clear" w:color="auto" w:fill="FFFFFF"/>
        </w:rPr>
      </w:pPr>
      <w:r w:rsidRPr="00EB5CD2">
        <w:rPr>
          <w:rFonts w:asciiTheme="majorHAnsi" w:hAnsiTheme="majorHAnsi" w:cstheme="majorHAnsi"/>
          <w:color w:val="000000" w:themeColor="text1"/>
          <w:shd w:val="clear" w:color="auto" w:fill="FFFFFF"/>
        </w:rPr>
        <w:t>Over the years, the organisational culture within the police force has evolved significantly, driven by various factors. These changes can be attributed to shifts in society, internal reforms, and a growing emphasis on accountability, transparency, and community engagement—all pivotal elements shaping the modern police force.</w:t>
      </w:r>
    </w:p>
    <w:p w14:paraId="777ECB77" w14:textId="77777777" w:rsidR="004E1D36" w:rsidRPr="00EB5CD2" w:rsidRDefault="004E1D36"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453E0D1F" w14:textId="6F099434" w:rsidR="009C46D8" w:rsidRPr="00EB5CD2" w:rsidRDefault="004E1D36"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The recent changes implemented by the police aim to enhance transparency and accountability within the force, fostering trust between law enforcement and the public they serve. One significant development is the integration of technology, which has revolutionised data analysis and policing methods. Improved body cameras for officers provide an additional layer of oversight, offering valuable insights into interactions within communities. These advancements underscore a commitment to modernising policing practices and strengthening community relations.</w:t>
      </w:r>
    </w:p>
    <w:p w14:paraId="268FD294" w14:textId="77777777" w:rsidR="004E1D36" w:rsidRPr="00EB5CD2" w:rsidRDefault="004E1D36"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6AF2DF77" w14:textId="74677F34" w:rsidR="009C46D8" w:rsidRPr="00EB5CD2" w:rsidRDefault="004E1D36" w:rsidP="00C62AF8">
      <w:pPr>
        <w:shd w:val="clear" w:color="auto" w:fill="FFFFFF"/>
        <w:spacing w:after="0" w:line="240" w:lineRule="auto"/>
        <w:jc w:val="both"/>
        <w:textAlignment w:val="baseline"/>
        <w:rPr>
          <w:rFonts w:asciiTheme="majorHAnsi" w:hAnsiTheme="majorHAnsi" w:cstheme="majorHAnsi"/>
          <w:color w:val="000000" w:themeColor="text1"/>
          <w:shd w:val="clear" w:color="auto" w:fill="FFFFFF"/>
        </w:rPr>
      </w:pPr>
      <w:r w:rsidRPr="00EB5CD2">
        <w:rPr>
          <w:rFonts w:asciiTheme="majorHAnsi" w:hAnsiTheme="majorHAnsi" w:cstheme="majorHAnsi"/>
          <w:color w:val="000000" w:themeColor="text1"/>
          <w:shd w:val="clear" w:color="auto" w:fill="FFFFFF"/>
        </w:rPr>
        <w:t xml:space="preserve">The study conducted by Gutshmidt and Vera (2021) investigated </w:t>
      </w:r>
      <w:r w:rsidR="00BF78B0" w:rsidRPr="00EB5CD2">
        <w:rPr>
          <w:rFonts w:asciiTheme="majorHAnsi" w:hAnsiTheme="majorHAnsi" w:cstheme="majorHAnsi"/>
          <w:color w:val="000000" w:themeColor="text1"/>
          <w:shd w:val="clear" w:color="auto" w:fill="FFFFFF"/>
        </w:rPr>
        <w:t>organis</w:t>
      </w:r>
      <w:r w:rsidRPr="00EB5CD2">
        <w:rPr>
          <w:rFonts w:asciiTheme="majorHAnsi" w:hAnsiTheme="majorHAnsi" w:cstheme="majorHAnsi"/>
          <w:color w:val="000000" w:themeColor="text1"/>
          <w:shd w:val="clear" w:color="auto" w:fill="FFFFFF"/>
        </w:rPr>
        <w:t>ational culture, stress, and coping strategies among German police officers through an online survey involving 152 participants. The findings revealed that workgroups experiencing high operational stress tended to exhibit a stronger conservative male culture. This suggests that police culture is influenced by the stress levels within workgroups, impacting the behaviour and attitudes of officers.</w:t>
      </w:r>
    </w:p>
    <w:p w14:paraId="16945B70" w14:textId="77777777" w:rsidR="004E1D36" w:rsidRPr="00EB5CD2" w:rsidRDefault="004E1D36"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31376C97" w14:textId="1627D30C" w:rsidR="009C46D8" w:rsidRPr="00EB5CD2" w:rsidRDefault="004E1D36" w:rsidP="00C62AF8">
      <w:pPr>
        <w:shd w:val="clear" w:color="auto" w:fill="FFFFFF"/>
        <w:spacing w:after="0" w:line="240" w:lineRule="auto"/>
        <w:jc w:val="both"/>
        <w:textAlignment w:val="baseline"/>
        <w:rPr>
          <w:rFonts w:asciiTheme="majorHAnsi" w:hAnsiTheme="majorHAnsi" w:cstheme="majorHAnsi"/>
          <w:color w:val="000000" w:themeColor="text1"/>
          <w:shd w:val="clear" w:color="auto" w:fill="FFFFFF"/>
        </w:rPr>
      </w:pPr>
      <w:r w:rsidRPr="00EB5CD2">
        <w:rPr>
          <w:rFonts w:asciiTheme="majorHAnsi" w:hAnsiTheme="majorHAnsi" w:cstheme="majorHAnsi"/>
          <w:color w:val="000000" w:themeColor="text1"/>
          <w:shd w:val="clear" w:color="auto" w:fill="FFFFFF"/>
        </w:rPr>
        <w:lastRenderedPageBreak/>
        <w:t xml:space="preserve">Diversity and inclusion have become significant changes introduced to police forces, aimed at fostering inclusive cultures that reflect the communities’ officers serve. Embracing diverse cultures within the force allows for the sharing of knowledge and skills that can positively impact </w:t>
      </w:r>
      <w:r w:rsidR="00BF78B0" w:rsidRPr="00EB5CD2">
        <w:rPr>
          <w:rFonts w:asciiTheme="majorHAnsi" w:hAnsiTheme="majorHAnsi" w:cstheme="majorHAnsi"/>
          <w:color w:val="000000" w:themeColor="text1"/>
          <w:shd w:val="clear" w:color="auto" w:fill="FFFFFF"/>
        </w:rPr>
        <w:t>organis</w:t>
      </w:r>
      <w:r w:rsidRPr="00EB5CD2">
        <w:rPr>
          <w:rFonts w:asciiTheme="majorHAnsi" w:hAnsiTheme="majorHAnsi" w:cstheme="majorHAnsi"/>
          <w:color w:val="000000" w:themeColor="text1"/>
          <w:shd w:val="clear" w:color="auto" w:fill="FFFFFF"/>
        </w:rPr>
        <w:t>ational culture. Ethical standards are crucial both within and outside the police force, guiding officers' behaviour on and off duty (</w:t>
      </w:r>
      <w:r w:rsidR="00573CF9" w:rsidRPr="00EB5CD2">
        <w:rPr>
          <w:rFonts w:asciiTheme="majorHAnsi" w:hAnsiTheme="majorHAnsi" w:cstheme="majorHAnsi"/>
          <w:color w:val="000000" w:themeColor="text1"/>
          <w:shd w:val="clear" w:color="auto" w:fill="FFFFFF"/>
        </w:rPr>
        <w:t>House of Lords</w:t>
      </w:r>
      <w:r w:rsidRPr="00EB5CD2">
        <w:rPr>
          <w:rFonts w:asciiTheme="majorHAnsi" w:hAnsiTheme="majorHAnsi" w:cstheme="majorHAnsi"/>
          <w:color w:val="000000" w:themeColor="text1"/>
          <w:shd w:val="clear" w:color="auto" w:fill="FFFFFF"/>
        </w:rPr>
        <w:t xml:space="preserve"> Library, 202</w:t>
      </w:r>
      <w:r w:rsidR="00573CF9" w:rsidRPr="00EB5CD2">
        <w:rPr>
          <w:rFonts w:asciiTheme="majorHAnsi" w:hAnsiTheme="majorHAnsi" w:cstheme="majorHAnsi"/>
          <w:color w:val="000000" w:themeColor="text1"/>
          <w:shd w:val="clear" w:color="auto" w:fill="FFFFFF"/>
        </w:rPr>
        <w:t>4</w:t>
      </w:r>
      <w:r w:rsidRPr="00EB5CD2">
        <w:rPr>
          <w:rFonts w:asciiTheme="majorHAnsi" w:hAnsiTheme="majorHAnsi" w:cstheme="majorHAnsi"/>
          <w:color w:val="000000" w:themeColor="text1"/>
          <w:shd w:val="clear" w:color="auto" w:fill="FFFFFF"/>
        </w:rPr>
        <w:t>).</w:t>
      </w:r>
    </w:p>
    <w:p w14:paraId="000281B1" w14:textId="77777777" w:rsidR="004E1D36" w:rsidRPr="00EB5CD2" w:rsidRDefault="004E1D36"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7A4D4506" w14:textId="4E961A14" w:rsidR="00836242" w:rsidRPr="00EB5CD2" w:rsidRDefault="00836242"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 xml:space="preserve">A significant and transformative shift in policing has been the transition towards community-oriented policing. This approach emphasises collaboration between police departments and community stakeholders, including local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ations, schools, and residents. The goal is to establish partnerships and relationships that support mutual goals and address community concerns effectively (</w:t>
      </w:r>
      <w:r w:rsidR="00D5300E" w:rsidRPr="00EB5CD2">
        <w:rPr>
          <w:rFonts w:asciiTheme="majorHAnsi" w:hAnsiTheme="majorHAnsi" w:cstheme="majorHAnsi"/>
          <w:color w:val="000000" w:themeColor="text1"/>
          <w:shd w:val="clear" w:color="auto" w:fill="FFFFFF"/>
        </w:rPr>
        <w:t xml:space="preserve">Weisburd, D et al., </w:t>
      </w:r>
      <w:r w:rsidRPr="00EB5CD2">
        <w:rPr>
          <w:rFonts w:asciiTheme="majorHAnsi" w:hAnsiTheme="majorHAnsi" w:cstheme="majorHAnsi"/>
          <w:color w:val="000000" w:themeColor="text1"/>
          <w:shd w:val="clear" w:color="auto" w:fill="FFFFFF"/>
        </w:rPr>
        <w:t xml:space="preserve">2003). </w:t>
      </w:r>
      <w:r w:rsidRPr="00EB5CD2">
        <w:rPr>
          <w:rFonts w:asciiTheme="majorHAnsi" w:eastAsia="Times New Roman" w:hAnsiTheme="majorHAnsi" w:cstheme="majorHAnsi"/>
          <w:color w:val="000000" w:themeColor="text1"/>
          <w:kern w:val="0"/>
          <w:lang w:eastAsia="en-GB"/>
          <w14:ligatures w14:val="none"/>
        </w:rPr>
        <w:t>It is essential that this community-oriented culture permeates the workplace, ensuring that police officers fully understand and embody the principles of community engagement and collaboration.</w:t>
      </w:r>
    </w:p>
    <w:p w14:paraId="40EC947A" w14:textId="77777777" w:rsidR="00836242" w:rsidRPr="00EB5CD2" w:rsidRDefault="00836242"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56981557" w14:textId="77B9B3E4" w:rsidR="009C46D8" w:rsidRPr="00EB5CD2" w:rsidRDefault="00D5300E" w:rsidP="00C62AF8">
      <w:pPr>
        <w:shd w:val="clear" w:color="auto" w:fill="FFFFFF"/>
        <w:spacing w:after="0" w:line="240" w:lineRule="auto"/>
        <w:jc w:val="both"/>
        <w:textAlignment w:val="baseline"/>
        <w:rPr>
          <w:rFonts w:asciiTheme="majorHAnsi" w:hAnsiTheme="majorHAnsi" w:cstheme="majorHAnsi"/>
          <w:color w:val="000000" w:themeColor="text1"/>
          <w:shd w:val="clear" w:color="auto" w:fill="FFFFFF"/>
        </w:rPr>
      </w:pPr>
      <w:r w:rsidRPr="00EB5CD2">
        <w:rPr>
          <w:rFonts w:asciiTheme="majorHAnsi" w:hAnsiTheme="majorHAnsi" w:cstheme="majorHAnsi"/>
          <w:color w:val="000000" w:themeColor="text1"/>
          <w:shd w:val="clear" w:color="auto" w:fill="FFFFFF"/>
        </w:rPr>
        <w:t xml:space="preserve">Organisational culture significantly impacts police officers in various ways, influencing their behaviour, attitudes, interactions with the community, and overall service delivery (Lords Library, 2023). The authors </w:t>
      </w:r>
      <w:r w:rsidR="00BF78B0" w:rsidRPr="00EB5CD2">
        <w:rPr>
          <w:rFonts w:asciiTheme="majorHAnsi" w:hAnsiTheme="majorHAnsi" w:cstheme="majorHAnsi"/>
          <w:color w:val="000000" w:themeColor="text1"/>
          <w:shd w:val="clear" w:color="auto" w:fill="FFFFFF"/>
        </w:rPr>
        <w:t>emphasis</w:t>
      </w:r>
      <w:r w:rsidRPr="00EB5CD2">
        <w:rPr>
          <w:rFonts w:asciiTheme="majorHAnsi" w:hAnsiTheme="majorHAnsi" w:cstheme="majorHAnsi"/>
          <w:color w:val="000000" w:themeColor="text1"/>
          <w:shd w:val="clear" w:color="auto" w:fill="FFFFFF"/>
        </w:rPr>
        <w:t>e that police standards are crucial for building public trust. The first principle discussed is the concept of "policing by consent," where officers recogni</w:t>
      </w:r>
      <w:r w:rsidR="00BF78B0" w:rsidRPr="00EB5CD2">
        <w:rPr>
          <w:rFonts w:asciiTheme="majorHAnsi" w:hAnsiTheme="majorHAnsi" w:cstheme="majorHAnsi"/>
          <w:color w:val="000000" w:themeColor="text1"/>
          <w:shd w:val="clear" w:color="auto" w:fill="FFFFFF"/>
        </w:rPr>
        <w:t>s</w:t>
      </w:r>
      <w:r w:rsidRPr="00EB5CD2">
        <w:rPr>
          <w:rFonts w:asciiTheme="majorHAnsi" w:hAnsiTheme="majorHAnsi" w:cstheme="majorHAnsi"/>
          <w:color w:val="000000" w:themeColor="text1"/>
          <w:shd w:val="clear" w:color="auto" w:fill="FFFFFF"/>
        </w:rPr>
        <w:t>e that their authority is contingent upon public respect. Additionally, officers are encouraged to embrace a culture of fairness in law enforcement, ensuring equitable treatment of all cultures with respect and transparency.</w:t>
      </w:r>
    </w:p>
    <w:p w14:paraId="1AD68A52" w14:textId="77777777" w:rsidR="00D5300E" w:rsidRPr="00EB5CD2" w:rsidRDefault="00D5300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0A56B43F" w14:textId="2B13443C" w:rsidR="00D5300E" w:rsidRPr="00EB5CD2" w:rsidRDefault="00D5300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The House of Lords Library conducted a survey on public confidence in the police, where members of the public were interviewed regarding their perceptions of police interactions with the community. These telephone interviews took place from March to October 2021. The survey results indicated that the public views the police positively in terms of their engagement with various cultures, with a satisfaction rate of 67%. Although this represents a 1% decrease from the previous year's satisfaction level</w:t>
      </w:r>
      <w:r w:rsidR="00573CF9" w:rsidRPr="00EB5CD2">
        <w:rPr>
          <w:rFonts w:asciiTheme="majorHAnsi" w:eastAsia="Times New Roman" w:hAnsiTheme="majorHAnsi" w:cstheme="majorHAnsi"/>
          <w:color w:val="000000" w:themeColor="text1"/>
          <w:kern w:val="0"/>
          <w:lang w:eastAsia="en-GB"/>
          <w14:ligatures w14:val="none"/>
        </w:rPr>
        <w:t xml:space="preserve"> (House of Lords Library, 2024).</w:t>
      </w:r>
    </w:p>
    <w:p w14:paraId="3B4D7A34" w14:textId="77777777" w:rsidR="00D5300E" w:rsidRPr="00EB5CD2" w:rsidRDefault="00D5300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62895718" w14:textId="21B2783A" w:rsidR="00D5300E" w:rsidRPr="00EB5CD2" w:rsidRDefault="00BF2735"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 xml:space="preserve">The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 xml:space="preserve">ational culture of the police has shifted towards a more community-oriented approach, </w:t>
      </w:r>
      <w:r w:rsidR="00BF78B0" w:rsidRPr="00EB5CD2">
        <w:rPr>
          <w:rFonts w:asciiTheme="majorHAnsi" w:eastAsia="Times New Roman" w:hAnsiTheme="majorHAnsi" w:cstheme="majorHAnsi"/>
          <w:color w:val="000000" w:themeColor="text1"/>
          <w:kern w:val="0"/>
          <w:lang w:eastAsia="en-GB"/>
          <w14:ligatures w14:val="none"/>
        </w:rPr>
        <w:t>emphasis</w:t>
      </w:r>
      <w:r w:rsidRPr="00EB5CD2">
        <w:rPr>
          <w:rFonts w:asciiTheme="majorHAnsi" w:eastAsia="Times New Roman" w:hAnsiTheme="majorHAnsi" w:cstheme="majorHAnsi"/>
          <w:color w:val="000000" w:themeColor="text1"/>
          <w:kern w:val="0"/>
          <w:lang w:eastAsia="en-GB"/>
          <w14:ligatures w14:val="none"/>
        </w:rPr>
        <w:t>ing transparency and accountability to both communities and staff. Despite these positive changes, challenges persist in fully implementing and reali</w:t>
      </w:r>
      <w:r w:rsidR="00BF78B0" w:rsidRPr="00EB5CD2">
        <w:rPr>
          <w:rFonts w:asciiTheme="majorHAnsi" w:eastAsia="Times New Roman" w:hAnsiTheme="majorHAnsi" w:cstheme="majorHAnsi"/>
          <w:color w:val="000000" w:themeColor="text1"/>
          <w:kern w:val="0"/>
          <w:lang w:eastAsia="en-GB"/>
          <w14:ligatures w14:val="none"/>
        </w:rPr>
        <w:t>s</w:t>
      </w:r>
      <w:r w:rsidRPr="00EB5CD2">
        <w:rPr>
          <w:rFonts w:asciiTheme="majorHAnsi" w:eastAsia="Times New Roman" w:hAnsiTheme="majorHAnsi" w:cstheme="majorHAnsi"/>
          <w:color w:val="000000" w:themeColor="text1"/>
          <w:kern w:val="0"/>
          <w:lang w:eastAsia="en-GB"/>
          <w14:ligatures w14:val="none"/>
        </w:rPr>
        <w:t>ing these shifts (Braga, Weisburd, &amp; Turchan, 2018). Ongoing efforts are necessary to better understand and ensure that policing practices reflect and value diverse communities while upholding public safety.</w:t>
      </w:r>
    </w:p>
    <w:p w14:paraId="2B8DB33E" w14:textId="77777777" w:rsidR="00BF2735" w:rsidRPr="00EB5CD2" w:rsidRDefault="00BF2735"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29B3DCF5" w14:textId="0F994646" w:rsidR="00500688" w:rsidRPr="00EB5CD2" w:rsidRDefault="00BF2735" w:rsidP="00C62AF8">
      <w:pPr>
        <w:shd w:val="clear" w:color="auto" w:fill="FFFFFF"/>
        <w:spacing w:after="0" w:line="240" w:lineRule="auto"/>
        <w:jc w:val="both"/>
        <w:textAlignment w:val="baseline"/>
        <w:rPr>
          <w:rFonts w:asciiTheme="majorHAnsi" w:hAnsiTheme="majorHAnsi" w:cstheme="majorHAnsi"/>
          <w:color w:val="000000" w:themeColor="text1"/>
          <w:shd w:val="clear" w:color="auto" w:fill="FFFFFF"/>
        </w:rPr>
      </w:pPr>
      <w:r w:rsidRPr="00EB5CD2">
        <w:rPr>
          <w:rFonts w:asciiTheme="majorHAnsi" w:hAnsiTheme="majorHAnsi" w:cstheme="majorHAnsi"/>
          <w:color w:val="000000" w:themeColor="text1"/>
          <w:shd w:val="clear" w:color="auto" w:fill="FFFFFF"/>
        </w:rPr>
        <w:t xml:space="preserve">The police forces in England and Wales are encountering challenges related to diversity and inclusion. Sir Robert Peel's principle that "Police are the public and the Public are the Police" underscores the importance of police officers representing and </w:t>
      </w:r>
      <w:r w:rsidRPr="00EB5CD2">
        <w:rPr>
          <w:rFonts w:asciiTheme="majorHAnsi" w:hAnsiTheme="majorHAnsi" w:cstheme="majorHAnsi"/>
          <w:color w:val="000000" w:themeColor="text1"/>
          <w:shd w:val="clear" w:color="auto" w:fill="FFFFFF"/>
        </w:rPr>
        <w:lastRenderedPageBreak/>
        <w:t>serving diverse communities, encompassing various identities such as gender, race, sexual orientation, and identity (Police Federation, 2024).</w:t>
      </w:r>
    </w:p>
    <w:p w14:paraId="42A875B0" w14:textId="77777777" w:rsidR="00BF2735" w:rsidRPr="00EB5CD2" w:rsidRDefault="00BF2735"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58D0688E" w14:textId="44EEC951" w:rsidR="00001AC3" w:rsidRPr="00EB5CD2" w:rsidRDefault="00565D56"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The lack of awareness regarding diversity and inclusion could lead to negative stereotyping based on particular characteristics. Over time, as officers gain more knowledge through policing experience and training initiatives, stereotypes are likely to decrease as awareness increases (Gold, 2022). Police forces are implementing training programs aimed at reducing reliance on stereotypes, fostering knowledge, and promoting awareness among officers who interact with the community daily and serve the public.</w:t>
      </w:r>
    </w:p>
    <w:p w14:paraId="09E19925" w14:textId="77777777" w:rsidR="00565D56" w:rsidRPr="00EB5CD2" w:rsidRDefault="00565D56"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58151010" w14:textId="63193342"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Conclusion </w:t>
      </w:r>
    </w:p>
    <w:p w14:paraId="0B6C138F" w14:textId="77777777" w:rsidR="00451638" w:rsidRPr="00EB5CD2" w:rsidRDefault="0045163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7C812147" w14:textId="3CBB68AC" w:rsidR="00565D56" w:rsidRPr="00EB5CD2" w:rsidRDefault="00565D56" w:rsidP="00C62AF8">
      <w:pPr>
        <w:pStyle w:val="PlainText"/>
        <w:jc w:val="both"/>
        <w:rPr>
          <w:rFonts w:asciiTheme="majorHAnsi" w:hAnsiTheme="majorHAnsi" w:cstheme="majorHAnsi"/>
          <w:color w:val="000000" w:themeColor="text1"/>
          <w:szCs w:val="22"/>
        </w:rPr>
      </w:pPr>
      <w:r w:rsidRPr="00EB5CD2">
        <w:rPr>
          <w:rFonts w:asciiTheme="majorHAnsi" w:hAnsiTheme="majorHAnsi" w:cstheme="majorHAnsi"/>
          <w:color w:val="000000" w:themeColor="text1"/>
          <w:szCs w:val="22"/>
        </w:rPr>
        <w:t xml:space="preserve">In conclusion, this essay has explored the evolution of </w:t>
      </w:r>
      <w:r w:rsidR="00BF78B0" w:rsidRPr="00EB5CD2">
        <w:rPr>
          <w:rFonts w:asciiTheme="majorHAnsi" w:hAnsiTheme="majorHAnsi" w:cstheme="majorHAnsi"/>
          <w:color w:val="000000" w:themeColor="text1"/>
          <w:szCs w:val="22"/>
        </w:rPr>
        <w:t>organis</w:t>
      </w:r>
      <w:r w:rsidRPr="00EB5CD2">
        <w:rPr>
          <w:rFonts w:asciiTheme="majorHAnsi" w:hAnsiTheme="majorHAnsi" w:cstheme="majorHAnsi"/>
          <w:color w:val="000000" w:themeColor="text1"/>
          <w:szCs w:val="22"/>
        </w:rPr>
        <w:t xml:space="preserve">ational culture within policing, highlighting the profound impact of professionalism on its development. Over the years, the shift towards accountability, transparency, and community engagement has reshaped the modern police force, </w:t>
      </w:r>
      <w:r w:rsidR="00BF78B0" w:rsidRPr="00EB5CD2">
        <w:rPr>
          <w:rFonts w:asciiTheme="majorHAnsi" w:hAnsiTheme="majorHAnsi" w:cstheme="majorHAnsi"/>
          <w:color w:val="000000" w:themeColor="text1"/>
          <w:szCs w:val="22"/>
        </w:rPr>
        <w:t>emphasis</w:t>
      </w:r>
      <w:r w:rsidRPr="00EB5CD2">
        <w:rPr>
          <w:rFonts w:asciiTheme="majorHAnsi" w:hAnsiTheme="majorHAnsi" w:cstheme="majorHAnsi"/>
          <w:color w:val="000000" w:themeColor="text1"/>
          <w:szCs w:val="22"/>
        </w:rPr>
        <w:t>ing the importance of fostering trust and strengthening community relations. The integration of technology, improved training initiatives, and a commitment to diversity and inclusion are pivotal in enhancing organi</w:t>
      </w:r>
      <w:r w:rsidR="00BF78B0" w:rsidRPr="00EB5CD2">
        <w:rPr>
          <w:rFonts w:asciiTheme="majorHAnsi" w:hAnsiTheme="majorHAnsi" w:cstheme="majorHAnsi"/>
          <w:color w:val="000000" w:themeColor="text1"/>
          <w:szCs w:val="22"/>
        </w:rPr>
        <w:t>s</w:t>
      </w:r>
      <w:r w:rsidRPr="00EB5CD2">
        <w:rPr>
          <w:rFonts w:asciiTheme="majorHAnsi" w:hAnsiTheme="majorHAnsi" w:cstheme="majorHAnsi"/>
          <w:color w:val="000000" w:themeColor="text1"/>
          <w:szCs w:val="22"/>
        </w:rPr>
        <w:t>ational culture and shaping positive police-community interactions.</w:t>
      </w:r>
    </w:p>
    <w:p w14:paraId="00E68919" w14:textId="77777777" w:rsidR="00565D56" w:rsidRPr="00EB5CD2" w:rsidRDefault="00565D56" w:rsidP="00C62AF8">
      <w:pPr>
        <w:pStyle w:val="PlainText"/>
        <w:jc w:val="both"/>
        <w:rPr>
          <w:rFonts w:asciiTheme="majorHAnsi" w:hAnsiTheme="majorHAnsi" w:cstheme="majorHAnsi"/>
          <w:color w:val="000000" w:themeColor="text1"/>
          <w:szCs w:val="22"/>
        </w:rPr>
      </w:pPr>
    </w:p>
    <w:p w14:paraId="27263191" w14:textId="2BF8FCEC" w:rsidR="00565D56" w:rsidRPr="00EB5CD2" w:rsidRDefault="00565D56" w:rsidP="00C62AF8">
      <w:pPr>
        <w:pStyle w:val="PlainText"/>
        <w:jc w:val="both"/>
        <w:rPr>
          <w:rFonts w:asciiTheme="majorHAnsi" w:hAnsiTheme="majorHAnsi" w:cstheme="majorHAnsi"/>
          <w:color w:val="000000" w:themeColor="text1"/>
          <w:szCs w:val="22"/>
        </w:rPr>
      </w:pPr>
      <w:r w:rsidRPr="00EB5CD2">
        <w:rPr>
          <w:rFonts w:asciiTheme="majorHAnsi" w:hAnsiTheme="majorHAnsi" w:cstheme="majorHAnsi"/>
          <w:color w:val="000000" w:themeColor="text1"/>
          <w:szCs w:val="22"/>
        </w:rPr>
        <w:t>Moreover, the discussion has underscored the influence of organi</w:t>
      </w:r>
      <w:r w:rsidR="00BF78B0" w:rsidRPr="00EB5CD2">
        <w:rPr>
          <w:rFonts w:asciiTheme="majorHAnsi" w:hAnsiTheme="majorHAnsi" w:cstheme="majorHAnsi"/>
          <w:color w:val="000000" w:themeColor="text1"/>
          <w:szCs w:val="22"/>
        </w:rPr>
        <w:t>s</w:t>
      </w:r>
      <w:r w:rsidRPr="00EB5CD2">
        <w:rPr>
          <w:rFonts w:asciiTheme="majorHAnsi" w:hAnsiTheme="majorHAnsi" w:cstheme="majorHAnsi"/>
          <w:color w:val="000000" w:themeColor="text1"/>
          <w:szCs w:val="22"/>
        </w:rPr>
        <w:t>ational culture on the wellbeing and resilience of police officers. Studies like that by Gutshmidt and Vera (2021) shed light on how stress levels within police workgroups can shape cultural norms and officer behaviour, emphasi</w:t>
      </w:r>
      <w:r w:rsidR="00BF78B0" w:rsidRPr="00EB5CD2">
        <w:rPr>
          <w:rFonts w:asciiTheme="majorHAnsi" w:hAnsiTheme="majorHAnsi" w:cstheme="majorHAnsi"/>
          <w:color w:val="000000" w:themeColor="text1"/>
          <w:szCs w:val="22"/>
        </w:rPr>
        <w:t>s</w:t>
      </w:r>
      <w:r w:rsidRPr="00EB5CD2">
        <w:rPr>
          <w:rFonts w:asciiTheme="majorHAnsi" w:hAnsiTheme="majorHAnsi" w:cstheme="majorHAnsi"/>
          <w:color w:val="000000" w:themeColor="text1"/>
          <w:szCs w:val="22"/>
        </w:rPr>
        <w:t>ing the need for supportive and adaptive organi</w:t>
      </w:r>
      <w:r w:rsidR="00BF78B0" w:rsidRPr="00EB5CD2">
        <w:rPr>
          <w:rFonts w:asciiTheme="majorHAnsi" w:hAnsiTheme="majorHAnsi" w:cstheme="majorHAnsi"/>
          <w:color w:val="000000" w:themeColor="text1"/>
          <w:szCs w:val="22"/>
        </w:rPr>
        <w:t>s</w:t>
      </w:r>
      <w:r w:rsidRPr="00EB5CD2">
        <w:rPr>
          <w:rFonts w:asciiTheme="majorHAnsi" w:hAnsiTheme="majorHAnsi" w:cstheme="majorHAnsi"/>
          <w:color w:val="000000" w:themeColor="text1"/>
          <w:szCs w:val="22"/>
        </w:rPr>
        <w:t>ational structures.</w:t>
      </w:r>
    </w:p>
    <w:p w14:paraId="7F4844F7" w14:textId="77777777" w:rsidR="00565D56" w:rsidRPr="00EB5CD2" w:rsidRDefault="00565D56" w:rsidP="00C62AF8">
      <w:pPr>
        <w:pStyle w:val="PlainText"/>
        <w:jc w:val="both"/>
        <w:rPr>
          <w:rFonts w:asciiTheme="majorHAnsi" w:hAnsiTheme="majorHAnsi" w:cstheme="majorHAnsi"/>
          <w:color w:val="000000" w:themeColor="text1"/>
          <w:szCs w:val="22"/>
        </w:rPr>
      </w:pPr>
    </w:p>
    <w:p w14:paraId="128AB367" w14:textId="77777777" w:rsidR="00565D56" w:rsidRPr="00EB5CD2" w:rsidRDefault="00565D56" w:rsidP="00C62AF8">
      <w:pPr>
        <w:pStyle w:val="PlainText"/>
        <w:jc w:val="both"/>
        <w:rPr>
          <w:rFonts w:asciiTheme="majorHAnsi" w:hAnsiTheme="majorHAnsi" w:cstheme="majorHAnsi"/>
          <w:color w:val="000000" w:themeColor="text1"/>
          <w:szCs w:val="22"/>
        </w:rPr>
      </w:pPr>
      <w:r w:rsidRPr="00EB5CD2">
        <w:rPr>
          <w:rFonts w:asciiTheme="majorHAnsi" w:hAnsiTheme="majorHAnsi" w:cstheme="majorHAnsi"/>
          <w:color w:val="000000" w:themeColor="text1"/>
          <w:szCs w:val="22"/>
        </w:rPr>
        <w:t>Looking ahead, challenges remain in fully implementing community-oriented policing and embracing diversity and inclusion within police forces. However, ongoing efforts and initiatives aimed at reducing reliance on stereotypes, promoting awareness, and fostering collaboration with diverse communities are essential steps towards enhancing public trust and ensuring effective, ethical policing practices.</w:t>
      </w:r>
    </w:p>
    <w:p w14:paraId="6E113548" w14:textId="77777777" w:rsidR="00565D56" w:rsidRPr="00EB5CD2" w:rsidRDefault="00565D56" w:rsidP="00C62AF8">
      <w:pPr>
        <w:pStyle w:val="PlainText"/>
        <w:jc w:val="both"/>
        <w:rPr>
          <w:rFonts w:asciiTheme="majorHAnsi" w:hAnsiTheme="majorHAnsi" w:cstheme="majorHAnsi"/>
          <w:color w:val="000000" w:themeColor="text1"/>
          <w:szCs w:val="22"/>
        </w:rPr>
      </w:pPr>
    </w:p>
    <w:p w14:paraId="61DFFE6C" w14:textId="5649CFC6" w:rsidR="00D05649" w:rsidRPr="00EB5CD2" w:rsidRDefault="00565D56" w:rsidP="00C62AF8">
      <w:pPr>
        <w:pStyle w:val="PlainText"/>
        <w:jc w:val="both"/>
        <w:rPr>
          <w:rFonts w:asciiTheme="majorHAnsi" w:hAnsiTheme="majorHAnsi" w:cstheme="majorHAnsi"/>
          <w:color w:val="000000" w:themeColor="text1"/>
          <w:szCs w:val="22"/>
        </w:rPr>
      </w:pPr>
      <w:r w:rsidRPr="00EB5CD2">
        <w:rPr>
          <w:rFonts w:asciiTheme="majorHAnsi" w:hAnsiTheme="majorHAnsi" w:cstheme="majorHAnsi"/>
          <w:color w:val="000000" w:themeColor="text1"/>
          <w:szCs w:val="22"/>
        </w:rPr>
        <w:t>Ultimately, as policing continues to evolve, it is imperative to prioriti</w:t>
      </w:r>
      <w:r w:rsidR="00BF78B0" w:rsidRPr="00EB5CD2">
        <w:rPr>
          <w:rFonts w:asciiTheme="majorHAnsi" w:hAnsiTheme="majorHAnsi" w:cstheme="majorHAnsi"/>
          <w:color w:val="000000" w:themeColor="text1"/>
          <w:szCs w:val="22"/>
        </w:rPr>
        <w:t>s</w:t>
      </w:r>
      <w:r w:rsidRPr="00EB5CD2">
        <w:rPr>
          <w:rFonts w:asciiTheme="majorHAnsi" w:hAnsiTheme="majorHAnsi" w:cstheme="majorHAnsi"/>
          <w:color w:val="000000" w:themeColor="text1"/>
          <w:szCs w:val="22"/>
        </w:rPr>
        <w:t xml:space="preserve">e </w:t>
      </w:r>
      <w:r w:rsidR="00BF78B0" w:rsidRPr="00EB5CD2">
        <w:rPr>
          <w:rFonts w:asciiTheme="majorHAnsi" w:hAnsiTheme="majorHAnsi" w:cstheme="majorHAnsi"/>
          <w:color w:val="000000" w:themeColor="text1"/>
          <w:szCs w:val="22"/>
        </w:rPr>
        <w:t>organis</w:t>
      </w:r>
      <w:r w:rsidRPr="00EB5CD2">
        <w:rPr>
          <w:rFonts w:asciiTheme="majorHAnsi" w:hAnsiTheme="majorHAnsi" w:cstheme="majorHAnsi"/>
          <w:color w:val="000000" w:themeColor="text1"/>
          <w:szCs w:val="22"/>
        </w:rPr>
        <w:t>ational culture that values transparency, accountability, and community engagement, while equipping officers with the skills and awareness needed to serve diverse populations effectively and uphold the principles of fairness and respect in law enforcement.</w:t>
      </w:r>
    </w:p>
    <w:p w14:paraId="1E4C93E5" w14:textId="77777777" w:rsidR="00565D56" w:rsidRPr="00EB5CD2" w:rsidRDefault="00565D56" w:rsidP="00C62AF8">
      <w:pPr>
        <w:pStyle w:val="PlainText"/>
        <w:jc w:val="both"/>
        <w:rPr>
          <w:rFonts w:asciiTheme="majorHAnsi" w:hAnsiTheme="majorHAnsi" w:cstheme="majorHAnsi"/>
          <w:color w:val="000000" w:themeColor="text1"/>
          <w:szCs w:val="22"/>
        </w:rPr>
      </w:pPr>
    </w:p>
    <w:p w14:paraId="1460BB6C" w14:textId="01BF6161" w:rsidR="006662C8" w:rsidRPr="00EB5CD2" w:rsidRDefault="006662C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lastRenderedPageBreak/>
        <w:t xml:space="preserve">Word Count: </w:t>
      </w:r>
      <w:r w:rsidR="003233B5" w:rsidRPr="00EB5CD2">
        <w:rPr>
          <w:rFonts w:asciiTheme="majorHAnsi" w:eastAsia="Times New Roman" w:hAnsiTheme="majorHAnsi" w:cstheme="majorHAnsi"/>
          <w:b/>
          <w:bCs/>
          <w:color w:val="000000" w:themeColor="text1"/>
          <w:kern w:val="0"/>
          <w:lang w:eastAsia="en-GB"/>
          <w14:ligatures w14:val="none"/>
        </w:rPr>
        <w:t>9</w:t>
      </w:r>
      <w:r w:rsidR="00565D56" w:rsidRPr="00EB5CD2">
        <w:rPr>
          <w:rFonts w:asciiTheme="majorHAnsi" w:eastAsia="Times New Roman" w:hAnsiTheme="majorHAnsi" w:cstheme="majorHAnsi"/>
          <w:b/>
          <w:bCs/>
          <w:color w:val="000000" w:themeColor="text1"/>
          <w:kern w:val="0"/>
          <w:lang w:eastAsia="en-GB"/>
          <w14:ligatures w14:val="none"/>
        </w:rPr>
        <w:t>29</w:t>
      </w:r>
    </w:p>
    <w:p w14:paraId="00480854" w14:textId="77777777" w:rsidR="006662C8" w:rsidRPr="00EB5CD2" w:rsidRDefault="006662C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2BDCDA39" w14:textId="77777777" w:rsidR="00565D56" w:rsidRPr="00EB5CD2" w:rsidRDefault="00565D56"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3D0F32CE" w14:textId="52AC9353"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Essay Two: </w:t>
      </w:r>
    </w:p>
    <w:p w14:paraId="0B1CD199"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6BA18178"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Why are partnership approaches the most effective means of improving community engagement? </w:t>
      </w:r>
    </w:p>
    <w:p w14:paraId="2DF0BCD9"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1B49EF06" w14:textId="3699B934" w:rsidR="00467814" w:rsidRPr="00EB5CD2" w:rsidRDefault="003F7AEA" w:rsidP="00C62AF8">
      <w:pPr>
        <w:pStyle w:val="PlainText"/>
        <w:jc w:val="both"/>
        <w:rPr>
          <w:rFonts w:asciiTheme="majorHAnsi" w:hAnsiTheme="majorHAnsi" w:cstheme="majorHAnsi"/>
          <w:color w:val="000000" w:themeColor="text1"/>
          <w:szCs w:val="22"/>
          <w:shd w:val="clear" w:color="auto" w:fill="FFFFFF"/>
        </w:rPr>
      </w:pPr>
      <w:r w:rsidRPr="00EB5CD2">
        <w:rPr>
          <w:rFonts w:asciiTheme="majorHAnsi" w:hAnsiTheme="majorHAnsi" w:cstheme="majorHAnsi"/>
          <w:color w:val="000000" w:themeColor="text1"/>
          <w:szCs w:val="22"/>
          <w:shd w:val="clear" w:color="auto" w:fill="FFFFFF"/>
        </w:rPr>
        <w:t>During the Second Task, the discussion revolves around community engagement, the role of a Police Community Support Officer (PCSO), and partnership approaches. The essay examines the effectiveness of partnership strategies in enhancing community engagement and delves into the reasons behind the positive outcomes of collaborative efforts with partners. Additionally, it emphasises the crucial role of a PCSO in maintaining a balance between police officers and members of the public to enhance community relations. The PCSO serves as a vital link, facilitating interaction and trust-building within the community.</w:t>
      </w:r>
    </w:p>
    <w:p w14:paraId="488CE4FF" w14:textId="77777777" w:rsidR="003F7AEA" w:rsidRPr="00EB5CD2" w:rsidRDefault="003F7AEA" w:rsidP="00C62AF8">
      <w:pPr>
        <w:pStyle w:val="PlainText"/>
        <w:jc w:val="both"/>
        <w:rPr>
          <w:rFonts w:asciiTheme="majorHAnsi" w:hAnsiTheme="majorHAnsi" w:cstheme="majorHAnsi"/>
          <w:color w:val="000000" w:themeColor="text1"/>
          <w:szCs w:val="22"/>
        </w:rPr>
      </w:pPr>
    </w:p>
    <w:p w14:paraId="33C0CFBC"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Community Engagement </w:t>
      </w:r>
    </w:p>
    <w:p w14:paraId="06EE3505"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460A805E" w14:textId="1D86BD8D" w:rsidR="009C46D8" w:rsidRPr="00EB5CD2" w:rsidRDefault="003F7AEA" w:rsidP="00C62AF8">
      <w:pPr>
        <w:shd w:val="clear" w:color="auto" w:fill="FFFFFF"/>
        <w:spacing w:after="0" w:line="240" w:lineRule="auto"/>
        <w:jc w:val="both"/>
        <w:textAlignment w:val="baseline"/>
        <w:rPr>
          <w:rFonts w:asciiTheme="majorHAnsi" w:hAnsiTheme="majorHAnsi" w:cstheme="majorHAnsi"/>
          <w:color w:val="000000" w:themeColor="text1"/>
          <w:shd w:val="clear" w:color="auto" w:fill="FFFFFF"/>
        </w:rPr>
      </w:pPr>
      <w:r w:rsidRPr="00EB5CD2">
        <w:rPr>
          <w:rFonts w:asciiTheme="majorHAnsi" w:hAnsiTheme="majorHAnsi" w:cstheme="majorHAnsi"/>
          <w:color w:val="000000" w:themeColor="text1"/>
          <w:shd w:val="clear" w:color="auto" w:fill="FFFFFF"/>
        </w:rPr>
        <w:t>Community engagement involves fostering a collaborative relationship between community members and public partnerships, such as local councils. Effective community engagement requires both parties to understand and address the needs and concerns of the community, working together to strengthen and resolve pertinent issues (Heslop, 2011). This process aims to promote active participation, communication, and shared responsibility in addressing community challenges and fostering positive outcomes for all stakeholders involved.</w:t>
      </w:r>
    </w:p>
    <w:p w14:paraId="22FDD55A" w14:textId="77777777" w:rsidR="003F7AEA" w:rsidRPr="00EB5CD2" w:rsidRDefault="003F7AEA" w:rsidP="00C62AF8">
      <w:pPr>
        <w:shd w:val="clear" w:color="auto" w:fill="FFFFFF"/>
        <w:spacing w:after="0" w:line="240" w:lineRule="auto"/>
        <w:jc w:val="both"/>
        <w:textAlignment w:val="baseline"/>
        <w:rPr>
          <w:rFonts w:asciiTheme="majorHAnsi" w:hAnsiTheme="majorHAnsi" w:cstheme="majorHAnsi"/>
          <w:color w:val="000000" w:themeColor="text1"/>
          <w:shd w:val="clear" w:color="auto" w:fill="FFFFFF"/>
        </w:rPr>
      </w:pPr>
    </w:p>
    <w:p w14:paraId="0A853552" w14:textId="77777777" w:rsidR="003F7AEA" w:rsidRPr="00EB5CD2" w:rsidRDefault="003F7AE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5BD23644" w14:textId="114655C6" w:rsidR="00500688" w:rsidRPr="00EB5CD2" w:rsidRDefault="003F7AE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The main beneficiaries of community engagement are the local communities themselves. Community engagement aims to strengthen local social systems and enhance community decision-making processes by incorporating community input and data (Gold, 2022). It involves creating new dynamics through active listening to local communities and implementing interventions that build trust, foster long-term relationships, and encourage community participation. Ultimately, effective community engagement empowers communities to take ownership of their development and collaborate towards positive social and economic outcomes.</w:t>
      </w:r>
    </w:p>
    <w:p w14:paraId="2E6906DD" w14:textId="77777777" w:rsidR="003F7AEA" w:rsidRPr="00EB5CD2" w:rsidRDefault="003F7AE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3914625E" w14:textId="46D21BA6" w:rsidR="009C46D8" w:rsidRPr="00EB5CD2" w:rsidRDefault="000807F9" w:rsidP="00C62AF8">
      <w:pPr>
        <w:shd w:val="clear" w:color="auto" w:fill="FFFFFF"/>
        <w:spacing w:after="0" w:line="240" w:lineRule="auto"/>
        <w:jc w:val="both"/>
        <w:textAlignment w:val="baseline"/>
        <w:rPr>
          <w:rFonts w:asciiTheme="majorHAnsi" w:hAnsiTheme="majorHAnsi" w:cstheme="majorHAnsi"/>
          <w:color w:val="000000" w:themeColor="text1"/>
          <w:shd w:val="clear" w:color="auto" w:fill="FFFFFF"/>
        </w:rPr>
      </w:pPr>
      <w:r w:rsidRPr="00EB5CD2">
        <w:rPr>
          <w:rFonts w:asciiTheme="majorHAnsi" w:hAnsiTheme="majorHAnsi" w:cstheme="majorHAnsi"/>
          <w:color w:val="000000" w:themeColor="text1"/>
          <w:shd w:val="clear" w:color="auto" w:fill="FFFFFF"/>
        </w:rPr>
        <w:t>Heslop (2011) suggests that local communities play a critical role in building trust and relationships necessary for effective community engagement with the police and other stakeholders. The author highlights that cooperation from members of the public is essential for policing to function effectively. Effective community engagement has led to increased demand for targeted foot patrols in high-crime areas, demonstrating police responsiveness to public concerns (Schiavo, 2021). By improving public perceptions and demonstrating active engagement, police can enhance trust within communities and deliver more effective services when needed.</w:t>
      </w:r>
    </w:p>
    <w:p w14:paraId="196AE809" w14:textId="77777777" w:rsidR="000807F9" w:rsidRPr="00EB5CD2" w:rsidRDefault="000807F9"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242AF543" w14:textId="7018BB87" w:rsidR="000807F9" w:rsidRPr="00EB5CD2" w:rsidRDefault="000807F9"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The College of Policing has outlined several key benefits associated with effective community engagement. They emphasi</w:t>
      </w:r>
      <w:r w:rsidR="00BF78B0" w:rsidRPr="00EB5CD2">
        <w:rPr>
          <w:rFonts w:asciiTheme="majorHAnsi" w:eastAsia="Times New Roman" w:hAnsiTheme="majorHAnsi" w:cstheme="majorHAnsi"/>
          <w:color w:val="000000" w:themeColor="text1"/>
          <w:kern w:val="0"/>
          <w:lang w:eastAsia="en-GB"/>
          <w14:ligatures w14:val="none"/>
        </w:rPr>
        <w:t>s</w:t>
      </w:r>
      <w:r w:rsidRPr="00EB5CD2">
        <w:rPr>
          <w:rFonts w:asciiTheme="majorHAnsi" w:eastAsia="Times New Roman" w:hAnsiTheme="majorHAnsi" w:cstheme="majorHAnsi"/>
          <w:color w:val="000000" w:themeColor="text1"/>
          <w:kern w:val="0"/>
          <w:lang w:eastAsia="en-GB"/>
          <w14:ligatures w14:val="none"/>
        </w:rPr>
        <w:t>e that improved public perceptions lead to increased safety through enhanced police presence in communities, reduction in anti-social behaviour and disorder through guidance and education initiatives, and heightened trust among community members, fostering confidence that positive action will be taken by police when needed. Additionally, positive officer attitudes during community interactions contribute to increased satisfaction, trust, and confidence among community members.</w:t>
      </w:r>
    </w:p>
    <w:p w14:paraId="1F0FD6B8" w14:textId="77777777" w:rsidR="000807F9" w:rsidRPr="00EB5CD2" w:rsidRDefault="000807F9"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3DAD2058" w14:textId="2D875A1A" w:rsidR="000807F9" w:rsidRPr="00EB5CD2" w:rsidRDefault="000807F9"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Conversely, failing to engage with the community can lead to more frequent incidents and potentially critical events, eroding community confidence in the police. The College of Policing also highlights the consequences of ineffective engagement, including loss of community confidence, increased vulnerabilities within the community, and a lack of awareness regarding community changes. Recogni</w:t>
      </w:r>
      <w:r w:rsidR="00BF78B0" w:rsidRPr="00EB5CD2">
        <w:rPr>
          <w:rFonts w:asciiTheme="majorHAnsi" w:eastAsia="Times New Roman" w:hAnsiTheme="majorHAnsi" w:cstheme="majorHAnsi"/>
          <w:color w:val="000000" w:themeColor="text1"/>
          <w:kern w:val="0"/>
          <w:lang w:eastAsia="en-GB"/>
          <w14:ligatures w14:val="none"/>
        </w:rPr>
        <w:t>s</w:t>
      </w:r>
      <w:r w:rsidRPr="00EB5CD2">
        <w:rPr>
          <w:rFonts w:asciiTheme="majorHAnsi" w:eastAsia="Times New Roman" w:hAnsiTheme="majorHAnsi" w:cstheme="majorHAnsi"/>
          <w:color w:val="000000" w:themeColor="text1"/>
          <w:kern w:val="0"/>
          <w:lang w:eastAsia="en-GB"/>
          <w14:ligatures w14:val="none"/>
        </w:rPr>
        <w:t>ing and responding to community changes can positively impact engagement and collaboration with community partners (College of Policing, 2013).</w:t>
      </w:r>
    </w:p>
    <w:p w14:paraId="35BE9F18" w14:textId="77777777" w:rsidR="000807F9" w:rsidRPr="00EB5CD2" w:rsidRDefault="000807F9"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01505339" w14:textId="6CEA2E5D" w:rsidR="009C46D8" w:rsidRPr="00EB5CD2" w:rsidRDefault="000807F9"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This underscores the importance of proactive and meaningful community engagement strategies for fostering positive relationships, improving public safety, and maintaining trust and confidence in policing services.</w:t>
      </w:r>
    </w:p>
    <w:p w14:paraId="298C77A6" w14:textId="77777777" w:rsidR="000807F9" w:rsidRPr="00EB5CD2" w:rsidRDefault="000807F9"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5DB61275" w14:textId="40CAFAE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P</w:t>
      </w:r>
      <w:r w:rsidR="00AF15DB" w:rsidRPr="00EB5CD2">
        <w:rPr>
          <w:rFonts w:asciiTheme="majorHAnsi" w:eastAsia="Times New Roman" w:hAnsiTheme="majorHAnsi" w:cstheme="majorHAnsi"/>
          <w:b/>
          <w:bCs/>
          <w:color w:val="000000" w:themeColor="text1"/>
          <w:kern w:val="0"/>
          <w:lang w:eastAsia="en-GB"/>
          <w14:ligatures w14:val="none"/>
        </w:rPr>
        <w:t>CSO</w:t>
      </w:r>
      <w:r w:rsidRPr="00EB5CD2">
        <w:rPr>
          <w:rFonts w:asciiTheme="majorHAnsi" w:eastAsia="Times New Roman" w:hAnsiTheme="majorHAnsi" w:cstheme="majorHAnsi"/>
          <w:b/>
          <w:bCs/>
          <w:color w:val="000000" w:themeColor="text1"/>
          <w:kern w:val="0"/>
          <w:lang w:eastAsia="en-GB"/>
          <w14:ligatures w14:val="none"/>
        </w:rPr>
        <w:t xml:space="preserve"> Role </w:t>
      </w:r>
    </w:p>
    <w:p w14:paraId="4E28CFA3"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4D850F92" w14:textId="51EF83A6" w:rsidR="000807F9" w:rsidRPr="00EB5CD2" w:rsidRDefault="000807F9"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The role of Police Community Support Officers (PCSOs) is instrumental in fostering community engagement and maintaining a visible police presence within neighbourhoods. PCSOs serve as key liaisons between the community and the police, enhancing communication and trust</w:t>
      </w:r>
      <w:r w:rsidR="00AF15DB" w:rsidRPr="00EB5CD2">
        <w:rPr>
          <w:rFonts w:asciiTheme="majorHAnsi" w:eastAsia="Times New Roman" w:hAnsiTheme="majorHAnsi" w:cstheme="majorHAnsi"/>
          <w:color w:val="000000" w:themeColor="text1"/>
          <w:kern w:val="0"/>
          <w:lang w:eastAsia="en-GB"/>
          <w14:ligatures w14:val="none"/>
        </w:rPr>
        <w:t xml:space="preserve"> (O’Neill, 2019). </w:t>
      </w:r>
      <w:r w:rsidRPr="00EB5CD2">
        <w:rPr>
          <w:rFonts w:asciiTheme="majorHAnsi" w:eastAsia="Times New Roman" w:hAnsiTheme="majorHAnsi" w:cstheme="majorHAnsi"/>
          <w:color w:val="000000" w:themeColor="text1"/>
          <w:kern w:val="0"/>
          <w:lang w:eastAsia="en-GB"/>
          <w14:ligatures w14:val="none"/>
        </w:rPr>
        <w:t xml:space="preserve">They provide a visible presence that offers reassurance to the public and </w:t>
      </w:r>
      <w:r w:rsidRPr="00EB5CD2">
        <w:rPr>
          <w:rFonts w:asciiTheme="majorHAnsi" w:eastAsia="Times New Roman" w:hAnsiTheme="majorHAnsi" w:cstheme="majorHAnsi"/>
          <w:color w:val="000000" w:themeColor="text1"/>
          <w:kern w:val="0"/>
          <w:lang w:eastAsia="en-GB"/>
          <w14:ligatures w14:val="none"/>
        </w:rPr>
        <w:lastRenderedPageBreak/>
        <w:t>helps in defusing situations that arise regularly within the community. Additionally, PCSOs play a vital role in developing, building, and maintaining trust among community members.</w:t>
      </w:r>
    </w:p>
    <w:p w14:paraId="04B328C9" w14:textId="77777777" w:rsidR="000807F9" w:rsidRPr="00EB5CD2" w:rsidRDefault="000807F9"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68812D7C" w14:textId="3E33206E" w:rsidR="009C46D8" w:rsidRPr="00EB5CD2" w:rsidRDefault="000807F9"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One of the important functions of PCSOs is gathering valuable information and intelligence for local police officers, which aids in crime prevention and problem-solving efforts. By being embedded in the community and actively engaging with residents, PCSOs contribute to improving public safety and enhancing the overall quality of life within neighbourhoods</w:t>
      </w:r>
      <w:r w:rsidR="00AF15DB" w:rsidRPr="00EB5CD2">
        <w:rPr>
          <w:rFonts w:asciiTheme="majorHAnsi" w:eastAsia="Times New Roman" w:hAnsiTheme="majorHAnsi" w:cstheme="majorHAnsi"/>
          <w:color w:val="000000" w:themeColor="text1"/>
          <w:kern w:val="0"/>
          <w:lang w:eastAsia="en-GB"/>
          <w14:ligatures w14:val="none"/>
        </w:rPr>
        <w:t xml:space="preserve"> (Johnston, 2005). </w:t>
      </w:r>
      <w:r w:rsidRPr="00EB5CD2">
        <w:rPr>
          <w:rFonts w:asciiTheme="majorHAnsi" w:eastAsia="Times New Roman" w:hAnsiTheme="majorHAnsi" w:cstheme="majorHAnsi"/>
          <w:color w:val="000000" w:themeColor="text1"/>
          <w:kern w:val="0"/>
          <w:lang w:eastAsia="en-GB"/>
          <w14:ligatures w14:val="none"/>
        </w:rPr>
        <w:t>Their proactive presence and interactions help strengthen police-community relations and promote a safer and more secure environment for all.</w:t>
      </w:r>
    </w:p>
    <w:p w14:paraId="1CCABA33" w14:textId="38885002" w:rsidR="008B3E67" w:rsidRPr="00EB5CD2" w:rsidRDefault="00AF15DB" w:rsidP="00C62AF8">
      <w:pPr>
        <w:shd w:val="clear" w:color="auto" w:fill="FFFFFF"/>
        <w:spacing w:after="0" w:line="240" w:lineRule="auto"/>
        <w:jc w:val="both"/>
        <w:textAlignment w:val="baseline"/>
        <w:rPr>
          <w:rFonts w:asciiTheme="majorHAnsi" w:hAnsiTheme="majorHAnsi" w:cstheme="majorHAnsi"/>
          <w:color w:val="000000" w:themeColor="text1"/>
          <w:shd w:val="clear" w:color="auto" w:fill="FFFFFF"/>
        </w:rPr>
      </w:pPr>
      <w:r w:rsidRPr="00EB5CD2">
        <w:rPr>
          <w:rFonts w:asciiTheme="majorHAnsi" w:hAnsiTheme="majorHAnsi" w:cstheme="majorHAnsi"/>
          <w:color w:val="000000" w:themeColor="text1"/>
          <w:shd w:val="clear" w:color="auto" w:fill="FFFFFF"/>
        </w:rPr>
        <w:t>The College of Policing has identified several key responsibilities for Police Community Support Officers to ensure effective community engagement and management. These include maintaining a visible presence in the community to address concerns and enhance confidence, fostering relationships with businesses and individuals, which is crucial for community cohesion, and ensuring the needs of community members are effectively managed (College of Policing, 2019).</w:t>
      </w:r>
    </w:p>
    <w:p w14:paraId="69E56597" w14:textId="77777777" w:rsidR="00AF15DB" w:rsidRPr="00EB5CD2" w:rsidRDefault="00AF15D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73B8976A" w14:textId="23F2C12E"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Partnerships Approaches </w:t>
      </w:r>
    </w:p>
    <w:p w14:paraId="0B95C595"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585C8208" w14:textId="6F6C1A6E" w:rsidR="00AF15DB" w:rsidRPr="00EB5CD2" w:rsidRDefault="00AF15D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 xml:space="preserve">When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 xml:space="preserve">ations engage with communities, their choice of partnership approach can significantly influence the success and sustainability of their efforts. There are several partnerships approaches that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ations can consider ensuring effective community engagement (Mazerolle, 2023).</w:t>
      </w:r>
    </w:p>
    <w:p w14:paraId="6FF55AD3" w14:textId="77777777" w:rsidR="00AF15DB" w:rsidRPr="00EB5CD2" w:rsidRDefault="00AF15D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32AA3C66" w14:textId="0490841E" w:rsidR="00AF15DB" w:rsidRPr="00EB5CD2" w:rsidRDefault="00AF15D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 xml:space="preserve">Collaborative partnerships involve closely collaborating with community members, local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 xml:space="preserve">ations, and stakeholders. This approach </w:t>
      </w:r>
      <w:r w:rsidR="00BF78B0" w:rsidRPr="00EB5CD2">
        <w:rPr>
          <w:rFonts w:asciiTheme="majorHAnsi" w:eastAsia="Times New Roman" w:hAnsiTheme="majorHAnsi" w:cstheme="majorHAnsi"/>
          <w:color w:val="000000" w:themeColor="text1"/>
          <w:kern w:val="0"/>
          <w:lang w:eastAsia="en-GB"/>
          <w14:ligatures w14:val="none"/>
        </w:rPr>
        <w:t>emphasis</w:t>
      </w:r>
      <w:r w:rsidRPr="00EB5CD2">
        <w:rPr>
          <w:rFonts w:asciiTheme="majorHAnsi" w:eastAsia="Times New Roman" w:hAnsiTheme="majorHAnsi" w:cstheme="majorHAnsi"/>
          <w:color w:val="000000" w:themeColor="text1"/>
          <w:kern w:val="0"/>
          <w:lang w:eastAsia="en-GB"/>
          <w14:ligatures w14:val="none"/>
        </w:rPr>
        <w:t xml:space="preserve">es shared decision-making, allowing all parties to contribute to the planning, implementation, and evaluation of initiatives. By valuing local expertise,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ations can create programs that better meet community needs</w:t>
      </w:r>
      <w:r w:rsidR="00B2153A" w:rsidRPr="00EB5CD2">
        <w:rPr>
          <w:rFonts w:asciiTheme="majorHAnsi" w:eastAsia="Times New Roman" w:hAnsiTheme="majorHAnsi" w:cstheme="majorHAnsi"/>
          <w:color w:val="000000" w:themeColor="text1"/>
          <w:kern w:val="0"/>
          <w:lang w:eastAsia="en-GB"/>
          <w14:ligatures w14:val="none"/>
        </w:rPr>
        <w:t xml:space="preserve"> (</w:t>
      </w:r>
      <w:proofErr w:type="spellStart"/>
      <w:r w:rsidR="00B2153A" w:rsidRPr="00EB5CD2">
        <w:rPr>
          <w:rFonts w:asciiTheme="majorHAnsi" w:eastAsia="Times New Roman" w:hAnsiTheme="majorHAnsi" w:cstheme="majorHAnsi"/>
          <w:color w:val="000000" w:themeColor="text1"/>
          <w:kern w:val="0"/>
          <w:lang w:eastAsia="en-GB"/>
          <w14:ligatures w14:val="none"/>
        </w:rPr>
        <w:t>Oppler</w:t>
      </w:r>
      <w:proofErr w:type="spellEnd"/>
      <w:r w:rsidR="00B2153A" w:rsidRPr="00EB5CD2">
        <w:rPr>
          <w:rFonts w:asciiTheme="majorHAnsi" w:eastAsia="Times New Roman" w:hAnsiTheme="majorHAnsi" w:cstheme="majorHAnsi"/>
          <w:color w:val="000000" w:themeColor="text1"/>
          <w:kern w:val="0"/>
          <w:lang w:eastAsia="en-GB"/>
          <w14:ligatures w14:val="none"/>
        </w:rPr>
        <w:t>, 1997).</w:t>
      </w:r>
      <w:r w:rsidRPr="00EB5CD2">
        <w:rPr>
          <w:rFonts w:asciiTheme="majorHAnsi" w:eastAsia="Times New Roman" w:hAnsiTheme="majorHAnsi" w:cstheme="majorHAnsi"/>
          <w:color w:val="000000" w:themeColor="text1"/>
          <w:kern w:val="0"/>
          <w:lang w:eastAsia="en-GB"/>
          <w14:ligatures w14:val="none"/>
        </w:rPr>
        <w:t xml:space="preserve"> Open communication channels and regular meetings among partners facilitate effective collaboration and understanding.</w:t>
      </w:r>
    </w:p>
    <w:p w14:paraId="47DBF689" w14:textId="77777777" w:rsidR="00AF15DB" w:rsidRPr="00EB5CD2" w:rsidRDefault="00AF15D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5C8DCBAC" w14:textId="0EED1EF1" w:rsidR="00AF15DB" w:rsidRPr="00EB5CD2" w:rsidRDefault="00AF15D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Funding partnerships involve collaborating with donor foundations or government agencies to secure financial support for community activities. These partnerships are essential for obtaining resources to implement programs and projects</w:t>
      </w:r>
      <w:r w:rsidR="00B2153A" w:rsidRPr="00EB5CD2">
        <w:rPr>
          <w:rFonts w:asciiTheme="majorHAnsi" w:eastAsia="Times New Roman" w:hAnsiTheme="majorHAnsi" w:cstheme="majorHAnsi"/>
          <w:color w:val="000000" w:themeColor="text1"/>
          <w:kern w:val="0"/>
          <w:lang w:eastAsia="en-GB"/>
          <w14:ligatures w14:val="none"/>
        </w:rPr>
        <w:t xml:space="preserve"> (Mazerolle, 2014).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 xml:space="preserve">ations can also engage in co-funding partnerships where multiple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ations pool resources to achieve common goals. This approach diversifies funding sources, reduces financial burdens, and increases the scale and impact of community involvement.</w:t>
      </w:r>
    </w:p>
    <w:p w14:paraId="46CB6086" w14:textId="77777777" w:rsidR="00AF15DB" w:rsidRPr="00EB5CD2" w:rsidRDefault="00AF15D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31732832" w14:textId="0342C2C2" w:rsidR="00467814" w:rsidRPr="00EB5CD2" w:rsidRDefault="00AF15D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Overall, these partnership approaches are beneficial as they help build trust and confidence, enhance community ownership, and contribute to the long-term success of community initiatives. Effective partnerships are key to fostering meaningful engagement and achieving sustainable outcomes in collaboration with communities.</w:t>
      </w:r>
    </w:p>
    <w:p w14:paraId="44CCF378" w14:textId="77777777" w:rsidR="00AF15DB" w:rsidRPr="00EB5CD2" w:rsidRDefault="00AF15D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632C31CF" w14:textId="253139EE" w:rsidR="00F1134A" w:rsidRPr="00EB5CD2" w:rsidRDefault="00AF15DB" w:rsidP="00C62AF8">
      <w:pPr>
        <w:shd w:val="clear" w:color="auto" w:fill="FFFFFF"/>
        <w:spacing w:after="0" w:line="240" w:lineRule="auto"/>
        <w:jc w:val="both"/>
        <w:textAlignment w:val="baseline"/>
        <w:rPr>
          <w:rFonts w:asciiTheme="majorHAnsi" w:hAnsiTheme="majorHAnsi" w:cstheme="majorHAnsi"/>
          <w:color w:val="000000" w:themeColor="text1"/>
          <w:shd w:val="clear" w:color="auto" w:fill="FFFFFF"/>
        </w:rPr>
      </w:pPr>
      <w:r w:rsidRPr="00EB5CD2">
        <w:rPr>
          <w:rFonts w:asciiTheme="majorHAnsi" w:hAnsiTheme="majorHAnsi" w:cstheme="majorHAnsi"/>
          <w:color w:val="000000" w:themeColor="text1"/>
          <w:shd w:val="clear" w:color="auto" w:fill="FFFFFF"/>
        </w:rPr>
        <w:t>Other ways in which partnerships can encourage community engagement include hosting events such as open houses or town halls to bring the community closer together and inform stakeholders about projects, providing opportunities for their input (Zanchetta, 2023). Zanchetta suggests various methods for delivering community engagement, such as surveys, which allow individuals to share their opinions online if they prefer not to attend group discussions but still want to contribute. Additionally, social media serves as a significant platform for community engagement, enabling stakeholders to provide updates on project progress and engage with the community in meaningful ways.</w:t>
      </w:r>
    </w:p>
    <w:p w14:paraId="25DE8208" w14:textId="77777777" w:rsidR="00AF15DB" w:rsidRPr="00EB5CD2" w:rsidRDefault="00AF15D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5A3DC6D0" w14:textId="77777777" w:rsidR="00EB5CD2" w:rsidRPr="00EB5CD2" w:rsidRDefault="00EB5CD2"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33D9B8D5" w14:textId="77777777" w:rsidR="00EB5CD2" w:rsidRPr="00EB5CD2" w:rsidRDefault="00EB5CD2"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0AA73F3E" w14:textId="0F00FC3F"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Conclusion</w:t>
      </w:r>
    </w:p>
    <w:p w14:paraId="7B4C44EC" w14:textId="77777777" w:rsidR="00065E69" w:rsidRPr="00EB5CD2" w:rsidRDefault="00065E69"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72B9D3BC" w14:textId="19B30881" w:rsidR="00B2153A" w:rsidRPr="00EB5CD2" w:rsidRDefault="00B2153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In conclusion, partnership approaches stand out as the most effective means of improving community engagement due to their inherent capacity for fostering collaboration, understanding, and shared responsibility among stakeholders. The discussions and insights presented throughout this essay underscore the critical role that partnerships play in enhancing community relations, driving positive outcomes, and building trust and confidence within neighbourhoods.</w:t>
      </w:r>
    </w:p>
    <w:p w14:paraId="5DFCCA82" w14:textId="77777777" w:rsidR="00B2153A" w:rsidRPr="00EB5CD2" w:rsidRDefault="00B2153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45F1B6C4" w14:textId="3FAF4E30" w:rsidR="00B2153A" w:rsidRPr="00EB5CD2" w:rsidRDefault="00B2153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 xml:space="preserve">Partnerships, such as collaborative initiatives with community members and stakeholders, </w:t>
      </w:r>
      <w:r w:rsidR="00BF78B0" w:rsidRPr="00EB5CD2">
        <w:rPr>
          <w:rFonts w:asciiTheme="majorHAnsi" w:eastAsia="Times New Roman" w:hAnsiTheme="majorHAnsi" w:cstheme="majorHAnsi"/>
          <w:color w:val="000000" w:themeColor="text1"/>
          <w:kern w:val="0"/>
          <w:lang w:eastAsia="en-GB"/>
          <w14:ligatures w14:val="none"/>
        </w:rPr>
        <w:t>emphasis</w:t>
      </w:r>
      <w:r w:rsidRPr="00EB5CD2">
        <w:rPr>
          <w:rFonts w:asciiTheme="majorHAnsi" w:eastAsia="Times New Roman" w:hAnsiTheme="majorHAnsi" w:cstheme="majorHAnsi"/>
          <w:color w:val="000000" w:themeColor="text1"/>
          <w:kern w:val="0"/>
          <w:lang w:eastAsia="en-GB"/>
          <w14:ligatures w14:val="none"/>
        </w:rPr>
        <w:t xml:space="preserve">e shared decision-making and the integration of local expertise, resulting in programs and interventions that better meet community needs. By valuing community input and fostering open communication,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ations can strengthen relationships and enhance community ownership of initiatives.</w:t>
      </w:r>
    </w:p>
    <w:p w14:paraId="64FD595D" w14:textId="77777777" w:rsidR="00B2153A" w:rsidRPr="00EB5CD2" w:rsidRDefault="00B2153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665A2EA8" w14:textId="3E7F625A" w:rsidR="00B2153A" w:rsidRPr="00EB5CD2" w:rsidRDefault="00B2153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 xml:space="preserve">Moreover, funding partnerships with donor foundations or government agencies are essential for securing resources to implement community activities and projects. Co-funding partnerships, where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ations pool resources, further diversify funding sources and amplify the scale and impact of community involvement, reducing financial burdens and increasing program effectiveness.</w:t>
      </w:r>
    </w:p>
    <w:p w14:paraId="2CBCD61F" w14:textId="77777777" w:rsidR="00B2153A" w:rsidRPr="00EB5CD2" w:rsidRDefault="00B2153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636F3D19" w14:textId="5F26B0A4" w:rsidR="00B2153A" w:rsidRPr="00EB5CD2" w:rsidRDefault="00B2153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lastRenderedPageBreak/>
        <w:t>Additionally, hosting events like open houses or town halls and utili</w:t>
      </w:r>
      <w:r w:rsidR="00BF78B0" w:rsidRPr="00EB5CD2">
        <w:rPr>
          <w:rFonts w:asciiTheme="majorHAnsi" w:eastAsia="Times New Roman" w:hAnsiTheme="majorHAnsi" w:cstheme="majorHAnsi"/>
          <w:color w:val="000000" w:themeColor="text1"/>
          <w:kern w:val="0"/>
          <w:lang w:eastAsia="en-GB"/>
          <w14:ligatures w14:val="none"/>
        </w:rPr>
        <w:t>s</w:t>
      </w:r>
      <w:r w:rsidRPr="00EB5CD2">
        <w:rPr>
          <w:rFonts w:asciiTheme="majorHAnsi" w:eastAsia="Times New Roman" w:hAnsiTheme="majorHAnsi" w:cstheme="majorHAnsi"/>
          <w:color w:val="000000" w:themeColor="text1"/>
          <w:kern w:val="0"/>
          <w:lang w:eastAsia="en-GB"/>
          <w14:ligatures w14:val="none"/>
        </w:rPr>
        <w:t xml:space="preserve">ing digital platforms such as social media enable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ations to reach and engage with a broader audience, gathering input and providing updates in real-time.</w:t>
      </w:r>
    </w:p>
    <w:p w14:paraId="3D87E01E" w14:textId="77777777" w:rsidR="00B2153A" w:rsidRPr="00EB5CD2" w:rsidRDefault="00B2153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201335C4" w14:textId="71C5AEDD" w:rsidR="00B2153A" w:rsidRPr="00EB5CD2" w:rsidRDefault="00B2153A"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 xml:space="preserve">Ultimately, effective community engagement requires a proactive and inclusive approach, where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 xml:space="preserve">ations leverage partnerships to build trust, address community concerns, and empower residents to participate in shaping their neighbourhoods. By embracing partnership approaches,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ations can create sustainable and impactful initiatives that contribute to the well-being and prosperity of communities.</w:t>
      </w:r>
    </w:p>
    <w:p w14:paraId="2FFAA6ED" w14:textId="77777777" w:rsidR="00B2153A" w:rsidRPr="00EB5CD2" w:rsidRDefault="00B2153A"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2D6F34FC" w14:textId="2A037958" w:rsidR="00677805" w:rsidRPr="00EB5CD2" w:rsidRDefault="00677805"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Word Count: </w:t>
      </w:r>
      <w:r w:rsidR="00D05649" w:rsidRPr="00EB5CD2">
        <w:rPr>
          <w:rFonts w:asciiTheme="majorHAnsi" w:eastAsia="Times New Roman" w:hAnsiTheme="majorHAnsi" w:cstheme="majorHAnsi"/>
          <w:b/>
          <w:bCs/>
          <w:color w:val="000000" w:themeColor="text1"/>
          <w:kern w:val="0"/>
          <w:lang w:eastAsia="en-GB"/>
          <w14:ligatures w14:val="none"/>
        </w:rPr>
        <w:t>1</w:t>
      </w:r>
      <w:r w:rsidR="00B2153A" w:rsidRPr="00EB5CD2">
        <w:rPr>
          <w:rFonts w:asciiTheme="majorHAnsi" w:eastAsia="Times New Roman" w:hAnsiTheme="majorHAnsi" w:cstheme="majorHAnsi"/>
          <w:b/>
          <w:bCs/>
          <w:color w:val="000000" w:themeColor="text1"/>
          <w:kern w:val="0"/>
          <w:lang w:eastAsia="en-GB"/>
          <w14:ligatures w14:val="none"/>
        </w:rPr>
        <w:t>235</w:t>
      </w:r>
    </w:p>
    <w:p w14:paraId="2EC708A9" w14:textId="77777777" w:rsidR="00677805" w:rsidRPr="00EB5CD2" w:rsidRDefault="00677805"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7D725DBC" w14:textId="77777777" w:rsidR="00C62AF8" w:rsidRDefault="00C62AF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63BB1C25" w14:textId="77777777" w:rsidR="00C62AF8" w:rsidRDefault="00C62AF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044D46D2" w14:textId="77777777" w:rsidR="00C62AF8" w:rsidRDefault="00C62AF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2E6DB756" w14:textId="77777777" w:rsidR="00C62AF8" w:rsidRDefault="00C62AF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3FC9110E" w14:textId="77777777" w:rsidR="00C62AF8" w:rsidRDefault="00C62AF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5D1AF716" w14:textId="77777777" w:rsidR="00C62AF8" w:rsidRDefault="00C62AF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3B0DCD7B" w14:textId="1FA020E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Essay Three </w:t>
      </w:r>
    </w:p>
    <w:p w14:paraId="1B90ABCC"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181B68DC"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Examine the positive and negative aspects of media attention when dealing with public protection incidents. </w:t>
      </w:r>
    </w:p>
    <w:p w14:paraId="6E9278CA"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4F4E7DE9" w14:textId="77777777" w:rsidR="00727AEE" w:rsidRPr="00EB5CD2" w:rsidRDefault="00727AEE" w:rsidP="00C62AF8">
      <w:pPr>
        <w:pStyle w:val="PlainText"/>
        <w:jc w:val="both"/>
        <w:rPr>
          <w:rFonts w:asciiTheme="majorHAnsi" w:hAnsiTheme="majorHAnsi" w:cstheme="majorHAnsi"/>
          <w:color w:val="000000" w:themeColor="text1"/>
          <w:szCs w:val="22"/>
        </w:rPr>
      </w:pPr>
      <w:r w:rsidRPr="00EB5CD2">
        <w:rPr>
          <w:rFonts w:asciiTheme="majorHAnsi" w:hAnsiTheme="majorHAnsi" w:cstheme="majorHAnsi"/>
          <w:color w:val="000000" w:themeColor="text1"/>
          <w:szCs w:val="22"/>
        </w:rPr>
        <w:t>In this third essay, the focus is on media attention and its implications, particularly in relation to public protection incidents. The essay thoroughly examines both the advantages and disadvantages associated with media coverage of these incidents, including the use of social media as a news delivery platform.</w:t>
      </w:r>
    </w:p>
    <w:p w14:paraId="11413342" w14:textId="77777777" w:rsidR="00727AEE" w:rsidRPr="00EB5CD2" w:rsidRDefault="00727AEE" w:rsidP="00C62AF8">
      <w:pPr>
        <w:pStyle w:val="PlainText"/>
        <w:jc w:val="both"/>
        <w:rPr>
          <w:rFonts w:asciiTheme="majorHAnsi" w:hAnsiTheme="majorHAnsi" w:cstheme="majorHAnsi"/>
          <w:color w:val="000000" w:themeColor="text1"/>
          <w:szCs w:val="22"/>
        </w:rPr>
      </w:pPr>
    </w:p>
    <w:p w14:paraId="4A276D51" w14:textId="0D5815C4" w:rsidR="00F1134A" w:rsidRPr="00EB5CD2" w:rsidRDefault="00727AEE" w:rsidP="00C62AF8">
      <w:pPr>
        <w:pStyle w:val="PlainText"/>
        <w:jc w:val="both"/>
        <w:rPr>
          <w:rFonts w:asciiTheme="majorHAnsi" w:hAnsiTheme="majorHAnsi" w:cstheme="majorHAnsi"/>
          <w:color w:val="000000" w:themeColor="text1"/>
          <w:szCs w:val="22"/>
        </w:rPr>
      </w:pPr>
      <w:r w:rsidRPr="00EB5CD2">
        <w:rPr>
          <w:rFonts w:asciiTheme="majorHAnsi" w:hAnsiTheme="majorHAnsi" w:cstheme="majorHAnsi"/>
          <w:color w:val="000000" w:themeColor="text1"/>
          <w:szCs w:val="22"/>
        </w:rPr>
        <w:t>The essay concludes that the benefits of media attention outweigh the drawbacks. In the summary, it provides a comprehensive overview of the discussed points, emphasising the key findings regarding media attention and its impact on public protection incidents.</w:t>
      </w:r>
    </w:p>
    <w:p w14:paraId="4E4DB1D7" w14:textId="77777777" w:rsidR="00F1134A" w:rsidRPr="00EB5CD2" w:rsidRDefault="00F1134A" w:rsidP="00C62AF8">
      <w:pPr>
        <w:pStyle w:val="PlainText"/>
        <w:jc w:val="both"/>
        <w:rPr>
          <w:rFonts w:asciiTheme="majorHAnsi" w:hAnsiTheme="majorHAnsi" w:cstheme="majorHAnsi"/>
          <w:color w:val="000000" w:themeColor="text1"/>
          <w:szCs w:val="22"/>
        </w:rPr>
      </w:pPr>
    </w:p>
    <w:p w14:paraId="39FBAE42" w14:textId="77777777" w:rsidR="0054288B" w:rsidRPr="00EB5CD2" w:rsidRDefault="0054288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3BBF7AEF" w14:textId="54ED9861" w:rsidR="009C46D8" w:rsidRPr="00EB5CD2" w:rsidRDefault="0054288B"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M</w:t>
      </w:r>
      <w:r w:rsidR="009C46D8" w:rsidRPr="00EB5CD2">
        <w:rPr>
          <w:rFonts w:asciiTheme="majorHAnsi" w:eastAsia="Times New Roman" w:hAnsiTheme="majorHAnsi" w:cstheme="majorHAnsi"/>
          <w:b/>
          <w:bCs/>
          <w:color w:val="000000" w:themeColor="text1"/>
          <w:kern w:val="0"/>
          <w:lang w:eastAsia="en-GB"/>
          <w14:ligatures w14:val="none"/>
        </w:rPr>
        <w:t xml:space="preserve">edia attention </w:t>
      </w:r>
    </w:p>
    <w:p w14:paraId="3BDBF552"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00B1D29D" w14:textId="7872AF26" w:rsidR="00727AEE"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Media attention can have both positive and negative impacts when addressing public protection incidents like natural disasters, public health crises, or security threats. One positive aspect is increased awareness: media can swiftly disseminate information about an incident, ensuring that the public is informed of potential dangers (</w:t>
      </w:r>
      <w:r w:rsidRPr="00EB5CD2">
        <w:rPr>
          <w:rFonts w:asciiTheme="majorHAnsi" w:hAnsiTheme="majorHAnsi" w:cstheme="majorHAnsi"/>
          <w:color w:val="000000" w:themeColor="text1"/>
          <w:shd w:val="clear" w:color="auto" w:fill="FFFFFF"/>
        </w:rPr>
        <w:t xml:space="preserve">An et al., (2011). </w:t>
      </w:r>
      <w:r w:rsidRPr="00EB5CD2">
        <w:rPr>
          <w:rFonts w:asciiTheme="majorHAnsi" w:eastAsia="Times New Roman" w:hAnsiTheme="majorHAnsi" w:cstheme="majorHAnsi"/>
          <w:color w:val="000000" w:themeColor="text1"/>
          <w:kern w:val="0"/>
          <w:lang w:eastAsia="en-GB"/>
          <w14:ligatures w14:val="none"/>
        </w:rPr>
        <w:t>This can prompt individuals to take necessary precautions and follow safety guidance.</w:t>
      </w:r>
    </w:p>
    <w:p w14:paraId="40E97D78" w14:textId="77777777" w:rsidR="00727AEE"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101A2A41" w14:textId="7D81BF76" w:rsidR="00F1134A"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lastRenderedPageBreak/>
        <w:t>Media attention can be conveyed through various platforms including news outlets, social media, and radio (Ma, 2005). It holds significant influence over public opinion, perceptions, and even policies. This can shift how people view certain issues and impact the popularity of individuals and organisations.</w:t>
      </w:r>
    </w:p>
    <w:p w14:paraId="31EE8350" w14:textId="77777777" w:rsidR="00727AEE"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613DDB5D" w14:textId="3DB05A6E" w:rsidR="00544607"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Positives &amp; Negatives </w:t>
      </w:r>
      <w:r w:rsidR="00FF47E8" w:rsidRPr="00EB5CD2">
        <w:rPr>
          <w:rFonts w:asciiTheme="majorHAnsi" w:eastAsia="Times New Roman" w:hAnsiTheme="majorHAnsi" w:cstheme="majorHAnsi"/>
          <w:b/>
          <w:bCs/>
          <w:color w:val="000000" w:themeColor="text1"/>
          <w:kern w:val="0"/>
          <w:lang w:eastAsia="en-GB"/>
          <w14:ligatures w14:val="none"/>
        </w:rPr>
        <w:t xml:space="preserve">of Media Coverage </w:t>
      </w:r>
    </w:p>
    <w:p w14:paraId="56DBF359" w14:textId="77777777" w:rsidR="00544607" w:rsidRPr="00EB5CD2" w:rsidRDefault="00544607"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2D356089" w14:textId="33B258AD" w:rsidR="00727AEE"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Media attention can bring several positive impacts, such as providing educational opportunities to the public about incidents and ways to prevent them in the future (</w:t>
      </w:r>
      <w:r w:rsidRPr="00EB5CD2">
        <w:rPr>
          <w:rFonts w:asciiTheme="majorHAnsi" w:hAnsiTheme="majorHAnsi" w:cstheme="majorHAnsi"/>
          <w:color w:val="000000" w:themeColor="text1"/>
          <w:shd w:val="clear" w:color="auto" w:fill="FFFFFF"/>
        </w:rPr>
        <w:t xml:space="preserve">An et al., (2011). </w:t>
      </w:r>
      <w:r w:rsidRPr="00EB5CD2">
        <w:rPr>
          <w:rFonts w:asciiTheme="majorHAnsi" w:eastAsia="Times New Roman" w:hAnsiTheme="majorHAnsi" w:cstheme="majorHAnsi"/>
          <w:color w:val="000000" w:themeColor="text1"/>
          <w:kern w:val="0"/>
          <w:lang w:eastAsia="en-GB"/>
          <w14:ligatures w14:val="none"/>
        </w:rPr>
        <w:t xml:space="preserve"> By covering incidents, the media can raise awareness among the public and communities, leading to increased knowledge and preparedness.</w:t>
      </w:r>
    </w:p>
    <w:p w14:paraId="73C53E02" w14:textId="77777777" w:rsidR="00727AEE"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798E59FC" w14:textId="7A17E4DD" w:rsidR="00727AEE"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 xml:space="preserve">Furthermore, media coverage allows for the promotion of safety measures and campaigns by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ations, addressing critical issues like seatbelt use, fire safety, and public health guidelines such as COVID-19 lockdowns. These campaigns effectively reach audiences who may not be aware of these guidelines, as seen in the promotion of face mask usage and social distancing during the COVID-19 pandemic (</w:t>
      </w:r>
      <w:r w:rsidRPr="00EB5CD2">
        <w:rPr>
          <w:rFonts w:asciiTheme="majorHAnsi" w:hAnsiTheme="majorHAnsi" w:cstheme="majorHAnsi"/>
          <w:color w:val="000000" w:themeColor="text1"/>
          <w:shd w:val="clear" w:color="auto" w:fill="FFFFFF"/>
        </w:rPr>
        <w:t xml:space="preserve">Kwok et al., 2022). </w:t>
      </w:r>
      <w:r w:rsidRPr="00EB5CD2">
        <w:rPr>
          <w:rFonts w:asciiTheme="majorHAnsi" w:eastAsia="Times New Roman" w:hAnsiTheme="majorHAnsi" w:cstheme="majorHAnsi"/>
          <w:color w:val="000000" w:themeColor="text1"/>
          <w:kern w:val="0"/>
          <w:lang w:eastAsia="en-GB"/>
          <w14:ligatures w14:val="none"/>
        </w:rPr>
        <w:t xml:space="preserve">For instance, during the peak of the COVID-19 pandemic, the World Health </w:t>
      </w:r>
      <w:r w:rsidR="00BF78B0" w:rsidRPr="00EB5CD2">
        <w:rPr>
          <w:rFonts w:asciiTheme="majorHAnsi" w:eastAsia="Times New Roman" w:hAnsiTheme="majorHAnsi" w:cstheme="majorHAnsi"/>
          <w:color w:val="000000" w:themeColor="text1"/>
          <w:kern w:val="0"/>
          <w:lang w:eastAsia="en-GB"/>
          <w14:ligatures w14:val="none"/>
        </w:rPr>
        <w:t>Organis</w:t>
      </w:r>
      <w:r w:rsidRPr="00EB5CD2">
        <w:rPr>
          <w:rFonts w:asciiTheme="majorHAnsi" w:eastAsia="Times New Roman" w:hAnsiTheme="majorHAnsi" w:cstheme="majorHAnsi"/>
          <w:color w:val="000000" w:themeColor="text1"/>
          <w:kern w:val="0"/>
          <w:lang w:eastAsia="en-GB"/>
          <w14:ligatures w14:val="none"/>
        </w:rPr>
        <w:t>ation (WHO) util</w:t>
      </w:r>
      <w:r w:rsidR="00BF78B0" w:rsidRPr="00EB5CD2">
        <w:rPr>
          <w:rFonts w:asciiTheme="majorHAnsi" w:eastAsia="Times New Roman" w:hAnsiTheme="majorHAnsi" w:cstheme="majorHAnsi"/>
          <w:color w:val="000000" w:themeColor="text1"/>
          <w:kern w:val="0"/>
          <w:lang w:eastAsia="en-GB"/>
          <w14:ligatures w14:val="none"/>
        </w:rPr>
        <w:t>is</w:t>
      </w:r>
      <w:r w:rsidRPr="00EB5CD2">
        <w:rPr>
          <w:rFonts w:asciiTheme="majorHAnsi" w:eastAsia="Times New Roman" w:hAnsiTheme="majorHAnsi" w:cstheme="majorHAnsi"/>
          <w:color w:val="000000" w:themeColor="text1"/>
          <w:kern w:val="0"/>
          <w:lang w:eastAsia="en-GB"/>
          <w14:ligatures w14:val="none"/>
        </w:rPr>
        <w:t>ed online media coverage to educate and guide the public through videos and courses on the importance of face masks and other preventive measures.</w:t>
      </w:r>
    </w:p>
    <w:p w14:paraId="651F2137" w14:textId="77777777" w:rsidR="00727AEE"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764A20CE" w14:textId="1DB4A6B5" w:rsidR="00727AEE"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However, media attention can also have negative consequences. Misinformation is a significant issue, as media outlets may prioriti</w:t>
      </w:r>
      <w:r w:rsidR="00BF78B0" w:rsidRPr="00EB5CD2">
        <w:rPr>
          <w:rFonts w:asciiTheme="majorHAnsi" w:eastAsia="Times New Roman" w:hAnsiTheme="majorHAnsi" w:cstheme="majorHAnsi"/>
          <w:color w:val="000000" w:themeColor="text1"/>
          <w:kern w:val="0"/>
          <w:lang w:eastAsia="en-GB"/>
          <w14:ligatures w14:val="none"/>
        </w:rPr>
        <w:t>s</w:t>
      </w:r>
      <w:r w:rsidRPr="00EB5CD2">
        <w:rPr>
          <w:rFonts w:asciiTheme="majorHAnsi" w:eastAsia="Times New Roman" w:hAnsiTheme="majorHAnsi" w:cstheme="majorHAnsi"/>
          <w:color w:val="000000" w:themeColor="text1"/>
          <w:kern w:val="0"/>
          <w:lang w:eastAsia="en-GB"/>
          <w14:ligatures w14:val="none"/>
        </w:rPr>
        <w:t>e sensational headlines that can lead to panic and confusion among the public (</w:t>
      </w:r>
      <w:r w:rsidRPr="00EB5CD2">
        <w:rPr>
          <w:rFonts w:asciiTheme="majorHAnsi" w:hAnsiTheme="majorHAnsi" w:cstheme="majorHAnsi"/>
          <w:color w:val="000000" w:themeColor="text1"/>
          <w:shd w:val="clear" w:color="auto" w:fill="FFFFFF"/>
        </w:rPr>
        <w:t xml:space="preserve">Muhammed &amp; Mathew, 2022). </w:t>
      </w:r>
      <w:r w:rsidRPr="00EB5CD2">
        <w:rPr>
          <w:rFonts w:asciiTheme="majorHAnsi" w:eastAsia="Times New Roman" w:hAnsiTheme="majorHAnsi" w:cstheme="majorHAnsi"/>
          <w:color w:val="000000" w:themeColor="text1"/>
          <w:kern w:val="0"/>
          <w:lang w:eastAsia="en-GB"/>
          <w14:ligatures w14:val="none"/>
        </w:rPr>
        <w:t>Additionally, excessive media coverage of ongoing investigations can impede police work and compromise the integrity of the investigation, as seen in incidents like the Boston Marathon bombing</w:t>
      </w:r>
      <w:r w:rsidR="001800F7" w:rsidRPr="00EB5CD2">
        <w:rPr>
          <w:rFonts w:asciiTheme="majorHAnsi" w:eastAsia="Times New Roman" w:hAnsiTheme="majorHAnsi" w:cstheme="majorHAnsi"/>
          <w:color w:val="000000" w:themeColor="text1"/>
          <w:kern w:val="0"/>
          <w:lang w:eastAsia="en-GB"/>
          <w14:ligatures w14:val="none"/>
        </w:rPr>
        <w:t xml:space="preserve"> (</w:t>
      </w:r>
      <w:r w:rsidR="001800F7" w:rsidRPr="00EB5CD2">
        <w:rPr>
          <w:rFonts w:asciiTheme="majorHAnsi" w:hAnsiTheme="majorHAnsi" w:cstheme="majorHAnsi"/>
          <w:color w:val="000000" w:themeColor="text1"/>
          <w:shd w:val="clear" w:color="auto" w:fill="FFFFFF"/>
        </w:rPr>
        <w:t xml:space="preserve">Starbird et al., 2014). </w:t>
      </w:r>
    </w:p>
    <w:p w14:paraId="14D97946" w14:textId="77777777" w:rsidR="00727AEE"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760E1E43" w14:textId="3FF24D33" w:rsidR="00727AEE"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 xml:space="preserve">Despite these challenges, media attention plays a crucial role in informing communities about public protection incidents. Balancing transparency and responsible reporting </w:t>
      </w:r>
      <w:proofErr w:type="gramStart"/>
      <w:r w:rsidRPr="00EB5CD2">
        <w:rPr>
          <w:rFonts w:asciiTheme="majorHAnsi" w:eastAsia="Times New Roman" w:hAnsiTheme="majorHAnsi" w:cstheme="majorHAnsi"/>
          <w:color w:val="000000" w:themeColor="text1"/>
          <w:kern w:val="0"/>
          <w:lang w:eastAsia="en-GB"/>
          <w14:ligatures w14:val="none"/>
        </w:rPr>
        <w:t>is</w:t>
      </w:r>
      <w:proofErr w:type="gramEnd"/>
      <w:r w:rsidRPr="00EB5CD2">
        <w:rPr>
          <w:rFonts w:asciiTheme="majorHAnsi" w:eastAsia="Times New Roman" w:hAnsiTheme="majorHAnsi" w:cstheme="majorHAnsi"/>
          <w:color w:val="000000" w:themeColor="text1"/>
          <w:kern w:val="0"/>
          <w:lang w:eastAsia="en-GB"/>
          <w14:ligatures w14:val="none"/>
        </w:rPr>
        <w:t xml:space="preserve"> essential to maxim</w:t>
      </w:r>
      <w:r w:rsidR="00BF78B0" w:rsidRPr="00EB5CD2">
        <w:rPr>
          <w:rFonts w:asciiTheme="majorHAnsi" w:eastAsia="Times New Roman" w:hAnsiTheme="majorHAnsi" w:cstheme="majorHAnsi"/>
          <w:color w:val="000000" w:themeColor="text1"/>
          <w:kern w:val="0"/>
          <w:lang w:eastAsia="en-GB"/>
          <w14:ligatures w14:val="none"/>
        </w:rPr>
        <w:t>is</w:t>
      </w:r>
      <w:r w:rsidRPr="00EB5CD2">
        <w:rPr>
          <w:rFonts w:asciiTheme="majorHAnsi" w:eastAsia="Times New Roman" w:hAnsiTheme="majorHAnsi" w:cstheme="majorHAnsi"/>
          <w:color w:val="000000" w:themeColor="text1"/>
          <w:kern w:val="0"/>
          <w:lang w:eastAsia="en-GB"/>
          <w14:ligatures w14:val="none"/>
        </w:rPr>
        <w:t>e the positive impacts of media coverage while minim</w:t>
      </w:r>
      <w:r w:rsidR="00BF78B0" w:rsidRPr="00EB5CD2">
        <w:rPr>
          <w:rFonts w:asciiTheme="majorHAnsi" w:eastAsia="Times New Roman" w:hAnsiTheme="majorHAnsi" w:cstheme="majorHAnsi"/>
          <w:color w:val="000000" w:themeColor="text1"/>
          <w:kern w:val="0"/>
          <w:lang w:eastAsia="en-GB"/>
          <w14:ligatures w14:val="none"/>
        </w:rPr>
        <w:t>is</w:t>
      </w:r>
      <w:r w:rsidRPr="00EB5CD2">
        <w:rPr>
          <w:rFonts w:asciiTheme="majorHAnsi" w:eastAsia="Times New Roman" w:hAnsiTheme="majorHAnsi" w:cstheme="majorHAnsi"/>
          <w:color w:val="000000" w:themeColor="text1"/>
          <w:kern w:val="0"/>
          <w:lang w:eastAsia="en-GB"/>
          <w14:ligatures w14:val="none"/>
        </w:rPr>
        <w:t>ing negative implications (Comfort Ko, &amp; Zagorecki, 2004).</w:t>
      </w:r>
    </w:p>
    <w:p w14:paraId="16ABD426" w14:textId="77777777" w:rsidR="00727AEE"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188CBC55" w14:textId="77777777" w:rsidR="00EB5CD2" w:rsidRPr="00EB5CD2" w:rsidRDefault="00727AE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Studies suggest that the benefits of media attention outweigh the drawbacks, particularly when leveraging social media for engagement. Social media enables rewarding interactions, raises awareness, and fosters positive discussions on important topics and everyday challenges (Zsila &amp; Reyes, 2023). By harnessing these platforms effectively, media attention can contribute significantly to public safety and community well-being.</w:t>
      </w:r>
    </w:p>
    <w:p w14:paraId="4C176896" w14:textId="566C6C8A" w:rsidR="009C46D8" w:rsidRPr="00EB5CD2" w:rsidRDefault="0054288B"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Conclusion</w:t>
      </w:r>
    </w:p>
    <w:p w14:paraId="39141AC2"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33FAEBD3" w14:textId="77777777" w:rsidR="001800F7" w:rsidRPr="00EB5CD2" w:rsidRDefault="001800F7" w:rsidP="00C62AF8">
      <w:pPr>
        <w:shd w:val="clear" w:color="auto" w:fill="FFFFFF"/>
        <w:spacing w:after="0" w:line="240" w:lineRule="auto"/>
        <w:jc w:val="both"/>
        <w:textAlignment w:val="baseline"/>
        <w:rPr>
          <w:rFonts w:asciiTheme="majorHAnsi" w:hAnsiTheme="majorHAnsi" w:cstheme="majorHAnsi"/>
          <w:color w:val="000000" w:themeColor="text1"/>
        </w:rPr>
      </w:pPr>
      <w:r w:rsidRPr="00EB5CD2">
        <w:rPr>
          <w:rFonts w:asciiTheme="majorHAnsi" w:hAnsiTheme="majorHAnsi" w:cstheme="majorHAnsi"/>
          <w:color w:val="000000" w:themeColor="text1"/>
        </w:rPr>
        <w:t>In conclusion, this essay has delved into the intricate dynamics of media attention surrounding public protection incidents, exploring both its advantages and disadvantages. The discussion has highlighted the pivotal role of media coverage in disseminating critical information to the public during emergencies and crises, facilitating increased awareness and promoting safety measures.</w:t>
      </w:r>
    </w:p>
    <w:p w14:paraId="3C35D731" w14:textId="77777777" w:rsidR="001800F7" w:rsidRPr="00EB5CD2" w:rsidRDefault="001800F7" w:rsidP="00C62AF8">
      <w:pPr>
        <w:shd w:val="clear" w:color="auto" w:fill="FFFFFF"/>
        <w:spacing w:after="0" w:line="240" w:lineRule="auto"/>
        <w:jc w:val="both"/>
        <w:textAlignment w:val="baseline"/>
        <w:rPr>
          <w:rFonts w:asciiTheme="majorHAnsi" w:hAnsiTheme="majorHAnsi" w:cstheme="majorHAnsi"/>
          <w:color w:val="000000" w:themeColor="text1"/>
        </w:rPr>
      </w:pPr>
    </w:p>
    <w:p w14:paraId="788D4EF6" w14:textId="31E8B9C7" w:rsidR="001800F7" w:rsidRPr="00EB5CD2" w:rsidRDefault="001800F7" w:rsidP="00C62AF8">
      <w:pPr>
        <w:shd w:val="clear" w:color="auto" w:fill="FFFFFF"/>
        <w:spacing w:after="0" w:line="240" w:lineRule="auto"/>
        <w:jc w:val="both"/>
        <w:textAlignment w:val="baseline"/>
        <w:rPr>
          <w:rFonts w:asciiTheme="majorHAnsi" w:hAnsiTheme="majorHAnsi" w:cstheme="majorHAnsi"/>
          <w:color w:val="000000" w:themeColor="text1"/>
        </w:rPr>
      </w:pPr>
      <w:r w:rsidRPr="00EB5CD2">
        <w:rPr>
          <w:rFonts w:asciiTheme="majorHAnsi" w:hAnsiTheme="majorHAnsi" w:cstheme="majorHAnsi"/>
          <w:color w:val="000000" w:themeColor="text1"/>
        </w:rPr>
        <w:t xml:space="preserve">Media attention serves as a powerful tool for education, allowing </w:t>
      </w:r>
      <w:r w:rsidR="00BF78B0" w:rsidRPr="00EB5CD2">
        <w:rPr>
          <w:rFonts w:asciiTheme="majorHAnsi" w:hAnsiTheme="majorHAnsi" w:cstheme="majorHAnsi"/>
          <w:color w:val="000000" w:themeColor="text1"/>
        </w:rPr>
        <w:t>organis</w:t>
      </w:r>
      <w:r w:rsidRPr="00EB5CD2">
        <w:rPr>
          <w:rFonts w:asciiTheme="majorHAnsi" w:hAnsiTheme="majorHAnsi" w:cstheme="majorHAnsi"/>
          <w:color w:val="000000" w:themeColor="text1"/>
        </w:rPr>
        <w:t>ations to engage with communities and convey important preventive strategies (An et al., 2011; Kwok et al., 2022). Through media coverage, campaigns addressing issues such as seatbelt use, fire safety, and public health guidelines can reach broader audiences, enhancing community preparedness and response.</w:t>
      </w:r>
    </w:p>
    <w:p w14:paraId="601B1D3D" w14:textId="77777777" w:rsidR="001800F7" w:rsidRPr="00EB5CD2" w:rsidRDefault="001800F7" w:rsidP="00C62AF8">
      <w:pPr>
        <w:shd w:val="clear" w:color="auto" w:fill="FFFFFF"/>
        <w:spacing w:after="0" w:line="240" w:lineRule="auto"/>
        <w:jc w:val="both"/>
        <w:textAlignment w:val="baseline"/>
        <w:rPr>
          <w:rFonts w:asciiTheme="majorHAnsi" w:hAnsiTheme="majorHAnsi" w:cstheme="majorHAnsi"/>
          <w:color w:val="000000" w:themeColor="text1"/>
        </w:rPr>
      </w:pPr>
    </w:p>
    <w:p w14:paraId="0B3DA054" w14:textId="77777777" w:rsidR="001800F7" w:rsidRPr="00EB5CD2" w:rsidRDefault="001800F7" w:rsidP="00C62AF8">
      <w:pPr>
        <w:shd w:val="clear" w:color="auto" w:fill="FFFFFF"/>
        <w:spacing w:after="0" w:line="240" w:lineRule="auto"/>
        <w:jc w:val="both"/>
        <w:textAlignment w:val="baseline"/>
        <w:rPr>
          <w:rFonts w:asciiTheme="majorHAnsi" w:hAnsiTheme="majorHAnsi" w:cstheme="majorHAnsi"/>
          <w:color w:val="000000" w:themeColor="text1"/>
        </w:rPr>
      </w:pPr>
      <w:r w:rsidRPr="00EB5CD2">
        <w:rPr>
          <w:rFonts w:asciiTheme="majorHAnsi" w:hAnsiTheme="majorHAnsi" w:cstheme="majorHAnsi"/>
          <w:color w:val="000000" w:themeColor="text1"/>
        </w:rPr>
        <w:t>However, alongside its benefits, media attention also presents challenges, including the risk of misinformation and the potential impact on ongoing investigations (Muhammed &amp; Mathew, 2022; Starbird et al., 2014). Irresponsible reporting can lead to confusion and hinder law enforcement efforts, underscoring the need for balanced and ethical journalism.</w:t>
      </w:r>
    </w:p>
    <w:p w14:paraId="563C70F5" w14:textId="77777777" w:rsidR="001800F7" w:rsidRPr="00EB5CD2" w:rsidRDefault="001800F7" w:rsidP="00C62AF8">
      <w:pPr>
        <w:shd w:val="clear" w:color="auto" w:fill="FFFFFF"/>
        <w:spacing w:after="0" w:line="240" w:lineRule="auto"/>
        <w:jc w:val="both"/>
        <w:textAlignment w:val="baseline"/>
        <w:rPr>
          <w:rFonts w:asciiTheme="majorHAnsi" w:hAnsiTheme="majorHAnsi" w:cstheme="majorHAnsi"/>
          <w:color w:val="000000" w:themeColor="text1"/>
        </w:rPr>
      </w:pPr>
    </w:p>
    <w:p w14:paraId="67C65AEA" w14:textId="77777777" w:rsidR="001800F7" w:rsidRPr="00EB5CD2" w:rsidRDefault="001800F7" w:rsidP="00C62AF8">
      <w:pPr>
        <w:shd w:val="clear" w:color="auto" w:fill="FFFFFF"/>
        <w:spacing w:after="0" w:line="240" w:lineRule="auto"/>
        <w:jc w:val="both"/>
        <w:textAlignment w:val="baseline"/>
        <w:rPr>
          <w:rFonts w:asciiTheme="majorHAnsi" w:hAnsiTheme="majorHAnsi" w:cstheme="majorHAnsi"/>
          <w:color w:val="000000" w:themeColor="text1"/>
        </w:rPr>
      </w:pPr>
      <w:r w:rsidRPr="00EB5CD2">
        <w:rPr>
          <w:rFonts w:asciiTheme="majorHAnsi" w:hAnsiTheme="majorHAnsi" w:cstheme="majorHAnsi"/>
          <w:color w:val="000000" w:themeColor="text1"/>
        </w:rPr>
        <w:t>Despite these complexities, the overall consensus is that the benefits of media attention outweigh its drawbacks (Comfort Ko, &amp; Zagorecki, 2004). Leveraging platforms like social media enables interactive engagement, fosters awareness, and encourages positive dialogue on critical issues (Zsila &amp; Reyes, 2023).</w:t>
      </w:r>
    </w:p>
    <w:p w14:paraId="3F9AC323" w14:textId="77777777" w:rsidR="001800F7" w:rsidRPr="00EB5CD2" w:rsidRDefault="001800F7" w:rsidP="00C62AF8">
      <w:pPr>
        <w:shd w:val="clear" w:color="auto" w:fill="FFFFFF"/>
        <w:spacing w:after="0" w:line="240" w:lineRule="auto"/>
        <w:jc w:val="both"/>
        <w:textAlignment w:val="baseline"/>
        <w:rPr>
          <w:rFonts w:asciiTheme="majorHAnsi" w:hAnsiTheme="majorHAnsi" w:cstheme="majorHAnsi"/>
          <w:color w:val="000000" w:themeColor="text1"/>
        </w:rPr>
      </w:pPr>
    </w:p>
    <w:p w14:paraId="28E7E7F2" w14:textId="2F3CE06B" w:rsidR="00317C9C" w:rsidRPr="00EB5CD2" w:rsidRDefault="001800F7"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hAnsiTheme="majorHAnsi" w:cstheme="majorHAnsi"/>
          <w:color w:val="000000" w:themeColor="text1"/>
        </w:rPr>
        <w:t>In summary, by navigating the nuances of media attention and embracing responsible reporting practices, stakeholders can harness the power of media to enhance public safety, promote community well-being, and foster informed and resilient societies.</w:t>
      </w:r>
    </w:p>
    <w:p w14:paraId="034C1318" w14:textId="77777777" w:rsidR="001800F7" w:rsidRPr="00EB5CD2" w:rsidRDefault="001800F7"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3A809D01" w14:textId="263E804A" w:rsidR="009C46D8" w:rsidRPr="00EB5CD2" w:rsidRDefault="00317C9C"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Word Count: </w:t>
      </w:r>
      <w:r w:rsidR="001800F7" w:rsidRPr="00EB5CD2">
        <w:rPr>
          <w:rFonts w:asciiTheme="majorHAnsi" w:eastAsia="Times New Roman" w:hAnsiTheme="majorHAnsi" w:cstheme="majorHAnsi"/>
          <w:b/>
          <w:bCs/>
          <w:color w:val="000000" w:themeColor="text1"/>
          <w:kern w:val="0"/>
          <w:lang w:eastAsia="en-GB"/>
          <w14:ligatures w14:val="none"/>
        </w:rPr>
        <w:t>737</w:t>
      </w:r>
    </w:p>
    <w:p w14:paraId="7313F857"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71441960"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Essay Four </w:t>
      </w:r>
    </w:p>
    <w:p w14:paraId="5C8E6BDD"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5ECCDE04"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Evaluate the effectiveness of cognitive interviews as a strategy for obtaining initial accounts from victims and witnesses.</w:t>
      </w:r>
    </w:p>
    <w:p w14:paraId="746E2C65"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70A4AF11" w14:textId="5082D373" w:rsidR="001800F7" w:rsidRPr="00EB5CD2" w:rsidRDefault="001800F7" w:rsidP="00C62AF8">
      <w:pPr>
        <w:pStyle w:val="PlainText"/>
        <w:jc w:val="both"/>
        <w:rPr>
          <w:rFonts w:asciiTheme="majorHAnsi" w:hAnsiTheme="majorHAnsi" w:cstheme="majorHAnsi"/>
          <w:color w:val="000000" w:themeColor="text1"/>
          <w:szCs w:val="22"/>
        </w:rPr>
      </w:pPr>
      <w:r w:rsidRPr="00EB5CD2">
        <w:rPr>
          <w:rFonts w:asciiTheme="majorHAnsi" w:hAnsiTheme="majorHAnsi" w:cstheme="majorHAnsi"/>
          <w:color w:val="000000" w:themeColor="text1"/>
          <w:szCs w:val="22"/>
        </w:rPr>
        <w:t>This essay delves into the nuances of interviews, exploring their significance, cognitive interview techniques, and the stages involved in delivering a cognitive interview. It investigates the effectiveness of cognitive interview strategies in eliciting initial accounts from victims and witnesses, evaluating different interview methods and their respective strengths and weaknesses.</w:t>
      </w:r>
    </w:p>
    <w:p w14:paraId="78DD09B8" w14:textId="77777777" w:rsidR="001800F7" w:rsidRPr="00EB5CD2" w:rsidRDefault="001800F7" w:rsidP="00C62AF8">
      <w:pPr>
        <w:pStyle w:val="PlainText"/>
        <w:jc w:val="both"/>
        <w:rPr>
          <w:rFonts w:asciiTheme="majorHAnsi" w:hAnsiTheme="majorHAnsi" w:cstheme="majorHAnsi"/>
          <w:color w:val="000000" w:themeColor="text1"/>
          <w:szCs w:val="22"/>
        </w:rPr>
      </w:pPr>
    </w:p>
    <w:p w14:paraId="63F37BB9" w14:textId="07C27E0A" w:rsidR="00FF03C4" w:rsidRDefault="001800F7" w:rsidP="00C62AF8">
      <w:pPr>
        <w:pStyle w:val="PlainText"/>
        <w:jc w:val="both"/>
        <w:rPr>
          <w:rFonts w:asciiTheme="majorHAnsi" w:hAnsiTheme="majorHAnsi" w:cstheme="majorHAnsi"/>
          <w:color w:val="000000" w:themeColor="text1"/>
          <w:szCs w:val="22"/>
        </w:rPr>
      </w:pPr>
      <w:r w:rsidRPr="00EB5CD2">
        <w:rPr>
          <w:rFonts w:asciiTheme="majorHAnsi" w:hAnsiTheme="majorHAnsi" w:cstheme="majorHAnsi"/>
          <w:color w:val="000000" w:themeColor="text1"/>
          <w:szCs w:val="22"/>
        </w:rPr>
        <w:t>Furthermore, the essay examines various interview types, including special</w:t>
      </w:r>
      <w:r w:rsidR="00BF78B0" w:rsidRPr="00EB5CD2">
        <w:rPr>
          <w:rFonts w:asciiTheme="majorHAnsi" w:hAnsiTheme="majorHAnsi" w:cstheme="majorHAnsi"/>
          <w:color w:val="000000" w:themeColor="text1"/>
          <w:szCs w:val="22"/>
        </w:rPr>
        <w:t>is</w:t>
      </w:r>
      <w:r w:rsidRPr="00EB5CD2">
        <w:rPr>
          <w:rFonts w:asciiTheme="majorHAnsi" w:hAnsiTheme="majorHAnsi" w:cstheme="majorHAnsi"/>
          <w:color w:val="000000" w:themeColor="text1"/>
          <w:szCs w:val="22"/>
        </w:rPr>
        <w:t>ed team interviews, to offer insights into optimal approaches for gathering precise and credible information from victims and witnesses. Through this analysis, the essay aims to illuminate the most effective methods for conducting interviews that yield accurate and reliable testimonies.</w:t>
      </w:r>
    </w:p>
    <w:p w14:paraId="247615DE" w14:textId="77777777" w:rsidR="00C62AF8" w:rsidRDefault="00C62AF8" w:rsidP="00C62AF8">
      <w:pPr>
        <w:pStyle w:val="PlainText"/>
        <w:jc w:val="both"/>
        <w:rPr>
          <w:rFonts w:asciiTheme="majorHAnsi" w:hAnsiTheme="majorHAnsi" w:cstheme="majorHAnsi"/>
          <w:color w:val="000000" w:themeColor="text1"/>
          <w:szCs w:val="22"/>
        </w:rPr>
      </w:pPr>
    </w:p>
    <w:p w14:paraId="4955D512" w14:textId="77777777" w:rsidR="00C62AF8" w:rsidRPr="00EB5CD2" w:rsidRDefault="00C62AF8" w:rsidP="00C62AF8">
      <w:pPr>
        <w:pStyle w:val="PlainText"/>
        <w:jc w:val="both"/>
        <w:rPr>
          <w:rFonts w:asciiTheme="majorHAnsi" w:hAnsiTheme="majorHAnsi" w:cstheme="majorHAnsi"/>
          <w:color w:val="000000" w:themeColor="text1"/>
          <w:szCs w:val="22"/>
        </w:rPr>
      </w:pPr>
    </w:p>
    <w:p w14:paraId="2CC20F88" w14:textId="77777777" w:rsidR="00EB5CD2" w:rsidRPr="00EB5CD2" w:rsidRDefault="00EB5CD2"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6C83E5F6" w14:textId="6A21C651"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Interviews</w:t>
      </w:r>
    </w:p>
    <w:p w14:paraId="370B41F5"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5999B2D7" w14:textId="7BF326C3" w:rsidR="001800F7" w:rsidRPr="00EB5CD2" w:rsidRDefault="001800F7"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Interviews play a pivotal role in any investigation, serving as a crucial stage where information obtained from willing participants can lead to new leads and evidence (Haworth, 2020). However, not all cooperative victims and witnesses provide complete or accurate information; they may withhold details or provide misleading accounts (</w:t>
      </w:r>
      <w:r w:rsidRPr="00EB5CD2">
        <w:rPr>
          <w:rFonts w:asciiTheme="majorHAnsi" w:hAnsiTheme="majorHAnsi" w:cstheme="majorHAnsi"/>
          <w:color w:val="000000" w:themeColor="text1"/>
          <w:shd w:val="clear" w:color="auto" w:fill="FFFFFF"/>
        </w:rPr>
        <w:t xml:space="preserve">Gudjonsson, 2010). </w:t>
      </w:r>
      <w:r w:rsidRPr="00EB5CD2">
        <w:rPr>
          <w:rFonts w:asciiTheme="majorHAnsi" w:eastAsia="Times New Roman" w:hAnsiTheme="majorHAnsi" w:cstheme="majorHAnsi"/>
          <w:color w:val="000000" w:themeColor="text1"/>
          <w:kern w:val="0"/>
          <w:lang w:eastAsia="en-GB"/>
          <w14:ligatures w14:val="none"/>
        </w:rPr>
        <w:t>To address these challenges, various interview approaches have been discussed.</w:t>
      </w:r>
    </w:p>
    <w:p w14:paraId="786EC229" w14:textId="77777777" w:rsidR="001800F7" w:rsidRPr="00EB5CD2" w:rsidRDefault="001800F7"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169A42A5" w14:textId="7DED2F3F" w:rsidR="00D013CE" w:rsidRPr="00EB5CD2" w:rsidRDefault="001800F7"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One effective approach involves using two interviewers to encourage the interviewee to open up and provide more comprehensive information. Another method focuses on gathering information to establish guilt, while an accusatorial style employs closed questions to elicit confessions (</w:t>
      </w:r>
      <w:r w:rsidR="008E4801" w:rsidRPr="00EB5CD2">
        <w:rPr>
          <w:rFonts w:asciiTheme="majorHAnsi" w:eastAsia="Times New Roman" w:hAnsiTheme="majorHAnsi" w:cstheme="majorHAnsi"/>
          <w:color w:val="000000" w:themeColor="text1"/>
          <w:kern w:val="0"/>
          <w:lang w:eastAsia="en-GB"/>
          <w14:ligatures w14:val="none"/>
        </w:rPr>
        <w:t>Grant et al., 2015).</w:t>
      </w:r>
      <w:r w:rsidRPr="00EB5CD2">
        <w:rPr>
          <w:rFonts w:asciiTheme="majorHAnsi" w:eastAsia="Times New Roman" w:hAnsiTheme="majorHAnsi" w:cstheme="majorHAnsi"/>
          <w:color w:val="000000" w:themeColor="text1"/>
          <w:kern w:val="0"/>
          <w:lang w:eastAsia="en-GB"/>
          <w14:ligatures w14:val="none"/>
        </w:rPr>
        <w:t xml:space="preserve"> The ability to detect truthfulness during interviews depends significantly on the techniques employed.</w:t>
      </w:r>
    </w:p>
    <w:p w14:paraId="0562D808" w14:textId="77777777" w:rsidR="001800F7" w:rsidRPr="00EB5CD2" w:rsidRDefault="001800F7"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1649E7DC" w14:textId="3BD93385"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Cognitive Interviews </w:t>
      </w:r>
    </w:p>
    <w:p w14:paraId="2C509B32"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49999D59" w14:textId="53072A91"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The cognitive interview is a special</w:t>
      </w:r>
      <w:r w:rsidR="00BF78B0" w:rsidRPr="00EB5CD2">
        <w:rPr>
          <w:rFonts w:asciiTheme="majorHAnsi" w:eastAsia="Times New Roman" w:hAnsiTheme="majorHAnsi" w:cstheme="majorHAnsi"/>
          <w:color w:val="000000" w:themeColor="text1"/>
          <w:kern w:val="0"/>
          <w:lang w:eastAsia="en-GB"/>
          <w14:ligatures w14:val="none"/>
        </w:rPr>
        <w:t>is</w:t>
      </w:r>
      <w:r w:rsidRPr="00EB5CD2">
        <w:rPr>
          <w:rFonts w:asciiTheme="majorHAnsi" w:eastAsia="Times New Roman" w:hAnsiTheme="majorHAnsi" w:cstheme="majorHAnsi"/>
          <w:color w:val="000000" w:themeColor="text1"/>
          <w:kern w:val="0"/>
          <w:lang w:eastAsia="en-GB"/>
          <w14:ligatures w14:val="none"/>
        </w:rPr>
        <w:t>ed questioning technique used by police forces to extract detailed information about a crime scene from witnesses or victims, offering an alternative method to standard interviews (</w:t>
      </w:r>
      <w:r w:rsidRPr="00EB5CD2">
        <w:rPr>
          <w:rFonts w:asciiTheme="majorHAnsi" w:hAnsiTheme="majorHAnsi" w:cstheme="majorHAnsi"/>
          <w:color w:val="000000" w:themeColor="text1"/>
          <w:shd w:val="clear" w:color="auto" w:fill="FFFFFF"/>
        </w:rPr>
        <w:t xml:space="preserve">Dando, Wilcock, &amp; Milne, 2009). </w:t>
      </w:r>
      <w:r w:rsidRPr="00EB5CD2">
        <w:rPr>
          <w:rFonts w:asciiTheme="majorHAnsi" w:eastAsia="Times New Roman" w:hAnsiTheme="majorHAnsi" w:cstheme="majorHAnsi"/>
          <w:color w:val="000000" w:themeColor="text1"/>
          <w:kern w:val="0"/>
          <w:lang w:eastAsia="en-GB"/>
          <w14:ligatures w14:val="none"/>
        </w:rPr>
        <w:t>This approach is frequently employed in forensic investigations, research, and legal contexts to elicit accurate accounts, util</w:t>
      </w:r>
      <w:r w:rsidR="00BF78B0" w:rsidRPr="00EB5CD2">
        <w:rPr>
          <w:rFonts w:asciiTheme="majorHAnsi" w:eastAsia="Times New Roman" w:hAnsiTheme="majorHAnsi" w:cstheme="majorHAnsi"/>
          <w:color w:val="000000" w:themeColor="text1"/>
          <w:kern w:val="0"/>
          <w:lang w:eastAsia="en-GB"/>
          <w14:ligatures w14:val="none"/>
        </w:rPr>
        <w:t>is</w:t>
      </w:r>
      <w:r w:rsidRPr="00EB5CD2">
        <w:rPr>
          <w:rFonts w:asciiTheme="majorHAnsi" w:eastAsia="Times New Roman" w:hAnsiTheme="majorHAnsi" w:cstheme="majorHAnsi"/>
          <w:color w:val="000000" w:themeColor="text1"/>
          <w:kern w:val="0"/>
          <w:lang w:eastAsia="en-GB"/>
          <w14:ligatures w14:val="none"/>
        </w:rPr>
        <w:t>ing techniques such as closed and open questions, prompts, and memory aids.</w:t>
      </w:r>
    </w:p>
    <w:p w14:paraId="253630C8" w14:textId="77777777"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2AFA2D24" w14:textId="693BF845"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lastRenderedPageBreak/>
        <w:t>According to</w:t>
      </w:r>
      <w:r w:rsidRPr="00EB5CD2">
        <w:rPr>
          <w:rFonts w:asciiTheme="majorHAnsi" w:hAnsiTheme="majorHAnsi" w:cstheme="majorHAnsi"/>
          <w:color w:val="000000" w:themeColor="text1"/>
          <w:shd w:val="clear" w:color="auto" w:fill="FFFFFF"/>
        </w:rPr>
        <w:t xml:space="preserve"> Fisher and Geiselman (2010), </w:t>
      </w:r>
      <w:r w:rsidRPr="00EB5CD2">
        <w:rPr>
          <w:rFonts w:asciiTheme="majorHAnsi" w:eastAsia="Times New Roman" w:hAnsiTheme="majorHAnsi" w:cstheme="majorHAnsi"/>
          <w:color w:val="000000" w:themeColor="text1"/>
          <w:kern w:val="0"/>
          <w:lang w:eastAsia="en-GB"/>
          <w14:ligatures w14:val="none"/>
        </w:rPr>
        <w:t>the effectiveness of cognitive interviews hinges on several factors, including the interviewer's skills, the characteristics of the interviewee, and the nature of the crime being discussed, all of which contribute to obtaining a comprehensive account. One key advantage of cognitive interviews is their structured approach, aimed at minim</w:t>
      </w:r>
      <w:r w:rsidR="00BF78B0" w:rsidRPr="00EB5CD2">
        <w:rPr>
          <w:rFonts w:asciiTheme="majorHAnsi" w:eastAsia="Times New Roman" w:hAnsiTheme="majorHAnsi" w:cstheme="majorHAnsi"/>
          <w:color w:val="000000" w:themeColor="text1"/>
          <w:kern w:val="0"/>
          <w:lang w:eastAsia="en-GB"/>
          <w14:ligatures w14:val="none"/>
        </w:rPr>
        <w:t>is</w:t>
      </w:r>
      <w:r w:rsidRPr="00EB5CD2">
        <w:rPr>
          <w:rFonts w:asciiTheme="majorHAnsi" w:eastAsia="Times New Roman" w:hAnsiTheme="majorHAnsi" w:cstheme="majorHAnsi"/>
          <w:color w:val="000000" w:themeColor="text1"/>
          <w:kern w:val="0"/>
          <w:lang w:eastAsia="en-GB"/>
          <w14:ligatures w14:val="none"/>
        </w:rPr>
        <w:t>ing the introduction of misleading information by focusing on the interviewee's memory processes rather than using suggestive questions, thus reducing the risk of contamination in the information provided.</w:t>
      </w:r>
    </w:p>
    <w:p w14:paraId="5AA298AA" w14:textId="77777777"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58009C36" w14:textId="1AF81FFE" w:rsidR="009C46D8"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Cognitive interviews also provide crucial support for vulnerable witnesses, such as children or individuals with cognitive impairments, by employing techniques that facilitate more comfortable and effective communication about their experiences. Overall, cognitive interviews can be highly effective in obtaining initial accounts from witnesses or victims based on specific events during an incident (</w:t>
      </w:r>
      <w:r w:rsidRPr="00EB5CD2">
        <w:rPr>
          <w:rFonts w:asciiTheme="majorHAnsi" w:hAnsiTheme="majorHAnsi" w:cstheme="majorHAnsi"/>
          <w:color w:val="000000" w:themeColor="text1"/>
          <w:shd w:val="clear" w:color="auto" w:fill="FFFFFF"/>
        </w:rPr>
        <w:t xml:space="preserve">Kebbell, Milne &amp; Wagstaff, 1999). </w:t>
      </w:r>
      <w:r w:rsidRPr="00EB5CD2">
        <w:rPr>
          <w:rFonts w:asciiTheme="majorHAnsi" w:eastAsia="Times New Roman" w:hAnsiTheme="majorHAnsi" w:cstheme="majorHAnsi"/>
          <w:color w:val="000000" w:themeColor="text1"/>
          <w:kern w:val="0"/>
          <w:lang w:eastAsia="en-GB"/>
          <w14:ligatures w14:val="none"/>
        </w:rPr>
        <w:t>When managed correctly, cognitive interviews can yield valuable information for investigative purposes, research studies, and legal proceedings.</w:t>
      </w:r>
    </w:p>
    <w:p w14:paraId="6E2BCAB3" w14:textId="6B8B53CD"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p>
    <w:p w14:paraId="2A759D4F"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 xml:space="preserve">Stages of Cognitive Interviewing </w:t>
      </w:r>
    </w:p>
    <w:p w14:paraId="7D20A36E"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4AF8F40A" w14:textId="54EEFB2A"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Cognitive interviews are structured into distinct stages to optim</w:t>
      </w:r>
      <w:r w:rsidR="00BF78B0" w:rsidRPr="00EB5CD2">
        <w:rPr>
          <w:rFonts w:asciiTheme="majorHAnsi" w:eastAsia="Times New Roman" w:hAnsiTheme="majorHAnsi" w:cstheme="majorHAnsi"/>
          <w:color w:val="000000" w:themeColor="text1"/>
          <w:kern w:val="0"/>
          <w:lang w:eastAsia="en-GB"/>
          <w14:ligatures w14:val="none"/>
        </w:rPr>
        <w:t>is</w:t>
      </w:r>
      <w:r w:rsidRPr="00EB5CD2">
        <w:rPr>
          <w:rFonts w:asciiTheme="majorHAnsi" w:eastAsia="Times New Roman" w:hAnsiTheme="majorHAnsi" w:cstheme="majorHAnsi"/>
          <w:color w:val="000000" w:themeColor="text1"/>
          <w:kern w:val="0"/>
          <w:lang w:eastAsia="en-GB"/>
          <w14:ligatures w14:val="none"/>
        </w:rPr>
        <w:t>e their effectiveness (Beatty &amp; Willis, 2017). The initial stage involves creating a conducive environment by introducing the interview, establishing rapport, clarifying objectives, and ensuring the interviewee understands the interview format.</w:t>
      </w:r>
    </w:p>
    <w:p w14:paraId="4BB70736" w14:textId="77777777"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479C8BD1" w14:textId="5D904A47"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Following the introduction, the second stage comprises a warm-up phase where non-threatening questions are used to help the interviewee feel comfortable and encourage conversation. This approach aims to facilitate open dialogue without causing the interviewee to feel threatened</w:t>
      </w:r>
      <w:r w:rsidR="001E307E" w:rsidRPr="00EB5CD2">
        <w:rPr>
          <w:rFonts w:asciiTheme="majorHAnsi" w:eastAsia="Times New Roman" w:hAnsiTheme="majorHAnsi" w:cstheme="majorHAnsi"/>
          <w:color w:val="000000" w:themeColor="text1"/>
          <w:kern w:val="0"/>
          <w:lang w:eastAsia="en-GB"/>
          <w14:ligatures w14:val="none"/>
        </w:rPr>
        <w:t xml:space="preserve"> (Dando &amp; Milne, 2009).</w:t>
      </w:r>
    </w:p>
    <w:p w14:paraId="5BACABAA" w14:textId="77777777"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0A427154" w14:textId="77777777"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The third stage, the main cognitive interview, involves explaining the interview process clearly to the interviewee and outlining the desired outcome. During this phase, a mix of open-ended and closed questions is employed to elicit detailed responses and gain a comprehensive understanding of the incident.</w:t>
      </w:r>
    </w:p>
    <w:p w14:paraId="32024B74" w14:textId="77777777"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1D1573DD" w14:textId="2CFC2EAD"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t>The final stage involves summar</w:t>
      </w:r>
      <w:r w:rsidR="00BF78B0" w:rsidRPr="00EB5CD2">
        <w:rPr>
          <w:rFonts w:asciiTheme="majorHAnsi" w:eastAsia="Times New Roman" w:hAnsiTheme="majorHAnsi" w:cstheme="majorHAnsi"/>
          <w:color w:val="000000" w:themeColor="text1"/>
          <w:kern w:val="0"/>
          <w:lang w:eastAsia="en-GB"/>
          <w14:ligatures w14:val="none"/>
        </w:rPr>
        <w:t>is</w:t>
      </w:r>
      <w:r w:rsidRPr="00EB5CD2">
        <w:rPr>
          <w:rFonts w:asciiTheme="majorHAnsi" w:eastAsia="Times New Roman" w:hAnsiTheme="majorHAnsi" w:cstheme="majorHAnsi"/>
          <w:color w:val="000000" w:themeColor="text1"/>
          <w:kern w:val="0"/>
          <w:lang w:eastAsia="en-GB"/>
          <w14:ligatures w14:val="none"/>
        </w:rPr>
        <w:t>ing key points discussed during the interview, confirming accuracy, seeking clarification on any uncertainties, and expressing gratitude for the information provided (Beatty &amp; Willis, 2007).</w:t>
      </w:r>
    </w:p>
    <w:p w14:paraId="5B0AAD24" w14:textId="77777777"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6227E11E" w14:textId="0B41017E" w:rsidR="0054288B"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eastAsia="Times New Roman" w:hAnsiTheme="majorHAnsi" w:cstheme="majorHAnsi"/>
          <w:color w:val="000000" w:themeColor="text1"/>
          <w:kern w:val="0"/>
          <w:lang w:eastAsia="en-GB"/>
          <w14:ligatures w14:val="none"/>
        </w:rPr>
        <w:lastRenderedPageBreak/>
        <w:t>These structured stages ensure that cognitive interviews yield detailed, accurate, and valuable information for investigations, enabling evidence to be gathered effectively</w:t>
      </w:r>
      <w:r w:rsidR="001E307E" w:rsidRPr="00EB5CD2">
        <w:rPr>
          <w:rFonts w:asciiTheme="majorHAnsi" w:eastAsia="Times New Roman" w:hAnsiTheme="majorHAnsi" w:cstheme="majorHAnsi"/>
          <w:color w:val="000000" w:themeColor="text1"/>
          <w:kern w:val="0"/>
          <w:lang w:eastAsia="en-GB"/>
          <w14:ligatures w14:val="none"/>
        </w:rPr>
        <w:t xml:space="preserve"> (</w:t>
      </w:r>
      <w:r w:rsidR="001E307E" w:rsidRPr="00EB5CD2">
        <w:rPr>
          <w:rFonts w:asciiTheme="majorHAnsi" w:hAnsiTheme="majorHAnsi" w:cstheme="majorHAnsi"/>
          <w:color w:val="000000" w:themeColor="text1"/>
          <w:shd w:val="clear" w:color="auto" w:fill="FFFFFF"/>
        </w:rPr>
        <w:t xml:space="preserve">Milne et al., 2019). </w:t>
      </w:r>
      <w:r w:rsidRPr="00EB5CD2">
        <w:rPr>
          <w:rFonts w:asciiTheme="majorHAnsi" w:eastAsia="Times New Roman" w:hAnsiTheme="majorHAnsi" w:cstheme="majorHAnsi"/>
          <w:color w:val="000000" w:themeColor="text1"/>
          <w:kern w:val="0"/>
          <w:lang w:eastAsia="en-GB"/>
          <w14:ligatures w14:val="none"/>
        </w:rPr>
        <w:t xml:space="preserve">The outlined approach </w:t>
      </w:r>
      <w:r w:rsidR="00BF78B0" w:rsidRPr="00EB5CD2">
        <w:rPr>
          <w:rFonts w:asciiTheme="majorHAnsi" w:eastAsia="Times New Roman" w:hAnsiTheme="majorHAnsi" w:cstheme="majorHAnsi"/>
          <w:color w:val="000000" w:themeColor="text1"/>
          <w:kern w:val="0"/>
          <w:lang w:eastAsia="en-GB"/>
          <w14:ligatures w14:val="none"/>
        </w:rPr>
        <w:t>emphasis</w:t>
      </w:r>
      <w:r w:rsidRPr="00EB5CD2">
        <w:rPr>
          <w:rFonts w:asciiTheme="majorHAnsi" w:eastAsia="Times New Roman" w:hAnsiTheme="majorHAnsi" w:cstheme="majorHAnsi"/>
          <w:color w:val="000000" w:themeColor="text1"/>
          <w:kern w:val="0"/>
          <w:lang w:eastAsia="en-GB"/>
          <w14:ligatures w14:val="none"/>
        </w:rPr>
        <w:t>es the importance of encouraging information sharing, using comfortable questioning techniques, explaining the interview process clearly, and summar</w:t>
      </w:r>
      <w:r w:rsidR="00BF78B0" w:rsidRPr="00EB5CD2">
        <w:rPr>
          <w:rFonts w:asciiTheme="majorHAnsi" w:eastAsia="Times New Roman" w:hAnsiTheme="majorHAnsi" w:cstheme="majorHAnsi"/>
          <w:color w:val="000000" w:themeColor="text1"/>
          <w:kern w:val="0"/>
          <w:lang w:eastAsia="en-GB"/>
          <w14:ligatures w14:val="none"/>
        </w:rPr>
        <w:t>is</w:t>
      </w:r>
      <w:r w:rsidRPr="00EB5CD2">
        <w:rPr>
          <w:rFonts w:asciiTheme="majorHAnsi" w:eastAsia="Times New Roman" w:hAnsiTheme="majorHAnsi" w:cstheme="majorHAnsi"/>
          <w:color w:val="000000" w:themeColor="text1"/>
          <w:kern w:val="0"/>
          <w:lang w:eastAsia="en-GB"/>
          <w14:ligatures w14:val="none"/>
        </w:rPr>
        <w:t>ing key findings at the conclusion of the interview.</w:t>
      </w:r>
    </w:p>
    <w:p w14:paraId="7288C68F" w14:textId="77777777" w:rsidR="008E4801" w:rsidRPr="00EB5CD2" w:rsidRDefault="008E4801"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625DDF56" w14:textId="0E5B5DBD" w:rsidR="00001AC3" w:rsidRPr="00EB5CD2" w:rsidRDefault="00001AC3"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Conclusion</w:t>
      </w:r>
    </w:p>
    <w:p w14:paraId="43B4FA55" w14:textId="77777777" w:rsidR="009C46D8" w:rsidRPr="00EB5CD2" w:rsidRDefault="009C46D8"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4C182849" w14:textId="77777777" w:rsidR="001E307E" w:rsidRPr="00EB5CD2" w:rsidRDefault="001E307E" w:rsidP="00C62AF8">
      <w:pPr>
        <w:shd w:val="clear" w:color="auto" w:fill="FFFFFF"/>
        <w:spacing w:after="0" w:line="240" w:lineRule="auto"/>
        <w:jc w:val="both"/>
        <w:textAlignment w:val="baseline"/>
        <w:rPr>
          <w:rFonts w:asciiTheme="majorHAnsi" w:hAnsiTheme="majorHAnsi" w:cstheme="majorHAnsi"/>
          <w:color w:val="000000" w:themeColor="text1"/>
        </w:rPr>
      </w:pPr>
      <w:r w:rsidRPr="00EB5CD2">
        <w:rPr>
          <w:rFonts w:asciiTheme="majorHAnsi" w:hAnsiTheme="majorHAnsi" w:cstheme="majorHAnsi"/>
          <w:color w:val="000000" w:themeColor="text1"/>
        </w:rPr>
        <w:t>In conclusion, this essay has explored the intricacies of interviews, focusing on their importance in investigations, cognitive interview techniques, and the stages involved in delivering effective cognitive interviews. By investigating the effectiveness of cognitive interview strategies in eliciting initial accounts from victims and witnesses, different interview methods were evaluated to understand their strengths and weaknesses.</w:t>
      </w:r>
    </w:p>
    <w:p w14:paraId="55CE6072" w14:textId="77777777" w:rsidR="001E307E" w:rsidRPr="00EB5CD2" w:rsidRDefault="001E307E" w:rsidP="00C62AF8">
      <w:pPr>
        <w:shd w:val="clear" w:color="auto" w:fill="FFFFFF"/>
        <w:spacing w:after="0" w:line="240" w:lineRule="auto"/>
        <w:jc w:val="both"/>
        <w:textAlignment w:val="baseline"/>
        <w:rPr>
          <w:rFonts w:asciiTheme="majorHAnsi" w:hAnsiTheme="majorHAnsi" w:cstheme="majorHAnsi"/>
          <w:color w:val="000000" w:themeColor="text1"/>
        </w:rPr>
      </w:pPr>
    </w:p>
    <w:p w14:paraId="6956CCC7" w14:textId="77777777" w:rsidR="001E307E" w:rsidRPr="00EB5CD2" w:rsidRDefault="001E307E" w:rsidP="00C62AF8">
      <w:pPr>
        <w:shd w:val="clear" w:color="auto" w:fill="FFFFFF"/>
        <w:spacing w:after="0" w:line="240" w:lineRule="auto"/>
        <w:jc w:val="both"/>
        <w:textAlignment w:val="baseline"/>
        <w:rPr>
          <w:rFonts w:asciiTheme="majorHAnsi" w:hAnsiTheme="majorHAnsi" w:cstheme="majorHAnsi"/>
          <w:color w:val="000000" w:themeColor="text1"/>
        </w:rPr>
      </w:pPr>
      <w:r w:rsidRPr="00EB5CD2">
        <w:rPr>
          <w:rFonts w:asciiTheme="majorHAnsi" w:hAnsiTheme="majorHAnsi" w:cstheme="majorHAnsi"/>
          <w:color w:val="000000" w:themeColor="text1"/>
        </w:rPr>
        <w:t>Interviews serve as critical stages where valuable information can be obtained to advance investigations and uncover new leads (Haworth, 2020). However, challenges arise when witnesses or victims withhold information or provide inaccurate accounts (Gudjonsson, 2010). Various interview approaches, including those involving two interviewers or accusatorial styles, have been discussed to address these challenges and enhance the reliability of testimonies obtained during interviews.</w:t>
      </w:r>
    </w:p>
    <w:p w14:paraId="41FAE68E" w14:textId="77777777" w:rsidR="001E307E" w:rsidRPr="00EB5CD2" w:rsidRDefault="001E307E" w:rsidP="00C62AF8">
      <w:pPr>
        <w:shd w:val="clear" w:color="auto" w:fill="FFFFFF"/>
        <w:spacing w:after="0" w:line="240" w:lineRule="auto"/>
        <w:jc w:val="both"/>
        <w:textAlignment w:val="baseline"/>
        <w:rPr>
          <w:rFonts w:asciiTheme="majorHAnsi" w:hAnsiTheme="majorHAnsi" w:cstheme="majorHAnsi"/>
          <w:color w:val="000000" w:themeColor="text1"/>
        </w:rPr>
      </w:pPr>
    </w:p>
    <w:p w14:paraId="516B9D84" w14:textId="69CFCCBF" w:rsidR="001E307E" w:rsidRPr="00EB5CD2" w:rsidRDefault="001E307E" w:rsidP="00C62AF8">
      <w:pPr>
        <w:shd w:val="clear" w:color="auto" w:fill="FFFFFF"/>
        <w:spacing w:after="0" w:line="240" w:lineRule="auto"/>
        <w:jc w:val="both"/>
        <w:textAlignment w:val="baseline"/>
        <w:rPr>
          <w:rFonts w:asciiTheme="majorHAnsi" w:hAnsiTheme="majorHAnsi" w:cstheme="majorHAnsi"/>
          <w:color w:val="000000" w:themeColor="text1"/>
        </w:rPr>
      </w:pPr>
      <w:r w:rsidRPr="00EB5CD2">
        <w:rPr>
          <w:rFonts w:asciiTheme="majorHAnsi" w:hAnsiTheme="majorHAnsi" w:cstheme="majorHAnsi"/>
          <w:color w:val="000000" w:themeColor="text1"/>
        </w:rPr>
        <w:t>The cognitive interview stands out as a special</w:t>
      </w:r>
      <w:r w:rsidR="00BF78B0" w:rsidRPr="00EB5CD2">
        <w:rPr>
          <w:rFonts w:asciiTheme="majorHAnsi" w:hAnsiTheme="majorHAnsi" w:cstheme="majorHAnsi"/>
          <w:color w:val="000000" w:themeColor="text1"/>
        </w:rPr>
        <w:t>is</w:t>
      </w:r>
      <w:r w:rsidRPr="00EB5CD2">
        <w:rPr>
          <w:rFonts w:asciiTheme="majorHAnsi" w:hAnsiTheme="majorHAnsi" w:cstheme="majorHAnsi"/>
          <w:color w:val="000000" w:themeColor="text1"/>
        </w:rPr>
        <w:t>ed questioning technique used by police forces to extract detailed information about crime scenes (Dando, Wilcock, &amp; Milne, 2009). This method employs a structured approach that minim</w:t>
      </w:r>
      <w:r w:rsidR="00BF78B0" w:rsidRPr="00EB5CD2">
        <w:rPr>
          <w:rFonts w:asciiTheme="majorHAnsi" w:hAnsiTheme="majorHAnsi" w:cstheme="majorHAnsi"/>
          <w:color w:val="000000" w:themeColor="text1"/>
        </w:rPr>
        <w:t>is</w:t>
      </w:r>
      <w:r w:rsidRPr="00EB5CD2">
        <w:rPr>
          <w:rFonts w:asciiTheme="majorHAnsi" w:hAnsiTheme="majorHAnsi" w:cstheme="majorHAnsi"/>
          <w:color w:val="000000" w:themeColor="text1"/>
        </w:rPr>
        <w:t>es the introduction of misleading information, focusing instead on memory processes to reduce the risk of contamination in the information provided (Fisher &amp; Geiselman, 2010). Cognitive interviews are particularly effective in supporting vulnerable witnesses by employing techniques that facilitate comfortable communication about their experiences (Kebbell, Milne &amp; Wagstaff, 1999).</w:t>
      </w:r>
    </w:p>
    <w:p w14:paraId="2886B92E" w14:textId="77777777" w:rsidR="001E307E" w:rsidRPr="00EB5CD2" w:rsidRDefault="001E307E" w:rsidP="00C62AF8">
      <w:pPr>
        <w:shd w:val="clear" w:color="auto" w:fill="FFFFFF"/>
        <w:spacing w:after="0" w:line="240" w:lineRule="auto"/>
        <w:jc w:val="both"/>
        <w:textAlignment w:val="baseline"/>
        <w:rPr>
          <w:rFonts w:asciiTheme="majorHAnsi" w:hAnsiTheme="majorHAnsi" w:cstheme="majorHAnsi"/>
          <w:color w:val="000000" w:themeColor="text1"/>
        </w:rPr>
      </w:pPr>
    </w:p>
    <w:p w14:paraId="537AE696" w14:textId="57017426" w:rsidR="001E307E" w:rsidRPr="00EB5CD2" w:rsidRDefault="001E307E" w:rsidP="00C62AF8">
      <w:pPr>
        <w:shd w:val="clear" w:color="auto" w:fill="FFFFFF"/>
        <w:spacing w:after="0" w:line="240" w:lineRule="auto"/>
        <w:jc w:val="both"/>
        <w:textAlignment w:val="baseline"/>
        <w:rPr>
          <w:rFonts w:asciiTheme="majorHAnsi" w:hAnsiTheme="majorHAnsi" w:cstheme="majorHAnsi"/>
          <w:color w:val="000000" w:themeColor="text1"/>
        </w:rPr>
      </w:pPr>
      <w:r w:rsidRPr="00EB5CD2">
        <w:rPr>
          <w:rFonts w:asciiTheme="majorHAnsi" w:hAnsiTheme="majorHAnsi" w:cstheme="majorHAnsi"/>
          <w:color w:val="000000" w:themeColor="text1"/>
        </w:rPr>
        <w:t>Moreover, cognitive interviews are structured into distinct stages to optim</w:t>
      </w:r>
      <w:r w:rsidR="00BF78B0" w:rsidRPr="00EB5CD2">
        <w:rPr>
          <w:rFonts w:asciiTheme="majorHAnsi" w:hAnsiTheme="majorHAnsi" w:cstheme="majorHAnsi"/>
          <w:color w:val="000000" w:themeColor="text1"/>
        </w:rPr>
        <w:t>is</w:t>
      </w:r>
      <w:r w:rsidRPr="00EB5CD2">
        <w:rPr>
          <w:rFonts w:asciiTheme="majorHAnsi" w:hAnsiTheme="majorHAnsi" w:cstheme="majorHAnsi"/>
          <w:color w:val="000000" w:themeColor="text1"/>
        </w:rPr>
        <w:t>e their effectiveness (Beatty &amp; Willis, 2017). These stages, including establishing rapport, conducting a warm-up phase, and outlining the interview process, ensure that interviews yield accurate and valuable information for investigative purposes (Milne et al., 2019).</w:t>
      </w:r>
    </w:p>
    <w:p w14:paraId="2CECF045" w14:textId="77777777" w:rsidR="001E307E" w:rsidRPr="00EB5CD2" w:rsidRDefault="001E307E" w:rsidP="00C62AF8">
      <w:pPr>
        <w:shd w:val="clear" w:color="auto" w:fill="FFFFFF"/>
        <w:spacing w:after="0" w:line="240" w:lineRule="auto"/>
        <w:jc w:val="both"/>
        <w:textAlignment w:val="baseline"/>
        <w:rPr>
          <w:rFonts w:asciiTheme="majorHAnsi" w:hAnsiTheme="majorHAnsi" w:cstheme="majorHAnsi"/>
          <w:color w:val="000000" w:themeColor="text1"/>
        </w:rPr>
      </w:pPr>
    </w:p>
    <w:p w14:paraId="113B1B83" w14:textId="513EE145" w:rsidR="00317C9C" w:rsidRPr="00EB5CD2" w:rsidRDefault="001E307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r w:rsidRPr="00EB5CD2">
        <w:rPr>
          <w:rFonts w:asciiTheme="majorHAnsi" w:hAnsiTheme="majorHAnsi" w:cstheme="majorHAnsi"/>
          <w:color w:val="000000" w:themeColor="text1"/>
        </w:rPr>
        <w:t>In summary, by examining various interview types, including special</w:t>
      </w:r>
      <w:r w:rsidR="00BF78B0" w:rsidRPr="00EB5CD2">
        <w:rPr>
          <w:rFonts w:asciiTheme="majorHAnsi" w:hAnsiTheme="majorHAnsi" w:cstheme="majorHAnsi"/>
          <w:color w:val="000000" w:themeColor="text1"/>
        </w:rPr>
        <w:t>is</w:t>
      </w:r>
      <w:r w:rsidRPr="00EB5CD2">
        <w:rPr>
          <w:rFonts w:asciiTheme="majorHAnsi" w:hAnsiTheme="majorHAnsi" w:cstheme="majorHAnsi"/>
          <w:color w:val="000000" w:themeColor="text1"/>
        </w:rPr>
        <w:t xml:space="preserve">ed team interviews, this essay provides insights into optimal approaches for gathering precise and credible information from victims and witnesses. The outlined methods </w:t>
      </w:r>
      <w:r w:rsidR="00BF78B0" w:rsidRPr="00EB5CD2">
        <w:rPr>
          <w:rFonts w:asciiTheme="majorHAnsi" w:hAnsiTheme="majorHAnsi" w:cstheme="majorHAnsi"/>
          <w:color w:val="000000" w:themeColor="text1"/>
        </w:rPr>
        <w:t>em</w:t>
      </w:r>
      <w:r w:rsidR="00BF78B0" w:rsidRPr="00EB5CD2">
        <w:rPr>
          <w:rFonts w:asciiTheme="majorHAnsi" w:hAnsiTheme="majorHAnsi" w:cstheme="majorHAnsi"/>
          <w:color w:val="000000" w:themeColor="text1"/>
        </w:rPr>
        <w:lastRenderedPageBreak/>
        <w:t>phasis</w:t>
      </w:r>
      <w:r w:rsidRPr="00EB5CD2">
        <w:rPr>
          <w:rFonts w:asciiTheme="majorHAnsi" w:hAnsiTheme="majorHAnsi" w:cstheme="majorHAnsi"/>
          <w:color w:val="000000" w:themeColor="text1"/>
        </w:rPr>
        <w:t>e the importance of encouraging information sharing, using comfortable questioning techniques, and summar</w:t>
      </w:r>
      <w:r w:rsidR="00BF78B0" w:rsidRPr="00EB5CD2">
        <w:rPr>
          <w:rFonts w:asciiTheme="majorHAnsi" w:hAnsiTheme="majorHAnsi" w:cstheme="majorHAnsi"/>
          <w:color w:val="000000" w:themeColor="text1"/>
        </w:rPr>
        <w:t>is</w:t>
      </w:r>
      <w:r w:rsidRPr="00EB5CD2">
        <w:rPr>
          <w:rFonts w:asciiTheme="majorHAnsi" w:hAnsiTheme="majorHAnsi" w:cstheme="majorHAnsi"/>
          <w:color w:val="000000" w:themeColor="text1"/>
        </w:rPr>
        <w:t>ing key findings to enhance the effectiveness of interviews in investigations, research, and legal proceedings.</w:t>
      </w:r>
    </w:p>
    <w:p w14:paraId="741A9D26" w14:textId="77777777" w:rsidR="001E307E" w:rsidRPr="00EB5CD2" w:rsidRDefault="001E307E" w:rsidP="00C62AF8">
      <w:pPr>
        <w:shd w:val="clear" w:color="auto" w:fill="FFFFFF"/>
        <w:spacing w:after="0" w:line="240" w:lineRule="auto"/>
        <w:jc w:val="both"/>
        <w:textAlignment w:val="baseline"/>
        <w:rPr>
          <w:rFonts w:asciiTheme="majorHAnsi" w:eastAsia="Times New Roman" w:hAnsiTheme="majorHAnsi" w:cstheme="majorHAnsi"/>
          <w:color w:val="000000" w:themeColor="text1"/>
          <w:kern w:val="0"/>
          <w:lang w:eastAsia="en-GB"/>
          <w14:ligatures w14:val="none"/>
        </w:rPr>
      </w:pPr>
    </w:p>
    <w:p w14:paraId="12FCC3C1" w14:textId="0114F505" w:rsidR="00317C9C" w:rsidRPr="00EB5CD2" w:rsidRDefault="00317C9C" w:rsidP="00C62AF8">
      <w:pPr>
        <w:shd w:val="clear" w:color="auto" w:fill="FFFFFF"/>
        <w:spacing w:after="0" w:line="240" w:lineRule="auto"/>
        <w:jc w:val="both"/>
        <w:textAlignment w:val="baseline"/>
        <w:rPr>
          <w:rFonts w:asciiTheme="majorHAnsi" w:eastAsia="Times New Roman" w:hAnsiTheme="majorHAnsi" w:cstheme="majorHAnsi"/>
          <w:b/>
          <w:bCs/>
          <w:color w:val="000000" w:themeColor="text1"/>
          <w:kern w:val="0"/>
          <w:lang w:eastAsia="en-GB"/>
          <w14:ligatures w14:val="none"/>
        </w:rPr>
      </w:pPr>
      <w:r w:rsidRPr="00EB5CD2">
        <w:rPr>
          <w:rFonts w:asciiTheme="majorHAnsi" w:eastAsia="Times New Roman" w:hAnsiTheme="majorHAnsi" w:cstheme="majorHAnsi"/>
          <w:b/>
          <w:bCs/>
          <w:color w:val="000000" w:themeColor="text1"/>
          <w:kern w:val="0"/>
          <w:lang w:eastAsia="en-GB"/>
          <w14:ligatures w14:val="none"/>
        </w:rPr>
        <w:t>Word Count: 9</w:t>
      </w:r>
      <w:r w:rsidR="001E307E" w:rsidRPr="00EB5CD2">
        <w:rPr>
          <w:rFonts w:asciiTheme="majorHAnsi" w:eastAsia="Times New Roman" w:hAnsiTheme="majorHAnsi" w:cstheme="majorHAnsi"/>
          <w:b/>
          <w:bCs/>
          <w:color w:val="000000" w:themeColor="text1"/>
          <w:kern w:val="0"/>
          <w:lang w:eastAsia="en-GB"/>
          <w14:ligatures w14:val="none"/>
        </w:rPr>
        <w:t>50</w:t>
      </w:r>
    </w:p>
    <w:p w14:paraId="556203A7" w14:textId="77777777" w:rsidR="00A31931" w:rsidRPr="00EB5CD2" w:rsidRDefault="00A31931" w:rsidP="00C62AF8">
      <w:pPr>
        <w:jc w:val="both"/>
        <w:rPr>
          <w:rFonts w:asciiTheme="majorHAnsi" w:hAnsiTheme="majorHAnsi" w:cstheme="majorHAnsi"/>
          <w:color w:val="000000" w:themeColor="text1"/>
        </w:rPr>
      </w:pPr>
    </w:p>
    <w:p w14:paraId="1A85070E" w14:textId="77777777" w:rsidR="00C62AF8" w:rsidRDefault="00C62AF8" w:rsidP="00C62AF8">
      <w:pPr>
        <w:jc w:val="both"/>
        <w:rPr>
          <w:rFonts w:asciiTheme="majorHAnsi" w:hAnsiTheme="majorHAnsi" w:cstheme="majorHAnsi"/>
          <w:b/>
          <w:bCs/>
          <w:i/>
          <w:iCs/>
          <w:color w:val="000000" w:themeColor="text1"/>
        </w:rPr>
      </w:pPr>
    </w:p>
    <w:p w14:paraId="62C7083A" w14:textId="77777777" w:rsidR="00C62AF8" w:rsidRDefault="00C62AF8" w:rsidP="00C62AF8">
      <w:pPr>
        <w:jc w:val="both"/>
        <w:rPr>
          <w:rFonts w:asciiTheme="majorHAnsi" w:hAnsiTheme="majorHAnsi" w:cstheme="majorHAnsi"/>
          <w:b/>
          <w:bCs/>
          <w:i/>
          <w:iCs/>
          <w:color w:val="000000" w:themeColor="text1"/>
        </w:rPr>
      </w:pPr>
    </w:p>
    <w:p w14:paraId="50C4EC9B" w14:textId="7C6C535D" w:rsidR="0005151D" w:rsidRPr="00EB5CD2" w:rsidRDefault="001B704B" w:rsidP="00C62AF8">
      <w:pPr>
        <w:jc w:val="both"/>
        <w:rPr>
          <w:rFonts w:asciiTheme="majorHAnsi" w:hAnsiTheme="majorHAnsi" w:cstheme="majorHAnsi"/>
          <w:b/>
          <w:bCs/>
          <w:i/>
          <w:iCs/>
          <w:color w:val="000000" w:themeColor="text1"/>
        </w:rPr>
      </w:pPr>
      <w:r w:rsidRPr="00EB5CD2">
        <w:rPr>
          <w:rFonts w:asciiTheme="majorHAnsi" w:hAnsiTheme="majorHAnsi" w:cstheme="majorHAnsi"/>
          <w:b/>
          <w:bCs/>
          <w:i/>
          <w:iCs/>
          <w:color w:val="000000" w:themeColor="text1"/>
        </w:rPr>
        <w:t>Bibliography:</w:t>
      </w:r>
    </w:p>
    <w:p w14:paraId="68169F4E" w14:textId="72DBB1CD" w:rsidR="00727AEE" w:rsidRPr="00EB5CD2" w:rsidRDefault="00727AEE"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shd w:val="clear" w:color="auto" w:fill="FFFFFF"/>
        </w:rPr>
        <w:t>An, S. K., Gower, K. K., &amp; Ho Cho, S. (2011). Level of crisis responsibility and crisis response strategies of the media. Journal of Communication Management, 15(1), 70-83.</w:t>
      </w:r>
    </w:p>
    <w:p w14:paraId="083FC426" w14:textId="0F4BC022" w:rsidR="00B2666A" w:rsidRPr="00EB5CD2" w:rsidRDefault="00B2666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t xml:space="preserve">Beatty, P.C., and Willis, G.B. (2007) Research synthesis: The practice of cognitive interviewing, OUP Academic. Available at: https://academic.oup.com/poq/article/71/2/287/1928986 (Accessed: 06 March 2024). </w:t>
      </w:r>
    </w:p>
    <w:p w14:paraId="056540C5" w14:textId="5C840F0E" w:rsidR="00BF2735" w:rsidRPr="00EB5CD2" w:rsidRDefault="00BF2735" w:rsidP="00C62AF8">
      <w:pPr>
        <w:pStyle w:val="NormalWeb"/>
        <w:ind w:left="567" w:hanging="567"/>
        <w:jc w:val="both"/>
        <w:rPr>
          <w:rFonts w:asciiTheme="majorHAnsi" w:hAnsiTheme="majorHAnsi" w:cstheme="majorHAnsi"/>
          <w:i/>
          <w:iCs/>
          <w:color w:val="000000" w:themeColor="text1"/>
          <w:sz w:val="22"/>
          <w:szCs w:val="22"/>
          <w:shd w:val="clear" w:color="auto" w:fill="FFFFFF"/>
        </w:rPr>
      </w:pPr>
      <w:r w:rsidRPr="00EB5CD2">
        <w:rPr>
          <w:rFonts w:asciiTheme="majorHAnsi" w:hAnsiTheme="majorHAnsi" w:cstheme="majorHAnsi"/>
          <w:i/>
          <w:iCs/>
          <w:color w:val="000000" w:themeColor="text1"/>
          <w:sz w:val="22"/>
          <w:szCs w:val="22"/>
          <w:shd w:val="clear" w:color="auto" w:fill="FFFFFF"/>
        </w:rPr>
        <w:t>Braga, A.A., Weisburd, D.L., and Turchan, B. 2018. Focused deterrence strategies and crime control: An updated systematic review and meta-analysis of the empirical evidence. Criminology &amp; Public Policy 17(1):202–250.</w:t>
      </w:r>
    </w:p>
    <w:p w14:paraId="1F5DB553" w14:textId="77777777" w:rsidR="00AF15DB" w:rsidRPr="00EB5CD2" w:rsidRDefault="00AF15DB" w:rsidP="00C62AF8">
      <w:pPr>
        <w:spacing w:before="100" w:beforeAutospacing="1" w:after="100" w:afterAutospacing="1" w:line="240" w:lineRule="auto"/>
        <w:ind w:left="567" w:hanging="567"/>
        <w:jc w:val="both"/>
        <w:rPr>
          <w:rFonts w:asciiTheme="majorHAnsi" w:eastAsia="Times New Roman" w:hAnsiTheme="majorHAnsi" w:cstheme="majorHAnsi"/>
          <w:i/>
          <w:iCs/>
          <w:color w:val="000000" w:themeColor="text1"/>
          <w:kern w:val="0"/>
          <w:lang w:eastAsia="en-GB"/>
          <w14:ligatures w14:val="none"/>
        </w:rPr>
      </w:pPr>
      <w:r w:rsidRPr="00EB5CD2">
        <w:rPr>
          <w:rFonts w:asciiTheme="majorHAnsi" w:eastAsia="Times New Roman" w:hAnsiTheme="majorHAnsi" w:cstheme="majorHAnsi"/>
          <w:i/>
          <w:iCs/>
          <w:color w:val="000000" w:themeColor="text1"/>
          <w:kern w:val="0"/>
          <w:lang w:eastAsia="en-GB"/>
          <w14:ligatures w14:val="none"/>
        </w:rPr>
        <w:t>College of Policing. Engagement. (2013, October 23). https://www.college.police.uk/app/engagement-and-communication/engagement (Accessed 27 April 2024).</w:t>
      </w:r>
    </w:p>
    <w:p w14:paraId="0B338911" w14:textId="66318D00" w:rsidR="00AF15DB" w:rsidRPr="00EB5CD2" w:rsidRDefault="00AF15DB" w:rsidP="00C62AF8">
      <w:pPr>
        <w:spacing w:before="100" w:beforeAutospacing="1" w:after="100" w:afterAutospacing="1" w:line="240" w:lineRule="auto"/>
        <w:ind w:left="567" w:hanging="567"/>
        <w:jc w:val="both"/>
        <w:rPr>
          <w:rFonts w:asciiTheme="majorHAnsi" w:eastAsia="Times New Roman" w:hAnsiTheme="majorHAnsi" w:cstheme="majorHAnsi"/>
          <w:i/>
          <w:iCs/>
          <w:color w:val="000000" w:themeColor="text1"/>
          <w:kern w:val="0"/>
          <w:lang w:eastAsia="en-GB"/>
          <w14:ligatures w14:val="none"/>
        </w:rPr>
      </w:pPr>
      <w:r w:rsidRPr="00EB5CD2">
        <w:rPr>
          <w:rFonts w:asciiTheme="majorHAnsi" w:eastAsia="Times New Roman" w:hAnsiTheme="majorHAnsi" w:cstheme="majorHAnsi"/>
          <w:i/>
          <w:iCs/>
          <w:color w:val="000000" w:themeColor="text1"/>
          <w:kern w:val="0"/>
          <w:lang w:eastAsia="en-GB"/>
          <w14:ligatures w14:val="none"/>
        </w:rPr>
        <w:t>College of Policing. Police Community Support Officer (PCSO).  (2019). https://profdev.college.police.uk/professional-profile/police-community-support-officer-pcso/ (Accessed 27 April 2024).</w:t>
      </w:r>
    </w:p>
    <w:p w14:paraId="11549251" w14:textId="77777777" w:rsidR="00B2666A" w:rsidRPr="00EB5CD2" w:rsidRDefault="00B2666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t xml:space="preserve">Comfort, L.K., Ko, K. and Zagorecki, A. (2004) ‘Coordination in rapidly evolving Disaster Response Systems’, American Behavioural Scientist, 48(3), pp. 295–313. doi:10.1177/0002764204268987. </w:t>
      </w:r>
    </w:p>
    <w:p w14:paraId="747DDCDA" w14:textId="77777777" w:rsidR="00B2666A" w:rsidRPr="00EB5CD2" w:rsidRDefault="00B2666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t xml:space="preserve">Community engagement examples: SCDC - we believe communities matter (no date) SCDC. Available at: https://www.scdc.org.uk/community-engagement/examples (Accessed: 06 March 2024). </w:t>
      </w:r>
    </w:p>
    <w:p w14:paraId="1A24424A" w14:textId="6F6130E5" w:rsidR="008E4801" w:rsidRPr="00EB5CD2" w:rsidRDefault="008E4801" w:rsidP="00C62AF8">
      <w:pPr>
        <w:pStyle w:val="NormalWeb"/>
        <w:ind w:left="567" w:hanging="567"/>
        <w:jc w:val="both"/>
        <w:rPr>
          <w:rFonts w:asciiTheme="majorHAnsi" w:hAnsiTheme="majorHAnsi" w:cstheme="majorHAnsi"/>
          <w:i/>
          <w:iCs/>
          <w:color w:val="000000" w:themeColor="text1"/>
          <w:sz w:val="22"/>
          <w:szCs w:val="22"/>
          <w:shd w:val="clear" w:color="auto" w:fill="FFFFFF"/>
        </w:rPr>
      </w:pPr>
      <w:r w:rsidRPr="00EB5CD2">
        <w:rPr>
          <w:rFonts w:asciiTheme="majorHAnsi" w:hAnsiTheme="majorHAnsi" w:cstheme="majorHAnsi"/>
          <w:i/>
          <w:iCs/>
          <w:color w:val="000000" w:themeColor="text1"/>
          <w:sz w:val="22"/>
          <w:szCs w:val="22"/>
          <w:shd w:val="clear" w:color="auto" w:fill="FFFFFF"/>
        </w:rPr>
        <w:t>Dando, C., Wilcock, R., &amp; Milne, R. (2009). The cognitive interview: Novice police officers' witness/victim interviewing practices. Psychology, Crime &amp; Law, 15(8), 679-696.</w:t>
      </w:r>
    </w:p>
    <w:p w14:paraId="1064385B" w14:textId="6433A3BB" w:rsidR="008E4801" w:rsidRPr="00EB5CD2" w:rsidRDefault="008E4801"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shd w:val="clear" w:color="auto" w:fill="FFFFFF"/>
        </w:rPr>
        <w:lastRenderedPageBreak/>
        <w:t>Fisher, R. P., &amp; Geiselman, R. E. (2010). The cognitive interview method of conducting police interviews: Eliciting extensive information and promoting therapeutic jurisprudence. International journal of law and psychiatry, 33(5-6), 321-328.</w:t>
      </w:r>
    </w:p>
    <w:p w14:paraId="7DAE4569" w14:textId="27E491FC" w:rsidR="008E4801" w:rsidRPr="00EB5CD2" w:rsidRDefault="008E4801"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shd w:val="clear" w:color="auto" w:fill="FFFFFF"/>
        </w:rPr>
        <w:t xml:space="preserve">Grant, T., Taylor, J., </w:t>
      </w:r>
      <w:proofErr w:type="spellStart"/>
      <w:r w:rsidRPr="00EB5CD2">
        <w:rPr>
          <w:rFonts w:asciiTheme="majorHAnsi" w:hAnsiTheme="majorHAnsi" w:cstheme="majorHAnsi"/>
          <w:i/>
          <w:iCs/>
          <w:color w:val="000000" w:themeColor="text1"/>
          <w:sz w:val="22"/>
          <w:szCs w:val="22"/>
          <w:shd w:val="clear" w:color="auto" w:fill="FFFFFF"/>
        </w:rPr>
        <w:t>Oxburgh</w:t>
      </w:r>
      <w:proofErr w:type="spellEnd"/>
      <w:r w:rsidRPr="00EB5CD2">
        <w:rPr>
          <w:rFonts w:asciiTheme="majorHAnsi" w:hAnsiTheme="majorHAnsi" w:cstheme="majorHAnsi"/>
          <w:i/>
          <w:iCs/>
          <w:color w:val="000000" w:themeColor="text1"/>
          <w:sz w:val="22"/>
          <w:szCs w:val="22"/>
          <w:shd w:val="clear" w:color="auto" w:fill="FFFFFF"/>
        </w:rPr>
        <w:t xml:space="preserve">, G., &amp; Myklebust, T. (2015). Exploring types and functions of questions in police interviews. Communication in investigative and legal contexts: Integrated approaches from forensic psychology, </w:t>
      </w:r>
      <w:proofErr w:type="gramStart"/>
      <w:r w:rsidRPr="00EB5CD2">
        <w:rPr>
          <w:rFonts w:asciiTheme="majorHAnsi" w:hAnsiTheme="majorHAnsi" w:cstheme="majorHAnsi"/>
          <w:i/>
          <w:iCs/>
          <w:color w:val="000000" w:themeColor="text1"/>
          <w:sz w:val="22"/>
          <w:szCs w:val="22"/>
          <w:shd w:val="clear" w:color="auto" w:fill="FFFFFF"/>
        </w:rPr>
        <w:t>linguistics</w:t>
      </w:r>
      <w:proofErr w:type="gramEnd"/>
      <w:r w:rsidRPr="00EB5CD2">
        <w:rPr>
          <w:rFonts w:asciiTheme="majorHAnsi" w:hAnsiTheme="majorHAnsi" w:cstheme="majorHAnsi"/>
          <w:i/>
          <w:iCs/>
          <w:color w:val="000000" w:themeColor="text1"/>
          <w:sz w:val="22"/>
          <w:szCs w:val="22"/>
          <w:shd w:val="clear" w:color="auto" w:fill="FFFFFF"/>
        </w:rPr>
        <w:t xml:space="preserve"> and law enforcement, 15-38.</w:t>
      </w:r>
    </w:p>
    <w:p w14:paraId="48335726" w14:textId="77777777" w:rsidR="00B2666A" w:rsidRPr="00EB5CD2" w:rsidRDefault="00B2666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t xml:space="preserve">Gold, J. (2022) ‘Improving community relations in the police through procedural justice – an action learning initiative’, Action Learning: Research and Practice, 19(3), pp. 230–247. doi:10.1080/14767333.2022.2129586. </w:t>
      </w:r>
    </w:p>
    <w:p w14:paraId="6E367E18" w14:textId="7D342281" w:rsidR="001800F7" w:rsidRPr="00EB5CD2" w:rsidRDefault="001800F7"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shd w:val="clear" w:color="auto" w:fill="FFFFFF"/>
        </w:rPr>
        <w:t xml:space="preserve">Gudjonsson, G. H. (2010). Psychological vulnerabilities during police interviews. Why are they </w:t>
      </w:r>
      <w:proofErr w:type="gramStart"/>
      <w:r w:rsidRPr="00EB5CD2">
        <w:rPr>
          <w:rFonts w:asciiTheme="majorHAnsi" w:hAnsiTheme="majorHAnsi" w:cstheme="majorHAnsi"/>
          <w:i/>
          <w:iCs/>
          <w:color w:val="000000" w:themeColor="text1"/>
          <w:sz w:val="22"/>
          <w:szCs w:val="22"/>
          <w:shd w:val="clear" w:color="auto" w:fill="FFFFFF"/>
        </w:rPr>
        <w:t>important?.</w:t>
      </w:r>
      <w:proofErr w:type="gramEnd"/>
      <w:r w:rsidRPr="00EB5CD2">
        <w:rPr>
          <w:rFonts w:asciiTheme="majorHAnsi" w:hAnsiTheme="majorHAnsi" w:cstheme="majorHAnsi"/>
          <w:i/>
          <w:iCs/>
          <w:color w:val="000000" w:themeColor="text1"/>
          <w:sz w:val="22"/>
          <w:szCs w:val="22"/>
          <w:shd w:val="clear" w:color="auto" w:fill="FFFFFF"/>
        </w:rPr>
        <w:t> Legal and criminological Psychology, 15(2), 161-175.</w:t>
      </w:r>
    </w:p>
    <w:p w14:paraId="74A32D29" w14:textId="56CD427F" w:rsidR="00B2666A" w:rsidRPr="00EB5CD2" w:rsidRDefault="00B2666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t>Gutschmidt, D. and Vera, A. (2021) ‘</w:t>
      </w:r>
      <w:r w:rsidR="00BF78B0" w:rsidRPr="00EB5CD2">
        <w:rPr>
          <w:rFonts w:asciiTheme="majorHAnsi" w:hAnsiTheme="majorHAnsi" w:cstheme="majorHAnsi"/>
          <w:i/>
          <w:iCs/>
          <w:color w:val="000000" w:themeColor="text1"/>
          <w:sz w:val="22"/>
          <w:szCs w:val="22"/>
        </w:rPr>
        <w:t>Organis</w:t>
      </w:r>
      <w:r w:rsidRPr="00EB5CD2">
        <w:rPr>
          <w:rFonts w:asciiTheme="majorHAnsi" w:hAnsiTheme="majorHAnsi" w:cstheme="majorHAnsi"/>
          <w:i/>
          <w:iCs/>
          <w:color w:val="000000" w:themeColor="text1"/>
          <w:sz w:val="22"/>
          <w:szCs w:val="22"/>
        </w:rPr>
        <w:t xml:space="preserve">ational culture, stress, and coping strategies in the police: An empirical investigation’, Police Practice and Research, 23(5), pp. 507–522. doi:10.1080/15614263.2021.1958683. </w:t>
      </w:r>
    </w:p>
    <w:p w14:paraId="6A01D407" w14:textId="34AD17E2" w:rsidR="008E4801" w:rsidRPr="00EB5CD2" w:rsidRDefault="008E4801"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shd w:val="clear" w:color="auto" w:fill="FFFFFF"/>
        </w:rPr>
        <w:t>Haworth, K. (2020). Police interviews in the judicial process: Police interviews as evidence. In The Routledge handbook of forensic linguistics (pp. 144-158). Routledge.</w:t>
      </w:r>
    </w:p>
    <w:p w14:paraId="20B54FAF" w14:textId="29E8053B" w:rsidR="003F7AEA" w:rsidRPr="00EB5CD2" w:rsidRDefault="003F7AEA" w:rsidP="00C62AF8">
      <w:pPr>
        <w:shd w:val="clear" w:color="auto" w:fill="FFFFFF"/>
        <w:spacing w:after="0" w:line="240" w:lineRule="auto"/>
        <w:ind w:left="720" w:hanging="720"/>
        <w:jc w:val="both"/>
        <w:textAlignment w:val="baseline"/>
        <w:rPr>
          <w:rFonts w:asciiTheme="majorHAnsi" w:hAnsiTheme="majorHAnsi" w:cstheme="majorHAnsi"/>
          <w:i/>
          <w:iCs/>
          <w:color w:val="000000" w:themeColor="text1"/>
          <w:shd w:val="clear" w:color="auto" w:fill="FFFFFF"/>
        </w:rPr>
      </w:pPr>
      <w:r w:rsidRPr="00EB5CD2">
        <w:rPr>
          <w:rFonts w:asciiTheme="majorHAnsi" w:hAnsiTheme="majorHAnsi" w:cstheme="majorHAnsi"/>
          <w:i/>
          <w:iCs/>
          <w:color w:val="000000" w:themeColor="text1"/>
          <w:shd w:val="clear" w:color="auto" w:fill="FFFFFF"/>
        </w:rPr>
        <w:t>Heslop, R. (2011). Community engagement and learning as ‘becoming’: Findings from a study of British police recruit training. Policing and society, 21(3), 327-342.</w:t>
      </w:r>
    </w:p>
    <w:p w14:paraId="34463B6C" w14:textId="0562656C" w:rsidR="00573CF9" w:rsidRPr="00EB5CD2" w:rsidRDefault="00573CF9"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14:ligatures w14:val="none"/>
        </w:rPr>
        <w:t xml:space="preserve">House of Lords Library. Police standards and culture: Restoring public trust. </w:t>
      </w:r>
      <w:hyperlink r:id="rId5" w:history="1">
        <w:r w:rsidRPr="00EB5CD2">
          <w:rPr>
            <w:rStyle w:val="Hyperlink"/>
            <w:rFonts w:asciiTheme="majorHAnsi" w:hAnsiTheme="majorHAnsi" w:cstheme="majorHAnsi"/>
            <w:i/>
            <w:iCs/>
            <w:color w:val="000000" w:themeColor="text1"/>
            <w:sz w:val="22"/>
            <w:szCs w:val="22"/>
            <w14:ligatures w14:val="none"/>
          </w:rPr>
          <w:t>https://lordslibrary.parliament.uk/police-standards-and-culture-restoring-public-trust</w:t>
        </w:r>
      </w:hyperlink>
      <w:r w:rsidRPr="00EB5CD2">
        <w:rPr>
          <w:rFonts w:asciiTheme="majorHAnsi" w:hAnsiTheme="majorHAnsi" w:cstheme="majorHAnsi"/>
          <w:i/>
          <w:iCs/>
          <w:color w:val="000000" w:themeColor="text1"/>
          <w:sz w:val="22"/>
          <w:szCs w:val="22"/>
          <w14:ligatures w14:val="none"/>
        </w:rPr>
        <w:t xml:space="preserve"> </w:t>
      </w:r>
      <w:r w:rsidRPr="00EB5CD2">
        <w:rPr>
          <w:rFonts w:asciiTheme="majorHAnsi" w:hAnsiTheme="majorHAnsi" w:cstheme="majorHAnsi"/>
          <w:i/>
          <w:iCs/>
          <w:color w:val="000000" w:themeColor="text1"/>
          <w:sz w:val="22"/>
          <w:szCs w:val="22"/>
        </w:rPr>
        <w:t xml:space="preserve">(Accessed: 27 April 2024). </w:t>
      </w:r>
    </w:p>
    <w:p w14:paraId="40EE30E8" w14:textId="787A149C" w:rsidR="00AF15DB" w:rsidRPr="00EB5CD2" w:rsidRDefault="00AF15DB" w:rsidP="00C62AF8">
      <w:pPr>
        <w:pStyle w:val="NormalWeb"/>
        <w:ind w:left="567" w:hanging="567"/>
        <w:jc w:val="both"/>
        <w:rPr>
          <w:rFonts w:asciiTheme="majorHAnsi" w:hAnsiTheme="majorHAnsi" w:cstheme="majorHAnsi"/>
          <w:i/>
          <w:iCs/>
          <w:color w:val="000000" w:themeColor="text1"/>
          <w:sz w:val="22"/>
          <w:szCs w:val="22"/>
          <w:shd w:val="clear" w:color="auto" w:fill="FFFFFF"/>
        </w:rPr>
      </w:pPr>
      <w:r w:rsidRPr="00EB5CD2">
        <w:rPr>
          <w:rFonts w:asciiTheme="majorHAnsi" w:hAnsiTheme="majorHAnsi" w:cstheme="majorHAnsi"/>
          <w:i/>
          <w:iCs/>
          <w:color w:val="000000" w:themeColor="text1"/>
          <w:sz w:val="22"/>
          <w:szCs w:val="22"/>
          <w:shd w:val="clear" w:color="auto" w:fill="FFFFFF"/>
        </w:rPr>
        <w:t>Johnston, L. (2005). From ‘community’ to ‘neighbourhood’ policing: Police community support officers and the ‘police extended family’ in London. Journal of community &amp; applied social psychology, 15(3), 241-254.</w:t>
      </w:r>
    </w:p>
    <w:p w14:paraId="05A0FE80" w14:textId="63AB3452" w:rsidR="008E4801" w:rsidRPr="00EB5CD2" w:rsidRDefault="008E4801" w:rsidP="00C62AF8">
      <w:pPr>
        <w:pStyle w:val="NormalWeb"/>
        <w:ind w:left="567" w:hanging="567"/>
        <w:jc w:val="both"/>
        <w:rPr>
          <w:rFonts w:asciiTheme="majorHAnsi" w:hAnsiTheme="majorHAnsi" w:cstheme="majorHAnsi"/>
          <w:i/>
          <w:iCs/>
          <w:color w:val="000000" w:themeColor="text1"/>
          <w:sz w:val="22"/>
          <w:szCs w:val="22"/>
          <w:shd w:val="clear" w:color="auto" w:fill="FFFFFF"/>
        </w:rPr>
      </w:pPr>
      <w:r w:rsidRPr="00EB5CD2">
        <w:rPr>
          <w:rFonts w:asciiTheme="majorHAnsi" w:hAnsiTheme="majorHAnsi" w:cstheme="majorHAnsi"/>
          <w:i/>
          <w:iCs/>
          <w:color w:val="000000" w:themeColor="text1"/>
          <w:sz w:val="22"/>
          <w:szCs w:val="22"/>
          <w:shd w:val="clear" w:color="auto" w:fill="FFFFFF"/>
        </w:rPr>
        <w:t xml:space="preserve">Kebbell, M. R., Milne, R., &amp; Wagstaff, G. F. (1999). The cognitive interview: A survey of its forensic effectiveness. Psychology, </w:t>
      </w:r>
      <w:proofErr w:type="gramStart"/>
      <w:r w:rsidRPr="00EB5CD2">
        <w:rPr>
          <w:rFonts w:asciiTheme="majorHAnsi" w:hAnsiTheme="majorHAnsi" w:cstheme="majorHAnsi"/>
          <w:i/>
          <w:iCs/>
          <w:color w:val="000000" w:themeColor="text1"/>
          <w:sz w:val="22"/>
          <w:szCs w:val="22"/>
          <w:shd w:val="clear" w:color="auto" w:fill="FFFFFF"/>
        </w:rPr>
        <w:t>crime</w:t>
      </w:r>
      <w:proofErr w:type="gramEnd"/>
      <w:r w:rsidRPr="00EB5CD2">
        <w:rPr>
          <w:rFonts w:asciiTheme="majorHAnsi" w:hAnsiTheme="majorHAnsi" w:cstheme="majorHAnsi"/>
          <w:i/>
          <w:iCs/>
          <w:color w:val="000000" w:themeColor="text1"/>
          <w:sz w:val="22"/>
          <w:szCs w:val="22"/>
          <w:shd w:val="clear" w:color="auto" w:fill="FFFFFF"/>
        </w:rPr>
        <w:t xml:space="preserve"> and law, 5(1-2), 101-115.</w:t>
      </w:r>
    </w:p>
    <w:p w14:paraId="5617507B" w14:textId="74FD3179" w:rsidR="00727AEE" w:rsidRPr="00EB5CD2" w:rsidRDefault="00727AEE" w:rsidP="00C62AF8">
      <w:pPr>
        <w:pStyle w:val="NormalWeb"/>
        <w:ind w:left="567" w:hanging="567"/>
        <w:jc w:val="both"/>
        <w:rPr>
          <w:rFonts w:asciiTheme="majorHAnsi" w:hAnsiTheme="majorHAnsi" w:cstheme="majorHAnsi"/>
          <w:i/>
          <w:iCs/>
          <w:color w:val="000000" w:themeColor="text1"/>
          <w:sz w:val="22"/>
          <w:szCs w:val="22"/>
          <w:shd w:val="clear" w:color="auto" w:fill="FFFFFF"/>
        </w:rPr>
      </w:pPr>
      <w:r w:rsidRPr="00EB5CD2">
        <w:rPr>
          <w:rFonts w:asciiTheme="majorHAnsi" w:hAnsiTheme="majorHAnsi" w:cstheme="majorHAnsi"/>
          <w:i/>
          <w:iCs/>
          <w:color w:val="000000" w:themeColor="text1"/>
          <w:sz w:val="22"/>
          <w:szCs w:val="22"/>
          <w:shd w:val="clear" w:color="auto" w:fill="FFFFFF"/>
        </w:rPr>
        <w:t>Ma, R. (2005). Media, crisis, and SARS: An introduction. Asian journal of communication, 15(3), 241-246.</w:t>
      </w:r>
    </w:p>
    <w:p w14:paraId="52851308" w14:textId="2DE3F460" w:rsidR="001E307E" w:rsidRPr="00EB5CD2" w:rsidRDefault="001E307E" w:rsidP="00C62AF8">
      <w:pPr>
        <w:pStyle w:val="NormalWeb"/>
        <w:ind w:left="567" w:hanging="567"/>
        <w:jc w:val="both"/>
        <w:rPr>
          <w:rFonts w:asciiTheme="majorHAnsi" w:hAnsiTheme="majorHAnsi" w:cstheme="majorHAnsi"/>
          <w:i/>
          <w:iCs/>
          <w:color w:val="000000" w:themeColor="text1"/>
          <w:sz w:val="22"/>
          <w:szCs w:val="22"/>
          <w:shd w:val="clear" w:color="auto" w:fill="FFFFFF"/>
        </w:rPr>
      </w:pPr>
      <w:r w:rsidRPr="00EB5CD2">
        <w:rPr>
          <w:rFonts w:asciiTheme="majorHAnsi" w:hAnsiTheme="majorHAnsi" w:cstheme="majorHAnsi"/>
          <w:i/>
          <w:iCs/>
          <w:color w:val="000000" w:themeColor="text1"/>
          <w:sz w:val="22"/>
          <w:szCs w:val="22"/>
          <w:shd w:val="clear" w:color="auto" w:fill="FFFFFF"/>
        </w:rPr>
        <w:lastRenderedPageBreak/>
        <w:t>Milne, B., Griffiths, A., Clarke, C., &amp; Dando, C. (2019). The cognitive interview: A tiered approach in the real world. In Evidence-based investigative interviewing (pp. 56-73). Routledge.</w:t>
      </w:r>
    </w:p>
    <w:p w14:paraId="4E491F6B" w14:textId="6B089C75" w:rsidR="00727AEE" w:rsidRPr="00EB5CD2" w:rsidRDefault="00727AEE" w:rsidP="00C62AF8">
      <w:pPr>
        <w:pStyle w:val="NormalWeb"/>
        <w:ind w:left="567" w:hanging="567"/>
        <w:jc w:val="both"/>
        <w:rPr>
          <w:rFonts w:asciiTheme="majorHAnsi" w:hAnsiTheme="majorHAnsi" w:cstheme="majorHAnsi"/>
          <w:i/>
          <w:iCs/>
          <w:color w:val="000000" w:themeColor="text1"/>
          <w:sz w:val="22"/>
          <w:szCs w:val="22"/>
          <w:shd w:val="clear" w:color="auto" w:fill="FFFFFF"/>
        </w:rPr>
      </w:pPr>
      <w:r w:rsidRPr="00EB5CD2">
        <w:rPr>
          <w:rFonts w:asciiTheme="majorHAnsi" w:hAnsiTheme="majorHAnsi" w:cstheme="majorHAnsi"/>
          <w:i/>
          <w:iCs/>
          <w:color w:val="000000" w:themeColor="text1"/>
          <w:sz w:val="22"/>
          <w:szCs w:val="22"/>
          <w:shd w:val="clear" w:color="auto" w:fill="FFFFFF"/>
        </w:rPr>
        <w:t>Muhammed T, S., &amp; Mathew, S. K. (2022). The disaster of misinformation: a review of research in social media. International journal of data science and analytics, 13(4), 271-285.</w:t>
      </w:r>
    </w:p>
    <w:p w14:paraId="0C62526D" w14:textId="7C59E9A5" w:rsidR="00AF15DB" w:rsidRPr="00EB5CD2" w:rsidRDefault="00AF15DB"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shd w:val="clear" w:color="auto" w:fill="FFFFFF"/>
        </w:rPr>
        <w:t xml:space="preserve">Mazerolle, L. (2023). Partnership approaches in policing: An analysis of different types of partnerships and how they work to reduce crime and disorder. Policing: A Journal of Policy and Practice, 17, </w:t>
      </w:r>
      <w:hyperlink r:id="rId6" w:history="1">
        <w:r w:rsidRPr="00EB5CD2">
          <w:rPr>
            <w:rStyle w:val="Hyperlink"/>
            <w:rFonts w:asciiTheme="majorHAnsi" w:hAnsiTheme="majorHAnsi" w:cstheme="majorHAnsi"/>
            <w:i/>
            <w:iCs/>
            <w:color w:val="000000" w:themeColor="text1"/>
            <w:sz w:val="22"/>
            <w:szCs w:val="22"/>
            <w:bdr w:val="none" w:sz="0" w:space="0" w:color="auto" w:frame="1"/>
            <w:shd w:val="clear" w:color="auto" w:fill="FFFFFF"/>
          </w:rPr>
          <w:t>https://doi.org/10.1093/police/paad075</w:t>
        </w:r>
      </w:hyperlink>
    </w:p>
    <w:p w14:paraId="17C40CC1" w14:textId="301AB945" w:rsidR="00B2153A" w:rsidRPr="00EB5CD2" w:rsidRDefault="00B2153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shd w:val="clear" w:color="auto" w:fill="FFFFFF"/>
        </w:rPr>
        <w:t>Mazerolle, L. (2014). The power of policing partnerships: Sustaining the gains. Journal of Experimental Criminology, 10, 341-365.</w:t>
      </w:r>
    </w:p>
    <w:p w14:paraId="33086E5D" w14:textId="77777777" w:rsidR="00B2666A" w:rsidRPr="00EB5CD2" w:rsidRDefault="00B2666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t xml:space="preserve">McLeod, S. (2023) Cognitive interview technique, Simply Psychology. Available at: https://www.simplypsychology.org/cognitive-interview.html (Accessed: 06 March 2024). </w:t>
      </w:r>
    </w:p>
    <w:p w14:paraId="50E20336" w14:textId="5283EB55" w:rsidR="000807F9" w:rsidRPr="00EB5CD2" w:rsidRDefault="000807F9" w:rsidP="00C62AF8">
      <w:pPr>
        <w:spacing w:before="100" w:beforeAutospacing="1" w:after="100" w:afterAutospacing="1" w:line="240" w:lineRule="auto"/>
        <w:ind w:left="567" w:hanging="567"/>
        <w:jc w:val="both"/>
        <w:rPr>
          <w:rFonts w:asciiTheme="majorHAnsi" w:eastAsia="Times New Roman" w:hAnsiTheme="majorHAnsi" w:cstheme="majorHAnsi"/>
          <w:i/>
          <w:iCs/>
          <w:color w:val="000000" w:themeColor="text1"/>
          <w:kern w:val="0"/>
          <w:lang w:eastAsia="en-GB"/>
          <w14:ligatures w14:val="none"/>
        </w:rPr>
      </w:pPr>
      <w:r w:rsidRPr="00EB5CD2">
        <w:rPr>
          <w:rFonts w:asciiTheme="majorHAnsi" w:eastAsia="Times New Roman" w:hAnsiTheme="majorHAnsi" w:cstheme="majorHAnsi"/>
          <w:i/>
          <w:iCs/>
          <w:color w:val="000000" w:themeColor="text1"/>
          <w:kern w:val="0"/>
          <w:lang w:eastAsia="en-GB"/>
          <w14:ligatures w14:val="none"/>
        </w:rPr>
        <w:t xml:space="preserve">O’Neill, M. (2019). What do police community support officers do? Police Community Support Officers, 47–78. https://doi.org/10.1093/oso/9780198803676.003.0003 </w:t>
      </w:r>
    </w:p>
    <w:p w14:paraId="34953B78" w14:textId="098A4745" w:rsidR="00B2153A" w:rsidRPr="00EB5CD2" w:rsidRDefault="00B2153A" w:rsidP="00C62AF8">
      <w:pPr>
        <w:spacing w:before="100" w:beforeAutospacing="1" w:after="100" w:afterAutospacing="1" w:line="240" w:lineRule="auto"/>
        <w:ind w:left="567" w:hanging="567"/>
        <w:jc w:val="both"/>
        <w:rPr>
          <w:rFonts w:asciiTheme="majorHAnsi" w:eastAsia="Times New Roman" w:hAnsiTheme="majorHAnsi" w:cstheme="majorHAnsi"/>
          <w:i/>
          <w:iCs/>
          <w:color w:val="000000" w:themeColor="text1"/>
          <w:kern w:val="0"/>
          <w:lang w:eastAsia="en-GB"/>
          <w14:ligatures w14:val="none"/>
        </w:rPr>
      </w:pPr>
      <w:proofErr w:type="spellStart"/>
      <w:r w:rsidRPr="00EB5CD2">
        <w:rPr>
          <w:rFonts w:asciiTheme="majorHAnsi" w:hAnsiTheme="majorHAnsi" w:cstheme="majorHAnsi"/>
          <w:i/>
          <w:iCs/>
          <w:color w:val="000000" w:themeColor="text1"/>
          <w:shd w:val="clear" w:color="auto" w:fill="FFFFFF"/>
        </w:rPr>
        <w:t>Oppler</w:t>
      </w:r>
      <w:proofErr w:type="spellEnd"/>
      <w:r w:rsidRPr="00EB5CD2">
        <w:rPr>
          <w:rFonts w:asciiTheme="majorHAnsi" w:hAnsiTheme="majorHAnsi" w:cstheme="majorHAnsi"/>
          <w:i/>
          <w:iCs/>
          <w:color w:val="000000" w:themeColor="text1"/>
          <w:shd w:val="clear" w:color="auto" w:fill="FFFFFF"/>
        </w:rPr>
        <w:t>, S. (1997). Partners against crime: from community to partnership policing. Institute for Security Studies Papers, 1997(16).</w:t>
      </w:r>
    </w:p>
    <w:p w14:paraId="1AA56B2C" w14:textId="623933BB" w:rsidR="00573CF9" w:rsidRPr="00EB5CD2" w:rsidRDefault="00B2666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t xml:space="preserve">Police Community Support Officer (PCSO) (2019) College of Policing. Available at: https://profdev.college.police.uk/professional-profile/police-community-support-officer-pcso/#skills (Accessed: 06 March 2024). </w:t>
      </w:r>
    </w:p>
    <w:p w14:paraId="13EB4716" w14:textId="71A1D28A" w:rsidR="00565D56" w:rsidRPr="00EB5CD2" w:rsidRDefault="00565D56" w:rsidP="00C62AF8">
      <w:pPr>
        <w:spacing w:before="100" w:beforeAutospacing="1" w:after="100" w:afterAutospacing="1" w:line="240" w:lineRule="auto"/>
        <w:ind w:left="567" w:hanging="567"/>
        <w:jc w:val="both"/>
        <w:rPr>
          <w:rFonts w:asciiTheme="majorHAnsi" w:eastAsia="Times New Roman" w:hAnsiTheme="majorHAnsi" w:cstheme="majorHAnsi"/>
          <w:i/>
          <w:iCs/>
          <w:color w:val="000000" w:themeColor="text1"/>
          <w:kern w:val="0"/>
          <w:lang w:eastAsia="en-GB"/>
          <w14:ligatures w14:val="none"/>
        </w:rPr>
      </w:pPr>
      <w:r w:rsidRPr="00EB5CD2">
        <w:rPr>
          <w:rFonts w:asciiTheme="majorHAnsi" w:eastAsia="Times New Roman" w:hAnsiTheme="majorHAnsi" w:cstheme="majorHAnsi"/>
          <w:i/>
          <w:iCs/>
          <w:color w:val="000000" w:themeColor="text1"/>
          <w:kern w:val="0"/>
          <w:lang w:eastAsia="en-GB"/>
          <w14:ligatures w14:val="none"/>
        </w:rPr>
        <w:t>Putting the public first, https://www.polfed.org/media/13687/putting_the_public_first.pdf (Accessed 27 April 2024)</w:t>
      </w:r>
    </w:p>
    <w:p w14:paraId="487F0655" w14:textId="77777777" w:rsidR="00B2666A" w:rsidRPr="00EB5CD2" w:rsidRDefault="00B2666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t xml:space="preserve">Schiavo, R. (2021) ‘What is true community engagement and why it matters (now more than ever)’, Journal of Communication in Healthcare, 14(2), pp. 91–92. doi:10.1080/17538068.2021.1935569. </w:t>
      </w:r>
    </w:p>
    <w:p w14:paraId="3479D1CD" w14:textId="1D7388BF" w:rsidR="001800F7" w:rsidRPr="00EB5CD2" w:rsidRDefault="001800F7"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shd w:val="clear" w:color="auto" w:fill="FFFFFF"/>
        </w:rPr>
        <w:t xml:space="preserve">Starbird, K., Maddock, J., Orand, M., </w:t>
      </w:r>
      <w:proofErr w:type="spellStart"/>
      <w:r w:rsidRPr="00EB5CD2">
        <w:rPr>
          <w:rFonts w:asciiTheme="majorHAnsi" w:hAnsiTheme="majorHAnsi" w:cstheme="majorHAnsi"/>
          <w:i/>
          <w:iCs/>
          <w:color w:val="000000" w:themeColor="text1"/>
          <w:sz w:val="22"/>
          <w:szCs w:val="22"/>
          <w:shd w:val="clear" w:color="auto" w:fill="FFFFFF"/>
        </w:rPr>
        <w:t>Achterman</w:t>
      </w:r>
      <w:proofErr w:type="spellEnd"/>
      <w:r w:rsidRPr="00EB5CD2">
        <w:rPr>
          <w:rFonts w:asciiTheme="majorHAnsi" w:hAnsiTheme="majorHAnsi" w:cstheme="majorHAnsi"/>
          <w:i/>
          <w:iCs/>
          <w:color w:val="000000" w:themeColor="text1"/>
          <w:sz w:val="22"/>
          <w:szCs w:val="22"/>
          <w:shd w:val="clear" w:color="auto" w:fill="FFFFFF"/>
        </w:rPr>
        <w:t xml:space="preserve">, P., &amp; Mason, R. M. (2014). </w:t>
      </w:r>
      <w:proofErr w:type="spellStart"/>
      <w:r w:rsidRPr="00EB5CD2">
        <w:rPr>
          <w:rFonts w:asciiTheme="majorHAnsi" w:hAnsiTheme="majorHAnsi" w:cstheme="majorHAnsi"/>
          <w:i/>
          <w:iCs/>
          <w:color w:val="000000" w:themeColor="text1"/>
          <w:sz w:val="22"/>
          <w:szCs w:val="22"/>
          <w:shd w:val="clear" w:color="auto" w:fill="FFFFFF"/>
        </w:rPr>
        <w:t>Rumors</w:t>
      </w:r>
      <w:proofErr w:type="spellEnd"/>
      <w:r w:rsidRPr="00EB5CD2">
        <w:rPr>
          <w:rFonts w:asciiTheme="majorHAnsi" w:hAnsiTheme="majorHAnsi" w:cstheme="majorHAnsi"/>
          <w:i/>
          <w:iCs/>
          <w:color w:val="000000" w:themeColor="text1"/>
          <w:sz w:val="22"/>
          <w:szCs w:val="22"/>
          <w:shd w:val="clear" w:color="auto" w:fill="FFFFFF"/>
        </w:rPr>
        <w:t>, false flags, and digital vigilantes: Misinformation on twitter after the 2013 Boston marathon bombing. https://hdl.handle.net/2142/47257</w:t>
      </w:r>
    </w:p>
    <w:p w14:paraId="4C22D966" w14:textId="77777777" w:rsidR="00B2666A" w:rsidRPr="00EB5CD2" w:rsidRDefault="00B2666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t xml:space="preserve">Trotter, J.K. (2022) Five best Thursday columns, The Atlantic. Available at: https://www.theatlantic.com/national/archive/2013/04/five-best-thursday-columns/316149/ (Accessed: 06 March 2024). </w:t>
      </w:r>
    </w:p>
    <w:p w14:paraId="6FFAF4D2" w14:textId="77777777" w:rsidR="00B2666A" w:rsidRPr="00EB5CD2" w:rsidRDefault="00B2666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lastRenderedPageBreak/>
        <w:t xml:space="preserve">Tudor, S. (no date) Police standards and culture: Restoring public trust. Available at: https://lordslibrary.parliament.uk/police-standards-and-culture-restoring-public-trust (Accessed: 06 March 2024). </w:t>
      </w:r>
    </w:p>
    <w:p w14:paraId="098F032B" w14:textId="77777777" w:rsidR="00B2666A" w:rsidRPr="00EB5CD2" w:rsidRDefault="00B2666A"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t xml:space="preserve">Vrij, A., Hope, L. and Fisher, R.P. (2014) ‘Eliciting reliable information in investigative interviews’, Policy Insights from the Behavioural and Brain Sciences, 1(1), pp. 129–136. doi:10.1177/2372732214548592. </w:t>
      </w:r>
    </w:p>
    <w:p w14:paraId="5EE9FBA1" w14:textId="04BFAB3A" w:rsidR="00836242" w:rsidRPr="00EB5CD2" w:rsidRDefault="00D5300E" w:rsidP="00C62AF8">
      <w:pPr>
        <w:pStyle w:val="NormalWeb"/>
        <w:ind w:left="567" w:hanging="567"/>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shd w:val="clear" w:color="auto" w:fill="FFFFFF"/>
        </w:rPr>
        <w:t>Weisburd, D., Telep, C. W., Hinkle, J. C., &amp; Eck, J. E. (2008). The effects of problem‐oriented policing on crime and disorder. Campbell systematic reviews, 4(1), 1-87.</w:t>
      </w:r>
    </w:p>
    <w:p w14:paraId="4E794B3B" w14:textId="2160285D" w:rsidR="00B2666A" w:rsidRPr="00EB5CD2" w:rsidRDefault="00B2666A" w:rsidP="00C62AF8">
      <w:pPr>
        <w:pStyle w:val="NormalWeb"/>
        <w:ind w:left="720" w:hanging="720"/>
        <w:jc w:val="both"/>
        <w:rPr>
          <w:rFonts w:asciiTheme="majorHAnsi" w:hAnsiTheme="majorHAnsi" w:cstheme="majorHAnsi"/>
          <w:i/>
          <w:iCs/>
          <w:color w:val="000000" w:themeColor="text1"/>
          <w:sz w:val="22"/>
          <w:szCs w:val="22"/>
        </w:rPr>
      </w:pPr>
      <w:r w:rsidRPr="00EB5CD2">
        <w:rPr>
          <w:rFonts w:asciiTheme="majorHAnsi" w:hAnsiTheme="majorHAnsi" w:cstheme="majorHAnsi"/>
          <w:i/>
          <w:iCs/>
          <w:color w:val="000000" w:themeColor="text1"/>
          <w:sz w:val="22"/>
          <w:szCs w:val="22"/>
        </w:rPr>
        <w:t xml:space="preserve">When and how to use masks (2021) World Health </w:t>
      </w:r>
      <w:r w:rsidR="00BF78B0" w:rsidRPr="00EB5CD2">
        <w:rPr>
          <w:rFonts w:asciiTheme="majorHAnsi" w:hAnsiTheme="majorHAnsi" w:cstheme="majorHAnsi"/>
          <w:i/>
          <w:iCs/>
          <w:color w:val="000000" w:themeColor="text1"/>
          <w:sz w:val="22"/>
          <w:szCs w:val="22"/>
        </w:rPr>
        <w:t>Organis</w:t>
      </w:r>
      <w:r w:rsidRPr="00EB5CD2">
        <w:rPr>
          <w:rFonts w:asciiTheme="majorHAnsi" w:hAnsiTheme="majorHAnsi" w:cstheme="majorHAnsi"/>
          <w:i/>
          <w:iCs/>
          <w:color w:val="000000" w:themeColor="text1"/>
          <w:sz w:val="22"/>
          <w:szCs w:val="22"/>
        </w:rPr>
        <w:t xml:space="preserve">ation. Available at: https://www.who.int/emergencies/diseases/novel-coronavirus-2019/advice-for-public/when-and-how-to-use-masks (Accessed: 06 March 2024). </w:t>
      </w:r>
    </w:p>
    <w:p w14:paraId="2C16B7AE" w14:textId="77777777" w:rsidR="00933125" w:rsidRPr="00EB5CD2" w:rsidRDefault="00933125" w:rsidP="00C62AF8">
      <w:pPr>
        <w:spacing w:before="100" w:beforeAutospacing="1" w:after="100" w:afterAutospacing="1" w:line="240" w:lineRule="auto"/>
        <w:ind w:left="720" w:hanging="720"/>
        <w:jc w:val="both"/>
        <w:rPr>
          <w:rFonts w:asciiTheme="majorHAnsi" w:eastAsia="Times New Roman" w:hAnsiTheme="majorHAnsi" w:cstheme="majorHAnsi"/>
          <w:i/>
          <w:iCs/>
          <w:color w:val="000000" w:themeColor="text1"/>
          <w:kern w:val="0"/>
          <w:lang w:eastAsia="en-GB"/>
          <w14:ligatures w14:val="none"/>
        </w:rPr>
      </w:pPr>
      <w:r w:rsidRPr="00EB5CD2">
        <w:rPr>
          <w:rFonts w:asciiTheme="majorHAnsi" w:eastAsia="Times New Roman" w:hAnsiTheme="majorHAnsi" w:cstheme="majorHAnsi"/>
          <w:i/>
          <w:iCs/>
          <w:color w:val="000000" w:themeColor="text1"/>
          <w:kern w:val="0"/>
          <w:lang w:eastAsia="en-GB"/>
          <w14:ligatures w14:val="none"/>
        </w:rPr>
        <w:t xml:space="preserve">Zanchetta, M. (2023) What is community engagement: Concept and methods, </w:t>
      </w:r>
      <w:proofErr w:type="spellStart"/>
      <w:r w:rsidRPr="00EB5CD2">
        <w:rPr>
          <w:rFonts w:asciiTheme="majorHAnsi" w:eastAsia="Times New Roman" w:hAnsiTheme="majorHAnsi" w:cstheme="majorHAnsi"/>
          <w:i/>
          <w:iCs/>
          <w:color w:val="000000" w:themeColor="text1"/>
          <w:kern w:val="0"/>
          <w:lang w:eastAsia="en-GB"/>
          <w14:ligatures w14:val="none"/>
        </w:rPr>
        <w:t>Tractivity</w:t>
      </w:r>
      <w:proofErr w:type="spellEnd"/>
      <w:r w:rsidRPr="00EB5CD2">
        <w:rPr>
          <w:rFonts w:asciiTheme="majorHAnsi" w:eastAsia="Times New Roman" w:hAnsiTheme="majorHAnsi" w:cstheme="majorHAnsi"/>
          <w:i/>
          <w:iCs/>
          <w:color w:val="000000" w:themeColor="text1"/>
          <w:kern w:val="0"/>
          <w:lang w:eastAsia="en-GB"/>
          <w14:ligatures w14:val="none"/>
        </w:rPr>
        <w:t xml:space="preserve">. Available at: https://www.tractivity.co.uk/blog/what-is-community-engagement#:~:text=There%20are%20several%20different%20methods%20that%20can%20be,Website%20and%20blog%20...%207%20Social%20media%20 (Accessed: 24 April 2024). </w:t>
      </w:r>
    </w:p>
    <w:p w14:paraId="1205D7E6" w14:textId="2CC53580" w:rsidR="001C47AF" w:rsidRPr="00EB5CD2" w:rsidRDefault="001C47AF" w:rsidP="00DF50DD">
      <w:pPr>
        <w:jc w:val="both"/>
        <w:rPr>
          <w:rFonts w:asciiTheme="majorHAnsi" w:hAnsiTheme="majorHAnsi" w:cstheme="majorHAnsi"/>
          <w:b/>
          <w:bCs/>
        </w:rPr>
      </w:pPr>
    </w:p>
    <w:sectPr w:rsidR="001C47AF" w:rsidRPr="00EB5C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3CC"/>
    <w:rsid w:val="00000BAE"/>
    <w:rsid w:val="00001AC3"/>
    <w:rsid w:val="00011441"/>
    <w:rsid w:val="00012A8C"/>
    <w:rsid w:val="0005151D"/>
    <w:rsid w:val="00053463"/>
    <w:rsid w:val="00065E69"/>
    <w:rsid w:val="000807F9"/>
    <w:rsid w:val="000C04B2"/>
    <w:rsid w:val="000C083E"/>
    <w:rsid w:val="000E08FE"/>
    <w:rsid w:val="000F3813"/>
    <w:rsid w:val="0011649A"/>
    <w:rsid w:val="00117AC2"/>
    <w:rsid w:val="00141BDF"/>
    <w:rsid w:val="00170BB0"/>
    <w:rsid w:val="0017245D"/>
    <w:rsid w:val="001800F7"/>
    <w:rsid w:val="001B704B"/>
    <w:rsid w:val="001C47AF"/>
    <w:rsid w:val="001C7242"/>
    <w:rsid w:val="001D5B91"/>
    <w:rsid w:val="001E2678"/>
    <w:rsid w:val="001E307E"/>
    <w:rsid w:val="001F30DE"/>
    <w:rsid w:val="002301B9"/>
    <w:rsid w:val="00243D32"/>
    <w:rsid w:val="00251987"/>
    <w:rsid w:val="0026777E"/>
    <w:rsid w:val="00280CDB"/>
    <w:rsid w:val="00283C69"/>
    <w:rsid w:val="002A79F3"/>
    <w:rsid w:val="002B420E"/>
    <w:rsid w:val="002C4318"/>
    <w:rsid w:val="002D346F"/>
    <w:rsid w:val="002F2791"/>
    <w:rsid w:val="00317C9C"/>
    <w:rsid w:val="003233B5"/>
    <w:rsid w:val="00326E80"/>
    <w:rsid w:val="00352AFC"/>
    <w:rsid w:val="003F7AEA"/>
    <w:rsid w:val="00405DE3"/>
    <w:rsid w:val="00406D39"/>
    <w:rsid w:val="00451638"/>
    <w:rsid w:val="004632EB"/>
    <w:rsid w:val="00467814"/>
    <w:rsid w:val="004749BB"/>
    <w:rsid w:val="00497ADB"/>
    <w:rsid w:val="004B629B"/>
    <w:rsid w:val="004D0885"/>
    <w:rsid w:val="004E1D36"/>
    <w:rsid w:val="00500688"/>
    <w:rsid w:val="00513ED1"/>
    <w:rsid w:val="00530F08"/>
    <w:rsid w:val="0054288B"/>
    <w:rsid w:val="00544607"/>
    <w:rsid w:val="00544908"/>
    <w:rsid w:val="0056460E"/>
    <w:rsid w:val="00565D56"/>
    <w:rsid w:val="00573CF9"/>
    <w:rsid w:val="005C189B"/>
    <w:rsid w:val="005D63CC"/>
    <w:rsid w:val="00640001"/>
    <w:rsid w:val="00646212"/>
    <w:rsid w:val="00655642"/>
    <w:rsid w:val="006662C8"/>
    <w:rsid w:val="00677805"/>
    <w:rsid w:val="006B0D00"/>
    <w:rsid w:val="00727AEE"/>
    <w:rsid w:val="007D1D30"/>
    <w:rsid w:val="007D2D8F"/>
    <w:rsid w:val="007F44FF"/>
    <w:rsid w:val="00815977"/>
    <w:rsid w:val="00836242"/>
    <w:rsid w:val="00853A28"/>
    <w:rsid w:val="0085796F"/>
    <w:rsid w:val="00887973"/>
    <w:rsid w:val="008928B5"/>
    <w:rsid w:val="00892951"/>
    <w:rsid w:val="008B3E67"/>
    <w:rsid w:val="008D1461"/>
    <w:rsid w:val="008D63BA"/>
    <w:rsid w:val="008E4801"/>
    <w:rsid w:val="00920530"/>
    <w:rsid w:val="00933125"/>
    <w:rsid w:val="00966FF4"/>
    <w:rsid w:val="00971EC8"/>
    <w:rsid w:val="00973325"/>
    <w:rsid w:val="00974507"/>
    <w:rsid w:val="009C46D8"/>
    <w:rsid w:val="009C521A"/>
    <w:rsid w:val="009E102A"/>
    <w:rsid w:val="009E324C"/>
    <w:rsid w:val="009F6871"/>
    <w:rsid w:val="00A11FE1"/>
    <w:rsid w:val="00A31931"/>
    <w:rsid w:val="00A71E1D"/>
    <w:rsid w:val="00A804EB"/>
    <w:rsid w:val="00A9069D"/>
    <w:rsid w:val="00AD3896"/>
    <w:rsid w:val="00AF15DB"/>
    <w:rsid w:val="00B104CF"/>
    <w:rsid w:val="00B2153A"/>
    <w:rsid w:val="00B2666A"/>
    <w:rsid w:val="00B74148"/>
    <w:rsid w:val="00B87ED3"/>
    <w:rsid w:val="00BA0848"/>
    <w:rsid w:val="00BB5E91"/>
    <w:rsid w:val="00BF2735"/>
    <w:rsid w:val="00BF78B0"/>
    <w:rsid w:val="00C24CF7"/>
    <w:rsid w:val="00C62AF8"/>
    <w:rsid w:val="00CC795C"/>
    <w:rsid w:val="00CF6276"/>
    <w:rsid w:val="00D013CE"/>
    <w:rsid w:val="00D05649"/>
    <w:rsid w:val="00D137AB"/>
    <w:rsid w:val="00D2453F"/>
    <w:rsid w:val="00D32510"/>
    <w:rsid w:val="00D5300E"/>
    <w:rsid w:val="00DB5F12"/>
    <w:rsid w:val="00DE0854"/>
    <w:rsid w:val="00DF50DD"/>
    <w:rsid w:val="00E172D8"/>
    <w:rsid w:val="00E1778F"/>
    <w:rsid w:val="00E34684"/>
    <w:rsid w:val="00E47963"/>
    <w:rsid w:val="00E5275D"/>
    <w:rsid w:val="00E5529B"/>
    <w:rsid w:val="00E672B3"/>
    <w:rsid w:val="00E85F7C"/>
    <w:rsid w:val="00EA4744"/>
    <w:rsid w:val="00EB5CD2"/>
    <w:rsid w:val="00EC4996"/>
    <w:rsid w:val="00F1134A"/>
    <w:rsid w:val="00F57840"/>
    <w:rsid w:val="00F84173"/>
    <w:rsid w:val="00FB08A7"/>
    <w:rsid w:val="00FF03C4"/>
    <w:rsid w:val="00FF4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E25D2"/>
  <w15:docId w15:val="{77AF5227-DFA3-460C-BB49-8842AA0D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63CC"/>
    <w:rPr>
      <w:color w:val="0563C1" w:themeColor="hyperlink"/>
      <w:u w:val="single"/>
    </w:rPr>
  </w:style>
  <w:style w:type="character" w:styleId="UnresolvedMention">
    <w:name w:val="Unresolved Mention"/>
    <w:basedOn w:val="DefaultParagraphFont"/>
    <w:uiPriority w:val="99"/>
    <w:semiHidden/>
    <w:unhideWhenUsed/>
    <w:rsid w:val="005D63CC"/>
    <w:rPr>
      <w:color w:val="605E5C"/>
      <w:shd w:val="clear" w:color="auto" w:fill="E1DFDD"/>
    </w:rPr>
  </w:style>
  <w:style w:type="character" w:styleId="FollowedHyperlink">
    <w:name w:val="FollowedHyperlink"/>
    <w:basedOn w:val="DefaultParagraphFont"/>
    <w:uiPriority w:val="99"/>
    <w:semiHidden/>
    <w:unhideWhenUsed/>
    <w:rsid w:val="007D2D8F"/>
    <w:rPr>
      <w:color w:val="954F72" w:themeColor="followedHyperlink"/>
      <w:u w:val="single"/>
    </w:rPr>
  </w:style>
  <w:style w:type="paragraph" w:styleId="NormalWeb">
    <w:name w:val="Normal (Web)"/>
    <w:basedOn w:val="Normal"/>
    <w:uiPriority w:val="99"/>
    <w:unhideWhenUsed/>
    <w:rsid w:val="007D2D8F"/>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PlainText">
    <w:name w:val="Plain Text"/>
    <w:basedOn w:val="Normal"/>
    <w:link w:val="PlainTextChar"/>
    <w:uiPriority w:val="99"/>
    <w:unhideWhenUsed/>
    <w:rsid w:val="0054288B"/>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54288B"/>
    <w:rPr>
      <w:rFonts w:ascii="Calibri" w:hAnsi="Calibri"/>
      <w:szCs w:val="21"/>
    </w:rPr>
  </w:style>
  <w:style w:type="character" w:styleId="Emphasis">
    <w:name w:val="Emphasis"/>
    <w:basedOn w:val="DefaultParagraphFont"/>
    <w:uiPriority w:val="20"/>
    <w:qFormat/>
    <w:rsid w:val="008362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10893">
      <w:bodyDiv w:val="1"/>
      <w:marLeft w:val="0"/>
      <w:marRight w:val="0"/>
      <w:marTop w:val="0"/>
      <w:marBottom w:val="0"/>
      <w:divBdr>
        <w:top w:val="none" w:sz="0" w:space="0" w:color="auto"/>
        <w:left w:val="none" w:sz="0" w:space="0" w:color="auto"/>
        <w:bottom w:val="none" w:sz="0" w:space="0" w:color="auto"/>
        <w:right w:val="none" w:sz="0" w:space="0" w:color="auto"/>
      </w:divBdr>
    </w:div>
    <w:div w:id="148600752">
      <w:bodyDiv w:val="1"/>
      <w:marLeft w:val="0"/>
      <w:marRight w:val="0"/>
      <w:marTop w:val="0"/>
      <w:marBottom w:val="0"/>
      <w:divBdr>
        <w:top w:val="none" w:sz="0" w:space="0" w:color="auto"/>
        <w:left w:val="none" w:sz="0" w:space="0" w:color="auto"/>
        <w:bottom w:val="none" w:sz="0" w:space="0" w:color="auto"/>
        <w:right w:val="none" w:sz="0" w:space="0" w:color="auto"/>
      </w:divBdr>
    </w:div>
    <w:div w:id="181826643">
      <w:bodyDiv w:val="1"/>
      <w:marLeft w:val="0"/>
      <w:marRight w:val="0"/>
      <w:marTop w:val="0"/>
      <w:marBottom w:val="0"/>
      <w:divBdr>
        <w:top w:val="none" w:sz="0" w:space="0" w:color="auto"/>
        <w:left w:val="none" w:sz="0" w:space="0" w:color="auto"/>
        <w:bottom w:val="none" w:sz="0" w:space="0" w:color="auto"/>
        <w:right w:val="none" w:sz="0" w:space="0" w:color="auto"/>
      </w:divBdr>
    </w:div>
    <w:div w:id="241959813">
      <w:bodyDiv w:val="1"/>
      <w:marLeft w:val="0"/>
      <w:marRight w:val="0"/>
      <w:marTop w:val="0"/>
      <w:marBottom w:val="0"/>
      <w:divBdr>
        <w:top w:val="none" w:sz="0" w:space="0" w:color="auto"/>
        <w:left w:val="none" w:sz="0" w:space="0" w:color="auto"/>
        <w:bottom w:val="none" w:sz="0" w:space="0" w:color="auto"/>
        <w:right w:val="none" w:sz="0" w:space="0" w:color="auto"/>
      </w:divBdr>
    </w:div>
    <w:div w:id="286356836">
      <w:bodyDiv w:val="1"/>
      <w:marLeft w:val="0"/>
      <w:marRight w:val="0"/>
      <w:marTop w:val="0"/>
      <w:marBottom w:val="0"/>
      <w:divBdr>
        <w:top w:val="none" w:sz="0" w:space="0" w:color="auto"/>
        <w:left w:val="none" w:sz="0" w:space="0" w:color="auto"/>
        <w:bottom w:val="none" w:sz="0" w:space="0" w:color="auto"/>
        <w:right w:val="none" w:sz="0" w:space="0" w:color="auto"/>
      </w:divBdr>
    </w:div>
    <w:div w:id="365372665">
      <w:bodyDiv w:val="1"/>
      <w:marLeft w:val="0"/>
      <w:marRight w:val="0"/>
      <w:marTop w:val="0"/>
      <w:marBottom w:val="0"/>
      <w:divBdr>
        <w:top w:val="none" w:sz="0" w:space="0" w:color="auto"/>
        <w:left w:val="none" w:sz="0" w:space="0" w:color="auto"/>
        <w:bottom w:val="none" w:sz="0" w:space="0" w:color="auto"/>
        <w:right w:val="none" w:sz="0" w:space="0" w:color="auto"/>
      </w:divBdr>
    </w:div>
    <w:div w:id="386539387">
      <w:bodyDiv w:val="1"/>
      <w:marLeft w:val="0"/>
      <w:marRight w:val="0"/>
      <w:marTop w:val="0"/>
      <w:marBottom w:val="0"/>
      <w:divBdr>
        <w:top w:val="none" w:sz="0" w:space="0" w:color="auto"/>
        <w:left w:val="none" w:sz="0" w:space="0" w:color="auto"/>
        <w:bottom w:val="none" w:sz="0" w:space="0" w:color="auto"/>
        <w:right w:val="none" w:sz="0" w:space="0" w:color="auto"/>
      </w:divBdr>
    </w:div>
    <w:div w:id="583271191">
      <w:bodyDiv w:val="1"/>
      <w:marLeft w:val="0"/>
      <w:marRight w:val="0"/>
      <w:marTop w:val="0"/>
      <w:marBottom w:val="0"/>
      <w:divBdr>
        <w:top w:val="none" w:sz="0" w:space="0" w:color="auto"/>
        <w:left w:val="none" w:sz="0" w:space="0" w:color="auto"/>
        <w:bottom w:val="none" w:sz="0" w:space="0" w:color="auto"/>
        <w:right w:val="none" w:sz="0" w:space="0" w:color="auto"/>
      </w:divBdr>
    </w:div>
    <w:div w:id="603149585">
      <w:bodyDiv w:val="1"/>
      <w:marLeft w:val="0"/>
      <w:marRight w:val="0"/>
      <w:marTop w:val="0"/>
      <w:marBottom w:val="0"/>
      <w:divBdr>
        <w:top w:val="none" w:sz="0" w:space="0" w:color="auto"/>
        <w:left w:val="none" w:sz="0" w:space="0" w:color="auto"/>
        <w:bottom w:val="none" w:sz="0" w:space="0" w:color="auto"/>
        <w:right w:val="none" w:sz="0" w:space="0" w:color="auto"/>
      </w:divBdr>
    </w:div>
    <w:div w:id="617494814">
      <w:bodyDiv w:val="1"/>
      <w:marLeft w:val="0"/>
      <w:marRight w:val="0"/>
      <w:marTop w:val="0"/>
      <w:marBottom w:val="0"/>
      <w:divBdr>
        <w:top w:val="none" w:sz="0" w:space="0" w:color="auto"/>
        <w:left w:val="none" w:sz="0" w:space="0" w:color="auto"/>
        <w:bottom w:val="none" w:sz="0" w:space="0" w:color="auto"/>
        <w:right w:val="none" w:sz="0" w:space="0" w:color="auto"/>
      </w:divBdr>
    </w:div>
    <w:div w:id="635642130">
      <w:bodyDiv w:val="1"/>
      <w:marLeft w:val="0"/>
      <w:marRight w:val="0"/>
      <w:marTop w:val="0"/>
      <w:marBottom w:val="0"/>
      <w:divBdr>
        <w:top w:val="none" w:sz="0" w:space="0" w:color="auto"/>
        <w:left w:val="none" w:sz="0" w:space="0" w:color="auto"/>
        <w:bottom w:val="none" w:sz="0" w:space="0" w:color="auto"/>
        <w:right w:val="none" w:sz="0" w:space="0" w:color="auto"/>
      </w:divBdr>
    </w:div>
    <w:div w:id="686755195">
      <w:bodyDiv w:val="1"/>
      <w:marLeft w:val="0"/>
      <w:marRight w:val="0"/>
      <w:marTop w:val="0"/>
      <w:marBottom w:val="0"/>
      <w:divBdr>
        <w:top w:val="none" w:sz="0" w:space="0" w:color="auto"/>
        <w:left w:val="none" w:sz="0" w:space="0" w:color="auto"/>
        <w:bottom w:val="none" w:sz="0" w:space="0" w:color="auto"/>
        <w:right w:val="none" w:sz="0" w:space="0" w:color="auto"/>
      </w:divBdr>
    </w:div>
    <w:div w:id="725643986">
      <w:bodyDiv w:val="1"/>
      <w:marLeft w:val="0"/>
      <w:marRight w:val="0"/>
      <w:marTop w:val="0"/>
      <w:marBottom w:val="0"/>
      <w:divBdr>
        <w:top w:val="none" w:sz="0" w:space="0" w:color="auto"/>
        <w:left w:val="none" w:sz="0" w:space="0" w:color="auto"/>
        <w:bottom w:val="none" w:sz="0" w:space="0" w:color="auto"/>
        <w:right w:val="none" w:sz="0" w:space="0" w:color="auto"/>
      </w:divBdr>
    </w:div>
    <w:div w:id="755982144">
      <w:bodyDiv w:val="1"/>
      <w:marLeft w:val="0"/>
      <w:marRight w:val="0"/>
      <w:marTop w:val="0"/>
      <w:marBottom w:val="0"/>
      <w:divBdr>
        <w:top w:val="none" w:sz="0" w:space="0" w:color="auto"/>
        <w:left w:val="none" w:sz="0" w:space="0" w:color="auto"/>
        <w:bottom w:val="none" w:sz="0" w:space="0" w:color="auto"/>
        <w:right w:val="none" w:sz="0" w:space="0" w:color="auto"/>
      </w:divBdr>
    </w:div>
    <w:div w:id="1020274060">
      <w:bodyDiv w:val="1"/>
      <w:marLeft w:val="0"/>
      <w:marRight w:val="0"/>
      <w:marTop w:val="0"/>
      <w:marBottom w:val="0"/>
      <w:divBdr>
        <w:top w:val="none" w:sz="0" w:space="0" w:color="auto"/>
        <w:left w:val="none" w:sz="0" w:space="0" w:color="auto"/>
        <w:bottom w:val="none" w:sz="0" w:space="0" w:color="auto"/>
        <w:right w:val="none" w:sz="0" w:space="0" w:color="auto"/>
      </w:divBdr>
    </w:div>
    <w:div w:id="1062173441">
      <w:bodyDiv w:val="1"/>
      <w:marLeft w:val="0"/>
      <w:marRight w:val="0"/>
      <w:marTop w:val="0"/>
      <w:marBottom w:val="0"/>
      <w:divBdr>
        <w:top w:val="none" w:sz="0" w:space="0" w:color="auto"/>
        <w:left w:val="none" w:sz="0" w:space="0" w:color="auto"/>
        <w:bottom w:val="none" w:sz="0" w:space="0" w:color="auto"/>
        <w:right w:val="none" w:sz="0" w:space="0" w:color="auto"/>
      </w:divBdr>
    </w:div>
    <w:div w:id="1079255608">
      <w:bodyDiv w:val="1"/>
      <w:marLeft w:val="0"/>
      <w:marRight w:val="0"/>
      <w:marTop w:val="0"/>
      <w:marBottom w:val="0"/>
      <w:divBdr>
        <w:top w:val="none" w:sz="0" w:space="0" w:color="auto"/>
        <w:left w:val="none" w:sz="0" w:space="0" w:color="auto"/>
        <w:bottom w:val="none" w:sz="0" w:space="0" w:color="auto"/>
        <w:right w:val="none" w:sz="0" w:space="0" w:color="auto"/>
      </w:divBdr>
    </w:div>
    <w:div w:id="1221595250">
      <w:bodyDiv w:val="1"/>
      <w:marLeft w:val="0"/>
      <w:marRight w:val="0"/>
      <w:marTop w:val="0"/>
      <w:marBottom w:val="0"/>
      <w:divBdr>
        <w:top w:val="none" w:sz="0" w:space="0" w:color="auto"/>
        <w:left w:val="none" w:sz="0" w:space="0" w:color="auto"/>
        <w:bottom w:val="none" w:sz="0" w:space="0" w:color="auto"/>
        <w:right w:val="none" w:sz="0" w:space="0" w:color="auto"/>
      </w:divBdr>
    </w:div>
    <w:div w:id="1370492876">
      <w:bodyDiv w:val="1"/>
      <w:marLeft w:val="0"/>
      <w:marRight w:val="0"/>
      <w:marTop w:val="0"/>
      <w:marBottom w:val="0"/>
      <w:divBdr>
        <w:top w:val="none" w:sz="0" w:space="0" w:color="auto"/>
        <w:left w:val="none" w:sz="0" w:space="0" w:color="auto"/>
        <w:bottom w:val="none" w:sz="0" w:space="0" w:color="auto"/>
        <w:right w:val="none" w:sz="0" w:space="0" w:color="auto"/>
      </w:divBdr>
    </w:div>
    <w:div w:id="1459109099">
      <w:bodyDiv w:val="1"/>
      <w:marLeft w:val="0"/>
      <w:marRight w:val="0"/>
      <w:marTop w:val="0"/>
      <w:marBottom w:val="0"/>
      <w:divBdr>
        <w:top w:val="none" w:sz="0" w:space="0" w:color="auto"/>
        <w:left w:val="none" w:sz="0" w:space="0" w:color="auto"/>
        <w:bottom w:val="none" w:sz="0" w:space="0" w:color="auto"/>
        <w:right w:val="none" w:sz="0" w:space="0" w:color="auto"/>
      </w:divBdr>
    </w:div>
    <w:div w:id="1529106107">
      <w:bodyDiv w:val="1"/>
      <w:marLeft w:val="0"/>
      <w:marRight w:val="0"/>
      <w:marTop w:val="0"/>
      <w:marBottom w:val="0"/>
      <w:divBdr>
        <w:top w:val="none" w:sz="0" w:space="0" w:color="auto"/>
        <w:left w:val="none" w:sz="0" w:space="0" w:color="auto"/>
        <w:bottom w:val="none" w:sz="0" w:space="0" w:color="auto"/>
        <w:right w:val="none" w:sz="0" w:space="0" w:color="auto"/>
      </w:divBdr>
    </w:div>
    <w:div w:id="1558124399">
      <w:bodyDiv w:val="1"/>
      <w:marLeft w:val="0"/>
      <w:marRight w:val="0"/>
      <w:marTop w:val="0"/>
      <w:marBottom w:val="0"/>
      <w:divBdr>
        <w:top w:val="none" w:sz="0" w:space="0" w:color="auto"/>
        <w:left w:val="none" w:sz="0" w:space="0" w:color="auto"/>
        <w:bottom w:val="none" w:sz="0" w:space="0" w:color="auto"/>
        <w:right w:val="none" w:sz="0" w:space="0" w:color="auto"/>
      </w:divBdr>
    </w:div>
    <w:div w:id="1615869863">
      <w:bodyDiv w:val="1"/>
      <w:marLeft w:val="0"/>
      <w:marRight w:val="0"/>
      <w:marTop w:val="0"/>
      <w:marBottom w:val="0"/>
      <w:divBdr>
        <w:top w:val="none" w:sz="0" w:space="0" w:color="auto"/>
        <w:left w:val="none" w:sz="0" w:space="0" w:color="auto"/>
        <w:bottom w:val="none" w:sz="0" w:space="0" w:color="auto"/>
        <w:right w:val="none" w:sz="0" w:space="0" w:color="auto"/>
      </w:divBdr>
    </w:div>
    <w:div w:id="1619143880">
      <w:bodyDiv w:val="1"/>
      <w:marLeft w:val="0"/>
      <w:marRight w:val="0"/>
      <w:marTop w:val="0"/>
      <w:marBottom w:val="0"/>
      <w:divBdr>
        <w:top w:val="none" w:sz="0" w:space="0" w:color="auto"/>
        <w:left w:val="none" w:sz="0" w:space="0" w:color="auto"/>
        <w:bottom w:val="none" w:sz="0" w:space="0" w:color="auto"/>
        <w:right w:val="none" w:sz="0" w:space="0" w:color="auto"/>
      </w:divBdr>
    </w:div>
    <w:div w:id="1641616711">
      <w:bodyDiv w:val="1"/>
      <w:marLeft w:val="0"/>
      <w:marRight w:val="0"/>
      <w:marTop w:val="0"/>
      <w:marBottom w:val="0"/>
      <w:divBdr>
        <w:top w:val="none" w:sz="0" w:space="0" w:color="auto"/>
        <w:left w:val="none" w:sz="0" w:space="0" w:color="auto"/>
        <w:bottom w:val="none" w:sz="0" w:space="0" w:color="auto"/>
        <w:right w:val="none" w:sz="0" w:space="0" w:color="auto"/>
      </w:divBdr>
    </w:div>
    <w:div w:id="1686708489">
      <w:bodyDiv w:val="1"/>
      <w:marLeft w:val="0"/>
      <w:marRight w:val="0"/>
      <w:marTop w:val="0"/>
      <w:marBottom w:val="0"/>
      <w:divBdr>
        <w:top w:val="none" w:sz="0" w:space="0" w:color="auto"/>
        <w:left w:val="none" w:sz="0" w:space="0" w:color="auto"/>
        <w:bottom w:val="none" w:sz="0" w:space="0" w:color="auto"/>
        <w:right w:val="none" w:sz="0" w:space="0" w:color="auto"/>
      </w:divBdr>
    </w:div>
    <w:div w:id="1778601275">
      <w:bodyDiv w:val="1"/>
      <w:marLeft w:val="0"/>
      <w:marRight w:val="0"/>
      <w:marTop w:val="0"/>
      <w:marBottom w:val="0"/>
      <w:divBdr>
        <w:top w:val="none" w:sz="0" w:space="0" w:color="auto"/>
        <w:left w:val="none" w:sz="0" w:space="0" w:color="auto"/>
        <w:bottom w:val="none" w:sz="0" w:space="0" w:color="auto"/>
        <w:right w:val="none" w:sz="0" w:space="0" w:color="auto"/>
      </w:divBdr>
    </w:div>
    <w:div w:id="1787501245">
      <w:bodyDiv w:val="1"/>
      <w:marLeft w:val="0"/>
      <w:marRight w:val="0"/>
      <w:marTop w:val="0"/>
      <w:marBottom w:val="0"/>
      <w:divBdr>
        <w:top w:val="none" w:sz="0" w:space="0" w:color="auto"/>
        <w:left w:val="none" w:sz="0" w:space="0" w:color="auto"/>
        <w:bottom w:val="none" w:sz="0" w:space="0" w:color="auto"/>
        <w:right w:val="none" w:sz="0" w:space="0" w:color="auto"/>
      </w:divBdr>
    </w:div>
    <w:div w:id="1865708928">
      <w:bodyDiv w:val="1"/>
      <w:marLeft w:val="0"/>
      <w:marRight w:val="0"/>
      <w:marTop w:val="0"/>
      <w:marBottom w:val="0"/>
      <w:divBdr>
        <w:top w:val="none" w:sz="0" w:space="0" w:color="auto"/>
        <w:left w:val="none" w:sz="0" w:space="0" w:color="auto"/>
        <w:bottom w:val="none" w:sz="0" w:space="0" w:color="auto"/>
        <w:right w:val="none" w:sz="0" w:space="0" w:color="auto"/>
      </w:divBdr>
    </w:div>
    <w:div w:id="1962347524">
      <w:bodyDiv w:val="1"/>
      <w:marLeft w:val="0"/>
      <w:marRight w:val="0"/>
      <w:marTop w:val="0"/>
      <w:marBottom w:val="0"/>
      <w:divBdr>
        <w:top w:val="none" w:sz="0" w:space="0" w:color="auto"/>
        <w:left w:val="none" w:sz="0" w:space="0" w:color="auto"/>
        <w:bottom w:val="none" w:sz="0" w:space="0" w:color="auto"/>
        <w:right w:val="none" w:sz="0" w:space="0" w:color="auto"/>
      </w:divBdr>
    </w:div>
    <w:div w:id="2098280293">
      <w:bodyDiv w:val="1"/>
      <w:marLeft w:val="0"/>
      <w:marRight w:val="0"/>
      <w:marTop w:val="0"/>
      <w:marBottom w:val="0"/>
      <w:divBdr>
        <w:top w:val="none" w:sz="0" w:space="0" w:color="auto"/>
        <w:left w:val="none" w:sz="0" w:space="0" w:color="auto"/>
        <w:bottom w:val="none" w:sz="0" w:space="0" w:color="auto"/>
        <w:right w:val="none" w:sz="0" w:space="0" w:color="auto"/>
      </w:divBdr>
    </w:div>
    <w:div w:id="2099329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93/police/paad075" TargetMode="External"/><Relationship Id="rId5" Type="http://schemas.openxmlformats.org/officeDocument/2006/relationships/hyperlink" Target="https://lordslibrary.parliament.uk/police-standards-and-culture-restoring-public-trust" TargetMode="External"/><Relationship Id="rId4" Type="http://schemas.openxmlformats.org/officeDocument/2006/relationships/hyperlink" Target="mailto:2134502@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12</Pages>
  <Words>5483</Words>
  <Characters>31258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Simmonds,Kane swp8363</dc:creator>
  <cp:keywords/>
  <dc:description/>
  <cp:lastModifiedBy>Simmonds,Kane swp8363</cp:lastModifiedBy>
  <cp:revision>7</cp:revision>
  <dcterms:created xsi:type="dcterms:W3CDTF">2024-04-27T14:39:00Z</dcterms:created>
  <dcterms:modified xsi:type="dcterms:W3CDTF">2024-04-28T00:17:00Z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2024-02-23T15:52:03Z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e0ffeb47-778f-42c8-ab42-553986660dff</vt:lpwstr>
  </property>
  <property fmtid="{D5CDD505-2E9C-101B-9397-08002B2CF9AE}" pid="8" name="MSIP_Label_66cf8fe5-b7b7-4df7-b38d-1c61ac2f6639_ContentBits">
    <vt:lpwstr>0</vt:lpwstr>
  </property>
</Properties>
</file>