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52C1C" w14:textId="77777777" w:rsidR="008A1A6E" w:rsidRPr="00D9091E" w:rsidRDefault="008A1A6E" w:rsidP="008A1A6E">
      <w:pPr>
        <w:spacing w:before="240" w:after="240"/>
        <w:jc w:val="left"/>
        <w:rPr>
          <w:rFonts w:eastAsia="Calibri"/>
          <w:b/>
          <w:bCs/>
          <w:sz w:val="27"/>
          <w:szCs w:val="27"/>
          <w:lang w:val="en-GB"/>
        </w:rPr>
      </w:pPr>
      <w:r w:rsidRPr="00621124">
        <w:rPr>
          <w:noProof/>
        </w:rPr>
        <w:drawing>
          <wp:inline distT="0" distB="0" distL="0" distR="0" wp14:anchorId="0D997644" wp14:editId="535AB524">
            <wp:extent cx="1884045" cy="1080770"/>
            <wp:effectExtent l="0" t="0" r="0" b="0"/>
            <wp:docPr id="1788662919" name="Picture 1788662919"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4045" cy="1080770"/>
                    </a:xfrm>
                    <a:prstGeom prst="rect">
                      <a:avLst/>
                    </a:prstGeom>
                    <a:noFill/>
                    <a:ln>
                      <a:noFill/>
                    </a:ln>
                  </pic:spPr>
                </pic:pic>
              </a:graphicData>
            </a:graphic>
          </wp:inline>
        </w:drawing>
      </w:r>
    </w:p>
    <w:p w14:paraId="0C6A1A26" w14:textId="77777777" w:rsidR="008A1A6E" w:rsidRPr="00D9091E" w:rsidRDefault="008A1A6E" w:rsidP="008A1A6E">
      <w:pPr>
        <w:spacing w:before="240" w:after="240"/>
        <w:jc w:val="center"/>
        <w:rPr>
          <w:rFonts w:eastAsia="Calibri"/>
          <w:b/>
          <w:bCs/>
          <w:sz w:val="27"/>
          <w:szCs w:val="27"/>
          <w:lang w:val="en-GB"/>
        </w:rPr>
      </w:pPr>
    </w:p>
    <w:p w14:paraId="5D79CD77" w14:textId="77777777" w:rsidR="008A1A6E" w:rsidRPr="00D9091E" w:rsidRDefault="008A1A6E" w:rsidP="008A1A6E">
      <w:pPr>
        <w:spacing w:before="240" w:after="240"/>
        <w:jc w:val="left"/>
        <w:rPr>
          <w:rFonts w:eastAsia="Calibri"/>
          <w:b/>
          <w:bCs/>
          <w:sz w:val="27"/>
          <w:szCs w:val="27"/>
          <w:lang w:val="en-GB"/>
        </w:rPr>
      </w:pPr>
    </w:p>
    <w:p w14:paraId="24CC27C6" w14:textId="77777777" w:rsidR="008A1A6E" w:rsidRPr="00D9091E" w:rsidRDefault="008A1A6E" w:rsidP="008A1A6E">
      <w:pPr>
        <w:spacing w:before="240" w:after="240"/>
        <w:jc w:val="center"/>
        <w:rPr>
          <w:rFonts w:eastAsia="Calibri"/>
          <w:b/>
          <w:bCs/>
          <w:sz w:val="27"/>
          <w:szCs w:val="27"/>
          <w:lang w:val="en-GB"/>
        </w:rPr>
      </w:pPr>
    </w:p>
    <w:p w14:paraId="471E8CBA" w14:textId="77777777" w:rsidR="008A1A6E" w:rsidRPr="008A4249" w:rsidRDefault="008A1A6E" w:rsidP="008A1A6E">
      <w:pPr>
        <w:spacing w:before="240" w:after="240"/>
        <w:jc w:val="center"/>
        <w:rPr>
          <w:rFonts w:ascii="Arial" w:eastAsia="Calibri" w:hAnsi="Arial" w:cs="Arial"/>
          <w:b/>
          <w:bCs/>
          <w:sz w:val="40"/>
          <w:szCs w:val="40"/>
          <w:lang w:val="en-GB"/>
        </w:rPr>
      </w:pPr>
      <w:r w:rsidRPr="008A4249">
        <w:rPr>
          <w:rFonts w:ascii="Arial" w:hAnsi="Arial" w:cs="Arial"/>
          <w:b/>
          <w:bCs/>
          <w:sz w:val="40"/>
          <w:szCs w:val="40"/>
        </w:rPr>
        <w:t>Health, Wellbeing and Sustainable Development: A Critical Evaluation of SDG 3, SDG 11 and Health Initiatives</w:t>
      </w:r>
    </w:p>
    <w:p w14:paraId="7A09A571" w14:textId="77777777" w:rsidR="008A1A6E" w:rsidRPr="00D9091E" w:rsidRDefault="008A1A6E" w:rsidP="008A1A6E">
      <w:pPr>
        <w:spacing w:before="240" w:after="240"/>
        <w:jc w:val="center"/>
        <w:rPr>
          <w:rFonts w:eastAsia="Calibri"/>
          <w:b/>
          <w:bCs/>
          <w:sz w:val="27"/>
          <w:szCs w:val="27"/>
          <w:lang w:val="en-GB"/>
        </w:rPr>
      </w:pPr>
    </w:p>
    <w:p w14:paraId="5F1CD324" w14:textId="77777777" w:rsidR="008A1A6E" w:rsidRDefault="008A1A6E" w:rsidP="008A1A6E">
      <w:pPr>
        <w:spacing w:before="240" w:after="240"/>
        <w:jc w:val="left"/>
        <w:rPr>
          <w:rFonts w:ascii="Arial" w:eastAsia="Calibri" w:hAnsi="Arial" w:cs="Arial"/>
          <w:b/>
          <w:bCs/>
          <w:sz w:val="28"/>
          <w:szCs w:val="28"/>
          <w:lang w:val="en-GB"/>
        </w:rPr>
      </w:pPr>
    </w:p>
    <w:p w14:paraId="6FDCE5EA" w14:textId="77777777" w:rsidR="008A1A6E" w:rsidRDefault="008A1A6E" w:rsidP="008A1A6E">
      <w:pPr>
        <w:spacing w:before="240" w:after="240"/>
        <w:jc w:val="left"/>
        <w:rPr>
          <w:rFonts w:ascii="Arial" w:eastAsia="Calibri" w:hAnsi="Arial" w:cs="Arial"/>
          <w:b/>
          <w:bCs/>
          <w:sz w:val="28"/>
          <w:szCs w:val="28"/>
          <w:lang w:val="en-GB"/>
        </w:rPr>
      </w:pPr>
    </w:p>
    <w:p w14:paraId="086D3A0C" w14:textId="77777777" w:rsidR="008A1A6E" w:rsidRDefault="008A1A6E" w:rsidP="008A1A6E">
      <w:pPr>
        <w:spacing w:before="240" w:after="240"/>
        <w:jc w:val="left"/>
        <w:rPr>
          <w:rFonts w:ascii="Arial" w:eastAsia="Calibri" w:hAnsi="Arial" w:cs="Arial"/>
          <w:b/>
          <w:bCs/>
          <w:sz w:val="28"/>
          <w:szCs w:val="28"/>
          <w:lang w:val="en-GB"/>
        </w:rPr>
      </w:pPr>
    </w:p>
    <w:p w14:paraId="61589162" w14:textId="77777777" w:rsidR="008A1A6E" w:rsidRPr="008A4249" w:rsidRDefault="008A1A6E" w:rsidP="008A1A6E">
      <w:pPr>
        <w:spacing w:before="240" w:after="240"/>
        <w:jc w:val="left"/>
        <w:rPr>
          <w:rFonts w:ascii="Arial" w:eastAsia="Calibri" w:hAnsi="Arial" w:cs="Arial"/>
          <w:b/>
          <w:bCs/>
          <w:sz w:val="28"/>
          <w:szCs w:val="28"/>
          <w:lang w:val="en-GB"/>
        </w:rPr>
      </w:pPr>
      <w:r w:rsidRPr="008A4249">
        <w:rPr>
          <w:rFonts w:ascii="Arial" w:eastAsia="Calibri" w:hAnsi="Arial" w:cs="Arial"/>
          <w:b/>
          <w:bCs/>
          <w:sz w:val="28"/>
          <w:szCs w:val="28"/>
          <w:lang w:val="en-GB"/>
        </w:rPr>
        <w:t>Module Name: Health, Wellbeing and Sustainable Development</w:t>
      </w:r>
    </w:p>
    <w:p w14:paraId="1DCE5131" w14:textId="77777777" w:rsidR="008A1A6E" w:rsidRPr="008A4249" w:rsidRDefault="008A1A6E" w:rsidP="008A1A6E">
      <w:pPr>
        <w:spacing w:before="240" w:after="240"/>
        <w:jc w:val="left"/>
        <w:rPr>
          <w:rFonts w:ascii="Arial" w:eastAsia="Calibri" w:hAnsi="Arial" w:cs="Arial"/>
          <w:b/>
          <w:bCs/>
          <w:sz w:val="28"/>
          <w:szCs w:val="28"/>
          <w:lang w:val="en-GB"/>
        </w:rPr>
      </w:pPr>
      <w:r w:rsidRPr="008A4249">
        <w:rPr>
          <w:rFonts w:ascii="Arial" w:eastAsia="Calibri" w:hAnsi="Arial" w:cs="Arial"/>
          <w:b/>
          <w:bCs/>
          <w:sz w:val="28"/>
          <w:szCs w:val="28"/>
          <w:lang w:val="en-GB"/>
        </w:rPr>
        <w:t>Module Code: BMHP6030</w:t>
      </w:r>
    </w:p>
    <w:p w14:paraId="0F0D908E" w14:textId="77777777" w:rsidR="008A1A6E" w:rsidRPr="008A4249" w:rsidRDefault="008A1A6E" w:rsidP="008A1A6E">
      <w:pPr>
        <w:spacing w:before="240" w:after="240"/>
        <w:jc w:val="left"/>
        <w:rPr>
          <w:rFonts w:ascii="Arial" w:eastAsia="Calibri" w:hAnsi="Arial" w:cs="Arial"/>
          <w:b/>
          <w:bCs/>
          <w:sz w:val="28"/>
          <w:szCs w:val="28"/>
          <w:lang w:val="en-GB"/>
        </w:rPr>
      </w:pPr>
      <w:r w:rsidRPr="008A4249">
        <w:rPr>
          <w:rFonts w:ascii="Arial" w:eastAsia="Calibri" w:hAnsi="Arial" w:cs="Arial"/>
          <w:b/>
          <w:bCs/>
          <w:sz w:val="28"/>
          <w:szCs w:val="28"/>
          <w:lang w:val="en-GB"/>
        </w:rPr>
        <w:t xml:space="preserve">Student Name: </w:t>
      </w:r>
      <w:r>
        <w:rPr>
          <w:rFonts w:ascii="Arial" w:eastAsia="Calibri" w:hAnsi="Arial" w:cs="Arial"/>
          <w:b/>
          <w:bCs/>
          <w:sz w:val="28"/>
          <w:szCs w:val="28"/>
          <w:lang w:val="en-GB"/>
        </w:rPr>
        <w:t>Delia Munteanu</w:t>
      </w:r>
    </w:p>
    <w:p w14:paraId="166F6391" w14:textId="77777777" w:rsidR="008A1A6E" w:rsidRPr="008A4249" w:rsidRDefault="008A1A6E" w:rsidP="008A1A6E">
      <w:pPr>
        <w:spacing w:before="240" w:after="240"/>
        <w:jc w:val="left"/>
        <w:rPr>
          <w:rFonts w:ascii="Arial" w:eastAsia="Calibri" w:hAnsi="Arial" w:cs="Arial"/>
          <w:lang w:val="en-GB"/>
        </w:rPr>
      </w:pPr>
      <w:r w:rsidRPr="008A4249">
        <w:rPr>
          <w:rFonts w:ascii="Arial" w:eastAsia="Calibri" w:hAnsi="Arial" w:cs="Arial"/>
          <w:b/>
          <w:bCs/>
          <w:sz w:val="28"/>
          <w:szCs w:val="28"/>
          <w:lang w:val="en-GB"/>
        </w:rPr>
        <w:t xml:space="preserve">Student </w:t>
      </w:r>
      <w:r>
        <w:rPr>
          <w:rFonts w:ascii="Arial" w:eastAsia="Calibri" w:hAnsi="Arial" w:cs="Arial"/>
          <w:b/>
          <w:bCs/>
          <w:sz w:val="28"/>
          <w:szCs w:val="28"/>
          <w:lang w:val="en-GB"/>
        </w:rPr>
        <w:t>ID</w:t>
      </w:r>
      <w:r w:rsidRPr="008A4249">
        <w:rPr>
          <w:rFonts w:ascii="Arial" w:eastAsia="Calibri" w:hAnsi="Arial" w:cs="Arial"/>
          <w:b/>
          <w:bCs/>
          <w:sz w:val="28"/>
          <w:szCs w:val="28"/>
          <w:lang w:val="en-GB"/>
        </w:rPr>
        <w:t xml:space="preserve">: </w:t>
      </w:r>
      <w:r>
        <w:rPr>
          <w:rFonts w:ascii="Arial" w:eastAsia="Calibri" w:hAnsi="Arial" w:cs="Arial"/>
          <w:b/>
          <w:bCs/>
          <w:sz w:val="28"/>
          <w:szCs w:val="28"/>
          <w:lang w:val="en-GB"/>
        </w:rPr>
        <w:t>2314055</w:t>
      </w:r>
    </w:p>
    <w:p w14:paraId="4A4B6C32" w14:textId="77777777" w:rsidR="008A1A6E" w:rsidRPr="00D9091E" w:rsidRDefault="008A1A6E" w:rsidP="008A1A6E">
      <w:pPr>
        <w:spacing w:before="240" w:after="240"/>
        <w:jc w:val="center"/>
        <w:rPr>
          <w:rFonts w:eastAsia="Calibri"/>
          <w:b/>
          <w:bCs/>
          <w:sz w:val="28"/>
          <w:szCs w:val="28"/>
          <w:lang w:val="en-GB"/>
        </w:rPr>
      </w:pPr>
      <w:bookmarkStart w:id="0" w:name="_heading=h.11bxyk5tjfkp" w:colFirst="0" w:colLast="0"/>
      <w:bookmarkEnd w:id="0"/>
      <w:r w:rsidRPr="00D9091E">
        <w:rPr>
          <w:lang w:val="en-GB"/>
        </w:rPr>
        <w:lastRenderedPageBreak/>
        <w:br w:type="page"/>
      </w:r>
    </w:p>
    <w:p w14:paraId="4A828EAF" w14:textId="77777777" w:rsidR="008A1A6E" w:rsidRPr="008A4249" w:rsidRDefault="008A1A6E" w:rsidP="008A1A6E">
      <w:pPr>
        <w:spacing w:before="240" w:after="240"/>
        <w:jc w:val="center"/>
        <w:rPr>
          <w:rFonts w:ascii="Arial" w:eastAsia="Calibri" w:hAnsi="Arial" w:cs="Arial"/>
          <w:sz w:val="22"/>
          <w:szCs w:val="22"/>
          <w:lang w:val="en-GB"/>
        </w:rPr>
      </w:pPr>
      <w:bookmarkStart w:id="1" w:name="_heading=h.y7pvsvi8ewwy" w:colFirst="0" w:colLast="0"/>
      <w:bookmarkEnd w:id="1"/>
      <w:r w:rsidRPr="008A4249">
        <w:rPr>
          <w:rFonts w:ascii="Arial" w:eastAsia="Calibri" w:hAnsi="Arial" w:cs="Arial"/>
          <w:sz w:val="22"/>
          <w:szCs w:val="22"/>
          <w:lang w:val="en-GB"/>
        </w:rPr>
        <w:lastRenderedPageBreak/>
        <w:t>Table of Contents</w:t>
      </w:r>
    </w:p>
    <w:sdt>
      <w:sdtPr>
        <w:rPr>
          <w:lang w:val="en-GB"/>
        </w:rPr>
        <w:id w:val="144054315"/>
        <w:docPartObj>
          <w:docPartGallery w:val="Table of Contents"/>
          <w:docPartUnique/>
        </w:docPartObj>
      </w:sdtPr>
      <w:sdtEndPr>
        <w:rPr>
          <w:rFonts w:ascii="Arial" w:hAnsi="Arial" w:cs="Arial"/>
          <w:sz w:val="22"/>
          <w:szCs w:val="22"/>
        </w:rPr>
      </w:sdtEndPr>
      <w:sdtContent>
        <w:p w14:paraId="3BE8B8D5" w14:textId="24D588E4" w:rsidR="00A52697" w:rsidRDefault="008A1A6E">
          <w:pPr>
            <w:pStyle w:val="TOC1"/>
            <w:rPr>
              <w:rFonts w:asciiTheme="minorHAnsi" w:eastAsiaTheme="minorEastAsia" w:hAnsiTheme="minorHAnsi" w:cstheme="minorBidi"/>
              <w:noProof/>
              <w:kern w:val="2"/>
              <w:lang w:val="en-GB" w:eastAsia="en-GB"/>
              <w14:ligatures w14:val="standardContextual"/>
            </w:rPr>
          </w:pPr>
          <w:r w:rsidRPr="008A4249">
            <w:rPr>
              <w:lang w:val="en-GB"/>
            </w:rPr>
            <w:fldChar w:fldCharType="begin"/>
          </w:r>
          <w:r w:rsidRPr="008A4249">
            <w:rPr>
              <w:lang w:val="en-GB"/>
            </w:rPr>
            <w:instrText xml:space="preserve"> TOC \h \u \z \t "Heading 1,1,Heading 2,2,Heading 3,3,Heading 4,4,Heading 5,5,Heading 6,6,"</w:instrText>
          </w:r>
          <w:r w:rsidRPr="008A4249">
            <w:rPr>
              <w:lang w:val="en-GB"/>
            </w:rPr>
            <w:fldChar w:fldCharType="separate"/>
          </w:r>
          <w:hyperlink w:anchor="_Toc236746812" w:history="1">
            <w:r w:rsidR="00A52697" w:rsidRPr="00206B94">
              <w:rPr>
                <w:rStyle w:val="Hyperlink"/>
                <w:rFonts w:ascii="Arial" w:eastAsia="Calibri" w:hAnsi="Arial" w:cs="Arial"/>
                <w:noProof/>
              </w:rPr>
              <w:t>Introduction</w:t>
            </w:r>
            <w:r w:rsidR="00A52697">
              <w:rPr>
                <w:noProof/>
                <w:webHidden/>
              </w:rPr>
              <w:tab/>
            </w:r>
            <w:r w:rsidR="00A52697">
              <w:rPr>
                <w:noProof/>
                <w:webHidden/>
              </w:rPr>
              <w:fldChar w:fldCharType="begin"/>
            </w:r>
            <w:r w:rsidR="00A52697">
              <w:rPr>
                <w:noProof/>
                <w:webHidden/>
              </w:rPr>
              <w:instrText xml:space="preserve"> PAGEREF _Toc236746812 \h </w:instrText>
            </w:r>
            <w:r w:rsidR="00A52697">
              <w:rPr>
                <w:noProof/>
                <w:webHidden/>
              </w:rPr>
            </w:r>
            <w:r w:rsidR="00A52697">
              <w:rPr>
                <w:noProof/>
                <w:webHidden/>
              </w:rPr>
              <w:fldChar w:fldCharType="separate"/>
            </w:r>
            <w:r w:rsidR="00A52697">
              <w:rPr>
                <w:noProof/>
                <w:webHidden/>
              </w:rPr>
              <w:t>4</w:t>
            </w:r>
            <w:r w:rsidR="00A52697">
              <w:rPr>
                <w:noProof/>
                <w:webHidden/>
              </w:rPr>
              <w:fldChar w:fldCharType="end"/>
            </w:r>
          </w:hyperlink>
        </w:p>
        <w:p w14:paraId="6A07A9CE" w14:textId="7BC391BE"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3" w:history="1">
            <w:r w:rsidRPr="00206B94">
              <w:rPr>
                <w:rStyle w:val="Hyperlink"/>
                <w:rFonts w:ascii="Arial" w:eastAsiaTheme="majorEastAsia" w:hAnsi="Arial" w:cs="Arial"/>
                <w:noProof/>
              </w:rPr>
              <w:t>SDG 3: Good Health and Well-Being</w:t>
            </w:r>
            <w:r>
              <w:rPr>
                <w:noProof/>
                <w:webHidden/>
              </w:rPr>
              <w:tab/>
            </w:r>
            <w:r>
              <w:rPr>
                <w:noProof/>
                <w:webHidden/>
              </w:rPr>
              <w:fldChar w:fldCharType="begin"/>
            </w:r>
            <w:r>
              <w:rPr>
                <w:noProof/>
                <w:webHidden/>
              </w:rPr>
              <w:instrText xml:space="preserve"> PAGEREF _Toc236746813 \h </w:instrText>
            </w:r>
            <w:r>
              <w:rPr>
                <w:noProof/>
                <w:webHidden/>
              </w:rPr>
            </w:r>
            <w:r>
              <w:rPr>
                <w:noProof/>
                <w:webHidden/>
              </w:rPr>
              <w:fldChar w:fldCharType="separate"/>
            </w:r>
            <w:r>
              <w:rPr>
                <w:noProof/>
                <w:webHidden/>
              </w:rPr>
              <w:t>4</w:t>
            </w:r>
            <w:r>
              <w:rPr>
                <w:noProof/>
                <w:webHidden/>
              </w:rPr>
              <w:fldChar w:fldCharType="end"/>
            </w:r>
          </w:hyperlink>
        </w:p>
        <w:p w14:paraId="430A294A" w14:textId="5DDBDAA5"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4" w:history="1">
            <w:r w:rsidRPr="00206B94">
              <w:rPr>
                <w:rStyle w:val="Hyperlink"/>
                <w:rFonts w:ascii="Arial" w:eastAsiaTheme="majorEastAsia" w:hAnsi="Arial" w:cs="Arial"/>
                <w:noProof/>
              </w:rPr>
              <w:t>Sustainable Development Goal 11: Sustainable Cities and Communities</w:t>
            </w:r>
            <w:r>
              <w:rPr>
                <w:noProof/>
                <w:webHidden/>
              </w:rPr>
              <w:tab/>
            </w:r>
            <w:r>
              <w:rPr>
                <w:noProof/>
                <w:webHidden/>
              </w:rPr>
              <w:fldChar w:fldCharType="begin"/>
            </w:r>
            <w:r>
              <w:rPr>
                <w:noProof/>
                <w:webHidden/>
              </w:rPr>
              <w:instrText xml:space="preserve"> PAGEREF _Toc236746814 \h </w:instrText>
            </w:r>
            <w:r>
              <w:rPr>
                <w:noProof/>
                <w:webHidden/>
              </w:rPr>
            </w:r>
            <w:r>
              <w:rPr>
                <w:noProof/>
                <w:webHidden/>
              </w:rPr>
              <w:fldChar w:fldCharType="separate"/>
            </w:r>
            <w:r>
              <w:rPr>
                <w:noProof/>
                <w:webHidden/>
              </w:rPr>
              <w:t>7</w:t>
            </w:r>
            <w:r>
              <w:rPr>
                <w:noProof/>
                <w:webHidden/>
              </w:rPr>
              <w:fldChar w:fldCharType="end"/>
            </w:r>
          </w:hyperlink>
        </w:p>
        <w:p w14:paraId="77DED379" w14:textId="351EE537"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5" w:history="1">
            <w:r w:rsidRPr="00206B94">
              <w:rPr>
                <w:rStyle w:val="Hyperlink"/>
                <w:rFonts w:ascii="Arial" w:eastAsiaTheme="majorEastAsia" w:hAnsi="Arial" w:cs="Arial"/>
                <w:noProof/>
              </w:rPr>
              <w:t>National Wellbeing Initiatives</w:t>
            </w:r>
            <w:r>
              <w:rPr>
                <w:noProof/>
                <w:webHidden/>
              </w:rPr>
              <w:tab/>
            </w:r>
            <w:r>
              <w:rPr>
                <w:noProof/>
                <w:webHidden/>
              </w:rPr>
              <w:fldChar w:fldCharType="begin"/>
            </w:r>
            <w:r>
              <w:rPr>
                <w:noProof/>
                <w:webHidden/>
              </w:rPr>
              <w:instrText xml:space="preserve"> PAGEREF _Toc236746815 \h </w:instrText>
            </w:r>
            <w:r>
              <w:rPr>
                <w:noProof/>
                <w:webHidden/>
              </w:rPr>
            </w:r>
            <w:r>
              <w:rPr>
                <w:noProof/>
                <w:webHidden/>
              </w:rPr>
              <w:fldChar w:fldCharType="separate"/>
            </w:r>
            <w:r>
              <w:rPr>
                <w:noProof/>
                <w:webHidden/>
              </w:rPr>
              <w:t>9</w:t>
            </w:r>
            <w:r>
              <w:rPr>
                <w:noProof/>
                <w:webHidden/>
              </w:rPr>
              <w:fldChar w:fldCharType="end"/>
            </w:r>
          </w:hyperlink>
        </w:p>
        <w:p w14:paraId="3A63AFC2" w14:textId="7061EB2D"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6" w:history="1">
            <w:r w:rsidRPr="00206B94">
              <w:rPr>
                <w:rStyle w:val="Hyperlink"/>
                <w:rFonts w:ascii="Arial" w:eastAsiaTheme="majorEastAsia" w:hAnsi="Arial" w:cs="Arial"/>
                <w:noProof/>
              </w:rPr>
              <w:t>Local Wellbeing Initiatives</w:t>
            </w:r>
            <w:r>
              <w:rPr>
                <w:noProof/>
                <w:webHidden/>
              </w:rPr>
              <w:tab/>
            </w:r>
            <w:r>
              <w:rPr>
                <w:noProof/>
                <w:webHidden/>
              </w:rPr>
              <w:fldChar w:fldCharType="begin"/>
            </w:r>
            <w:r>
              <w:rPr>
                <w:noProof/>
                <w:webHidden/>
              </w:rPr>
              <w:instrText xml:space="preserve"> PAGEREF _Toc236746816 \h </w:instrText>
            </w:r>
            <w:r>
              <w:rPr>
                <w:noProof/>
                <w:webHidden/>
              </w:rPr>
            </w:r>
            <w:r>
              <w:rPr>
                <w:noProof/>
                <w:webHidden/>
              </w:rPr>
              <w:fldChar w:fldCharType="separate"/>
            </w:r>
            <w:r>
              <w:rPr>
                <w:noProof/>
                <w:webHidden/>
              </w:rPr>
              <w:t>10</w:t>
            </w:r>
            <w:r>
              <w:rPr>
                <w:noProof/>
                <w:webHidden/>
              </w:rPr>
              <w:fldChar w:fldCharType="end"/>
            </w:r>
          </w:hyperlink>
        </w:p>
        <w:p w14:paraId="1D5A8769" w14:textId="3B86801C"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7" w:history="1">
            <w:r w:rsidRPr="00206B94">
              <w:rPr>
                <w:rStyle w:val="Hyperlink"/>
                <w:rFonts w:eastAsiaTheme="majorEastAsia"/>
                <w:noProof/>
              </w:rPr>
              <w:t>Recommendations</w:t>
            </w:r>
            <w:r>
              <w:rPr>
                <w:noProof/>
                <w:webHidden/>
              </w:rPr>
              <w:tab/>
            </w:r>
            <w:r>
              <w:rPr>
                <w:noProof/>
                <w:webHidden/>
              </w:rPr>
              <w:fldChar w:fldCharType="begin"/>
            </w:r>
            <w:r>
              <w:rPr>
                <w:noProof/>
                <w:webHidden/>
              </w:rPr>
              <w:instrText xml:space="preserve"> PAGEREF _Toc236746817 \h </w:instrText>
            </w:r>
            <w:r>
              <w:rPr>
                <w:noProof/>
                <w:webHidden/>
              </w:rPr>
            </w:r>
            <w:r>
              <w:rPr>
                <w:noProof/>
                <w:webHidden/>
              </w:rPr>
              <w:fldChar w:fldCharType="separate"/>
            </w:r>
            <w:r>
              <w:rPr>
                <w:noProof/>
                <w:webHidden/>
              </w:rPr>
              <w:t>11</w:t>
            </w:r>
            <w:r>
              <w:rPr>
                <w:noProof/>
                <w:webHidden/>
              </w:rPr>
              <w:fldChar w:fldCharType="end"/>
            </w:r>
          </w:hyperlink>
        </w:p>
        <w:p w14:paraId="35098A22" w14:textId="7EE23AA0"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8" w:history="1">
            <w:r w:rsidRPr="00206B94">
              <w:rPr>
                <w:rStyle w:val="Hyperlink"/>
                <w:rFonts w:ascii="Arial" w:eastAsiaTheme="majorEastAsia" w:hAnsi="Arial" w:cs="Arial"/>
                <w:noProof/>
              </w:rPr>
              <w:t>Conclusion</w:t>
            </w:r>
            <w:r>
              <w:rPr>
                <w:noProof/>
                <w:webHidden/>
              </w:rPr>
              <w:tab/>
            </w:r>
            <w:r>
              <w:rPr>
                <w:noProof/>
                <w:webHidden/>
              </w:rPr>
              <w:fldChar w:fldCharType="begin"/>
            </w:r>
            <w:r>
              <w:rPr>
                <w:noProof/>
                <w:webHidden/>
              </w:rPr>
              <w:instrText xml:space="preserve"> PAGEREF _Toc236746818 \h </w:instrText>
            </w:r>
            <w:r>
              <w:rPr>
                <w:noProof/>
                <w:webHidden/>
              </w:rPr>
            </w:r>
            <w:r>
              <w:rPr>
                <w:noProof/>
                <w:webHidden/>
              </w:rPr>
              <w:fldChar w:fldCharType="separate"/>
            </w:r>
            <w:r>
              <w:rPr>
                <w:noProof/>
                <w:webHidden/>
              </w:rPr>
              <w:t>12</w:t>
            </w:r>
            <w:r>
              <w:rPr>
                <w:noProof/>
                <w:webHidden/>
              </w:rPr>
              <w:fldChar w:fldCharType="end"/>
            </w:r>
          </w:hyperlink>
        </w:p>
        <w:p w14:paraId="4A04FCAA" w14:textId="5C0DA72E" w:rsidR="00A52697" w:rsidRDefault="00A52697">
          <w:pPr>
            <w:pStyle w:val="TOC1"/>
            <w:rPr>
              <w:rFonts w:asciiTheme="minorHAnsi" w:eastAsiaTheme="minorEastAsia" w:hAnsiTheme="minorHAnsi" w:cstheme="minorBidi"/>
              <w:noProof/>
              <w:kern w:val="2"/>
              <w:lang w:val="en-GB" w:eastAsia="en-GB"/>
              <w14:ligatures w14:val="standardContextual"/>
            </w:rPr>
          </w:pPr>
          <w:hyperlink w:anchor="_Toc236746819" w:history="1">
            <w:r w:rsidRPr="00206B94">
              <w:rPr>
                <w:rStyle w:val="Hyperlink"/>
                <w:rFonts w:ascii="Arial" w:eastAsiaTheme="majorEastAsia" w:hAnsi="Arial" w:cs="Arial"/>
                <w:noProof/>
              </w:rPr>
              <w:t>References</w:t>
            </w:r>
            <w:r>
              <w:rPr>
                <w:noProof/>
                <w:webHidden/>
              </w:rPr>
              <w:tab/>
            </w:r>
            <w:r>
              <w:rPr>
                <w:noProof/>
                <w:webHidden/>
              </w:rPr>
              <w:fldChar w:fldCharType="begin"/>
            </w:r>
            <w:r>
              <w:rPr>
                <w:noProof/>
                <w:webHidden/>
              </w:rPr>
              <w:instrText xml:space="preserve"> PAGEREF _Toc236746819 \h </w:instrText>
            </w:r>
            <w:r>
              <w:rPr>
                <w:noProof/>
                <w:webHidden/>
              </w:rPr>
            </w:r>
            <w:r>
              <w:rPr>
                <w:noProof/>
                <w:webHidden/>
              </w:rPr>
              <w:fldChar w:fldCharType="separate"/>
            </w:r>
            <w:r>
              <w:rPr>
                <w:noProof/>
                <w:webHidden/>
              </w:rPr>
              <w:t>13</w:t>
            </w:r>
            <w:r>
              <w:rPr>
                <w:noProof/>
                <w:webHidden/>
              </w:rPr>
              <w:fldChar w:fldCharType="end"/>
            </w:r>
          </w:hyperlink>
        </w:p>
        <w:p w14:paraId="48A00C69" w14:textId="3C5DD615" w:rsidR="008A1A6E" w:rsidRPr="008A4249" w:rsidRDefault="008A1A6E" w:rsidP="008A1A6E">
          <w:pPr>
            <w:widowControl w:val="0"/>
            <w:tabs>
              <w:tab w:val="right" w:leader="dot" w:pos="12000"/>
            </w:tabs>
            <w:spacing w:before="60" w:after="0"/>
            <w:jc w:val="left"/>
            <w:rPr>
              <w:rFonts w:ascii="Arial" w:eastAsia="Arial" w:hAnsi="Arial" w:cs="Arial"/>
              <w:color w:val="000000"/>
              <w:sz w:val="22"/>
              <w:szCs w:val="22"/>
              <w:lang w:val="en-GB"/>
            </w:rPr>
          </w:pPr>
          <w:r w:rsidRPr="008A4249">
            <w:rPr>
              <w:rFonts w:ascii="Arial" w:hAnsi="Arial" w:cs="Arial"/>
              <w:sz w:val="22"/>
              <w:szCs w:val="22"/>
              <w:lang w:val="en-GB"/>
            </w:rPr>
            <w:fldChar w:fldCharType="end"/>
          </w:r>
        </w:p>
      </w:sdtContent>
    </w:sdt>
    <w:p w14:paraId="3F08F3B5" w14:textId="77777777" w:rsidR="008A1A6E" w:rsidRPr="008A4249" w:rsidRDefault="008A1A6E" w:rsidP="008A1A6E">
      <w:pPr>
        <w:spacing w:before="240" w:after="240"/>
        <w:jc w:val="left"/>
        <w:rPr>
          <w:rFonts w:ascii="Arial" w:eastAsia="Calibri" w:hAnsi="Arial" w:cs="Arial"/>
          <w:sz w:val="22"/>
          <w:szCs w:val="22"/>
          <w:lang w:val="en-GB"/>
        </w:rPr>
      </w:pPr>
    </w:p>
    <w:p w14:paraId="557A3F3E" w14:textId="77777777" w:rsidR="008A1A6E" w:rsidRPr="008A4249" w:rsidRDefault="008A1A6E" w:rsidP="008A1A6E">
      <w:pPr>
        <w:pStyle w:val="Heading1"/>
        <w:rPr>
          <w:rFonts w:ascii="Arial" w:eastAsia="Calibri" w:hAnsi="Arial" w:cs="Arial"/>
          <w:b/>
          <w:bCs/>
          <w:sz w:val="22"/>
          <w:szCs w:val="22"/>
        </w:rPr>
      </w:pPr>
      <w:bookmarkStart w:id="2" w:name="_heading=h.g2ztbm3i4pcw" w:colFirst="0" w:colLast="0"/>
      <w:bookmarkEnd w:id="2"/>
      <w:r w:rsidRPr="008A4249">
        <w:rPr>
          <w:rFonts w:ascii="Arial" w:hAnsi="Arial" w:cs="Arial"/>
          <w:sz w:val="22"/>
          <w:szCs w:val="22"/>
        </w:rPr>
        <w:br w:type="page"/>
      </w:r>
    </w:p>
    <w:p w14:paraId="55825AD9" w14:textId="2A09F213" w:rsidR="00885E57" w:rsidRPr="00A52697" w:rsidRDefault="008A1A6E" w:rsidP="000E11A6">
      <w:pPr>
        <w:pStyle w:val="Heading1"/>
        <w:rPr>
          <w:rFonts w:ascii="Arial" w:eastAsia="Calibri" w:hAnsi="Arial" w:cs="Arial"/>
        </w:rPr>
      </w:pPr>
      <w:bookmarkStart w:id="3" w:name="_Toc236746812"/>
      <w:r w:rsidRPr="000E11A6">
        <w:rPr>
          <w:rFonts w:ascii="Arial" w:eastAsia="Calibri" w:hAnsi="Arial" w:cs="Arial"/>
        </w:rPr>
        <w:lastRenderedPageBreak/>
        <w:t>Introduction</w:t>
      </w:r>
      <w:bookmarkEnd w:id="3"/>
    </w:p>
    <w:p w14:paraId="3FD8CA39" w14:textId="5A987CF8" w:rsidR="00A52697" w:rsidRPr="00A52697" w:rsidRDefault="00A52697" w:rsidP="00A52697">
      <w:pPr>
        <w:pStyle w:val="NormalWeb"/>
        <w:spacing w:line="360" w:lineRule="auto"/>
        <w:rPr>
          <w:rFonts w:ascii="Arial" w:hAnsi="Arial" w:cs="Arial"/>
          <w:sz w:val="22"/>
          <w:szCs w:val="22"/>
        </w:rPr>
      </w:pPr>
      <w:r w:rsidRPr="00A52697">
        <w:rPr>
          <w:rFonts w:ascii="Arial" w:hAnsi="Arial" w:cs="Arial"/>
          <w:sz w:val="22"/>
          <w:szCs w:val="22"/>
        </w:rPr>
        <w:t xml:space="preserve">This report critically analyses policies and initiatives that influence citizens’ health and wellbeing from international, national, and local perspectives. It explores the contribution of Sustainable Development Goal (SDG) 3, </w:t>
      </w:r>
      <w:r w:rsidRPr="00A52697">
        <w:rPr>
          <w:rStyle w:val="Emphasis"/>
          <w:rFonts w:ascii="Arial" w:eastAsiaTheme="majorEastAsia" w:hAnsi="Arial" w:cs="Arial"/>
          <w:sz w:val="22"/>
          <w:szCs w:val="22"/>
        </w:rPr>
        <w:t>Good Health and Well-being</w:t>
      </w:r>
      <w:r w:rsidRPr="00A52697">
        <w:rPr>
          <w:rFonts w:ascii="Arial" w:hAnsi="Arial" w:cs="Arial"/>
          <w:sz w:val="22"/>
          <w:szCs w:val="22"/>
        </w:rPr>
        <w:t xml:space="preserve">, and SDG 11, </w:t>
      </w:r>
      <w:r w:rsidRPr="00A52697">
        <w:rPr>
          <w:rStyle w:val="Emphasis"/>
          <w:rFonts w:ascii="Arial" w:eastAsiaTheme="majorEastAsia" w:hAnsi="Arial" w:cs="Arial"/>
          <w:sz w:val="22"/>
          <w:szCs w:val="22"/>
        </w:rPr>
        <w:t>Sustainable Cities and Communities</w:t>
      </w:r>
      <w:r w:rsidRPr="00A52697">
        <w:rPr>
          <w:rFonts w:ascii="Arial" w:hAnsi="Arial" w:cs="Arial"/>
          <w:sz w:val="22"/>
          <w:szCs w:val="22"/>
        </w:rPr>
        <w:t>, in addressing global health challenges and promoting sustainable communities. Furthermore, the report evaluates the effectiveness of two national and two local wellbeing initiatives, considering their impact, limitations, and potential contribution to improving population health outcomes. Recommendations are provided throughout, informed by recent peer-reviewed evidence, to identify strategies for strengthening health promotion and supporting sustainable approaches to wellbeing.</w:t>
      </w:r>
    </w:p>
    <w:p w14:paraId="25F19AEC" w14:textId="4C504E4D" w:rsidR="008A1A6E" w:rsidRPr="000E11A6" w:rsidRDefault="008A1A6E" w:rsidP="000E11A6">
      <w:pPr>
        <w:pStyle w:val="Heading1"/>
        <w:rPr>
          <w:rFonts w:ascii="Arial" w:hAnsi="Arial" w:cs="Arial"/>
        </w:rPr>
      </w:pPr>
      <w:bookmarkStart w:id="4" w:name="_Toc236746813"/>
      <w:r w:rsidRPr="000E11A6">
        <w:rPr>
          <w:rFonts w:ascii="Arial" w:hAnsi="Arial" w:cs="Arial"/>
        </w:rPr>
        <w:t>SDG 3: Good Health and Well-Being</w:t>
      </w:r>
      <w:bookmarkEnd w:id="4"/>
    </w:p>
    <w:p w14:paraId="40D10E26" w14:textId="77777777" w:rsidR="008A1A6E" w:rsidRPr="000E11A6" w:rsidRDefault="008A1A6E" w:rsidP="00351F77">
      <w:pPr>
        <w:jc w:val="center"/>
        <w:rPr>
          <w:rFonts w:ascii="Arial" w:hAnsi="Arial" w:cs="Arial"/>
          <w:i/>
          <w:iCs/>
          <w:sz w:val="22"/>
          <w:szCs w:val="22"/>
          <w:lang w:val="en-GB"/>
        </w:rPr>
      </w:pPr>
      <w:r w:rsidRPr="000E11A6">
        <w:rPr>
          <w:rFonts w:ascii="Arial" w:hAnsi="Arial" w:cs="Arial"/>
          <w:i/>
          <w:iCs/>
          <w:noProof/>
          <w:sz w:val="22"/>
          <w:szCs w:val="22"/>
          <w:lang w:val="en-GB"/>
        </w:rPr>
        <w:drawing>
          <wp:inline distT="114300" distB="114300" distL="114300" distR="114300" wp14:anchorId="59E406E2" wp14:editId="1D1B6678">
            <wp:extent cx="4733925" cy="3829050"/>
            <wp:effectExtent l="12700" t="12700" r="12700" b="12700"/>
            <wp:docPr id="2" name="image2.png" descr="A green background with white text and icon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2.png" descr="A green background with white text and icons&#10;&#10;AI-generated content may be incorrect."/>
                    <pic:cNvPicPr preferRelativeResize="0"/>
                  </pic:nvPicPr>
                  <pic:blipFill>
                    <a:blip r:embed="rId7"/>
                    <a:srcRect/>
                    <a:stretch>
                      <a:fillRect/>
                    </a:stretch>
                  </pic:blipFill>
                  <pic:spPr>
                    <a:xfrm>
                      <a:off x="0" y="0"/>
                      <a:ext cx="4733925" cy="3829050"/>
                    </a:xfrm>
                    <a:prstGeom prst="rect">
                      <a:avLst/>
                    </a:prstGeom>
                    <a:ln w="12700">
                      <a:solidFill>
                        <a:srgbClr val="000000"/>
                      </a:solidFill>
                      <a:prstDash val="solid"/>
                    </a:ln>
                  </pic:spPr>
                </pic:pic>
              </a:graphicData>
            </a:graphic>
          </wp:inline>
        </w:drawing>
      </w:r>
    </w:p>
    <w:p w14:paraId="2F18AD69" w14:textId="77777777" w:rsidR="008A1A6E" w:rsidRPr="00351F77" w:rsidRDefault="008A1A6E" w:rsidP="00351F77">
      <w:pPr>
        <w:jc w:val="center"/>
        <w:rPr>
          <w:rFonts w:ascii="Arial" w:hAnsi="Arial" w:cs="Arial"/>
          <w:b/>
          <w:bCs/>
          <w:sz w:val="22"/>
          <w:szCs w:val="22"/>
          <w:lang w:val="en-GB"/>
        </w:rPr>
      </w:pPr>
      <w:r w:rsidRPr="00351F77">
        <w:rPr>
          <w:rFonts w:ascii="Arial" w:hAnsi="Arial" w:cs="Arial"/>
          <w:b/>
          <w:bCs/>
          <w:sz w:val="22"/>
          <w:szCs w:val="22"/>
          <w:lang w:val="en-GB"/>
        </w:rPr>
        <w:t>Figure 1: SDG 3</w:t>
      </w:r>
    </w:p>
    <w:p w14:paraId="7F42AAD2" w14:textId="5E4942BF" w:rsidR="00351F77" w:rsidRPr="00351F77" w:rsidRDefault="008A1A6E" w:rsidP="00A52697">
      <w:pPr>
        <w:jc w:val="center"/>
        <w:rPr>
          <w:rFonts w:ascii="Arial" w:hAnsi="Arial" w:cs="Arial"/>
          <w:b/>
          <w:bCs/>
          <w:sz w:val="22"/>
          <w:szCs w:val="22"/>
          <w:lang w:val="en-GB"/>
        </w:rPr>
      </w:pPr>
      <w:r w:rsidRPr="00351F77">
        <w:rPr>
          <w:rFonts w:ascii="Arial" w:hAnsi="Arial" w:cs="Arial"/>
          <w:b/>
          <w:bCs/>
          <w:sz w:val="22"/>
          <w:szCs w:val="22"/>
          <w:lang w:val="en-GB"/>
        </w:rPr>
        <w:t>Source:  (Raman, Nair and Nedungadi, 2023)</w:t>
      </w:r>
    </w:p>
    <w:p w14:paraId="73CC3942" w14:textId="430A3924"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lastRenderedPageBreak/>
        <w:t xml:space="preserve">SDG 3 is the commitment </w:t>
      </w:r>
      <w:r w:rsidR="00BB20CC" w:rsidRPr="000E11A6">
        <w:rPr>
          <w:rFonts w:ascii="Arial" w:hAnsi="Arial" w:cs="Arial"/>
          <w:sz w:val="22"/>
          <w:szCs w:val="22"/>
          <w:lang w:val="en-GB"/>
        </w:rPr>
        <w:t>p</w:t>
      </w:r>
      <w:r w:rsidRPr="000E11A6">
        <w:rPr>
          <w:rFonts w:ascii="Arial" w:hAnsi="Arial" w:cs="Arial"/>
          <w:sz w:val="22"/>
          <w:szCs w:val="22"/>
          <w:lang w:val="en-GB"/>
        </w:rPr>
        <w:t>ledged by UN member States to ‘ensure healthy lives and promote well-being for all at all ages’ by 2030. These 13 targets cover a remarkable range of areas, from the control of maternal and child mortality to the end of epidemics of AIDS, TB, malaria and neglected tropical diseases; reduced premature deaths due to non-communicable diseases by one-third; strengthening prevention of drug and alcohol abuse; halving deaths due to road traffic accidents; achieving universal health coverage; and reducing deaths from dangerous chemicals and air and water and soil pollution; (Raman, Nair and Nedungadi, 2023). Since SDG 3 touches on more of the sustainability research literature than any other SDG, it serves as a benchmark too. A lack of progress on SDG 3 indicates a lack of progress for the rest of the 2030 Agenda.</w:t>
      </w:r>
    </w:p>
    <w:p w14:paraId="7CBD7BA7" w14:textId="7F618FDC"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The goal's constructs could be beneficially divided into three groups. The first relates to the control of diseases, morbidity and mortality (including communicable and non-communicable diseases, maternal health and child health and injury prevention). The second is strengthening health systems, which includes </w:t>
      </w:r>
      <w:r w:rsidR="00BB20CC" w:rsidRPr="000E11A6">
        <w:rPr>
          <w:rFonts w:ascii="Arial" w:hAnsi="Arial" w:cs="Arial"/>
          <w:sz w:val="22"/>
          <w:szCs w:val="22"/>
          <w:lang w:val="en-GB"/>
        </w:rPr>
        <w:t>work</w:t>
      </w:r>
      <w:r w:rsidRPr="000E11A6">
        <w:rPr>
          <w:rFonts w:ascii="Arial" w:hAnsi="Arial" w:cs="Arial"/>
          <w:sz w:val="22"/>
          <w:szCs w:val="22"/>
          <w:lang w:val="en-GB"/>
        </w:rPr>
        <w:t>ing to achieve universal health coverage, strengthening essential medicines coverage and enhancing health workers' capacity. The third is environmental and behavioural risk reduction, which i</w:t>
      </w:r>
      <w:r w:rsidR="00BB20CC" w:rsidRPr="000E11A6">
        <w:rPr>
          <w:rFonts w:ascii="Arial" w:hAnsi="Arial" w:cs="Arial"/>
          <w:sz w:val="22"/>
          <w:szCs w:val="22"/>
          <w:lang w:val="en-GB"/>
        </w:rPr>
        <w:t>nclude</w:t>
      </w:r>
      <w:r w:rsidRPr="000E11A6">
        <w:rPr>
          <w:rFonts w:ascii="Arial" w:hAnsi="Arial" w:cs="Arial"/>
          <w:sz w:val="22"/>
          <w:szCs w:val="22"/>
          <w:lang w:val="en-GB"/>
        </w:rPr>
        <w:t xml:space="preserve">s pollution, tobacco control and road safety. This is why it </w:t>
      </w:r>
      <w:proofErr w:type="gramStart"/>
      <w:r w:rsidRPr="000E11A6">
        <w:rPr>
          <w:rFonts w:ascii="Arial" w:hAnsi="Arial" w:cs="Arial"/>
          <w:sz w:val="22"/>
          <w:szCs w:val="22"/>
          <w:lang w:val="en-GB"/>
        </w:rPr>
        <w:t>has to</w:t>
      </w:r>
      <w:proofErr w:type="gramEnd"/>
      <w:r w:rsidRPr="000E11A6">
        <w:rPr>
          <w:rFonts w:ascii="Arial" w:hAnsi="Arial" w:cs="Arial"/>
          <w:sz w:val="22"/>
          <w:szCs w:val="22"/>
          <w:lang w:val="en-GB"/>
        </w:rPr>
        <w:t xml:space="preserve"> be done in collaboration with other ministries, such </w:t>
      </w:r>
      <w:r w:rsidR="00BB20CC" w:rsidRPr="000E11A6">
        <w:rPr>
          <w:rFonts w:ascii="Arial" w:hAnsi="Arial" w:cs="Arial"/>
          <w:sz w:val="22"/>
          <w:szCs w:val="22"/>
          <w:lang w:val="en-GB"/>
        </w:rPr>
        <w:t xml:space="preserve">as </w:t>
      </w:r>
      <w:r w:rsidRPr="000E11A6">
        <w:rPr>
          <w:rFonts w:ascii="Arial" w:hAnsi="Arial" w:cs="Arial"/>
          <w:sz w:val="22"/>
          <w:szCs w:val="22"/>
          <w:lang w:val="en-GB"/>
        </w:rPr>
        <w:t>ministries of transport, clean air and water, social protection and other ministries: the structure signals that SDG 3 was never meant to be addressed by ministries of health alone.</w:t>
      </w:r>
    </w:p>
    <w:p w14:paraId="0C3DBE6A" w14:textId="6E356DF3"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COVID-19 was an unexpected stress test for SDG 3 implementation. For a period of 2019–2021, </w:t>
      </w:r>
      <w:proofErr w:type="spellStart"/>
      <w:r w:rsidRPr="000E11A6">
        <w:rPr>
          <w:rFonts w:ascii="Arial" w:hAnsi="Arial" w:cs="Arial"/>
          <w:sz w:val="22"/>
          <w:szCs w:val="22"/>
          <w:lang w:val="en-GB"/>
        </w:rPr>
        <w:t>Mikuła</w:t>
      </w:r>
      <w:proofErr w:type="spellEnd"/>
      <w:r w:rsidRPr="000E11A6">
        <w:rPr>
          <w:rFonts w:ascii="Arial" w:hAnsi="Arial" w:cs="Arial"/>
          <w:sz w:val="22"/>
          <w:szCs w:val="22"/>
          <w:lang w:val="en-GB"/>
        </w:rPr>
        <w:t>, Raczkowska and Utzig (2024) monitored 26 members of the European Union (EU) with a synthetic indicator that was designed based on Eurostat indicators for self-perceived health, unmet medical need, preventable mortality/death, workplace deaths, and particulate-matter deaths. Sixteen of 26 countries had seen a decline in SDG 3, with the drop seen in Slovakia, Latvia and Lithuania, and the Netherlands and Sweden remained strong due to their health expenditure per capita, low gaps in coverage and ab</w:t>
      </w:r>
      <w:r w:rsidR="00BB20CC" w:rsidRPr="000E11A6">
        <w:rPr>
          <w:rFonts w:ascii="Arial" w:hAnsi="Arial" w:cs="Arial"/>
          <w:sz w:val="22"/>
          <w:szCs w:val="22"/>
          <w:lang w:val="en-GB"/>
        </w:rPr>
        <w:t>ility</w:t>
      </w:r>
      <w:r w:rsidRPr="000E11A6">
        <w:rPr>
          <w:rFonts w:ascii="Arial" w:hAnsi="Arial" w:cs="Arial"/>
          <w:sz w:val="22"/>
          <w:szCs w:val="22"/>
          <w:lang w:val="en-GB"/>
        </w:rPr>
        <w:t xml:space="preserve"> to withstand the health crisis. More importantly, the performance gap in the study widened from the </w:t>
      </w:r>
      <w:r w:rsidR="00BB20CC" w:rsidRPr="000E11A6">
        <w:rPr>
          <w:rFonts w:ascii="Arial" w:hAnsi="Arial" w:cs="Arial"/>
          <w:sz w:val="22"/>
          <w:szCs w:val="22"/>
          <w:lang w:val="en-GB"/>
        </w:rPr>
        <w:t>best</w:t>
      </w:r>
      <w:r w:rsidRPr="000E11A6">
        <w:rPr>
          <w:rFonts w:ascii="Arial" w:hAnsi="Arial" w:cs="Arial"/>
          <w:sz w:val="22"/>
          <w:szCs w:val="22"/>
          <w:lang w:val="en-GB"/>
        </w:rPr>
        <w:t xml:space="preserve"> to the wors</w:t>
      </w:r>
      <w:r w:rsidR="00BB20CC" w:rsidRPr="000E11A6">
        <w:rPr>
          <w:rFonts w:ascii="Arial" w:hAnsi="Arial" w:cs="Arial"/>
          <w:sz w:val="22"/>
          <w:szCs w:val="22"/>
          <w:lang w:val="en-GB"/>
        </w:rPr>
        <w:t>t</w:t>
      </w:r>
      <w:r w:rsidRPr="000E11A6">
        <w:rPr>
          <w:rFonts w:ascii="Arial" w:hAnsi="Arial" w:cs="Arial"/>
          <w:sz w:val="22"/>
          <w:szCs w:val="22"/>
          <w:lang w:val="en-GB"/>
        </w:rPr>
        <w:t xml:space="preserve"> states, meaning that a shock is not just a dent in the average level of health and wellbeing, but it also has a disproportionate impact on the level of inequality experienced between different citizens across the various countr</w:t>
      </w:r>
      <w:r w:rsidR="00BB20CC" w:rsidRPr="000E11A6">
        <w:rPr>
          <w:rFonts w:ascii="Arial" w:hAnsi="Arial" w:cs="Arial"/>
          <w:sz w:val="22"/>
          <w:szCs w:val="22"/>
          <w:lang w:val="en-GB"/>
        </w:rPr>
        <w:t>ies</w:t>
      </w:r>
      <w:r w:rsidRPr="000E11A6">
        <w:rPr>
          <w:rFonts w:ascii="Arial" w:hAnsi="Arial" w:cs="Arial"/>
          <w:sz w:val="22"/>
          <w:szCs w:val="22"/>
          <w:lang w:val="en-GB"/>
        </w:rPr>
        <w:t>, region</w:t>
      </w:r>
      <w:r w:rsidR="00BB20CC" w:rsidRPr="000E11A6">
        <w:rPr>
          <w:rFonts w:ascii="Arial" w:hAnsi="Arial" w:cs="Arial"/>
          <w:sz w:val="22"/>
          <w:szCs w:val="22"/>
          <w:lang w:val="en-GB"/>
        </w:rPr>
        <w:t>s</w:t>
      </w:r>
      <w:r w:rsidRPr="000E11A6">
        <w:rPr>
          <w:rFonts w:ascii="Arial" w:hAnsi="Arial" w:cs="Arial"/>
          <w:sz w:val="22"/>
          <w:szCs w:val="22"/>
          <w:lang w:val="en-GB"/>
        </w:rPr>
        <w:t xml:space="preserve"> and income categories.</w:t>
      </w:r>
    </w:p>
    <w:p w14:paraId="37BEAF04" w14:textId="29BDE87E"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SDG 3 is reflected in everyday life for each citizen. Whether a person can access a doctor without having to spend catastrophic amounts of money is defined by the universal health coverage targets; the universal health coverage targets influence screening and the </w:t>
      </w:r>
      <w:r w:rsidRPr="000E11A6">
        <w:rPr>
          <w:rFonts w:ascii="Arial" w:hAnsi="Arial" w:cs="Arial"/>
          <w:sz w:val="22"/>
          <w:szCs w:val="22"/>
          <w:lang w:val="en-GB"/>
        </w:rPr>
        <w:lastRenderedPageBreak/>
        <w:t>management of chronic diseases; and whether a person breathes the air and how they consume the water is determined by the environmental health targets. The effects of these are not equal, being disadvantageously felt strongly by low</w:t>
      </w:r>
      <w:r w:rsidR="00BB20CC" w:rsidRPr="000E11A6">
        <w:rPr>
          <w:rFonts w:ascii="Arial" w:hAnsi="Arial" w:cs="Arial"/>
          <w:sz w:val="22"/>
          <w:szCs w:val="22"/>
          <w:lang w:val="en-GB"/>
        </w:rPr>
        <w:t>-</w:t>
      </w:r>
      <w:r w:rsidRPr="000E11A6">
        <w:rPr>
          <w:rFonts w:ascii="Arial" w:hAnsi="Arial" w:cs="Arial"/>
          <w:sz w:val="22"/>
          <w:szCs w:val="22"/>
          <w:lang w:val="en-GB"/>
        </w:rPr>
        <w:t>income countries and marginalised groups and populations: these groups and countries have contributed the least to environmental</w:t>
      </w:r>
      <w:r w:rsidR="00BB20CC" w:rsidRPr="000E11A6">
        <w:rPr>
          <w:rFonts w:ascii="Arial" w:hAnsi="Arial" w:cs="Arial"/>
          <w:sz w:val="22"/>
          <w:szCs w:val="22"/>
          <w:lang w:val="en-GB"/>
        </w:rPr>
        <w:t>ly</w:t>
      </w:r>
      <w:r w:rsidRPr="000E11A6">
        <w:rPr>
          <w:rFonts w:ascii="Arial" w:hAnsi="Arial" w:cs="Arial"/>
          <w:sz w:val="22"/>
          <w:szCs w:val="22"/>
          <w:lang w:val="en-GB"/>
        </w:rPr>
        <w:t xml:space="preserve"> harmful drivers of climate change and, often, have fewer human rights protections to demand redress. (Meier, </w:t>
      </w:r>
      <w:proofErr w:type="spellStart"/>
      <w:r w:rsidRPr="000E11A6">
        <w:rPr>
          <w:rFonts w:ascii="Arial" w:hAnsi="Arial" w:cs="Arial"/>
          <w:sz w:val="22"/>
          <w:szCs w:val="22"/>
          <w:lang w:val="en-GB"/>
        </w:rPr>
        <w:t>Bustreo</w:t>
      </w:r>
      <w:proofErr w:type="spellEnd"/>
      <w:r w:rsidRPr="000E11A6">
        <w:rPr>
          <w:rFonts w:ascii="Arial" w:hAnsi="Arial" w:cs="Arial"/>
          <w:sz w:val="22"/>
          <w:szCs w:val="22"/>
          <w:lang w:val="en-GB"/>
        </w:rPr>
        <w:t xml:space="preserve"> and Gostin 2022). This renders SDG 3 not only a health target but also one for climate and social justice and</w:t>
      </w:r>
      <w:r w:rsidR="00BB20CC" w:rsidRPr="000E11A6">
        <w:rPr>
          <w:rFonts w:ascii="Arial" w:hAnsi="Arial" w:cs="Arial"/>
          <w:sz w:val="22"/>
          <w:szCs w:val="22"/>
          <w:lang w:val="en-GB"/>
        </w:rPr>
        <w:t>,</w:t>
      </w:r>
      <w:r w:rsidRPr="000E11A6">
        <w:rPr>
          <w:rFonts w:ascii="Arial" w:hAnsi="Arial" w:cs="Arial"/>
          <w:sz w:val="22"/>
          <w:szCs w:val="22"/>
          <w:lang w:val="en-GB"/>
        </w:rPr>
        <w:t xml:space="preserve"> consequent</w:t>
      </w:r>
      <w:r w:rsidR="00BB20CC" w:rsidRPr="000E11A6">
        <w:rPr>
          <w:rFonts w:ascii="Arial" w:hAnsi="Arial" w:cs="Arial"/>
          <w:sz w:val="22"/>
          <w:szCs w:val="22"/>
          <w:lang w:val="en-GB"/>
        </w:rPr>
        <w:t>ly,</w:t>
      </w:r>
      <w:r w:rsidRPr="000E11A6">
        <w:rPr>
          <w:rFonts w:ascii="Arial" w:hAnsi="Arial" w:cs="Arial"/>
          <w:sz w:val="22"/>
          <w:szCs w:val="22"/>
          <w:lang w:val="en-GB"/>
        </w:rPr>
        <w:t xml:space="preserve"> one of the second SDG, which is discussed below.</w:t>
      </w:r>
    </w:p>
    <w:p w14:paraId="4B025DEE" w14:textId="3B01CF58"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Another impact to discuss is the notion of measurement. Raman, Nair and Nedungadi (2023) show that there is a discrepancy between the bibliometric databases on SDG 3</w:t>
      </w:r>
      <w:r w:rsidR="00BB20CC" w:rsidRPr="000E11A6">
        <w:rPr>
          <w:rFonts w:ascii="Arial" w:hAnsi="Arial" w:cs="Arial"/>
          <w:sz w:val="22"/>
          <w:szCs w:val="22"/>
          <w:lang w:val="en-GB"/>
        </w:rPr>
        <w:t>-</w:t>
      </w:r>
      <w:r w:rsidRPr="000E11A6">
        <w:rPr>
          <w:rFonts w:ascii="Arial" w:hAnsi="Arial" w:cs="Arial"/>
          <w:sz w:val="22"/>
          <w:szCs w:val="22"/>
          <w:lang w:val="en-GB"/>
        </w:rPr>
        <w:t xml:space="preserve">related publications: while Scopus claims to have 124% more publications than Dimensions during the same </w:t>
      </w:r>
      <w:r w:rsidR="00BB20CC" w:rsidRPr="000E11A6">
        <w:rPr>
          <w:rFonts w:ascii="Arial" w:hAnsi="Arial" w:cs="Arial"/>
          <w:sz w:val="22"/>
          <w:szCs w:val="22"/>
          <w:lang w:val="en-GB"/>
        </w:rPr>
        <w:t>period</w:t>
      </w:r>
      <w:r w:rsidRPr="000E11A6">
        <w:rPr>
          <w:rFonts w:ascii="Arial" w:hAnsi="Arial" w:cs="Arial"/>
          <w:sz w:val="22"/>
          <w:szCs w:val="22"/>
          <w:lang w:val="en-GB"/>
        </w:rPr>
        <w:t>. The importance of this might seem a minor technical or methodological issue, but it has major policy and funding consequences for citizens</w:t>
      </w:r>
      <w:r w:rsidR="00BB20CC" w:rsidRPr="000E11A6">
        <w:rPr>
          <w:rFonts w:ascii="Arial" w:hAnsi="Arial" w:cs="Arial"/>
          <w:sz w:val="22"/>
          <w:szCs w:val="22"/>
          <w:lang w:val="en-GB"/>
        </w:rPr>
        <w:t>,</w:t>
      </w:r>
      <w:r w:rsidRPr="000E11A6">
        <w:rPr>
          <w:rFonts w:ascii="Arial" w:hAnsi="Arial" w:cs="Arial"/>
          <w:sz w:val="22"/>
          <w:szCs w:val="22"/>
          <w:lang w:val="en-GB"/>
        </w:rPr>
        <w:t xml:space="preserve"> as they may use inadequate evidence coming from a potentially incorrect research design, and this could lead to the misallocation of resources from interventions to the populations that really need them. Strong, clear monitoring, then, is a metric of both health and wellbeing as it determines which issues are identified and </w:t>
      </w:r>
      <w:r w:rsidR="00351F77" w:rsidRPr="000E11A6">
        <w:rPr>
          <w:rFonts w:ascii="Arial" w:hAnsi="Arial" w:cs="Arial"/>
          <w:sz w:val="22"/>
          <w:szCs w:val="22"/>
          <w:lang w:val="en-GB"/>
        </w:rPr>
        <w:t>acted</w:t>
      </w:r>
      <w:r w:rsidRPr="000E11A6">
        <w:rPr>
          <w:rFonts w:ascii="Arial" w:hAnsi="Arial" w:cs="Arial"/>
          <w:sz w:val="22"/>
          <w:szCs w:val="22"/>
          <w:lang w:val="en-GB"/>
        </w:rPr>
        <w:t xml:space="preserve"> on.</w:t>
      </w:r>
    </w:p>
    <w:p w14:paraId="7A82F12E" w14:textId="08B9A84A" w:rsidR="0073504F" w:rsidRPr="000E11A6" w:rsidRDefault="008A1A6E" w:rsidP="00BA0A9E">
      <w:pPr>
        <w:pStyle w:val="Heading1"/>
        <w:rPr>
          <w:rFonts w:ascii="Arial" w:hAnsi="Arial" w:cs="Arial"/>
        </w:rPr>
      </w:pPr>
      <w:bookmarkStart w:id="5" w:name="_Toc236746814"/>
      <w:r w:rsidRPr="000E11A6">
        <w:rPr>
          <w:rFonts w:ascii="Arial" w:hAnsi="Arial" w:cs="Arial"/>
        </w:rPr>
        <w:lastRenderedPageBreak/>
        <w:t>Sustainable Development Goal 11: Sustainable Cities and Communities</w:t>
      </w:r>
      <w:bookmarkEnd w:id="5"/>
    </w:p>
    <w:p w14:paraId="5B0BF166" w14:textId="77777777" w:rsidR="00BA0A9E" w:rsidRPr="00BA0A9E" w:rsidRDefault="008A1A6E" w:rsidP="00BA0A9E">
      <w:pPr>
        <w:jc w:val="center"/>
        <w:rPr>
          <w:rFonts w:ascii="Arial" w:hAnsi="Arial" w:cs="Arial"/>
          <w:b/>
          <w:bCs/>
          <w:i/>
          <w:iCs/>
          <w:sz w:val="22"/>
          <w:szCs w:val="22"/>
          <w:lang w:val="en-GB"/>
        </w:rPr>
      </w:pPr>
      <w:r w:rsidRPr="000E11A6">
        <w:rPr>
          <w:rFonts w:ascii="Arial" w:hAnsi="Arial" w:cs="Arial"/>
          <w:i/>
          <w:iCs/>
          <w:noProof/>
          <w:sz w:val="22"/>
          <w:szCs w:val="22"/>
          <w:lang w:val="en-GB"/>
        </w:rPr>
        <w:drawing>
          <wp:inline distT="114300" distB="114300" distL="114300" distR="114300" wp14:anchorId="54B27337" wp14:editId="3F36C696">
            <wp:extent cx="5943600" cy="4203700"/>
            <wp:effectExtent l="12700" t="12700" r="12700" b="12700"/>
            <wp:docPr id="1" name="image1.png" descr="A graphic of a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graphic of a chart&#10;&#10;AI-generated content may be incorrect."/>
                    <pic:cNvPicPr preferRelativeResize="0"/>
                  </pic:nvPicPr>
                  <pic:blipFill>
                    <a:blip r:embed="rId8"/>
                    <a:srcRect/>
                    <a:stretch>
                      <a:fillRect/>
                    </a:stretch>
                  </pic:blipFill>
                  <pic:spPr>
                    <a:xfrm>
                      <a:off x="0" y="0"/>
                      <a:ext cx="5943600" cy="4203700"/>
                    </a:xfrm>
                    <a:prstGeom prst="rect">
                      <a:avLst/>
                    </a:prstGeom>
                    <a:ln w="12700">
                      <a:solidFill>
                        <a:srgbClr val="000000"/>
                      </a:solidFill>
                      <a:prstDash val="solid"/>
                    </a:ln>
                  </pic:spPr>
                </pic:pic>
              </a:graphicData>
            </a:graphic>
          </wp:inline>
        </w:drawing>
      </w:r>
      <w:r w:rsidRPr="00BA0A9E">
        <w:rPr>
          <w:rFonts w:ascii="Arial" w:hAnsi="Arial" w:cs="Arial"/>
          <w:b/>
          <w:bCs/>
          <w:sz w:val="22"/>
          <w:szCs w:val="22"/>
          <w:lang w:val="en-GB"/>
        </w:rPr>
        <w:t>Figure 2: SDG 11</w:t>
      </w:r>
    </w:p>
    <w:p w14:paraId="5C016BAE" w14:textId="4586AF9D" w:rsidR="008A1A6E" w:rsidRPr="00BA0A9E" w:rsidRDefault="008A1A6E" w:rsidP="00BA0A9E">
      <w:pPr>
        <w:jc w:val="center"/>
        <w:rPr>
          <w:rFonts w:ascii="Arial" w:hAnsi="Arial" w:cs="Arial"/>
          <w:b/>
          <w:bCs/>
          <w:i/>
          <w:iCs/>
          <w:sz w:val="22"/>
          <w:szCs w:val="22"/>
          <w:lang w:val="en-GB"/>
        </w:rPr>
      </w:pPr>
      <w:r w:rsidRPr="00BA0A9E">
        <w:rPr>
          <w:rFonts w:ascii="Arial" w:hAnsi="Arial" w:cs="Arial"/>
          <w:b/>
          <w:bCs/>
          <w:sz w:val="22"/>
          <w:szCs w:val="22"/>
          <w:lang w:val="en-GB"/>
        </w:rPr>
        <w:t>Source:  (Raman, Nair and Nedungadi, 2023)</w:t>
      </w:r>
    </w:p>
    <w:p w14:paraId="3D8CD890" w14:textId="2FD828C2"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The objective of SDG 11 to ‘make cities and human settlements inclusive, safe, resilient and sustainable' calls for cities and human settlements to be built for everyone. Its targets call for the development and promotion of safe and affordable housing, accessible transport systems, inclusive and participatory urbanisation, protection of cultural and natural heritage, disaster risk reduction, reduced environmental footprint per capita (air quality and waste management), and universal access to safe, inclusive</w:t>
      </w:r>
      <w:r w:rsidR="0073504F" w:rsidRPr="000E11A6">
        <w:rPr>
          <w:rFonts w:ascii="Arial" w:hAnsi="Arial" w:cs="Arial"/>
          <w:sz w:val="22"/>
          <w:szCs w:val="22"/>
          <w:lang w:val="en-GB"/>
        </w:rPr>
        <w:t>,</w:t>
      </w:r>
      <w:r w:rsidRPr="000E11A6">
        <w:rPr>
          <w:rFonts w:ascii="Arial" w:hAnsi="Arial" w:cs="Arial"/>
          <w:sz w:val="22"/>
          <w:szCs w:val="22"/>
          <w:lang w:val="en-GB"/>
        </w:rPr>
        <w:t xml:space="preserve"> green and public spaces. SDG 11 is already firmly at the heart, not the edges, of health and wellbeing policy</w:t>
      </w:r>
      <w:r w:rsidR="0073504F" w:rsidRPr="000E11A6">
        <w:rPr>
          <w:rFonts w:ascii="Arial" w:hAnsi="Arial" w:cs="Arial"/>
          <w:sz w:val="22"/>
          <w:szCs w:val="22"/>
          <w:lang w:val="en-GB"/>
        </w:rPr>
        <w:t>,</w:t>
      </w:r>
      <w:r w:rsidRPr="000E11A6">
        <w:rPr>
          <w:rFonts w:ascii="Arial" w:hAnsi="Arial" w:cs="Arial"/>
          <w:sz w:val="22"/>
          <w:szCs w:val="22"/>
          <w:lang w:val="en-GB"/>
        </w:rPr>
        <w:t xml:space="preserve"> as it is already more than half of the world's population lives in urban areas, and this is expected to increase further by 2050 (Nabiyeva et al., 2023).</w:t>
      </w:r>
    </w:p>
    <w:p w14:paraId="5F5CEACC" w14:textId="325EDC02"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lastRenderedPageBreak/>
        <w:t xml:space="preserve">The constructs of the goal can be broken down under three themes. The first one </w:t>
      </w:r>
      <w:r w:rsidR="0073504F" w:rsidRPr="000E11A6">
        <w:rPr>
          <w:rFonts w:ascii="Arial" w:hAnsi="Arial" w:cs="Arial"/>
          <w:sz w:val="22"/>
          <w:szCs w:val="22"/>
          <w:lang w:val="en-GB"/>
        </w:rPr>
        <w:t>is</w:t>
      </w:r>
      <w:r w:rsidRPr="000E11A6">
        <w:rPr>
          <w:rFonts w:ascii="Arial" w:hAnsi="Arial" w:cs="Arial"/>
          <w:sz w:val="22"/>
          <w:szCs w:val="22"/>
          <w:lang w:val="en-GB"/>
        </w:rPr>
        <w:t xml:space="preserve"> the built environment</w:t>
      </w:r>
      <w:r w:rsidR="00566FCA" w:rsidRPr="000E11A6">
        <w:rPr>
          <w:rFonts w:ascii="Arial" w:hAnsi="Arial" w:cs="Arial"/>
          <w:sz w:val="22"/>
          <w:szCs w:val="22"/>
          <w:lang w:val="en-GB"/>
        </w:rPr>
        <w:t>,</w:t>
      </w:r>
      <w:r w:rsidRPr="000E11A6">
        <w:rPr>
          <w:rFonts w:ascii="Arial" w:hAnsi="Arial" w:cs="Arial"/>
          <w:sz w:val="22"/>
          <w:szCs w:val="22"/>
          <w:lang w:val="en-GB"/>
        </w:rPr>
        <w:t xml:space="preserve"> where quality houses, transport facilities and land-use planning are involved. The second relates to environmental performance</w:t>
      </w:r>
      <w:r w:rsidR="00566FCA" w:rsidRPr="000E11A6">
        <w:rPr>
          <w:rFonts w:ascii="Arial" w:hAnsi="Arial" w:cs="Arial"/>
          <w:sz w:val="22"/>
          <w:szCs w:val="22"/>
          <w:lang w:val="en-GB"/>
        </w:rPr>
        <w:t>,</w:t>
      </w:r>
      <w:r w:rsidRPr="000E11A6">
        <w:rPr>
          <w:rFonts w:ascii="Arial" w:hAnsi="Arial" w:cs="Arial"/>
          <w:sz w:val="22"/>
          <w:szCs w:val="22"/>
          <w:lang w:val="en-GB"/>
        </w:rPr>
        <w:t xml:space="preserve"> including air pollution, waste management and, within the urban boundaries, climate resilience. The third is inclusion and access, which includes vulnerable groups planning access to urban space safely and equitably, including older people, children, people with low income and disabilities. Currently, when conducting their analysis of 336 SDG11 good practice (submitted between 2018–2021), Nabiyeva et al. (2023) have found that only a small proportion (2.6–9.1%) of good practices explicitly referenced equity-related SDG targets, and that good practices from wealthier countries tended to be systemic and technology-focused, while those from developing countries were more likely to imply immediate, day-to-day concerns around waste collection and informal settlement upgrading. This is not yet </w:t>
      </w:r>
      <w:r w:rsidR="00566FCA" w:rsidRPr="000E11A6">
        <w:rPr>
          <w:rFonts w:ascii="Arial" w:hAnsi="Arial" w:cs="Arial"/>
          <w:sz w:val="22"/>
          <w:szCs w:val="22"/>
          <w:lang w:val="en-GB"/>
        </w:rPr>
        <w:t>equitable yet</w:t>
      </w:r>
      <w:r w:rsidRPr="000E11A6">
        <w:rPr>
          <w:rFonts w:ascii="Arial" w:hAnsi="Arial" w:cs="Arial"/>
          <w:sz w:val="22"/>
          <w:szCs w:val="22"/>
          <w:lang w:val="en-GB"/>
        </w:rPr>
        <w:t xml:space="preserve"> is an asymmetry </w:t>
      </w:r>
      <w:r w:rsidR="00566FCA" w:rsidRPr="000E11A6">
        <w:rPr>
          <w:rFonts w:ascii="Arial" w:hAnsi="Arial" w:cs="Arial"/>
          <w:sz w:val="22"/>
          <w:szCs w:val="22"/>
          <w:lang w:val="en-GB"/>
        </w:rPr>
        <w:t>concerning</w:t>
      </w:r>
      <w:r w:rsidRPr="000E11A6">
        <w:rPr>
          <w:rFonts w:ascii="Arial" w:hAnsi="Arial" w:cs="Arial"/>
          <w:sz w:val="22"/>
          <w:szCs w:val="22"/>
          <w:lang w:val="en-GB"/>
        </w:rPr>
        <w:t xml:space="preserve"> the ambition of SDG 11.</w:t>
      </w:r>
    </w:p>
    <w:p w14:paraId="0AA86FD3" w14:textId="57486759"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The effects of SDG 11 on health and wellbeing are clear and well-documented. The explicit goal of the agenda, urban green space, is always and everywhere linked to positive mental wellbeing results. In a review of 22 studies, Xu et al. (2025) identified reliable relationships between natural elements (e.g., vegetation diversity and water features) and improved mental wellbeing, but found mixed evidence on the relationship between the accessibility of natural spaces and mental wellbeing, and need to invest further effort to assess how community amenities attribute to mental wellbeing more reliably and through consistent designs and maintenance standards. In addition to this, the authors of Pastore, Parenti and </w:t>
      </w:r>
      <w:proofErr w:type="spellStart"/>
      <w:r w:rsidRPr="000E11A6">
        <w:rPr>
          <w:rFonts w:ascii="Arial" w:hAnsi="Arial" w:cs="Arial"/>
          <w:sz w:val="22"/>
          <w:szCs w:val="22"/>
          <w:lang w:val="en-GB"/>
        </w:rPr>
        <w:t>Patetta</w:t>
      </w:r>
      <w:proofErr w:type="spellEnd"/>
      <w:r w:rsidRPr="000E11A6">
        <w:rPr>
          <w:rFonts w:ascii="Arial" w:hAnsi="Arial" w:cs="Arial"/>
          <w:sz w:val="22"/>
          <w:szCs w:val="22"/>
          <w:lang w:val="en-GB"/>
        </w:rPr>
        <w:t xml:space="preserve"> (2025) conducted a mapping of the accessibility of green spaces of the Milan metropolitan area, showing that only 37% of the residential land has a green space within </w:t>
      </w:r>
      <w:r w:rsidR="00566FCA" w:rsidRPr="000E11A6">
        <w:rPr>
          <w:rFonts w:ascii="Arial" w:hAnsi="Arial" w:cs="Arial"/>
          <w:sz w:val="22"/>
          <w:szCs w:val="22"/>
          <w:lang w:val="en-GB"/>
        </w:rPr>
        <w:t>a</w:t>
      </w:r>
      <w:r w:rsidRPr="000E11A6">
        <w:rPr>
          <w:rFonts w:ascii="Arial" w:hAnsi="Arial" w:cs="Arial"/>
          <w:sz w:val="22"/>
          <w:szCs w:val="22"/>
          <w:lang w:val="en-GB"/>
        </w:rPr>
        <w:t xml:space="preserve"> </w:t>
      </w:r>
      <w:r w:rsidR="00566FCA" w:rsidRPr="000E11A6">
        <w:rPr>
          <w:rFonts w:ascii="Arial" w:hAnsi="Arial" w:cs="Arial"/>
          <w:sz w:val="22"/>
          <w:szCs w:val="22"/>
          <w:lang w:val="en-GB"/>
        </w:rPr>
        <w:t>500-meter</w:t>
      </w:r>
      <w:r w:rsidRPr="000E11A6">
        <w:rPr>
          <w:rFonts w:ascii="Arial" w:hAnsi="Arial" w:cs="Arial"/>
          <w:sz w:val="22"/>
          <w:szCs w:val="22"/>
          <w:lang w:val="en-GB"/>
        </w:rPr>
        <w:t xml:space="preserve"> radius, thus highlighting the disconnection between the envisaged concept of SDG 11 and the concrete experience of many urban residents. Adding another wrinkle, Wicks and her colleagues (2023) found that a psychological sense of connection and not simply the percentage of green space available in one's immediate surroundings was the predictor of reduced depression and stress in residents of the UK during the C</w:t>
      </w:r>
      <w:r w:rsidR="00566FCA" w:rsidRPr="000E11A6">
        <w:rPr>
          <w:rFonts w:ascii="Arial" w:hAnsi="Arial" w:cs="Arial"/>
          <w:sz w:val="22"/>
          <w:szCs w:val="22"/>
          <w:lang w:val="en-GB"/>
        </w:rPr>
        <w:t>OVID</w:t>
      </w:r>
      <w:r w:rsidRPr="000E11A6">
        <w:rPr>
          <w:rFonts w:ascii="Arial" w:hAnsi="Arial" w:cs="Arial"/>
          <w:sz w:val="22"/>
          <w:szCs w:val="22"/>
          <w:lang w:val="en-GB"/>
        </w:rPr>
        <w:t>-19 pandemic, suggesting that urban planning should focus on creating opportunities for meaningful contact with green space and not just its physical presence.</w:t>
      </w:r>
    </w:p>
    <w:p w14:paraId="7AD6B1B6" w14:textId="12606871"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The transport and air-quality systems controlled by SDG 11 also contribute to shaping health. The negative impacts of urban vehicle use on air quality are strongly linked to cardiovascular and respiratory disease</w:t>
      </w:r>
      <w:r w:rsidR="00566FCA" w:rsidRPr="000E11A6">
        <w:rPr>
          <w:rFonts w:ascii="Arial" w:hAnsi="Arial" w:cs="Arial"/>
          <w:sz w:val="22"/>
          <w:szCs w:val="22"/>
          <w:lang w:val="en-GB"/>
        </w:rPr>
        <w:t>,</w:t>
      </w:r>
      <w:r w:rsidRPr="000E11A6">
        <w:rPr>
          <w:rFonts w:ascii="Arial" w:hAnsi="Arial" w:cs="Arial"/>
          <w:sz w:val="22"/>
          <w:szCs w:val="22"/>
          <w:lang w:val="en-GB"/>
        </w:rPr>
        <w:t xml:space="preserve"> and ill-designed streets are a poor enabler of walking and biking to prevent non-communicable disease. The effects of actions taken in promoting SDG 11 are not </w:t>
      </w:r>
      <w:r w:rsidRPr="000E11A6">
        <w:rPr>
          <w:rFonts w:ascii="Arial" w:hAnsi="Arial" w:cs="Arial"/>
          <w:sz w:val="22"/>
          <w:szCs w:val="22"/>
          <w:lang w:val="en-GB"/>
        </w:rPr>
        <w:lastRenderedPageBreak/>
        <w:t xml:space="preserve">immediately visible in daily </w:t>
      </w:r>
      <w:r w:rsidR="00566FCA" w:rsidRPr="000E11A6">
        <w:rPr>
          <w:rFonts w:ascii="Arial" w:hAnsi="Arial" w:cs="Arial"/>
          <w:sz w:val="22"/>
          <w:szCs w:val="22"/>
          <w:lang w:val="en-GB"/>
        </w:rPr>
        <w:t>life but</w:t>
      </w:r>
      <w:r w:rsidRPr="000E11A6">
        <w:rPr>
          <w:rFonts w:ascii="Arial" w:hAnsi="Arial" w:cs="Arial"/>
          <w:sz w:val="22"/>
          <w:szCs w:val="22"/>
          <w:lang w:val="en-GB"/>
        </w:rPr>
        <w:t xml:space="preserve"> rather become apparent when summed at </w:t>
      </w:r>
      <w:r w:rsidR="00566FCA" w:rsidRPr="000E11A6">
        <w:rPr>
          <w:rFonts w:ascii="Arial" w:hAnsi="Arial" w:cs="Arial"/>
          <w:sz w:val="22"/>
          <w:szCs w:val="22"/>
          <w:lang w:val="en-GB"/>
        </w:rPr>
        <w:t xml:space="preserve">the </w:t>
      </w:r>
      <w:r w:rsidRPr="000E11A6">
        <w:rPr>
          <w:rFonts w:ascii="Arial" w:hAnsi="Arial" w:cs="Arial"/>
          <w:sz w:val="22"/>
          <w:szCs w:val="22"/>
          <w:lang w:val="en-GB"/>
        </w:rPr>
        <w:t>population level; SDG 11 therefore has a cumulative health impact, meaning that the local case studies highlighted below are particularly relevant for achieving improvements in everyday life in line with SDG 11.</w:t>
      </w:r>
    </w:p>
    <w:p w14:paraId="196C9EF0" w14:textId="70F905CD"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SDG 3 and SDG 11 illustrate the interdependencies and reinforcing effects that the 2030 Agenda's goals have on each other: healthy cities offer more than just functioning health systems; they also create environments that reduce exposure to air pollution, encourage physical activity, and improve access to restorative green space. Any improvement in one without the other results in only half </w:t>
      </w:r>
      <w:r w:rsidR="00566FCA" w:rsidRPr="000E11A6">
        <w:rPr>
          <w:rFonts w:ascii="Arial" w:hAnsi="Arial" w:cs="Arial"/>
          <w:sz w:val="22"/>
          <w:szCs w:val="22"/>
          <w:lang w:val="en-GB"/>
        </w:rPr>
        <w:t xml:space="preserve">the </w:t>
      </w:r>
      <w:r w:rsidRPr="000E11A6">
        <w:rPr>
          <w:rFonts w:ascii="Arial" w:hAnsi="Arial" w:cs="Arial"/>
          <w:sz w:val="22"/>
          <w:szCs w:val="22"/>
          <w:lang w:val="en-GB"/>
        </w:rPr>
        <w:t>gain in terms of population health and wellbeing.</w:t>
      </w:r>
    </w:p>
    <w:p w14:paraId="771A0E6A" w14:textId="77777777" w:rsidR="008A1A6E" w:rsidRPr="000E11A6" w:rsidRDefault="008A1A6E" w:rsidP="000E11A6">
      <w:pPr>
        <w:pStyle w:val="Heading1"/>
        <w:rPr>
          <w:rFonts w:ascii="Arial" w:hAnsi="Arial" w:cs="Arial"/>
        </w:rPr>
      </w:pPr>
      <w:bookmarkStart w:id="6" w:name="_Toc236746815"/>
      <w:r w:rsidRPr="000E11A6">
        <w:rPr>
          <w:rFonts w:ascii="Arial" w:hAnsi="Arial" w:cs="Arial"/>
        </w:rPr>
        <w:t>National Wellbeing Initiatives</w:t>
      </w:r>
      <w:bookmarkEnd w:id="6"/>
    </w:p>
    <w:p w14:paraId="3DA7DF4F" w14:textId="1C614A13"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European Union SDG 3 monitoring and healthcare investment: The coordinated monitoring of SDG 3 through Eurostat by the European Union (EU) is one of the more developed national-level wellbeing programs reviewed in this report. This monitoring architecture enabled policymakers to witness, almost in real-time, the erosion of health and wellbeing due to the pandemic as well as the extent of this erosion, as described by Mikuła, Raczkowska and Utzig (2024). Its strength is the comparability: every member state </w:t>
      </w:r>
      <w:r w:rsidR="00566FCA" w:rsidRPr="000E11A6">
        <w:rPr>
          <w:rFonts w:ascii="Arial" w:hAnsi="Arial" w:cs="Arial"/>
          <w:sz w:val="22"/>
          <w:szCs w:val="22"/>
          <w:lang w:val="en-GB"/>
        </w:rPr>
        <w:t xml:space="preserve">is </w:t>
      </w:r>
      <w:r w:rsidRPr="000E11A6">
        <w:rPr>
          <w:rFonts w:ascii="Arial" w:hAnsi="Arial" w:cs="Arial"/>
          <w:sz w:val="22"/>
          <w:szCs w:val="22"/>
          <w:lang w:val="en-GB"/>
        </w:rPr>
        <w:t>measured against the same set of indicators</w:t>
      </w:r>
      <w:r w:rsidR="00566FCA" w:rsidRPr="000E11A6">
        <w:rPr>
          <w:rFonts w:ascii="Arial" w:hAnsi="Arial" w:cs="Arial"/>
          <w:sz w:val="22"/>
          <w:szCs w:val="22"/>
          <w:lang w:val="en-GB"/>
        </w:rPr>
        <w:t>;</w:t>
      </w:r>
      <w:r w:rsidRPr="000E11A6">
        <w:rPr>
          <w:rFonts w:ascii="Arial" w:hAnsi="Arial" w:cs="Arial"/>
          <w:sz w:val="22"/>
          <w:szCs w:val="22"/>
          <w:lang w:val="en-GB"/>
        </w:rPr>
        <w:t xml:space="preserve"> underperforming Member States can then be compared to high-performing countries like the Netherlands and Sweden, the success of which was linked to specific policy measures, such as increased public health expenditures as a share of GDP and low rates of unmet medical need. However, it also showed that the crisis, on the contrary, deepened the gap between member states and brought up the capacity of monitoring only, which was not sufficient to guarantee correction through coherent funding or the development of EU</w:t>
      </w:r>
      <w:r w:rsidR="00566FCA" w:rsidRPr="000E11A6">
        <w:rPr>
          <w:rFonts w:ascii="Arial" w:hAnsi="Arial" w:cs="Arial"/>
          <w:sz w:val="22"/>
          <w:szCs w:val="22"/>
          <w:lang w:val="en-GB"/>
        </w:rPr>
        <w:t>-</w:t>
      </w:r>
      <w:r w:rsidRPr="000E11A6">
        <w:rPr>
          <w:rFonts w:ascii="Arial" w:hAnsi="Arial" w:cs="Arial"/>
          <w:sz w:val="22"/>
          <w:szCs w:val="22"/>
          <w:lang w:val="en-GB"/>
        </w:rPr>
        <w:t>level health capacity, which is constitutionally limited. Stronger rules and regulations for coordination of cross-border health responses by the European Commission would include the formal requirement for the Commission to play a proactive role during emergencies, and additional conditions linking SDG 3 monitoring results to cohesion policy funding to incentivi</w:t>
      </w:r>
      <w:r w:rsidR="00566FCA" w:rsidRPr="000E11A6">
        <w:rPr>
          <w:rFonts w:ascii="Arial" w:hAnsi="Arial" w:cs="Arial"/>
          <w:sz w:val="22"/>
          <w:szCs w:val="22"/>
          <w:lang w:val="en-GB"/>
        </w:rPr>
        <w:t>s</w:t>
      </w:r>
      <w:r w:rsidRPr="000E11A6">
        <w:rPr>
          <w:rFonts w:ascii="Arial" w:hAnsi="Arial" w:cs="Arial"/>
          <w:sz w:val="22"/>
          <w:szCs w:val="22"/>
          <w:lang w:val="en-GB"/>
        </w:rPr>
        <w:t>e lagging countries to invest more than simply with moral force.</w:t>
      </w:r>
    </w:p>
    <w:p w14:paraId="6C2EBBA1" w14:textId="767DB9CD"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Thailand's national health sustainability benchmarking model: In the context of the national plan towards Thailand as a regional healthcare hub, </w:t>
      </w:r>
      <w:proofErr w:type="spellStart"/>
      <w:r w:rsidRPr="000E11A6">
        <w:rPr>
          <w:rFonts w:ascii="Arial" w:hAnsi="Arial" w:cs="Arial"/>
          <w:sz w:val="22"/>
          <w:szCs w:val="22"/>
          <w:lang w:val="en-GB"/>
        </w:rPr>
        <w:t>Ritmak</w:t>
      </w:r>
      <w:proofErr w:type="spellEnd"/>
      <w:r w:rsidRPr="000E11A6">
        <w:rPr>
          <w:rFonts w:ascii="Arial" w:hAnsi="Arial" w:cs="Arial"/>
          <w:sz w:val="22"/>
          <w:szCs w:val="22"/>
          <w:lang w:val="en-GB"/>
        </w:rPr>
        <w:t xml:space="preserve">, </w:t>
      </w:r>
      <w:proofErr w:type="spellStart"/>
      <w:r w:rsidRPr="000E11A6">
        <w:rPr>
          <w:rFonts w:ascii="Arial" w:hAnsi="Arial" w:cs="Arial"/>
          <w:sz w:val="22"/>
          <w:szCs w:val="22"/>
          <w:lang w:val="en-GB"/>
        </w:rPr>
        <w:t>Rattanawong</w:t>
      </w:r>
      <w:proofErr w:type="spellEnd"/>
      <w:r w:rsidRPr="000E11A6">
        <w:rPr>
          <w:rFonts w:ascii="Arial" w:hAnsi="Arial" w:cs="Arial"/>
          <w:sz w:val="22"/>
          <w:szCs w:val="22"/>
          <w:lang w:val="en-GB"/>
        </w:rPr>
        <w:t xml:space="preserve"> and </w:t>
      </w:r>
      <w:proofErr w:type="spellStart"/>
      <w:r w:rsidRPr="000E11A6">
        <w:rPr>
          <w:rFonts w:ascii="Arial" w:hAnsi="Arial" w:cs="Arial"/>
          <w:sz w:val="22"/>
          <w:szCs w:val="22"/>
          <w:lang w:val="en-GB"/>
        </w:rPr>
        <w:t>Vongmanee</w:t>
      </w:r>
      <w:proofErr w:type="spellEnd"/>
      <w:r w:rsidRPr="000E11A6">
        <w:rPr>
          <w:rFonts w:ascii="Arial" w:hAnsi="Arial" w:cs="Arial"/>
          <w:sz w:val="22"/>
          <w:szCs w:val="22"/>
          <w:lang w:val="en-GB"/>
        </w:rPr>
        <w:t xml:space="preserve"> (2023) created a multi-criteria decision-making (MCDM) approach to identify the health sustainability indicators by dividing </w:t>
      </w:r>
      <w:r w:rsidR="003B5FD1" w:rsidRPr="000E11A6">
        <w:rPr>
          <w:rFonts w:ascii="Arial" w:hAnsi="Arial" w:cs="Arial"/>
          <w:sz w:val="22"/>
          <w:szCs w:val="22"/>
          <w:lang w:val="en-GB"/>
        </w:rPr>
        <w:t xml:space="preserve">them </w:t>
      </w:r>
      <w:r w:rsidRPr="000E11A6">
        <w:rPr>
          <w:rFonts w:ascii="Arial" w:hAnsi="Arial" w:cs="Arial"/>
          <w:sz w:val="22"/>
          <w:szCs w:val="22"/>
          <w:lang w:val="en-GB"/>
        </w:rPr>
        <w:t xml:space="preserve">into three sets of criteria: economic, environmental and social. One </w:t>
      </w:r>
      <w:r w:rsidRPr="000E11A6">
        <w:rPr>
          <w:rFonts w:ascii="Arial" w:hAnsi="Arial" w:cs="Arial"/>
          <w:sz w:val="22"/>
          <w:szCs w:val="22"/>
          <w:lang w:val="en-GB"/>
        </w:rPr>
        <w:lastRenderedPageBreak/>
        <w:t>of the strengths of the initiative is the weaving of health into adjoining spheres of sustainability rather than being treated as a separate policy objective without reference to environmental and economic context, a common policy failure. Since the output of the model is a ranked</w:t>
      </w:r>
      <w:r w:rsidR="003B5FD1" w:rsidRPr="000E11A6">
        <w:rPr>
          <w:rFonts w:ascii="Arial" w:hAnsi="Arial" w:cs="Arial"/>
          <w:sz w:val="22"/>
          <w:szCs w:val="22"/>
          <w:lang w:val="en-GB"/>
        </w:rPr>
        <w:t>,</w:t>
      </w:r>
      <w:r w:rsidRPr="000E11A6">
        <w:rPr>
          <w:rFonts w:ascii="Arial" w:hAnsi="Arial" w:cs="Arial"/>
          <w:sz w:val="22"/>
          <w:szCs w:val="22"/>
          <w:lang w:val="en-GB"/>
        </w:rPr>
        <w:t xml:space="preserve"> quantifiable ranking, it helps the policy decision</w:t>
      </w:r>
      <w:r w:rsidR="003B5FD1" w:rsidRPr="000E11A6">
        <w:rPr>
          <w:rFonts w:ascii="Arial" w:hAnsi="Arial" w:cs="Arial"/>
          <w:sz w:val="22"/>
          <w:szCs w:val="22"/>
          <w:lang w:val="en-GB"/>
        </w:rPr>
        <w:t>-</w:t>
      </w:r>
      <w:r w:rsidRPr="000E11A6">
        <w:rPr>
          <w:rFonts w:ascii="Arial" w:hAnsi="Arial" w:cs="Arial"/>
          <w:sz w:val="22"/>
          <w:szCs w:val="22"/>
          <w:lang w:val="en-GB"/>
        </w:rPr>
        <w:t xml:space="preserve">makers to identify and determine the </w:t>
      </w:r>
      <w:r w:rsidR="003B5FD1" w:rsidRPr="000E11A6">
        <w:rPr>
          <w:rFonts w:ascii="Arial" w:hAnsi="Arial" w:cs="Arial"/>
          <w:sz w:val="22"/>
          <w:szCs w:val="22"/>
          <w:lang w:val="en-GB"/>
        </w:rPr>
        <w:t>dimension</w:t>
      </w:r>
      <w:r w:rsidRPr="000E11A6">
        <w:rPr>
          <w:rFonts w:ascii="Arial" w:hAnsi="Arial" w:cs="Arial"/>
          <w:sz w:val="22"/>
          <w:szCs w:val="22"/>
          <w:lang w:val="en-GB"/>
        </w:rPr>
        <w:t xml:space="preserve"> which is restricting their overall performance in a certain locality, be it economic, environmental or social, and which is more actionable than an aggregate national health outcome figure. One of its main weaknesses is generalisability</w:t>
      </w:r>
      <w:r w:rsidR="003B5FD1" w:rsidRPr="000E11A6">
        <w:rPr>
          <w:rFonts w:ascii="Arial" w:hAnsi="Arial" w:cs="Arial"/>
          <w:sz w:val="22"/>
          <w:szCs w:val="22"/>
          <w:lang w:val="en-GB"/>
        </w:rPr>
        <w:t>,</w:t>
      </w:r>
      <w:r w:rsidRPr="000E11A6">
        <w:rPr>
          <w:rFonts w:ascii="Arial" w:hAnsi="Arial" w:cs="Arial"/>
          <w:sz w:val="22"/>
          <w:szCs w:val="22"/>
          <w:lang w:val="en-GB"/>
        </w:rPr>
        <w:t xml:space="preserve"> as the model was tested in one province only, and the data dependencies may be less transferable to less digitally resourced parts of Thailand and other middle-income countries. One suggestion is to roll out the model to more provinces, representing different resource strengths, </w:t>
      </w:r>
      <w:r w:rsidR="003B5FD1" w:rsidRPr="000E11A6">
        <w:rPr>
          <w:rFonts w:ascii="Arial" w:hAnsi="Arial" w:cs="Arial"/>
          <w:sz w:val="22"/>
          <w:szCs w:val="22"/>
          <w:lang w:val="en-GB"/>
        </w:rPr>
        <w:t>before</w:t>
      </w:r>
      <w:r w:rsidRPr="000E11A6">
        <w:rPr>
          <w:rFonts w:ascii="Arial" w:hAnsi="Arial" w:cs="Arial"/>
          <w:sz w:val="22"/>
          <w:szCs w:val="22"/>
          <w:lang w:val="en-GB"/>
        </w:rPr>
        <w:t xml:space="preserve"> the national rollout and to invest in the underlying data infrastructure necessary to support the model.</w:t>
      </w:r>
    </w:p>
    <w:p w14:paraId="57E0F8D6" w14:textId="77777777" w:rsidR="008A1A6E" w:rsidRPr="000E11A6" w:rsidRDefault="008A1A6E" w:rsidP="000E11A6">
      <w:pPr>
        <w:pStyle w:val="Heading1"/>
        <w:rPr>
          <w:rFonts w:ascii="Arial" w:hAnsi="Arial" w:cs="Arial"/>
        </w:rPr>
      </w:pPr>
      <w:bookmarkStart w:id="7" w:name="_Toc236746816"/>
      <w:r w:rsidRPr="000E11A6">
        <w:rPr>
          <w:rFonts w:ascii="Arial" w:hAnsi="Arial" w:cs="Arial"/>
        </w:rPr>
        <w:t>Local Wellbeing Initiatives</w:t>
      </w:r>
      <w:bookmarkEnd w:id="7"/>
    </w:p>
    <w:p w14:paraId="6CB7126A" w14:textId="5D1E3759" w:rsidR="008A1A6E" w:rsidRPr="000E11A6"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Barcelona's Superblock model: Barcelona's Superblocks model is one of the interventions analysed by Fernández-Aguilar et al. (2023) for its rigour in the evaluation process. The strategy is to encourage public walking, cycling and </w:t>
      </w:r>
      <w:r w:rsidR="003B5FD1" w:rsidRPr="000E11A6">
        <w:rPr>
          <w:rFonts w:ascii="Arial" w:hAnsi="Arial" w:cs="Arial"/>
          <w:sz w:val="22"/>
          <w:szCs w:val="22"/>
          <w:lang w:val="en-GB"/>
        </w:rPr>
        <w:t>green</w:t>
      </w:r>
      <w:r w:rsidRPr="000E11A6">
        <w:rPr>
          <w:rFonts w:ascii="Arial" w:hAnsi="Arial" w:cs="Arial"/>
          <w:sz w:val="22"/>
          <w:szCs w:val="22"/>
          <w:lang w:val="en-GB"/>
        </w:rPr>
        <w:t xml:space="preserve"> infrastructure by reducing cars and other wheeled traffic in groups of urban blocks. The quantitative health impacts assessment highlighted in the study projected 667 fewer premature deaths each year if 503 planned superblocks were introduced, primarily </w:t>
      </w:r>
      <w:r w:rsidR="009319D7" w:rsidRPr="000E11A6">
        <w:rPr>
          <w:rFonts w:ascii="Arial" w:hAnsi="Arial" w:cs="Arial"/>
          <w:sz w:val="22"/>
          <w:szCs w:val="22"/>
          <w:lang w:val="en-GB"/>
        </w:rPr>
        <w:t>because of</w:t>
      </w:r>
      <w:r w:rsidRPr="000E11A6">
        <w:rPr>
          <w:rFonts w:ascii="Arial" w:hAnsi="Arial" w:cs="Arial"/>
          <w:sz w:val="22"/>
          <w:szCs w:val="22"/>
          <w:lang w:val="en-GB"/>
        </w:rPr>
        <w:t xml:space="preserve"> the decreased exposure to air pollution, but also because of other secondary impacts, such as mitigation of noise, urban heat and accessibility to greenery. The multi-exposure design for the model reinforces its effectiveness as it targets the pollution, noise, heat and physical inactivity problems at once, instead of addressing them separately. It did find, however, that the sixteen sustainable mobility studies included in the scoping review w</w:t>
      </w:r>
      <w:r w:rsidR="009319D7" w:rsidRPr="000E11A6">
        <w:rPr>
          <w:rFonts w:ascii="Arial" w:hAnsi="Arial" w:cs="Arial"/>
          <w:sz w:val="22"/>
          <w:szCs w:val="22"/>
          <w:lang w:val="en-GB"/>
        </w:rPr>
        <w:t>ere</w:t>
      </w:r>
      <w:r w:rsidRPr="000E11A6">
        <w:rPr>
          <w:rFonts w:ascii="Arial" w:hAnsi="Arial" w:cs="Arial"/>
          <w:sz w:val="22"/>
          <w:szCs w:val="22"/>
          <w:lang w:val="en-GB"/>
        </w:rPr>
        <w:t xml:space="preserve"> only performed on half of them, with Barcelona's benefits only materialising if the rollout is consistent across the city; and that implementing partially would only result in traffic displacement, not a reduction in traffic, which would lead to the same harms. The general call is for mandatory health monitoring in schemes from the start to monitor and track impact and the sequential implementation of the scheme roller-coa</w:t>
      </w:r>
      <w:r w:rsidR="003B5FD1" w:rsidRPr="000E11A6">
        <w:rPr>
          <w:rFonts w:ascii="Arial" w:hAnsi="Arial" w:cs="Arial"/>
          <w:sz w:val="22"/>
          <w:szCs w:val="22"/>
          <w:lang w:val="en-GB"/>
        </w:rPr>
        <w:t>s</w:t>
      </w:r>
      <w:r w:rsidRPr="000E11A6">
        <w:rPr>
          <w:rFonts w:ascii="Arial" w:hAnsi="Arial" w:cs="Arial"/>
          <w:sz w:val="22"/>
          <w:szCs w:val="22"/>
          <w:lang w:val="en-GB"/>
        </w:rPr>
        <w:t>ter to ensure that the most polluted and deprived areas benefit most and least.</w:t>
      </w:r>
    </w:p>
    <w:p w14:paraId="4C1273A8" w14:textId="0D484F67" w:rsidR="00A52697" w:rsidRDefault="008A1A6E" w:rsidP="000E11A6">
      <w:pPr>
        <w:jc w:val="left"/>
        <w:rPr>
          <w:rFonts w:ascii="Arial" w:hAnsi="Arial" w:cs="Arial"/>
          <w:sz w:val="22"/>
          <w:szCs w:val="22"/>
          <w:lang w:val="en-GB"/>
        </w:rPr>
      </w:pPr>
      <w:r w:rsidRPr="000E11A6">
        <w:rPr>
          <w:rFonts w:ascii="Arial" w:hAnsi="Arial" w:cs="Arial"/>
          <w:sz w:val="22"/>
          <w:szCs w:val="22"/>
          <w:lang w:val="en-GB"/>
        </w:rPr>
        <w:t xml:space="preserve">UK local green space and nature connection programmes: This study by Wicks et al. (2023) examines the mental health impact that local green space and nature connection has had on the population in the UK before and during COVID-19. The key thing that emerged from the </w:t>
      </w:r>
      <w:r w:rsidRPr="000E11A6">
        <w:rPr>
          <w:rFonts w:ascii="Arial" w:hAnsi="Arial" w:cs="Arial"/>
          <w:sz w:val="22"/>
          <w:szCs w:val="22"/>
          <w:lang w:val="en-GB"/>
        </w:rPr>
        <w:lastRenderedPageBreak/>
        <w:t>project is that there was a measurable difference between interventions which focused on active engagement with nature versus passive proximity to n</w:t>
      </w:r>
      <w:r w:rsidR="009319D7" w:rsidRPr="000E11A6">
        <w:rPr>
          <w:rFonts w:ascii="Arial" w:hAnsi="Arial" w:cs="Arial"/>
          <w:sz w:val="22"/>
          <w:szCs w:val="22"/>
          <w:lang w:val="en-GB"/>
        </w:rPr>
        <w:t>a</w:t>
      </w:r>
      <w:r w:rsidRPr="000E11A6">
        <w:rPr>
          <w:rFonts w:ascii="Arial" w:hAnsi="Arial" w:cs="Arial"/>
          <w:sz w:val="22"/>
          <w:szCs w:val="22"/>
          <w:lang w:val="en-GB"/>
        </w:rPr>
        <w:t>ture, with goals of reduced depression and stress levels and higher wellbeing scores. It implies that provision of green spaces may be more effective on its own if accompanied by other local initiatives like community gardening schemes, nature connectedness walking groups and outdoor social prescription.</w:t>
      </w:r>
    </w:p>
    <w:p w14:paraId="417F8A1E" w14:textId="3050D12B" w:rsidR="00A52697" w:rsidRDefault="00A52697" w:rsidP="00A52697">
      <w:pPr>
        <w:pStyle w:val="Heading1"/>
      </w:pPr>
      <w:bookmarkStart w:id="8" w:name="_Toc236746817"/>
      <w:r>
        <w:t>Recommendations</w:t>
      </w:r>
      <w:bookmarkEnd w:id="8"/>
    </w:p>
    <w:p w14:paraId="5F23D0D3" w14:textId="751EAC75" w:rsidR="00A52697" w:rsidRPr="00A52697" w:rsidRDefault="00A52697" w:rsidP="00A52697">
      <w:pPr>
        <w:spacing w:before="0" w:after="0" w:line="300" w:lineRule="atLeast"/>
        <w:jc w:val="left"/>
        <w:rPr>
          <w:rFonts w:ascii="Arial" w:hAnsi="Arial" w:cs="Arial"/>
          <w:b/>
          <w:bCs/>
          <w:sz w:val="22"/>
          <w:szCs w:val="22"/>
          <w:lang w:val="en-GB" w:eastAsia="en-GB"/>
        </w:rPr>
      </w:pPr>
      <w:r w:rsidRPr="00A52697">
        <w:rPr>
          <w:rFonts w:ascii="Arial" w:hAnsi="Arial" w:cs="Arial"/>
          <w:b/>
          <w:bCs/>
          <w:sz w:val="22"/>
          <w:szCs w:val="22"/>
          <w:lang w:val="en-GB" w:eastAsia="en-GB"/>
        </w:rPr>
        <w:t>S</w:t>
      </w:r>
      <w:r w:rsidRPr="00A52697">
        <w:rPr>
          <w:rFonts w:ascii="Arial" w:hAnsi="Arial" w:cs="Arial"/>
          <w:b/>
          <w:bCs/>
          <w:sz w:val="22"/>
          <w:szCs w:val="22"/>
          <w:lang w:val="en-GB" w:eastAsia="en-GB"/>
        </w:rPr>
        <w:t>trengthen Health System Resilience and Equity</w:t>
      </w:r>
    </w:p>
    <w:p w14:paraId="1757BBCA" w14:textId="77777777" w:rsidR="00A52697" w:rsidRDefault="00A52697" w:rsidP="00A52697">
      <w:pPr>
        <w:pStyle w:val="NormalWeb"/>
        <w:spacing w:line="360" w:lineRule="auto"/>
        <w:jc w:val="both"/>
        <w:rPr>
          <w:rFonts w:ascii="Arial" w:hAnsi="Arial" w:cs="Arial"/>
          <w:sz w:val="22"/>
          <w:szCs w:val="22"/>
        </w:rPr>
      </w:pPr>
      <w:r w:rsidRPr="00A52697">
        <w:rPr>
          <w:rFonts w:ascii="Arial" w:hAnsi="Arial" w:cs="Arial"/>
          <w:sz w:val="22"/>
          <w:szCs w:val="22"/>
        </w:rPr>
        <w:t>Governments should increase investment in healthcare systems, particularly in areas experiencing poor health outcomes and limited access to services. Stronger healthcare infrastructure, workforce capacity, and universal health coverage would improve preparedness for future health emergencies and reduce inequalities in access to care. Furthermore, SDG 3 monitoring data should be more directly linked to funding decisions to ensure that resources are directed towards populations with the greatest need</w:t>
      </w:r>
    </w:p>
    <w:p w14:paraId="0FC18812" w14:textId="77777777" w:rsidR="00A52697" w:rsidRPr="00A52697" w:rsidRDefault="00A52697" w:rsidP="00A52697">
      <w:pPr>
        <w:pStyle w:val="NormalWeb"/>
        <w:spacing w:line="360" w:lineRule="auto"/>
        <w:jc w:val="both"/>
        <w:rPr>
          <w:rFonts w:ascii="Arial" w:hAnsi="Arial" w:cs="Arial"/>
          <w:b/>
          <w:bCs/>
          <w:sz w:val="22"/>
          <w:szCs w:val="22"/>
        </w:rPr>
      </w:pPr>
      <w:r w:rsidRPr="00A52697">
        <w:rPr>
          <w:rFonts w:ascii="Arial" w:hAnsi="Arial" w:cs="Arial"/>
          <w:b/>
          <w:bCs/>
          <w:sz w:val="22"/>
          <w:szCs w:val="22"/>
        </w:rPr>
        <w:t>Improve Data Collection and Monitoring Systems</w:t>
      </w:r>
    </w:p>
    <w:p w14:paraId="0E8DC4BA" w14:textId="77777777" w:rsidR="00A52697" w:rsidRDefault="00A52697" w:rsidP="00A52697">
      <w:pPr>
        <w:pStyle w:val="NormalWeb"/>
        <w:spacing w:line="360" w:lineRule="auto"/>
        <w:jc w:val="both"/>
        <w:rPr>
          <w:rFonts w:ascii="Arial" w:hAnsi="Arial" w:cs="Arial"/>
          <w:sz w:val="22"/>
          <w:szCs w:val="22"/>
        </w:rPr>
      </w:pPr>
      <w:r w:rsidRPr="00A52697">
        <w:rPr>
          <w:rFonts w:ascii="Arial" w:hAnsi="Arial" w:cs="Arial"/>
          <w:sz w:val="22"/>
          <w:szCs w:val="22"/>
        </w:rPr>
        <w:t>Accurate and consistent monitoring is essential for effective policymaking. International organisations and national governments should work towards greater standardisation of health indicators and reporting methods. Improved data quality would support evidence-based decision-making, facilitate international comparisons, and reduce the risk of policy actions based on incomplete or inaccurate information</w:t>
      </w:r>
    </w:p>
    <w:p w14:paraId="146E9612" w14:textId="77777777" w:rsidR="00A52697" w:rsidRPr="00A52697" w:rsidRDefault="00A52697" w:rsidP="00A52697">
      <w:pPr>
        <w:pStyle w:val="NormalWeb"/>
        <w:spacing w:line="360" w:lineRule="auto"/>
        <w:jc w:val="both"/>
        <w:rPr>
          <w:rFonts w:ascii="Arial" w:hAnsi="Arial" w:cs="Arial"/>
          <w:b/>
          <w:bCs/>
          <w:sz w:val="22"/>
          <w:szCs w:val="22"/>
        </w:rPr>
      </w:pPr>
      <w:r w:rsidRPr="00A52697">
        <w:rPr>
          <w:rFonts w:ascii="Arial" w:hAnsi="Arial" w:cs="Arial"/>
          <w:b/>
          <w:bCs/>
          <w:sz w:val="22"/>
          <w:szCs w:val="22"/>
        </w:rPr>
        <w:t>Prioritise Equitable Access to Urban Green Spaces</w:t>
      </w:r>
    </w:p>
    <w:p w14:paraId="717FDD7E" w14:textId="578C6A84" w:rsidR="00A52697" w:rsidRPr="00A52697" w:rsidRDefault="00A52697" w:rsidP="00A52697">
      <w:pPr>
        <w:pStyle w:val="NormalWeb"/>
        <w:spacing w:line="360" w:lineRule="auto"/>
        <w:jc w:val="both"/>
        <w:rPr>
          <w:rFonts w:ascii="Arial" w:hAnsi="Arial" w:cs="Arial"/>
          <w:sz w:val="22"/>
          <w:szCs w:val="22"/>
        </w:rPr>
      </w:pPr>
      <w:r w:rsidRPr="00A52697">
        <w:rPr>
          <w:rFonts w:ascii="Arial" w:hAnsi="Arial" w:cs="Arial"/>
          <w:sz w:val="22"/>
          <w:szCs w:val="22"/>
        </w:rPr>
        <w:t xml:space="preserve">Local authorities should ensure that all residents, particularly those living in deprived urban areas, have access to high-quality green spaces within walking distance of their homes. Urban planning strategies should focus not only on increasing the quantity of green spaces but also on improving their quality, accessibility, and attractiveness to encourage regular use. </w:t>
      </w:r>
    </w:p>
    <w:p w14:paraId="51612A60" w14:textId="218F59BC" w:rsidR="00A52697" w:rsidRPr="00A52697" w:rsidRDefault="00A52697" w:rsidP="00A52697">
      <w:pPr>
        <w:pStyle w:val="NormalWeb"/>
        <w:spacing w:line="360" w:lineRule="auto"/>
        <w:jc w:val="both"/>
        <w:rPr>
          <w:rFonts w:ascii="Arial" w:hAnsi="Arial" w:cs="Arial"/>
          <w:b/>
          <w:bCs/>
          <w:sz w:val="22"/>
          <w:szCs w:val="22"/>
        </w:rPr>
      </w:pPr>
      <w:r w:rsidRPr="00A52697">
        <w:rPr>
          <w:rFonts w:ascii="Arial" w:hAnsi="Arial" w:cs="Arial"/>
          <w:b/>
          <w:bCs/>
          <w:sz w:val="22"/>
          <w:szCs w:val="22"/>
        </w:rPr>
        <w:t>Expand Sustainable Transport and Low-Traffic Initiatives</w:t>
      </w:r>
    </w:p>
    <w:p w14:paraId="17A38B9B" w14:textId="40DF20DF" w:rsidR="00A52697" w:rsidRPr="00A52697" w:rsidRDefault="00A52697" w:rsidP="00A52697">
      <w:pPr>
        <w:pStyle w:val="NormalWeb"/>
        <w:spacing w:line="360" w:lineRule="auto"/>
        <w:jc w:val="both"/>
        <w:rPr>
          <w:rFonts w:ascii="Arial" w:hAnsi="Arial" w:cs="Arial"/>
          <w:sz w:val="22"/>
          <w:szCs w:val="22"/>
        </w:rPr>
      </w:pPr>
      <w:r w:rsidRPr="00A52697">
        <w:rPr>
          <w:rFonts w:ascii="Arial" w:hAnsi="Arial" w:cs="Arial"/>
          <w:sz w:val="22"/>
          <w:szCs w:val="22"/>
        </w:rPr>
        <w:t xml:space="preserve">Cities should adopt and expand initiatives such as Barcelona’s Superblocks model to reduce traffic congestion, air pollution, and noise exposure. Greater investment in walking and cycling </w:t>
      </w:r>
      <w:r w:rsidRPr="00A52697">
        <w:rPr>
          <w:rFonts w:ascii="Arial" w:hAnsi="Arial" w:cs="Arial"/>
          <w:sz w:val="22"/>
          <w:szCs w:val="22"/>
        </w:rPr>
        <w:lastRenderedPageBreak/>
        <w:t xml:space="preserve">infrastructure can increase physical activity levels, improve environmental quality, and contribute to better population health outcomes. Health impact assessments should be incorporated into all major transport and urban development projects. </w:t>
      </w:r>
    </w:p>
    <w:p w14:paraId="782F6DE8" w14:textId="05216C96" w:rsidR="00A52697" w:rsidRPr="00A52697" w:rsidRDefault="00A52697" w:rsidP="00A52697">
      <w:pPr>
        <w:pStyle w:val="NormalWeb"/>
        <w:spacing w:line="360" w:lineRule="auto"/>
        <w:jc w:val="both"/>
        <w:rPr>
          <w:rFonts w:ascii="Arial" w:hAnsi="Arial" w:cs="Arial"/>
          <w:b/>
          <w:bCs/>
          <w:sz w:val="22"/>
          <w:szCs w:val="22"/>
        </w:rPr>
      </w:pPr>
      <w:r w:rsidRPr="00A52697">
        <w:rPr>
          <w:rFonts w:ascii="Arial" w:hAnsi="Arial" w:cs="Arial"/>
          <w:b/>
          <w:bCs/>
          <w:sz w:val="22"/>
          <w:szCs w:val="22"/>
        </w:rPr>
        <w:t>Promote Community-Based Nature Engagement Programmes</w:t>
      </w:r>
    </w:p>
    <w:p w14:paraId="4E984AC0" w14:textId="77777777" w:rsidR="00A52697" w:rsidRDefault="00A52697" w:rsidP="00A52697">
      <w:pPr>
        <w:pStyle w:val="NormalWeb"/>
        <w:spacing w:line="360" w:lineRule="auto"/>
        <w:jc w:val="both"/>
        <w:rPr>
          <w:rFonts w:ascii="Arial" w:hAnsi="Arial" w:cs="Arial"/>
          <w:sz w:val="22"/>
          <w:szCs w:val="22"/>
        </w:rPr>
      </w:pPr>
      <w:r w:rsidRPr="00A52697">
        <w:rPr>
          <w:rFonts w:ascii="Arial" w:hAnsi="Arial" w:cs="Arial"/>
          <w:sz w:val="22"/>
          <w:szCs w:val="22"/>
        </w:rPr>
        <w:t>Evidence suggests that active engagement with nature has greater mental health benefits than simple proximity to green spaces. Local governments and healthcare providers should therefore support community gardening schemes, outdoor social prescribing programmes, guided nature walks, and other activities that encourage meaningful interaction with natural environments. Such initiatives can help reduce stress, social isolation, and symptoms of depression while strengthening community cohesion.</w:t>
      </w:r>
    </w:p>
    <w:p w14:paraId="62D7F04F" w14:textId="77777777" w:rsidR="00A52697" w:rsidRPr="00A52697" w:rsidRDefault="00A52697" w:rsidP="00A52697">
      <w:pPr>
        <w:pStyle w:val="NormalWeb"/>
        <w:spacing w:line="360" w:lineRule="auto"/>
        <w:jc w:val="both"/>
        <w:rPr>
          <w:rFonts w:ascii="Arial" w:hAnsi="Arial" w:cs="Arial"/>
          <w:b/>
          <w:bCs/>
          <w:sz w:val="22"/>
          <w:szCs w:val="22"/>
        </w:rPr>
      </w:pPr>
      <w:r w:rsidRPr="00A52697">
        <w:rPr>
          <w:rFonts w:ascii="Arial" w:hAnsi="Arial" w:cs="Arial"/>
          <w:b/>
          <w:bCs/>
          <w:sz w:val="22"/>
          <w:szCs w:val="22"/>
        </w:rPr>
        <w:t>Encourage Cross-Sector Collaboration</w:t>
      </w:r>
    </w:p>
    <w:p w14:paraId="4E2B895D" w14:textId="2A1ADBD1" w:rsidR="001805B6" w:rsidRPr="00A52697" w:rsidRDefault="00A52697" w:rsidP="00A52697">
      <w:pPr>
        <w:pStyle w:val="NormalWeb"/>
        <w:spacing w:line="360" w:lineRule="auto"/>
        <w:jc w:val="both"/>
        <w:rPr>
          <w:rFonts w:ascii="Arial" w:hAnsi="Arial" w:cs="Arial"/>
          <w:sz w:val="22"/>
          <w:szCs w:val="22"/>
        </w:rPr>
      </w:pPr>
      <w:r w:rsidRPr="00A52697">
        <w:rPr>
          <w:rFonts w:ascii="Arial" w:hAnsi="Arial" w:cs="Arial"/>
          <w:sz w:val="22"/>
          <w:szCs w:val="22"/>
        </w:rPr>
        <w:t>Achieving progress on both SDG 3 and SDG 11 requires collaboration between healthcare providers, urban planners, environmental agencies, transport authorities, and policymakers. Integrated approaches would ensure that decisions regarding housing, transport, environmental protection, and public health are aligned to maximise health and wellbeing benefits for current and future generations.</w:t>
      </w:r>
    </w:p>
    <w:p w14:paraId="2ECC4437" w14:textId="02520282" w:rsidR="008A1A6E" w:rsidRPr="000E11A6" w:rsidRDefault="008A1A6E" w:rsidP="000E11A6">
      <w:pPr>
        <w:pStyle w:val="Heading1"/>
        <w:rPr>
          <w:rFonts w:ascii="Arial" w:hAnsi="Arial" w:cs="Arial"/>
        </w:rPr>
      </w:pPr>
      <w:bookmarkStart w:id="9" w:name="_Toc236746818"/>
      <w:r w:rsidRPr="000E11A6">
        <w:rPr>
          <w:rFonts w:ascii="Arial" w:hAnsi="Arial" w:cs="Arial"/>
        </w:rPr>
        <w:t>Conclusion</w:t>
      </w:r>
      <w:bookmarkEnd w:id="9"/>
    </w:p>
    <w:p w14:paraId="59B5C167" w14:textId="48369125" w:rsidR="008A1A6E" w:rsidRPr="00A52697" w:rsidRDefault="008A1A6E" w:rsidP="00A52697">
      <w:pPr>
        <w:jc w:val="left"/>
        <w:rPr>
          <w:rFonts w:ascii="Arial" w:hAnsi="Arial" w:cs="Arial"/>
          <w:sz w:val="22"/>
          <w:szCs w:val="22"/>
          <w:lang w:val="en-GB"/>
        </w:rPr>
      </w:pPr>
      <w:r w:rsidRPr="000E11A6">
        <w:rPr>
          <w:rFonts w:ascii="Arial" w:hAnsi="Arial" w:cs="Arial"/>
          <w:sz w:val="22"/>
          <w:szCs w:val="22"/>
          <w:lang w:val="en-GB"/>
        </w:rPr>
        <w:t xml:space="preserve">It has been demonstrated </w:t>
      </w:r>
      <w:r w:rsidR="009319D7" w:rsidRPr="000E11A6">
        <w:rPr>
          <w:rFonts w:ascii="Arial" w:hAnsi="Arial" w:cs="Arial"/>
          <w:sz w:val="22"/>
          <w:szCs w:val="22"/>
          <w:lang w:val="en-GB"/>
        </w:rPr>
        <w:t>during</w:t>
      </w:r>
      <w:r w:rsidRPr="000E11A6">
        <w:rPr>
          <w:rFonts w:ascii="Arial" w:hAnsi="Arial" w:cs="Arial"/>
          <w:sz w:val="22"/>
          <w:szCs w:val="22"/>
          <w:lang w:val="en-GB"/>
        </w:rPr>
        <w:t xml:space="preserve"> this report that there are synergies between SDG 3 and SDG 11: Health is essential for functioning health systems</w:t>
      </w:r>
      <w:r w:rsidR="009319D7" w:rsidRPr="000E11A6">
        <w:rPr>
          <w:rFonts w:ascii="Arial" w:hAnsi="Arial" w:cs="Arial"/>
          <w:sz w:val="22"/>
          <w:szCs w:val="22"/>
          <w:lang w:val="en-GB"/>
        </w:rPr>
        <w:t>,</w:t>
      </w:r>
      <w:r w:rsidRPr="000E11A6">
        <w:rPr>
          <w:rFonts w:ascii="Arial" w:hAnsi="Arial" w:cs="Arial"/>
          <w:sz w:val="22"/>
          <w:szCs w:val="22"/>
          <w:lang w:val="en-GB"/>
        </w:rPr>
        <w:t xml:space="preserve"> and functioning health systems </w:t>
      </w:r>
      <w:r w:rsidR="009319D7" w:rsidRPr="000E11A6">
        <w:rPr>
          <w:rFonts w:ascii="Arial" w:hAnsi="Arial" w:cs="Arial"/>
          <w:sz w:val="22"/>
          <w:szCs w:val="22"/>
          <w:lang w:val="en-GB"/>
        </w:rPr>
        <w:t>are</w:t>
      </w:r>
      <w:r w:rsidRPr="000E11A6">
        <w:rPr>
          <w:rFonts w:ascii="Arial" w:hAnsi="Arial" w:cs="Arial"/>
          <w:sz w:val="22"/>
          <w:szCs w:val="22"/>
          <w:lang w:val="en-GB"/>
        </w:rPr>
        <w:t xml:space="preserve"> essential for well-designed, equitable cities. While clear and comparable national</w:t>
      </w:r>
      <w:r w:rsidR="009319D7" w:rsidRPr="000E11A6">
        <w:rPr>
          <w:rFonts w:ascii="Arial" w:hAnsi="Arial" w:cs="Arial"/>
          <w:sz w:val="22"/>
          <w:szCs w:val="22"/>
          <w:lang w:val="en-GB"/>
        </w:rPr>
        <w:t>-</w:t>
      </w:r>
      <w:r w:rsidRPr="000E11A6">
        <w:rPr>
          <w:rFonts w:ascii="Arial" w:hAnsi="Arial" w:cs="Arial"/>
          <w:sz w:val="22"/>
          <w:szCs w:val="22"/>
          <w:lang w:val="en-GB"/>
        </w:rPr>
        <w:t xml:space="preserve">level data, like the EU-wide SDG monitoring and Thailand's health sustainability benchmarking, show the benefit of such data, </w:t>
      </w:r>
      <w:r w:rsidR="009319D7" w:rsidRPr="000E11A6">
        <w:rPr>
          <w:rFonts w:ascii="Arial" w:hAnsi="Arial" w:cs="Arial"/>
          <w:sz w:val="22"/>
          <w:szCs w:val="22"/>
          <w:lang w:val="en-GB"/>
        </w:rPr>
        <w:t>such</w:t>
      </w:r>
      <w:r w:rsidRPr="000E11A6">
        <w:rPr>
          <w:rFonts w:ascii="Arial" w:hAnsi="Arial" w:cs="Arial"/>
          <w:sz w:val="22"/>
          <w:szCs w:val="22"/>
          <w:lang w:val="en-GB"/>
        </w:rPr>
        <w:t xml:space="preserve"> data in isolation will not drive equitable outcomes without sufficient investment and governance authority. Barcelona's Superblocks and Green-space programmes in the UK demonstrate that a well-designed and inclusive approach towards interventions can provide tangible health benefits when they are taken up consistently to first reach the most deprived communities in society. Mandating outcome evaluation, ensuring resources are distributed fairly or "fairly + more," and improving interactions between health and environmental and urban planning policy should be emphasi</w:t>
      </w:r>
      <w:r w:rsidR="009319D7" w:rsidRPr="000E11A6">
        <w:rPr>
          <w:rFonts w:ascii="Arial" w:hAnsi="Arial" w:cs="Arial"/>
          <w:sz w:val="22"/>
          <w:szCs w:val="22"/>
          <w:lang w:val="en-GB"/>
        </w:rPr>
        <w:t>s</w:t>
      </w:r>
      <w:r w:rsidRPr="000E11A6">
        <w:rPr>
          <w:rFonts w:ascii="Arial" w:hAnsi="Arial" w:cs="Arial"/>
          <w:sz w:val="22"/>
          <w:szCs w:val="22"/>
          <w:lang w:val="en-GB"/>
        </w:rPr>
        <w:t>ed in future policy.</w:t>
      </w:r>
      <w:bookmarkStart w:id="10" w:name="_heading=h.ip2ojw5dj37n" w:colFirst="0" w:colLast="0"/>
      <w:bookmarkEnd w:id="10"/>
    </w:p>
    <w:p w14:paraId="4713F040" w14:textId="17F5B53D" w:rsidR="008A1A6E" w:rsidRPr="00A52697" w:rsidRDefault="008A1A6E" w:rsidP="000E11A6">
      <w:pPr>
        <w:pStyle w:val="Heading1"/>
        <w:rPr>
          <w:rFonts w:ascii="Arial" w:hAnsi="Arial" w:cs="Arial"/>
          <w:b/>
          <w:bCs/>
          <w:sz w:val="22"/>
          <w:szCs w:val="22"/>
        </w:rPr>
      </w:pPr>
      <w:bookmarkStart w:id="11" w:name="_heading=h.fcgny8au0s8t" w:colFirst="0" w:colLast="0"/>
      <w:bookmarkStart w:id="12" w:name="_Toc236746819"/>
      <w:bookmarkEnd w:id="11"/>
      <w:r w:rsidRPr="000E11A6">
        <w:rPr>
          <w:rFonts w:ascii="Arial" w:hAnsi="Arial" w:cs="Arial"/>
        </w:rPr>
        <w:lastRenderedPageBreak/>
        <w:t>References</w:t>
      </w:r>
      <w:bookmarkEnd w:id="12"/>
    </w:p>
    <w:p w14:paraId="62F49C4B"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Ali, S.M., </w:t>
      </w:r>
      <w:proofErr w:type="spellStart"/>
      <w:r w:rsidRPr="000E11A6">
        <w:rPr>
          <w:rFonts w:ascii="Arial" w:hAnsi="Arial" w:cs="Arial"/>
          <w:sz w:val="22"/>
          <w:szCs w:val="22"/>
          <w:lang w:val="en-GB"/>
        </w:rPr>
        <w:t>Appolloni</w:t>
      </w:r>
      <w:proofErr w:type="spellEnd"/>
      <w:r w:rsidRPr="000E11A6">
        <w:rPr>
          <w:rFonts w:ascii="Arial" w:hAnsi="Arial" w:cs="Arial"/>
          <w:sz w:val="22"/>
          <w:szCs w:val="22"/>
          <w:lang w:val="en-GB"/>
        </w:rPr>
        <w:t xml:space="preserve">, A., Cavallaro, F. </w:t>
      </w:r>
      <w:r w:rsidRPr="000E11A6">
        <w:rPr>
          <w:rFonts w:ascii="Arial" w:hAnsi="Arial" w:cs="Arial"/>
          <w:i/>
          <w:iCs/>
          <w:sz w:val="22"/>
          <w:szCs w:val="22"/>
          <w:lang w:val="en-GB"/>
        </w:rPr>
        <w:t>et al.</w:t>
      </w:r>
      <w:r w:rsidRPr="000E11A6">
        <w:rPr>
          <w:rFonts w:ascii="Arial" w:hAnsi="Arial" w:cs="Arial"/>
          <w:sz w:val="22"/>
          <w:szCs w:val="22"/>
          <w:lang w:val="en-GB"/>
        </w:rPr>
        <w:t xml:space="preserve"> (2023) ‘Development goals towards sustainability’, </w:t>
      </w:r>
      <w:r w:rsidRPr="000E11A6">
        <w:rPr>
          <w:rFonts w:ascii="Arial" w:hAnsi="Arial" w:cs="Arial"/>
          <w:i/>
          <w:iCs/>
          <w:sz w:val="22"/>
          <w:szCs w:val="22"/>
          <w:lang w:val="en-GB"/>
        </w:rPr>
        <w:t>Sustainability</w:t>
      </w:r>
      <w:r w:rsidRPr="000E11A6">
        <w:rPr>
          <w:rFonts w:ascii="Arial" w:hAnsi="Arial" w:cs="Arial"/>
          <w:sz w:val="22"/>
          <w:szCs w:val="22"/>
          <w:lang w:val="en-GB"/>
        </w:rPr>
        <w:t xml:space="preserve">, </w:t>
      </w:r>
      <w:r w:rsidRPr="000E11A6">
        <w:rPr>
          <w:rFonts w:ascii="Arial" w:hAnsi="Arial" w:cs="Arial"/>
          <w:i/>
          <w:iCs/>
          <w:sz w:val="22"/>
          <w:szCs w:val="22"/>
          <w:lang w:val="en-GB"/>
        </w:rPr>
        <w:t>15</w:t>
      </w:r>
      <w:r w:rsidRPr="000E11A6">
        <w:rPr>
          <w:rFonts w:ascii="Arial" w:hAnsi="Arial" w:cs="Arial"/>
          <w:sz w:val="22"/>
          <w:szCs w:val="22"/>
          <w:lang w:val="en-GB"/>
        </w:rPr>
        <w:t>(12), p. 9443. Available at:</w:t>
      </w:r>
      <w:hyperlink r:id="rId9">
        <w:r w:rsidRPr="000E11A6">
          <w:rPr>
            <w:rFonts w:ascii="Arial" w:hAnsi="Arial" w:cs="Arial"/>
            <w:sz w:val="22"/>
            <w:szCs w:val="22"/>
            <w:lang w:val="en-GB"/>
          </w:rPr>
          <w:t xml:space="preserve"> </w:t>
        </w:r>
      </w:hyperlink>
      <w:hyperlink r:id="rId10">
        <w:r w:rsidRPr="000E11A6">
          <w:rPr>
            <w:rFonts w:ascii="Arial" w:hAnsi="Arial" w:cs="Arial"/>
            <w:color w:val="1155CC"/>
            <w:sz w:val="22"/>
            <w:szCs w:val="22"/>
            <w:u w:val="single"/>
            <w:lang w:val="en-GB"/>
          </w:rPr>
          <w:t>https://doi.org/10.3390/su15129443</w:t>
        </w:r>
      </w:hyperlink>
      <w:r w:rsidRPr="000E11A6">
        <w:rPr>
          <w:rFonts w:ascii="Arial" w:hAnsi="Arial" w:cs="Arial"/>
          <w:sz w:val="22"/>
          <w:szCs w:val="22"/>
          <w:lang w:val="en-GB"/>
        </w:rPr>
        <w:t xml:space="preserve"> (Accessed: 17 July 2026).</w:t>
      </w:r>
    </w:p>
    <w:p w14:paraId="5D1CC94D"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Fernández-Aguilar, C., </w:t>
      </w:r>
      <w:proofErr w:type="spellStart"/>
      <w:r w:rsidRPr="000E11A6">
        <w:rPr>
          <w:rFonts w:ascii="Arial" w:hAnsi="Arial" w:cs="Arial"/>
          <w:sz w:val="22"/>
          <w:szCs w:val="22"/>
          <w:lang w:val="en-GB"/>
        </w:rPr>
        <w:t>Brosed</w:t>
      </w:r>
      <w:proofErr w:type="spellEnd"/>
      <w:r w:rsidRPr="000E11A6">
        <w:rPr>
          <w:rFonts w:ascii="Arial" w:hAnsi="Arial" w:cs="Arial"/>
          <w:sz w:val="22"/>
          <w:szCs w:val="22"/>
          <w:lang w:val="en-GB"/>
        </w:rPr>
        <w:t>-Lázaro, M. and Carmona-</w:t>
      </w:r>
      <w:proofErr w:type="spellStart"/>
      <w:r w:rsidRPr="000E11A6">
        <w:rPr>
          <w:rFonts w:ascii="Arial" w:hAnsi="Arial" w:cs="Arial"/>
          <w:sz w:val="22"/>
          <w:szCs w:val="22"/>
          <w:lang w:val="en-GB"/>
        </w:rPr>
        <w:t>Derqui</w:t>
      </w:r>
      <w:proofErr w:type="spellEnd"/>
      <w:r w:rsidRPr="000E11A6">
        <w:rPr>
          <w:rFonts w:ascii="Arial" w:hAnsi="Arial" w:cs="Arial"/>
          <w:sz w:val="22"/>
          <w:szCs w:val="22"/>
          <w:lang w:val="en-GB"/>
        </w:rPr>
        <w:t xml:space="preserve">, D. (2023) ‘Effectiveness of mobility and urban sustainability measures in improving citizen health: A scoping review’, </w:t>
      </w:r>
      <w:r w:rsidRPr="000E11A6">
        <w:rPr>
          <w:rFonts w:ascii="Arial" w:hAnsi="Arial" w:cs="Arial"/>
          <w:i/>
          <w:iCs/>
          <w:sz w:val="22"/>
          <w:szCs w:val="22"/>
          <w:lang w:val="en-GB"/>
        </w:rPr>
        <w:t>International Journal of Environmental Research and Public Health</w:t>
      </w:r>
      <w:r w:rsidRPr="000E11A6">
        <w:rPr>
          <w:rFonts w:ascii="Arial" w:hAnsi="Arial" w:cs="Arial"/>
          <w:sz w:val="22"/>
          <w:szCs w:val="22"/>
          <w:lang w:val="en-GB"/>
        </w:rPr>
        <w:t xml:space="preserve">, </w:t>
      </w:r>
      <w:r w:rsidRPr="000E11A6">
        <w:rPr>
          <w:rFonts w:ascii="Arial" w:hAnsi="Arial" w:cs="Arial"/>
          <w:i/>
          <w:iCs/>
          <w:sz w:val="22"/>
          <w:szCs w:val="22"/>
          <w:lang w:val="en-GB"/>
        </w:rPr>
        <w:t>20</w:t>
      </w:r>
      <w:r w:rsidRPr="000E11A6">
        <w:rPr>
          <w:rFonts w:ascii="Arial" w:hAnsi="Arial" w:cs="Arial"/>
          <w:sz w:val="22"/>
          <w:szCs w:val="22"/>
          <w:lang w:val="en-GB"/>
        </w:rPr>
        <w:t>(3), p. 2649. Available at:</w:t>
      </w:r>
      <w:hyperlink r:id="rId11">
        <w:r w:rsidRPr="000E11A6">
          <w:rPr>
            <w:rFonts w:ascii="Arial" w:hAnsi="Arial" w:cs="Arial"/>
            <w:sz w:val="22"/>
            <w:szCs w:val="22"/>
            <w:lang w:val="en-GB"/>
          </w:rPr>
          <w:t xml:space="preserve"> </w:t>
        </w:r>
      </w:hyperlink>
      <w:hyperlink r:id="rId12">
        <w:r w:rsidRPr="000E11A6">
          <w:rPr>
            <w:rFonts w:ascii="Arial" w:hAnsi="Arial" w:cs="Arial"/>
            <w:color w:val="1155CC"/>
            <w:sz w:val="22"/>
            <w:szCs w:val="22"/>
            <w:u w:val="single"/>
            <w:lang w:val="en-GB"/>
          </w:rPr>
          <w:t>https://doi.org/10.3390/ijerph20032649</w:t>
        </w:r>
      </w:hyperlink>
      <w:r w:rsidRPr="000E11A6">
        <w:rPr>
          <w:rFonts w:ascii="Arial" w:hAnsi="Arial" w:cs="Arial"/>
          <w:sz w:val="22"/>
          <w:szCs w:val="22"/>
          <w:lang w:val="en-GB"/>
        </w:rPr>
        <w:t xml:space="preserve"> (Accessed: 17 July 2026).</w:t>
      </w:r>
    </w:p>
    <w:p w14:paraId="346389EE"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Meier, B.M., </w:t>
      </w:r>
      <w:proofErr w:type="spellStart"/>
      <w:r w:rsidRPr="000E11A6">
        <w:rPr>
          <w:rFonts w:ascii="Arial" w:hAnsi="Arial" w:cs="Arial"/>
          <w:sz w:val="22"/>
          <w:szCs w:val="22"/>
          <w:lang w:val="en-GB"/>
        </w:rPr>
        <w:t>Bustreo</w:t>
      </w:r>
      <w:proofErr w:type="spellEnd"/>
      <w:r w:rsidRPr="000E11A6">
        <w:rPr>
          <w:rFonts w:ascii="Arial" w:hAnsi="Arial" w:cs="Arial"/>
          <w:sz w:val="22"/>
          <w:szCs w:val="22"/>
          <w:lang w:val="en-GB"/>
        </w:rPr>
        <w:t xml:space="preserve">, F. and Gostin, L.O. (2022) ‘Climate change, public health and human rights’, </w:t>
      </w:r>
      <w:r w:rsidRPr="000E11A6">
        <w:rPr>
          <w:rFonts w:ascii="Arial" w:hAnsi="Arial" w:cs="Arial"/>
          <w:i/>
          <w:iCs/>
          <w:sz w:val="22"/>
          <w:szCs w:val="22"/>
          <w:lang w:val="en-GB"/>
        </w:rPr>
        <w:t>International Journal of Environmental Research and Public Health</w:t>
      </w:r>
      <w:r w:rsidRPr="000E11A6">
        <w:rPr>
          <w:rFonts w:ascii="Arial" w:hAnsi="Arial" w:cs="Arial"/>
          <w:sz w:val="22"/>
          <w:szCs w:val="22"/>
          <w:lang w:val="en-GB"/>
        </w:rPr>
        <w:t xml:space="preserve">, </w:t>
      </w:r>
      <w:r w:rsidRPr="000E11A6">
        <w:rPr>
          <w:rFonts w:ascii="Arial" w:hAnsi="Arial" w:cs="Arial"/>
          <w:i/>
          <w:iCs/>
          <w:sz w:val="22"/>
          <w:szCs w:val="22"/>
          <w:lang w:val="en-GB"/>
        </w:rPr>
        <w:t>19</w:t>
      </w:r>
      <w:r w:rsidRPr="000E11A6">
        <w:rPr>
          <w:rFonts w:ascii="Arial" w:hAnsi="Arial" w:cs="Arial"/>
          <w:sz w:val="22"/>
          <w:szCs w:val="22"/>
          <w:lang w:val="en-GB"/>
        </w:rPr>
        <w:t>(21), p. 13744. Available at:</w:t>
      </w:r>
      <w:hyperlink r:id="rId13">
        <w:r w:rsidRPr="000E11A6">
          <w:rPr>
            <w:rFonts w:ascii="Arial" w:hAnsi="Arial" w:cs="Arial"/>
            <w:sz w:val="22"/>
            <w:szCs w:val="22"/>
            <w:lang w:val="en-GB"/>
          </w:rPr>
          <w:t xml:space="preserve"> </w:t>
        </w:r>
      </w:hyperlink>
      <w:hyperlink r:id="rId14">
        <w:r w:rsidRPr="000E11A6">
          <w:rPr>
            <w:rFonts w:ascii="Arial" w:hAnsi="Arial" w:cs="Arial"/>
            <w:color w:val="1155CC"/>
            <w:sz w:val="22"/>
            <w:szCs w:val="22"/>
            <w:u w:val="single"/>
            <w:lang w:val="en-GB"/>
          </w:rPr>
          <w:t>https://doi.org/10.3390/ijerph192113744</w:t>
        </w:r>
      </w:hyperlink>
      <w:r w:rsidRPr="000E11A6">
        <w:rPr>
          <w:rFonts w:ascii="Arial" w:hAnsi="Arial" w:cs="Arial"/>
          <w:sz w:val="22"/>
          <w:szCs w:val="22"/>
          <w:lang w:val="en-GB"/>
        </w:rPr>
        <w:t xml:space="preserve"> (Accessed: 17 July 2026).</w:t>
      </w:r>
    </w:p>
    <w:p w14:paraId="69AF4C12" w14:textId="77777777" w:rsidR="008A1A6E" w:rsidRPr="000E11A6" w:rsidRDefault="008A1A6E" w:rsidP="000E11A6">
      <w:pPr>
        <w:spacing w:before="240" w:after="240"/>
        <w:jc w:val="left"/>
        <w:rPr>
          <w:rFonts w:ascii="Arial" w:hAnsi="Arial" w:cs="Arial"/>
          <w:sz w:val="22"/>
          <w:szCs w:val="22"/>
          <w:lang w:val="en-GB"/>
        </w:rPr>
      </w:pPr>
      <w:proofErr w:type="spellStart"/>
      <w:r w:rsidRPr="000E11A6">
        <w:rPr>
          <w:rFonts w:ascii="Arial" w:hAnsi="Arial" w:cs="Arial"/>
          <w:sz w:val="22"/>
          <w:szCs w:val="22"/>
          <w:lang w:val="en-GB"/>
        </w:rPr>
        <w:t>Mikuła</w:t>
      </w:r>
      <w:proofErr w:type="spellEnd"/>
      <w:r w:rsidRPr="000E11A6">
        <w:rPr>
          <w:rFonts w:ascii="Arial" w:hAnsi="Arial" w:cs="Arial"/>
          <w:sz w:val="22"/>
          <w:szCs w:val="22"/>
          <w:lang w:val="en-GB"/>
        </w:rPr>
        <w:t xml:space="preserve">, A., Raczkowska, M. and Utzig, M. (2024) ‘Implementation of Sustainable Development Goal 3: Good health and well-being in European Union countries in the context of the COVID-19 pandemic’, </w:t>
      </w:r>
      <w:r w:rsidRPr="000E11A6">
        <w:rPr>
          <w:rFonts w:ascii="Arial" w:hAnsi="Arial" w:cs="Arial"/>
          <w:i/>
          <w:iCs/>
          <w:sz w:val="22"/>
          <w:szCs w:val="22"/>
          <w:lang w:val="en-GB"/>
        </w:rPr>
        <w:t>Sustainability</w:t>
      </w:r>
      <w:r w:rsidRPr="000E11A6">
        <w:rPr>
          <w:rFonts w:ascii="Arial" w:hAnsi="Arial" w:cs="Arial"/>
          <w:sz w:val="22"/>
          <w:szCs w:val="22"/>
          <w:lang w:val="en-GB"/>
        </w:rPr>
        <w:t xml:space="preserve">, </w:t>
      </w:r>
      <w:r w:rsidRPr="000E11A6">
        <w:rPr>
          <w:rFonts w:ascii="Arial" w:hAnsi="Arial" w:cs="Arial"/>
          <w:i/>
          <w:iCs/>
          <w:sz w:val="22"/>
          <w:szCs w:val="22"/>
          <w:lang w:val="en-GB"/>
        </w:rPr>
        <w:t>16</w:t>
      </w:r>
      <w:r w:rsidRPr="000E11A6">
        <w:rPr>
          <w:rFonts w:ascii="Arial" w:hAnsi="Arial" w:cs="Arial"/>
          <w:sz w:val="22"/>
          <w:szCs w:val="22"/>
          <w:lang w:val="en-GB"/>
        </w:rPr>
        <w:t>(18), p. 7921. Available at:</w:t>
      </w:r>
      <w:hyperlink r:id="rId15">
        <w:r w:rsidRPr="000E11A6">
          <w:rPr>
            <w:rFonts w:ascii="Arial" w:hAnsi="Arial" w:cs="Arial"/>
            <w:sz w:val="22"/>
            <w:szCs w:val="22"/>
            <w:lang w:val="en-GB"/>
          </w:rPr>
          <w:t xml:space="preserve"> </w:t>
        </w:r>
      </w:hyperlink>
      <w:hyperlink r:id="rId16">
        <w:r w:rsidRPr="000E11A6">
          <w:rPr>
            <w:rFonts w:ascii="Arial" w:hAnsi="Arial" w:cs="Arial"/>
            <w:color w:val="1155CC"/>
            <w:sz w:val="22"/>
            <w:szCs w:val="22"/>
            <w:u w:val="single"/>
            <w:lang w:val="en-GB"/>
          </w:rPr>
          <w:t>https://doi.org/10.3390/su16187921</w:t>
        </w:r>
      </w:hyperlink>
      <w:r w:rsidRPr="000E11A6">
        <w:rPr>
          <w:rFonts w:ascii="Arial" w:hAnsi="Arial" w:cs="Arial"/>
          <w:sz w:val="22"/>
          <w:szCs w:val="22"/>
          <w:lang w:val="en-GB"/>
        </w:rPr>
        <w:t xml:space="preserve"> (Accessed: 17 July 2026).</w:t>
      </w:r>
    </w:p>
    <w:p w14:paraId="05063BDD"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Nabiyeva, G.N., Wheeler, S.M., London, J.K. and Brazil, N. (2023) ‘Implementation of Sustainable Development Goal 11 (Sustainable cities and communities): Initial good practices data’, </w:t>
      </w:r>
      <w:r w:rsidRPr="000E11A6">
        <w:rPr>
          <w:rFonts w:ascii="Arial" w:hAnsi="Arial" w:cs="Arial"/>
          <w:i/>
          <w:iCs/>
          <w:sz w:val="22"/>
          <w:szCs w:val="22"/>
          <w:lang w:val="en-GB"/>
        </w:rPr>
        <w:t>Sustainability</w:t>
      </w:r>
      <w:r w:rsidRPr="000E11A6">
        <w:rPr>
          <w:rFonts w:ascii="Arial" w:hAnsi="Arial" w:cs="Arial"/>
          <w:sz w:val="22"/>
          <w:szCs w:val="22"/>
          <w:lang w:val="en-GB"/>
        </w:rPr>
        <w:t xml:space="preserve">, </w:t>
      </w:r>
      <w:r w:rsidRPr="000E11A6">
        <w:rPr>
          <w:rFonts w:ascii="Arial" w:hAnsi="Arial" w:cs="Arial"/>
          <w:i/>
          <w:iCs/>
          <w:sz w:val="22"/>
          <w:szCs w:val="22"/>
          <w:lang w:val="en-GB"/>
        </w:rPr>
        <w:t>15</w:t>
      </w:r>
      <w:r w:rsidRPr="000E11A6">
        <w:rPr>
          <w:rFonts w:ascii="Arial" w:hAnsi="Arial" w:cs="Arial"/>
          <w:sz w:val="22"/>
          <w:szCs w:val="22"/>
          <w:lang w:val="en-GB"/>
        </w:rPr>
        <w:t>(20), p. 14810. Available at:</w:t>
      </w:r>
      <w:hyperlink r:id="rId17">
        <w:r w:rsidRPr="000E11A6">
          <w:rPr>
            <w:rFonts w:ascii="Arial" w:hAnsi="Arial" w:cs="Arial"/>
            <w:sz w:val="22"/>
            <w:szCs w:val="22"/>
            <w:lang w:val="en-GB"/>
          </w:rPr>
          <w:t xml:space="preserve"> </w:t>
        </w:r>
      </w:hyperlink>
      <w:hyperlink r:id="rId18">
        <w:r w:rsidRPr="000E11A6">
          <w:rPr>
            <w:rFonts w:ascii="Arial" w:hAnsi="Arial" w:cs="Arial"/>
            <w:color w:val="1155CC"/>
            <w:sz w:val="22"/>
            <w:szCs w:val="22"/>
            <w:u w:val="single"/>
            <w:lang w:val="en-GB"/>
          </w:rPr>
          <w:t>https://doi.org/10.3390/su152014810</w:t>
        </w:r>
      </w:hyperlink>
      <w:r w:rsidRPr="000E11A6">
        <w:rPr>
          <w:rFonts w:ascii="Arial" w:hAnsi="Arial" w:cs="Arial"/>
          <w:sz w:val="22"/>
          <w:szCs w:val="22"/>
          <w:lang w:val="en-GB"/>
        </w:rPr>
        <w:t xml:space="preserve"> (Accessed: 17 July 2026).</w:t>
      </w:r>
    </w:p>
    <w:p w14:paraId="5B334149"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Pastore, M.C., Parenti, C.I.M. and </w:t>
      </w:r>
      <w:proofErr w:type="spellStart"/>
      <w:r w:rsidRPr="000E11A6">
        <w:rPr>
          <w:rFonts w:ascii="Arial" w:hAnsi="Arial" w:cs="Arial"/>
          <w:sz w:val="22"/>
          <w:szCs w:val="22"/>
          <w:lang w:val="en-GB"/>
        </w:rPr>
        <w:t>Patetta</w:t>
      </w:r>
      <w:proofErr w:type="spellEnd"/>
      <w:r w:rsidRPr="000E11A6">
        <w:rPr>
          <w:rFonts w:ascii="Arial" w:hAnsi="Arial" w:cs="Arial"/>
          <w:sz w:val="22"/>
          <w:szCs w:val="22"/>
          <w:lang w:val="en-GB"/>
        </w:rPr>
        <w:t xml:space="preserve">, C. (2025) ‘Measuring accessibility of green spaces for the health and wellbeing of inhabitants of the Milan metropolitan area’, </w:t>
      </w:r>
      <w:r w:rsidRPr="000E11A6">
        <w:rPr>
          <w:rFonts w:ascii="Arial" w:hAnsi="Arial" w:cs="Arial"/>
          <w:i/>
          <w:iCs/>
          <w:sz w:val="22"/>
          <w:szCs w:val="22"/>
          <w:lang w:val="en-GB"/>
        </w:rPr>
        <w:t>Land</w:t>
      </w:r>
      <w:r w:rsidRPr="000E11A6">
        <w:rPr>
          <w:rFonts w:ascii="Arial" w:hAnsi="Arial" w:cs="Arial"/>
          <w:sz w:val="22"/>
          <w:szCs w:val="22"/>
          <w:lang w:val="en-GB"/>
        </w:rPr>
        <w:t xml:space="preserve">, </w:t>
      </w:r>
      <w:r w:rsidRPr="000E11A6">
        <w:rPr>
          <w:rFonts w:ascii="Arial" w:hAnsi="Arial" w:cs="Arial"/>
          <w:i/>
          <w:iCs/>
          <w:sz w:val="22"/>
          <w:szCs w:val="22"/>
          <w:lang w:val="en-GB"/>
        </w:rPr>
        <w:t>14</w:t>
      </w:r>
      <w:r w:rsidRPr="000E11A6">
        <w:rPr>
          <w:rFonts w:ascii="Arial" w:hAnsi="Arial" w:cs="Arial"/>
          <w:sz w:val="22"/>
          <w:szCs w:val="22"/>
          <w:lang w:val="en-GB"/>
        </w:rPr>
        <w:t>(1), p. 97. Available at:</w:t>
      </w:r>
      <w:hyperlink r:id="rId19">
        <w:r w:rsidRPr="000E11A6">
          <w:rPr>
            <w:rFonts w:ascii="Arial" w:hAnsi="Arial" w:cs="Arial"/>
            <w:sz w:val="22"/>
            <w:szCs w:val="22"/>
            <w:lang w:val="en-GB"/>
          </w:rPr>
          <w:t xml:space="preserve"> </w:t>
        </w:r>
      </w:hyperlink>
      <w:hyperlink r:id="rId20">
        <w:r w:rsidRPr="000E11A6">
          <w:rPr>
            <w:rFonts w:ascii="Arial" w:hAnsi="Arial" w:cs="Arial"/>
            <w:color w:val="1155CC"/>
            <w:sz w:val="22"/>
            <w:szCs w:val="22"/>
            <w:u w:val="single"/>
            <w:lang w:val="en-GB"/>
          </w:rPr>
          <w:t>https://doi.org/10.3390/land14010097</w:t>
        </w:r>
      </w:hyperlink>
      <w:r w:rsidRPr="000E11A6">
        <w:rPr>
          <w:rFonts w:ascii="Arial" w:hAnsi="Arial" w:cs="Arial"/>
          <w:sz w:val="22"/>
          <w:szCs w:val="22"/>
          <w:lang w:val="en-GB"/>
        </w:rPr>
        <w:t xml:space="preserve"> (Accessed: 17 July 2026).</w:t>
      </w:r>
    </w:p>
    <w:p w14:paraId="585C699B"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Raman, R., Nair, V.K. and Nedungadi, P. (2023) ‘Discrepancies in mapping Sustainable Development Goal 3 (Good health and well-being) research: A comparative analysis of Scopus and Dimensions databases’, </w:t>
      </w:r>
      <w:r w:rsidRPr="000E11A6">
        <w:rPr>
          <w:rFonts w:ascii="Arial" w:hAnsi="Arial" w:cs="Arial"/>
          <w:i/>
          <w:iCs/>
          <w:sz w:val="22"/>
          <w:szCs w:val="22"/>
          <w:lang w:val="en-GB"/>
        </w:rPr>
        <w:t>Sustainability</w:t>
      </w:r>
      <w:r w:rsidRPr="000E11A6">
        <w:rPr>
          <w:rFonts w:ascii="Arial" w:hAnsi="Arial" w:cs="Arial"/>
          <w:sz w:val="22"/>
          <w:szCs w:val="22"/>
          <w:lang w:val="en-GB"/>
        </w:rPr>
        <w:t xml:space="preserve">, </w:t>
      </w:r>
      <w:r w:rsidRPr="000E11A6">
        <w:rPr>
          <w:rFonts w:ascii="Arial" w:hAnsi="Arial" w:cs="Arial"/>
          <w:i/>
          <w:iCs/>
          <w:sz w:val="22"/>
          <w:szCs w:val="22"/>
          <w:lang w:val="en-GB"/>
        </w:rPr>
        <w:t>15</w:t>
      </w:r>
      <w:r w:rsidRPr="000E11A6">
        <w:rPr>
          <w:rFonts w:ascii="Arial" w:hAnsi="Arial" w:cs="Arial"/>
          <w:sz w:val="22"/>
          <w:szCs w:val="22"/>
          <w:lang w:val="en-GB"/>
        </w:rPr>
        <w:t>(23), p. 16413. Available at:</w:t>
      </w:r>
      <w:hyperlink r:id="rId21">
        <w:r w:rsidRPr="000E11A6">
          <w:rPr>
            <w:rFonts w:ascii="Arial" w:hAnsi="Arial" w:cs="Arial"/>
            <w:sz w:val="22"/>
            <w:szCs w:val="22"/>
            <w:lang w:val="en-GB"/>
          </w:rPr>
          <w:t xml:space="preserve"> </w:t>
        </w:r>
      </w:hyperlink>
      <w:hyperlink r:id="rId22">
        <w:r w:rsidRPr="000E11A6">
          <w:rPr>
            <w:rFonts w:ascii="Arial" w:hAnsi="Arial" w:cs="Arial"/>
            <w:color w:val="1155CC"/>
            <w:sz w:val="22"/>
            <w:szCs w:val="22"/>
            <w:u w:val="single"/>
            <w:lang w:val="en-GB"/>
          </w:rPr>
          <w:t>https://doi.org/10.3390/su152316413</w:t>
        </w:r>
      </w:hyperlink>
      <w:r w:rsidRPr="000E11A6">
        <w:rPr>
          <w:rFonts w:ascii="Arial" w:hAnsi="Arial" w:cs="Arial"/>
          <w:sz w:val="22"/>
          <w:szCs w:val="22"/>
          <w:lang w:val="en-GB"/>
        </w:rPr>
        <w:t xml:space="preserve"> (Accessed: 17 July 2026).</w:t>
      </w:r>
    </w:p>
    <w:p w14:paraId="6C4C4236" w14:textId="77777777" w:rsidR="008A1A6E" w:rsidRPr="000E11A6" w:rsidRDefault="008A1A6E" w:rsidP="000E11A6">
      <w:pPr>
        <w:spacing w:before="240" w:after="240"/>
        <w:jc w:val="left"/>
        <w:rPr>
          <w:rFonts w:ascii="Arial" w:hAnsi="Arial" w:cs="Arial"/>
          <w:sz w:val="22"/>
          <w:szCs w:val="22"/>
          <w:lang w:val="en-GB"/>
        </w:rPr>
      </w:pPr>
      <w:proofErr w:type="spellStart"/>
      <w:r w:rsidRPr="000E11A6">
        <w:rPr>
          <w:rFonts w:ascii="Arial" w:hAnsi="Arial" w:cs="Arial"/>
          <w:sz w:val="22"/>
          <w:szCs w:val="22"/>
          <w:lang w:val="en-GB"/>
        </w:rPr>
        <w:t>Ritmak</w:t>
      </w:r>
      <w:proofErr w:type="spellEnd"/>
      <w:r w:rsidRPr="000E11A6">
        <w:rPr>
          <w:rFonts w:ascii="Arial" w:hAnsi="Arial" w:cs="Arial"/>
          <w:sz w:val="22"/>
          <w:szCs w:val="22"/>
          <w:lang w:val="en-GB"/>
        </w:rPr>
        <w:t xml:space="preserve">, N., </w:t>
      </w:r>
      <w:proofErr w:type="spellStart"/>
      <w:r w:rsidRPr="000E11A6">
        <w:rPr>
          <w:rFonts w:ascii="Arial" w:hAnsi="Arial" w:cs="Arial"/>
          <w:sz w:val="22"/>
          <w:szCs w:val="22"/>
          <w:lang w:val="en-GB"/>
        </w:rPr>
        <w:t>Rattanawong</w:t>
      </w:r>
      <w:proofErr w:type="spellEnd"/>
      <w:r w:rsidRPr="000E11A6">
        <w:rPr>
          <w:rFonts w:ascii="Arial" w:hAnsi="Arial" w:cs="Arial"/>
          <w:sz w:val="22"/>
          <w:szCs w:val="22"/>
          <w:lang w:val="en-GB"/>
        </w:rPr>
        <w:t xml:space="preserve">, W. and </w:t>
      </w:r>
      <w:proofErr w:type="spellStart"/>
      <w:r w:rsidRPr="000E11A6">
        <w:rPr>
          <w:rFonts w:ascii="Arial" w:hAnsi="Arial" w:cs="Arial"/>
          <w:sz w:val="22"/>
          <w:szCs w:val="22"/>
          <w:lang w:val="en-GB"/>
        </w:rPr>
        <w:t>Vongmanee</w:t>
      </w:r>
      <w:proofErr w:type="spellEnd"/>
      <w:r w:rsidRPr="000E11A6">
        <w:rPr>
          <w:rFonts w:ascii="Arial" w:hAnsi="Arial" w:cs="Arial"/>
          <w:sz w:val="22"/>
          <w:szCs w:val="22"/>
          <w:lang w:val="en-GB"/>
        </w:rPr>
        <w:t xml:space="preserve">, V. (2023) ‘The dynamic evaluation model of health sustainability under MCDM benchmarking health indicator standards’, </w:t>
      </w:r>
      <w:r w:rsidRPr="000E11A6">
        <w:rPr>
          <w:rFonts w:ascii="Arial" w:hAnsi="Arial" w:cs="Arial"/>
          <w:i/>
          <w:iCs/>
          <w:sz w:val="22"/>
          <w:szCs w:val="22"/>
          <w:lang w:val="en-GB"/>
        </w:rPr>
        <w:t xml:space="preserve">International </w:t>
      </w:r>
      <w:r w:rsidRPr="000E11A6">
        <w:rPr>
          <w:rFonts w:ascii="Arial" w:hAnsi="Arial" w:cs="Arial"/>
          <w:i/>
          <w:iCs/>
          <w:sz w:val="22"/>
          <w:szCs w:val="22"/>
          <w:lang w:val="en-GB"/>
        </w:rPr>
        <w:lastRenderedPageBreak/>
        <w:t>Journal of Environmental Research and Public Health</w:t>
      </w:r>
      <w:r w:rsidRPr="000E11A6">
        <w:rPr>
          <w:rFonts w:ascii="Arial" w:hAnsi="Arial" w:cs="Arial"/>
          <w:sz w:val="22"/>
          <w:szCs w:val="22"/>
          <w:lang w:val="en-GB"/>
        </w:rPr>
        <w:t xml:space="preserve">, </w:t>
      </w:r>
      <w:r w:rsidRPr="000E11A6">
        <w:rPr>
          <w:rFonts w:ascii="Arial" w:hAnsi="Arial" w:cs="Arial"/>
          <w:i/>
          <w:iCs/>
          <w:sz w:val="22"/>
          <w:szCs w:val="22"/>
          <w:lang w:val="en-GB"/>
        </w:rPr>
        <w:t>20</w:t>
      </w:r>
      <w:r w:rsidRPr="000E11A6">
        <w:rPr>
          <w:rFonts w:ascii="Arial" w:hAnsi="Arial" w:cs="Arial"/>
          <w:sz w:val="22"/>
          <w:szCs w:val="22"/>
          <w:lang w:val="en-GB"/>
        </w:rPr>
        <w:t>(1), p. 259. Available at:</w:t>
      </w:r>
      <w:hyperlink r:id="rId23">
        <w:r w:rsidRPr="000E11A6">
          <w:rPr>
            <w:rFonts w:ascii="Arial" w:hAnsi="Arial" w:cs="Arial"/>
            <w:sz w:val="22"/>
            <w:szCs w:val="22"/>
            <w:lang w:val="en-GB"/>
          </w:rPr>
          <w:t xml:space="preserve"> </w:t>
        </w:r>
      </w:hyperlink>
      <w:hyperlink r:id="rId24">
        <w:r w:rsidRPr="000E11A6">
          <w:rPr>
            <w:rFonts w:ascii="Arial" w:hAnsi="Arial" w:cs="Arial"/>
            <w:color w:val="1155CC"/>
            <w:sz w:val="22"/>
            <w:szCs w:val="22"/>
            <w:u w:val="single"/>
            <w:lang w:val="en-GB"/>
          </w:rPr>
          <w:t>https://doi.org/10.3390/ijerph20010259</w:t>
        </w:r>
      </w:hyperlink>
      <w:r w:rsidRPr="000E11A6">
        <w:rPr>
          <w:rFonts w:ascii="Arial" w:hAnsi="Arial" w:cs="Arial"/>
          <w:sz w:val="22"/>
          <w:szCs w:val="22"/>
          <w:lang w:val="en-GB"/>
        </w:rPr>
        <w:t xml:space="preserve"> (Accessed: 17 July 2026).</w:t>
      </w:r>
    </w:p>
    <w:p w14:paraId="449508D4"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Wicks, C.L., Barton, J.L., Andrews, L., Orbell, S., Sandercock, G. and Wood, C.J. (2023) ‘The impact of the coronavirus pandemic on the contribution of local green space and nature connection to mental health’, </w:t>
      </w:r>
      <w:r w:rsidRPr="000E11A6">
        <w:rPr>
          <w:rFonts w:ascii="Arial" w:hAnsi="Arial" w:cs="Arial"/>
          <w:i/>
          <w:iCs/>
          <w:sz w:val="22"/>
          <w:szCs w:val="22"/>
          <w:lang w:val="en-GB"/>
        </w:rPr>
        <w:t>International Journal of Environmental Research and Public Health</w:t>
      </w:r>
      <w:r w:rsidRPr="000E11A6">
        <w:rPr>
          <w:rFonts w:ascii="Arial" w:hAnsi="Arial" w:cs="Arial"/>
          <w:sz w:val="22"/>
          <w:szCs w:val="22"/>
          <w:lang w:val="en-GB"/>
        </w:rPr>
        <w:t xml:space="preserve">, </w:t>
      </w:r>
      <w:r w:rsidRPr="000E11A6">
        <w:rPr>
          <w:rFonts w:ascii="Arial" w:hAnsi="Arial" w:cs="Arial"/>
          <w:i/>
          <w:iCs/>
          <w:sz w:val="22"/>
          <w:szCs w:val="22"/>
          <w:lang w:val="en-GB"/>
        </w:rPr>
        <w:t>20</w:t>
      </w:r>
      <w:r w:rsidRPr="000E11A6">
        <w:rPr>
          <w:rFonts w:ascii="Arial" w:hAnsi="Arial" w:cs="Arial"/>
          <w:sz w:val="22"/>
          <w:szCs w:val="22"/>
          <w:lang w:val="en-GB"/>
        </w:rPr>
        <w:t>(6), p. 5083. Available at:</w:t>
      </w:r>
      <w:hyperlink r:id="rId25">
        <w:r w:rsidRPr="000E11A6">
          <w:rPr>
            <w:rFonts w:ascii="Arial" w:hAnsi="Arial" w:cs="Arial"/>
            <w:sz w:val="22"/>
            <w:szCs w:val="22"/>
            <w:lang w:val="en-GB"/>
          </w:rPr>
          <w:t xml:space="preserve"> </w:t>
        </w:r>
      </w:hyperlink>
      <w:hyperlink r:id="rId26">
        <w:r w:rsidRPr="000E11A6">
          <w:rPr>
            <w:rFonts w:ascii="Arial" w:hAnsi="Arial" w:cs="Arial"/>
            <w:color w:val="1155CC"/>
            <w:sz w:val="22"/>
            <w:szCs w:val="22"/>
            <w:u w:val="single"/>
            <w:lang w:val="en-GB"/>
          </w:rPr>
          <w:t>https://doi.org/10.3390/ijerph20065083</w:t>
        </w:r>
      </w:hyperlink>
      <w:r w:rsidRPr="000E11A6">
        <w:rPr>
          <w:rFonts w:ascii="Arial" w:hAnsi="Arial" w:cs="Arial"/>
          <w:sz w:val="22"/>
          <w:szCs w:val="22"/>
          <w:lang w:val="en-GB"/>
        </w:rPr>
        <w:t xml:space="preserve"> (Accessed: 17 July 2026).</w:t>
      </w:r>
    </w:p>
    <w:p w14:paraId="2480868F" w14:textId="77777777" w:rsidR="008A1A6E" w:rsidRPr="000E11A6" w:rsidRDefault="008A1A6E" w:rsidP="000E11A6">
      <w:pPr>
        <w:spacing w:before="240" w:after="240"/>
        <w:jc w:val="left"/>
        <w:rPr>
          <w:rFonts w:ascii="Arial" w:hAnsi="Arial" w:cs="Arial"/>
          <w:sz w:val="22"/>
          <w:szCs w:val="22"/>
          <w:lang w:val="en-GB"/>
        </w:rPr>
      </w:pPr>
      <w:r w:rsidRPr="000E11A6">
        <w:rPr>
          <w:rFonts w:ascii="Arial" w:hAnsi="Arial" w:cs="Arial"/>
          <w:sz w:val="22"/>
          <w:szCs w:val="22"/>
          <w:lang w:val="en-GB"/>
        </w:rPr>
        <w:t xml:space="preserve">Xu, Z., Marini, S., Mauro, M., Maietta Latessa, P. and </w:t>
      </w:r>
      <w:proofErr w:type="spellStart"/>
      <w:r w:rsidRPr="000E11A6">
        <w:rPr>
          <w:rFonts w:ascii="Arial" w:hAnsi="Arial" w:cs="Arial"/>
          <w:sz w:val="22"/>
          <w:szCs w:val="22"/>
          <w:lang w:val="en-GB"/>
        </w:rPr>
        <w:t>Grigoletto</w:t>
      </w:r>
      <w:proofErr w:type="spellEnd"/>
      <w:r w:rsidRPr="000E11A6">
        <w:rPr>
          <w:rFonts w:ascii="Arial" w:hAnsi="Arial" w:cs="Arial"/>
          <w:sz w:val="22"/>
          <w:szCs w:val="22"/>
          <w:lang w:val="en-GB"/>
        </w:rPr>
        <w:t xml:space="preserve">, A. (2025) ‘Associations between urban green space quality and mental wellbeing: Systematic review’, </w:t>
      </w:r>
      <w:r w:rsidRPr="000E11A6">
        <w:rPr>
          <w:rFonts w:ascii="Arial" w:hAnsi="Arial" w:cs="Arial"/>
          <w:i/>
          <w:iCs/>
          <w:sz w:val="22"/>
          <w:szCs w:val="22"/>
          <w:lang w:val="en-GB"/>
        </w:rPr>
        <w:t>Land</w:t>
      </w:r>
      <w:r w:rsidRPr="000E11A6">
        <w:rPr>
          <w:rFonts w:ascii="Arial" w:hAnsi="Arial" w:cs="Arial"/>
          <w:sz w:val="22"/>
          <w:szCs w:val="22"/>
          <w:lang w:val="en-GB"/>
        </w:rPr>
        <w:t xml:space="preserve">, </w:t>
      </w:r>
      <w:r w:rsidRPr="000E11A6">
        <w:rPr>
          <w:rFonts w:ascii="Arial" w:hAnsi="Arial" w:cs="Arial"/>
          <w:i/>
          <w:iCs/>
          <w:sz w:val="22"/>
          <w:szCs w:val="22"/>
          <w:lang w:val="en-GB"/>
        </w:rPr>
        <w:t>14</w:t>
      </w:r>
      <w:r w:rsidRPr="000E11A6">
        <w:rPr>
          <w:rFonts w:ascii="Arial" w:hAnsi="Arial" w:cs="Arial"/>
          <w:sz w:val="22"/>
          <w:szCs w:val="22"/>
          <w:lang w:val="en-GB"/>
        </w:rPr>
        <w:t>(2), p. 381. Available at:</w:t>
      </w:r>
      <w:hyperlink r:id="rId27">
        <w:r w:rsidRPr="000E11A6">
          <w:rPr>
            <w:rFonts w:ascii="Arial" w:hAnsi="Arial" w:cs="Arial"/>
            <w:sz w:val="22"/>
            <w:szCs w:val="22"/>
            <w:lang w:val="en-GB"/>
          </w:rPr>
          <w:t xml:space="preserve"> </w:t>
        </w:r>
      </w:hyperlink>
      <w:hyperlink r:id="rId28">
        <w:r w:rsidRPr="000E11A6">
          <w:rPr>
            <w:rFonts w:ascii="Arial" w:hAnsi="Arial" w:cs="Arial"/>
            <w:color w:val="1155CC"/>
            <w:sz w:val="22"/>
            <w:szCs w:val="22"/>
            <w:u w:val="single"/>
            <w:lang w:val="en-GB"/>
          </w:rPr>
          <w:t>https://doi.org/10.3390/land14020381</w:t>
        </w:r>
      </w:hyperlink>
      <w:r w:rsidRPr="000E11A6">
        <w:rPr>
          <w:rFonts w:ascii="Arial" w:hAnsi="Arial" w:cs="Arial"/>
          <w:sz w:val="22"/>
          <w:szCs w:val="22"/>
          <w:lang w:val="en-GB"/>
        </w:rPr>
        <w:t xml:space="preserve"> (Accessed: 17 July 2026).</w:t>
      </w:r>
    </w:p>
    <w:p w14:paraId="71B6D1BF" w14:textId="77777777" w:rsidR="008A1A6E" w:rsidRPr="000E11A6" w:rsidRDefault="008A1A6E" w:rsidP="000E11A6">
      <w:pPr>
        <w:jc w:val="left"/>
        <w:rPr>
          <w:rFonts w:ascii="Arial" w:hAnsi="Arial" w:cs="Arial"/>
          <w:sz w:val="22"/>
          <w:szCs w:val="22"/>
          <w:lang w:val="en-GB"/>
        </w:rPr>
      </w:pPr>
    </w:p>
    <w:p w14:paraId="52EC7AB9" w14:textId="77777777" w:rsidR="001D2F2A" w:rsidRPr="000E11A6" w:rsidRDefault="001D2F2A" w:rsidP="000E11A6">
      <w:pPr>
        <w:jc w:val="left"/>
        <w:rPr>
          <w:rFonts w:ascii="Arial" w:hAnsi="Arial" w:cs="Arial"/>
        </w:rPr>
      </w:pPr>
    </w:p>
    <w:sectPr w:rsidR="001D2F2A" w:rsidRPr="000E11A6" w:rsidSect="008A1A6E">
      <w:footerReference w:type="default" r:id="rId29"/>
      <w:headerReference w:type="first" r:id="rId30"/>
      <w:footerReference w:type="first" r:id="rId3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AC848" w14:textId="77777777" w:rsidR="00BD5950" w:rsidRDefault="00BD5950">
      <w:pPr>
        <w:spacing w:before="0" w:after="0" w:line="240" w:lineRule="auto"/>
      </w:pPr>
      <w:r>
        <w:separator/>
      </w:r>
    </w:p>
  </w:endnote>
  <w:endnote w:type="continuationSeparator" w:id="0">
    <w:p w14:paraId="62F5CB1E" w14:textId="77777777" w:rsidR="00BD5950" w:rsidRDefault="00BD59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E07DF" w14:textId="77777777" w:rsidR="008A1A6E" w:rsidRDefault="008A1A6E">
    <w:pPr>
      <w:jc w:val="center"/>
    </w:pPr>
    <w:r>
      <w:fldChar w:fldCharType="begin"/>
    </w:r>
    <w:r>
      <w:instrText>PAGE</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F7A6B" w14:textId="77777777" w:rsidR="008A1A6E" w:rsidRDefault="008A1A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DA098" w14:textId="77777777" w:rsidR="00BD5950" w:rsidRDefault="00BD5950">
      <w:pPr>
        <w:spacing w:before="0" w:after="0" w:line="240" w:lineRule="auto"/>
      </w:pPr>
      <w:r>
        <w:separator/>
      </w:r>
    </w:p>
  </w:footnote>
  <w:footnote w:type="continuationSeparator" w:id="0">
    <w:p w14:paraId="34B08E83" w14:textId="77777777" w:rsidR="00BD5950" w:rsidRDefault="00BD595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C490" w14:textId="77777777" w:rsidR="008A1A6E" w:rsidRDefault="008A1A6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A6E"/>
    <w:rsid w:val="000861AF"/>
    <w:rsid w:val="000C3B7A"/>
    <w:rsid w:val="000E11A6"/>
    <w:rsid w:val="001805B6"/>
    <w:rsid w:val="001D2F2A"/>
    <w:rsid w:val="00351F77"/>
    <w:rsid w:val="003B5FD1"/>
    <w:rsid w:val="00566FCA"/>
    <w:rsid w:val="0073504F"/>
    <w:rsid w:val="00885E57"/>
    <w:rsid w:val="008A1A6E"/>
    <w:rsid w:val="009319D7"/>
    <w:rsid w:val="00940E2F"/>
    <w:rsid w:val="00A52697"/>
    <w:rsid w:val="00BA0A9E"/>
    <w:rsid w:val="00BB20CC"/>
    <w:rsid w:val="00BD5950"/>
    <w:rsid w:val="00CA7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ABAF9"/>
  <w15:chartTrackingRefBased/>
  <w15:docId w15:val="{CF9FA278-E1FC-EE48-BCC2-D7CBE129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A1A6E"/>
    <w:pPr>
      <w:spacing w:before="200" w:after="200" w:line="360" w:lineRule="auto"/>
      <w:jc w:val="both"/>
    </w:pPr>
    <w:rPr>
      <w:rFonts w:ascii="Times New Roman" w:eastAsia="Times New Roman" w:hAnsi="Times New Roman" w:cs="Times New Roman"/>
      <w:kern w:val="0"/>
      <w:lang w:val="en" w:eastAsia="en-IN"/>
      <w14:ligatures w14:val="none"/>
    </w:rPr>
  </w:style>
  <w:style w:type="paragraph" w:styleId="Heading1">
    <w:name w:val="heading 1"/>
    <w:basedOn w:val="Normal"/>
    <w:next w:val="Normal"/>
    <w:link w:val="Heading1Char"/>
    <w:qFormat/>
    <w:rsid w:val="008A1A6E"/>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Subtitle"/>
    <w:next w:val="Normal"/>
    <w:link w:val="Heading2Char"/>
    <w:rsid w:val="001D2F2A"/>
    <w:pPr>
      <w:keepNext/>
      <w:keepLines/>
      <w:numPr>
        <w:ilvl w:val="0"/>
      </w:numPr>
      <w:spacing w:after="320" w:line="360" w:lineRule="auto"/>
      <w:jc w:val="both"/>
      <w:outlineLvl w:val="1"/>
    </w:pPr>
    <w:rPr>
      <w:rFonts w:ascii="Arial" w:eastAsia="Arial" w:hAnsi="Arial" w:cs="Arial"/>
      <w:b/>
      <w:color w:val="666666"/>
      <w:spacing w:val="0"/>
      <w:kern w:val="0"/>
      <w:sz w:val="24"/>
      <w:szCs w:val="24"/>
      <w:lang w:val="en-US"/>
      <w14:ligatures w14:val="none"/>
    </w:rPr>
  </w:style>
  <w:style w:type="paragraph" w:styleId="Heading3">
    <w:name w:val="heading 3"/>
    <w:basedOn w:val="Normal"/>
    <w:next w:val="Normal"/>
    <w:link w:val="Heading3Char"/>
    <w:uiPriority w:val="9"/>
    <w:semiHidden/>
    <w:unhideWhenUsed/>
    <w:qFormat/>
    <w:rsid w:val="008A1A6E"/>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8A1A6E"/>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8A1A6E"/>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8A1A6E"/>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8A1A6E"/>
    <w:pPr>
      <w:keepNext/>
      <w:keepLines/>
      <w:spacing w:before="40" w:after="0" w:line="278" w:lineRule="auto"/>
      <w:jc w:val="left"/>
      <w:outlineLvl w:val="6"/>
    </w:pPr>
    <w:rPr>
      <w:rFonts w:asciiTheme="minorHAnsi" w:eastAsiaTheme="majorEastAsia" w:hAnsiTheme="minorHAnsi"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8A1A6E"/>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8A1A6E"/>
    <w:pPr>
      <w:keepNext/>
      <w:keepLines/>
      <w:spacing w:before="0" w:after="0" w:line="278" w:lineRule="auto"/>
      <w:jc w:val="left"/>
      <w:outlineLvl w:val="8"/>
    </w:pPr>
    <w:rPr>
      <w:rFonts w:asciiTheme="minorHAnsi" w:eastAsiaTheme="majorEastAsia" w:hAnsiTheme="minorHAnsi" w:cstheme="majorBidi"/>
      <w:color w:val="272727" w:themeColor="text1" w:themeTint="D8"/>
      <w:kern w:val="2"/>
      <w:lang w:val="en-GB"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F2A"/>
    <w:rPr>
      <w:rFonts w:ascii="Arial" w:eastAsia="Arial" w:hAnsi="Arial" w:cs="Arial"/>
      <w:b/>
      <w:color w:val="666666"/>
      <w:kern w:val="0"/>
      <w:lang w:val="en-US"/>
      <w14:ligatures w14:val="none"/>
    </w:rPr>
  </w:style>
  <w:style w:type="paragraph" w:styleId="Subtitle">
    <w:name w:val="Subtitle"/>
    <w:basedOn w:val="Normal"/>
    <w:next w:val="Normal"/>
    <w:link w:val="SubtitleChar"/>
    <w:uiPriority w:val="11"/>
    <w:qFormat/>
    <w:rsid w:val="001D2F2A"/>
    <w:pPr>
      <w:numPr>
        <w:ilvl w:val="1"/>
      </w:numPr>
      <w:spacing w:before="0" w:after="160" w:line="278" w:lineRule="auto"/>
      <w:jc w:val="left"/>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1D2F2A"/>
    <w:rPr>
      <w:rFonts w:eastAsiaTheme="majorEastAsia" w:cstheme="majorBidi"/>
      <w:color w:val="595959" w:themeColor="text1" w:themeTint="A6"/>
      <w:spacing w:val="15"/>
      <w:sz w:val="28"/>
      <w:szCs w:val="28"/>
    </w:rPr>
  </w:style>
  <w:style w:type="character" w:customStyle="1" w:styleId="Heading1Char">
    <w:name w:val="Heading 1 Char"/>
    <w:basedOn w:val="DefaultParagraphFont"/>
    <w:link w:val="Heading1"/>
    <w:uiPriority w:val="9"/>
    <w:rsid w:val="008A1A6E"/>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8A1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1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1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1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1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1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1A6E"/>
    <w:rPr>
      <w:rFonts w:eastAsiaTheme="majorEastAsia" w:cstheme="majorBidi"/>
      <w:color w:val="272727" w:themeColor="text1" w:themeTint="D8"/>
    </w:rPr>
  </w:style>
  <w:style w:type="paragraph" w:styleId="Title">
    <w:name w:val="Title"/>
    <w:basedOn w:val="Normal"/>
    <w:next w:val="Normal"/>
    <w:link w:val="TitleChar"/>
    <w:uiPriority w:val="10"/>
    <w:qFormat/>
    <w:rsid w:val="008A1A6E"/>
    <w:pPr>
      <w:spacing w:before="0" w:after="80" w:line="240" w:lineRule="auto"/>
      <w:contextualSpacing/>
      <w:jc w:val="left"/>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8A1A6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8A1A6E"/>
    <w:pPr>
      <w:spacing w:before="160" w:after="160" w:line="278" w:lineRule="auto"/>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8A1A6E"/>
    <w:rPr>
      <w:i/>
      <w:iCs/>
      <w:color w:val="404040" w:themeColor="text1" w:themeTint="BF"/>
    </w:rPr>
  </w:style>
  <w:style w:type="paragraph" w:styleId="ListParagraph">
    <w:name w:val="List Paragraph"/>
    <w:basedOn w:val="Normal"/>
    <w:uiPriority w:val="34"/>
    <w:qFormat/>
    <w:rsid w:val="008A1A6E"/>
    <w:pPr>
      <w:spacing w:before="0" w:after="160" w:line="278" w:lineRule="auto"/>
      <w:ind w:left="720"/>
      <w:contextualSpacing/>
      <w:jc w:val="left"/>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8A1A6E"/>
    <w:rPr>
      <w:i/>
      <w:iCs/>
      <w:color w:val="0F4761" w:themeColor="accent1" w:themeShade="BF"/>
    </w:rPr>
  </w:style>
  <w:style w:type="paragraph" w:styleId="IntenseQuote">
    <w:name w:val="Intense Quote"/>
    <w:basedOn w:val="Normal"/>
    <w:next w:val="Normal"/>
    <w:link w:val="IntenseQuoteChar"/>
    <w:uiPriority w:val="30"/>
    <w:qFormat/>
    <w:rsid w:val="008A1A6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8A1A6E"/>
    <w:rPr>
      <w:i/>
      <w:iCs/>
      <w:color w:val="0F4761" w:themeColor="accent1" w:themeShade="BF"/>
    </w:rPr>
  </w:style>
  <w:style w:type="character" w:styleId="IntenseReference">
    <w:name w:val="Intense Reference"/>
    <w:basedOn w:val="DefaultParagraphFont"/>
    <w:uiPriority w:val="32"/>
    <w:qFormat/>
    <w:rsid w:val="008A1A6E"/>
    <w:rPr>
      <w:b/>
      <w:bCs/>
      <w:smallCaps/>
      <w:color w:val="0F4761" w:themeColor="accent1" w:themeShade="BF"/>
      <w:spacing w:val="5"/>
    </w:rPr>
  </w:style>
  <w:style w:type="paragraph" w:styleId="TOC1">
    <w:name w:val="toc 1"/>
    <w:basedOn w:val="Normal"/>
    <w:next w:val="Normal"/>
    <w:autoRedefine/>
    <w:uiPriority w:val="39"/>
    <w:unhideWhenUsed/>
    <w:rsid w:val="00A52697"/>
    <w:pPr>
      <w:tabs>
        <w:tab w:val="right" w:leader="dot" w:pos="9350"/>
      </w:tabs>
      <w:spacing w:after="100"/>
      <w:jc w:val="left"/>
    </w:pPr>
  </w:style>
  <w:style w:type="character" w:styleId="Hyperlink">
    <w:name w:val="Hyperlink"/>
    <w:basedOn w:val="DefaultParagraphFont"/>
    <w:uiPriority w:val="99"/>
    <w:unhideWhenUsed/>
    <w:rsid w:val="008A1A6E"/>
    <w:rPr>
      <w:color w:val="467886" w:themeColor="hyperlink"/>
      <w:u w:val="single"/>
    </w:rPr>
  </w:style>
  <w:style w:type="character" w:styleId="Emphasis">
    <w:name w:val="Emphasis"/>
    <w:basedOn w:val="DefaultParagraphFont"/>
    <w:uiPriority w:val="20"/>
    <w:qFormat/>
    <w:rsid w:val="00A52697"/>
    <w:rPr>
      <w:i/>
      <w:iCs/>
    </w:rPr>
  </w:style>
  <w:style w:type="paragraph" w:styleId="NormalWeb">
    <w:name w:val="Normal (Web)"/>
    <w:basedOn w:val="Normal"/>
    <w:uiPriority w:val="99"/>
    <w:unhideWhenUsed/>
    <w:rsid w:val="00A52697"/>
    <w:pPr>
      <w:spacing w:before="100" w:beforeAutospacing="1" w:after="100" w:afterAutospacing="1" w:line="240" w:lineRule="auto"/>
      <w:jc w:val="left"/>
    </w:pPr>
    <w:rPr>
      <w:lang w:val="en-GB" w:eastAsia="en-GB"/>
    </w:rPr>
  </w:style>
  <w:style w:type="character" w:styleId="UnresolvedMention">
    <w:name w:val="Unresolved Mention"/>
    <w:basedOn w:val="DefaultParagraphFont"/>
    <w:uiPriority w:val="99"/>
    <w:semiHidden/>
    <w:unhideWhenUsed/>
    <w:rsid w:val="00A52697"/>
    <w:rPr>
      <w:color w:val="605E5C"/>
      <w:shd w:val="clear" w:color="auto" w:fill="E1DFDD"/>
    </w:rPr>
  </w:style>
  <w:style w:type="paragraph" w:customStyle="1" w:styleId="isselectedend">
    <w:name w:val="isselectedend"/>
    <w:basedOn w:val="Normal"/>
    <w:rsid w:val="00A52697"/>
    <w:pPr>
      <w:spacing w:before="100" w:beforeAutospacing="1" w:after="100" w:afterAutospacing="1" w:line="240" w:lineRule="auto"/>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ijerph192113744" TargetMode="External"/><Relationship Id="rId18" Type="http://schemas.openxmlformats.org/officeDocument/2006/relationships/hyperlink" Target="https://doi.org/10.3390/su152014810" TargetMode="External"/><Relationship Id="rId26" Type="http://schemas.openxmlformats.org/officeDocument/2006/relationships/hyperlink" Target="https://doi.org/10.3390/ijerph20065083" TargetMode="External"/><Relationship Id="rId3" Type="http://schemas.openxmlformats.org/officeDocument/2006/relationships/webSettings" Target="webSettings.xml"/><Relationship Id="rId21" Type="http://schemas.openxmlformats.org/officeDocument/2006/relationships/hyperlink" Target="https://doi.org/10.3390/su152316413" TargetMode="External"/><Relationship Id="rId7" Type="http://schemas.openxmlformats.org/officeDocument/2006/relationships/image" Target="media/image2.png"/><Relationship Id="rId12" Type="http://schemas.openxmlformats.org/officeDocument/2006/relationships/hyperlink" Target="https://doi.org/10.3390/ijerph20032649" TargetMode="External"/><Relationship Id="rId17" Type="http://schemas.openxmlformats.org/officeDocument/2006/relationships/hyperlink" Target="https://doi.org/10.3390/su152014810" TargetMode="External"/><Relationship Id="rId25" Type="http://schemas.openxmlformats.org/officeDocument/2006/relationships/hyperlink" Target="https://doi.org/10.3390/ijerph20065083"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3390/su16187921" TargetMode="External"/><Relationship Id="rId20" Type="http://schemas.openxmlformats.org/officeDocument/2006/relationships/hyperlink" Target="https://doi.org/10.3390/land14010097"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3390/ijerph20032649" TargetMode="External"/><Relationship Id="rId24" Type="http://schemas.openxmlformats.org/officeDocument/2006/relationships/hyperlink" Target="https://doi.org/10.3390/ijerph20010259"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3390/su16187921" TargetMode="External"/><Relationship Id="rId23" Type="http://schemas.openxmlformats.org/officeDocument/2006/relationships/hyperlink" Target="https://doi.org/10.3390/ijerph20010259" TargetMode="External"/><Relationship Id="rId28" Type="http://schemas.openxmlformats.org/officeDocument/2006/relationships/hyperlink" Target="https://doi.org/10.3390/land14020381" TargetMode="External"/><Relationship Id="rId10" Type="http://schemas.openxmlformats.org/officeDocument/2006/relationships/hyperlink" Target="https://doi.org/10.3390/su15129443" TargetMode="External"/><Relationship Id="rId19" Type="http://schemas.openxmlformats.org/officeDocument/2006/relationships/hyperlink" Target="https://doi.org/10.3390/land14010097"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doi.org/10.3390/su15129443" TargetMode="External"/><Relationship Id="rId14" Type="http://schemas.openxmlformats.org/officeDocument/2006/relationships/hyperlink" Target="https://doi.org/10.3390/ijerph192113744" TargetMode="External"/><Relationship Id="rId22" Type="http://schemas.openxmlformats.org/officeDocument/2006/relationships/hyperlink" Target="https://doi.org/10.3390/su152316413" TargetMode="External"/><Relationship Id="rId27" Type="http://schemas.openxmlformats.org/officeDocument/2006/relationships/hyperlink" Target="https://doi.org/10.3390/land14020381" TargetMode="External"/><Relationship Id="rId30" Type="http://schemas.openxmlformats.org/officeDocument/2006/relationships/header" Target="header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3591</Words>
  <Characters>20471</Characters>
  <Application>Microsoft Office Word</Application>
  <DocSecurity>0</DocSecurity>
  <Lines>170</Lines>
  <Paragraphs>48</Paragraphs>
  <ScaleCrop>false</ScaleCrop>
  <Company/>
  <LinksUpToDate>false</LinksUpToDate>
  <CharactersWithSpaces>24014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 Munteanu (2314055)</dc:creator>
  <cp:keywords/>
  <dc:description/>
  <cp:lastModifiedBy>Delia Munteanu (2314055)</cp:lastModifiedBy>
  <cp:revision>3</cp:revision>
  <dcterms:created xsi:type="dcterms:W3CDTF">2026-08-04T13:15:00Z</dcterms:created>
  <dcterms:modified xsi:type="dcterms:W3CDTF">2026-08-04T13:40:00Z</dcterms:modified>
</cp:coreProperties>
</file>