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FF9ED" w14:textId="6566D58B" w:rsidR="006E75F0" w:rsidRPr="00A03F2A" w:rsidRDefault="006E75F0" w:rsidP="00A03F2A">
      <w:pPr>
        <w:jc w:val="center"/>
        <w:rPr>
          <w:rFonts w:cs="Arial"/>
          <w:lang w:val="en-GB"/>
        </w:rPr>
      </w:pPr>
    </w:p>
    <w:p w14:paraId="04DD6923" w14:textId="3D171A90" w:rsidR="00856FE6" w:rsidRPr="00A03F2A" w:rsidRDefault="00856FE6" w:rsidP="00A03F2A">
      <w:pPr>
        <w:jc w:val="center"/>
        <w:rPr>
          <w:rFonts w:cs="Arial"/>
          <w:lang w:val="en-GB"/>
        </w:rPr>
      </w:pPr>
      <w:bookmarkStart w:id="0" w:name="_u2va9jwspw22" w:colFirst="0" w:colLast="0"/>
      <w:bookmarkEnd w:id="0"/>
      <w:r w:rsidRPr="00A03F2A">
        <w:rPr>
          <w:rFonts w:cs="Arial"/>
          <w:noProof/>
          <w:lang w:val="en-GB"/>
        </w:rPr>
        <w:drawing>
          <wp:inline distT="0" distB="0" distL="0" distR="0" wp14:anchorId="3A62DEA7" wp14:editId="3310F2E4">
            <wp:extent cx="3026410" cy="1076325"/>
            <wp:effectExtent l="0" t="0" r="2540" b="9525"/>
            <wp:docPr id="67874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74810" name=""/>
                    <pic:cNvPicPr/>
                  </pic:nvPicPr>
                  <pic:blipFill rotWithShape="1">
                    <a:blip r:embed="rId8"/>
                    <a:srcRect t="8713" b="15543"/>
                    <a:stretch/>
                  </pic:blipFill>
                  <pic:spPr bwMode="auto">
                    <a:xfrm>
                      <a:off x="0" y="0"/>
                      <a:ext cx="3041982" cy="1081863"/>
                    </a:xfrm>
                    <a:prstGeom prst="rect">
                      <a:avLst/>
                    </a:prstGeom>
                    <a:ln>
                      <a:noFill/>
                    </a:ln>
                    <a:extLst>
                      <a:ext uri="{53640926-AAD7-44D8-BBD7-CCE9431645EC}">
                        <a14:shadowObscured xmlns:a14="http://schemas.microsoft.com/office/drawing/2010/main"/>
                      </a:ext>
                    </a:extLst>
                  </pic:spPr>
                </pic:pic>
              </a:graphicData>
            </a:graphic>
          </wp:inline>
        </w:drawing>
      </w:r>
    </w:p>
    <w:p w14:paraId="09973D4F" w14:textId="77777777" w:rsidR="00856FE6" w:rsidRPr="00A03F2A" w:rsidRDefault="00856FE6" w:rsidP="00A03F2A">
      <w:pPr>
        <w:jc w:val="center"/>
        <w:rPr>
          <w:rFonts w:cs="Arial"/>
          <w:lang w:val="en-GB"/>
        </w:rPr>
      </w:pPr>
    </w:p>
    <w:p w14:paraId="1B454FF3" w14:textId="37C08CC5" w:rsidR="00856FE6" w:rsidRPr="00A03F2A" w:rsidRDefault="00856FE6" w:rsidP="00A03F2A">
      <w:pPr>
        <w:jc w:val="center"/>
        <w:rPr>
          <w:rFonts w:cs="Arial"/>
          <w:b/>
          <w:bCs/>
          <w:sz w:val="32"/>
          <w:szCs w:val="32"/>
          <w:lang w:val="en-GB"/>
        </w:rPr>
      </w:pPr>
      <w:r w:rsidRPr="00A03F2A">
        <w:rPr>
          <w:rFonts w:cs="Arial"/>
          <w:b/>
          <w:bCs/>
          <w:sz w:val="32"/>
          <w:szCs w:val="32"/>
          <w:lang w:val="en-GB"/>
        </w:rPr>
        <w:t>MASTER OF BUSINESS ADMINISTRATION</w:t>
      </w:r>
    </w:p>
    <w:p w14:paraId="3F930391" w14:textId="2C42E7ED" w:rsidR="00856FE6" w:rsidRPr="00A03F2A" w:rsidRDefault="00856FE6" w:rsidP="00A03F2A">
      <w:pPr>
        <w:jc w:val="center"/>
        <w:rPr>
          <w:rFonts w:cs="Arial"/>
          <w:b/>
          <w:bCs/>
          <w:sz w:val="32"/>
          <w:szCs w:val="32"/>
          <w:lang w:val="en-GB"/>
        </w:rPr>
      </w:pPr>
    </w:p>
    <w:p w14:paraId="1DC8336F" w14:textId="77777777" w:rsidR="00CC020F" w:rsidRPr="00A03F2A" w:rsidRDefault="00CC020F" w:rsidP="00A03F2A">
      <w:pPr>
        <w:jc w:val="center"/>
        <w:rPr>
          <w:rFonts w:cs="Arial"/>
          <w:b/>
          <w:bCs/>
          <w:sz w:val="32"/>
          <w:szCs w:val="32"/>
          <w:lang w:val="en-GB"/>
        </w:rPr>
      </w:pPr>
    </w:p>
    <w:p w14:paraId="6926345E" w14:textId="32B124A7" w:rsidR="00856FE6" w:rsidRPr="00A03F2A" w:rsidRDefault="00856FE6" w:rsidP="00A03F2A">
      <w:pPr>
        <w:jc w:val="center"/>
        <w:rPr>
          <w:rFonts w:cs="Arial"/>
          <w:b/>
          <w:bCs/>
          <w:sz w:val="32"/>
          <w:szCs w:val="32"/>
          <w:lang w:val="en-GB"/>
        </w:rPr>
      </w:pPr>
      <w:r w:rsidRPr="00A03F2A">
        <w:rPr>
          <w:rFonts w:cs="Arial"/>
          <w:b/>
          <w:bCs/>
          <w:sz w:val="32"/>
          <w:szCs w:val="32"/>
          <w:lang w:val="en-GB"/>
        </w:rPr>
        <w:t>STRATEGIC MANAGEMENT</w:t>
      </w:r>
    </w:p>
    <w:p w14:paraId="177D9CFD" w14:textId="257272F7" w:rsidR="00EF2136" w:rsidRPr="00A03F2A" w:rsidRDefault="00856FE6" w:rsidP="00A03F2A">
      <w:pPr>
        <w:jc w:val="center"/>
        <w:rPr>
          <w:rFonts w:cs="Arial"/>
          <w:b/>
          <w:bCs/>
          <w:sz w:val="32"/>
          <w:szCs w:val="32"/>
          <w:lang w:val="en-GB"/>
        </w:rPr>
      </w:pPr>
      <w:r w:rsidRPr="00A03F2A">
        <w:rPr>
          <w:rFonts w:cs="Arial"/>
          <w:b/>
          <w:bCs/>
          <w:sz w:val="32"/>
          <w:szCs w:val="32"/>
          <w:lang w:val="en-GB"/>
        </w:rPr>
        <w:t>LCMB7003</w:t>
      </w:r>
    </w:p>
    <w:p w14:paraId="0662A1EA" w14:textId="315370F1" w:rsidR="006E29DD" w:rsidRPr="00A03F2A" w:rsidRDefault="006E29DD" w:rsidP="00A03F2A">
      <w:pPr>
        <w:jc w:val="center"/>
        <w:rPr>
          <w:rFonts w:cs="Arial"/>
          <w:b/>
          <w:bCs/>
          <w:sz w:val="32"/>
          <w:szCs w:val="32"/>
          <w:lang w:val="en-GB"/>
        </w:rPr>
      </w:pPr>
    </w:p>
    <w:p w14:paraId="6920A4C4" w14:textId="5C2BF1F9" w:rsidR="00841A75" w:rsidRPr="00A03F2A" w:rsidRDefault="00CC020F" w:rsidP="00A03F2A">
      <w:pPr>
        <w:jc w:val="center"/>
        <w:rPr>
          <w:rFonts w:cs="Arial"/>
          <w:b/>
          <w:bCs/>
          <w:sz w:val="32"/>
          <w:szCs w:val="32"/>
          <w:lang w:val="en-GB"/>
        </w:rPr>
      </w:pPr>
      <w:r w:rsidRPr="00A03F2A">
        <w:rPr>
          <w:rFonts w:cs="Arial"/>
          <w:b/>
          <w:bCs/>
          <w:sz w:val="32"/>
          <w:szCs w:val="32"/>
          <w:lang w:val="en-GB"/>
        </w:rPr>
        <w:t>ASSESSMENT COMPONENT - INDIVIDUAL REPORT</w:t>
      </w:r>
    </w:p>
    <w:p w14:paraId="40085437" w14:textId="35A0EC97" w:rsidR="00841A75" w:rsidRPr="00A03F2A" w:rsidRDefault="00841A75" w:rsidP="00A03F2A">
      <w:pPr>
        <w:jc w:val="center"/>
        <w:rPr>
          <w:rFonts w:cs="Arial"/>
          <w:b/>
          <w:bCs/>
          <w:sz w:val="32"/>
          <w:szCs w:val="32"/>
          <w:lang w:val="en-GB"/>
        </w:rPr>
      </w:pPr>
    </w:p>
    <w:p w14:paraId="79A12DED" w14:textId="376BCB78" w:rsidR="00CC020F" w:rsidRPr="00A03F2A" w:rsidRDefault="00CC020F" w:rsidP="00A03F2A">
      <w:pPr>
        <w:jc w:val="center"/>
        <w:rPr>
          <w:rFonts w:cs="Arial"/>
          <w:b/>
          <w:bCs/>
          <w:sz w:val="32"/>
          <w:szCs w:val="32"/>
          <w:lang w:val="en-GB"/>
        </w:rPr>
      </w:pPr>
    </w:p>
    <w:p w14:paraId="3D698380" w14:textId="77777777" w:rsidR="00CC020F" w:rsidRPr="00A03F2A" w:rsidRDefault="00CC020F" w:rsidP="00A03F2A">
      <w:pPr>
        <w:jc w:val="center"/>
        <w:rPr>
          <w:rFonts w:cs="Arial"/>
          <w:b/>
          <w:bCs/>
          <w:sz w:val="32"/>
          <w:szCs w:val="32"/>
          <w:lang w:val="en-GB"/>
        </w:rPr>
      </w:pPr>
    </w:p>
    <w:p w14:paraId="0A34DD19" w14:textId="22853B0D" w:rsidR="006E29DD" w:rsidRPr="00A03F2A" w:rsidRDefault="006E29DD" w:rsidP="00A03F2A">
      <w:pPr>
        <w:jc w:val="center"/>
        <w:rPr>
          <w:rFonts w:cs="Arial"/>
          <w:color w:val="000000" w:themeColor="text1"/>
        </w:rPr>
      </w:pPr>
      <w:r w:rsidRPr="00A03F2A">
        <w:rPr>
          <w:rFonts w:cs="Arial"/>
          <w:b/>
          <w:bCs/>
          <w:color w:val="000000" w:themeColor="text1"/>
        </w:rPr>
        <w:t xml:space="preserve">Lecturer’s Name: </w:t>
      </w:r>
      <w:r w:rsidR="005005F8" w:rsidRPr="00762C7F">
        <w:rPr>
          <w:rFonts w:cs="Arial"/>
          <w:b/>
          <w:bCs/>
          <w:color w:val="000000" w:themeColor="text1"/>
        </w:rPr>
        <w:t>Ejike Udeogu</w:t>
      </w:r>
    </w:p>
    <w:p w14:paraId="4C9A0733" w14:textId="77777777" w:rsidR="006E29DD" w:rsidRPr="00A03F2A" w:rsidRDefault="006E29DD" w:rsidP="00A03F2A">
      <w:pPr>
        <w:jc w:val="center"/>
        <w:rPr>
          <w:rFonts w:cs="Arial"/>
          <w:b/>
          <w:bCs/>
          <w:color w:val="000000" w:themeColor="text1"/>
        </w:rPr>
      </w:pPr>
    </w:p>
    <w:p w14:paraId="1363756A" w14:textId="7FD85801" w:rsidR="006E29DD" w:rsidRPr="00A03F2A" w:rsidRDefault="006E29DD" w:rsidP="00A03F2A">
      <w:pPr>
        <w:jc w:val="center"/>
        <w:rPr>
          <w:rFonts w:cs="Arial"/>
          <w:b/>
          <w:bCs/>
          <w:color w:val="000000" w:themeColor="text1"/>
        </w:rPr>
      </w:pPr>
      <w:r w:rsidRPr="00A03F2A">
        <w:rPr>
          <w:rFonts w:cs="Arial"/>
          <w:b/>
          <w:bCs/>
          <w:color w:val="000000" w:themeColor="text1"/>
        </w:rPr>
        <w:t xml:space="preserve">Student Name: </w:t>
      </w:r>
      <w:r w:rsidR="00762C7F">
        <w:rPr>
          <w:rFonts w:cs="Arial"/>
          <w:b/>
          <w:bCs/>
          <w:color w:val="000000" w:themeColor="text1"/>
        </w:rPr>
        <w:t>Krinal Bhikhubhai Gandhi</w:t>
      </w:r>
    </w:p>
    <w:p w14:paraId="6E20939C" w14:textId="5775FD5D" w:rsidR="006E29DD" w:rsidRPr="00A03F2A" w:rsidRDefault="006E29DD" w:rsidP="00A03F2A">
      <w:pPr>
        <w:jc w:val="center"/>
        <w:rPr>
          <w:rFonts w:cs="Arial"/>
          <w:b/>
          <w:bCs/>
          <w:color w:val="000000" w:themeColor="text1"/>
        </w:rPr>
      </w:pPr>
      <w:r w:rsidRPr="00A03F2A">
        <w:rPr>
          <w:rFonts w:cs="Arial"/>
          <w:b/>
          <w:bCs/>
          <w:color w:val="000000" w:themeColor="text1"/>
        </w:rPr>
        <w:t xml:space="preserve">Student </w:t>
      </w:r>
      <w:r w:rsidR="00CC020F" w:rsidRPr="00A03F2A">
        <w:rPr>
          <w:rFonts w:cs="Arial"/>
          <w:b/>
          <w:bCs/>
          <w:color w:val="000000" w:themeColor="text1"/>
        </w:rPr>
        <w:t>ID</w:t>
      </w:r>
      <w:r w:rsidRPr="00A03F2A">
        <w:rPr>
          <w:rFonts w:cs="Arial"/>
          <w:b/>
          <w:bCs/>
          <w:color w:val="000000" w:themeColor="text1"/>
        </w:rPr>
        <w:t xml:space="preserve">: </w:t>
      </w:r>
      <w:r w:rsidR="00762C7F">
        <w:rPr>
          <w:rFonts w:cs="Arial"/>
          <w:b/>
          <w:bCs/>
          <w:color w:val="000000" w:themeColor="text1"/>
        </w:rPr>
        <w:t>2504763</w:t>
      </w:r>
    </w:p>
    <w:p w14:paraId="274C8F23" w14:textId="77777777" w:rsidR="006E29DD" w:rsidRPr="00A03F2A" w:rsidRDefault="006E29DD" w:rsidP="00A03F2A">
      <w:pPr>
        <w:jc w:val="center"/>
        <w:rPr>
          <w:rFonts w:cs="Arial"/>
          <w:b/>
          <w:bCs/>
          <w:color w:val="000000" w:themeColor="text1"/>
        </w:rPr>
      </w:pPr>
    </w:p>
    <w:p w14:paraId="5F1E634F" w14:textId="4A8CC547" w:rsidR="006E29DD" w:rsidRPr="00A03F2A" w:rsidRDefault="006E29DD" w:rsidP="00A03F2A">
      <w:pPr>
        <w:jc w:val="center"/>
        <w:rPr>
          <w:rFonts w:cs="Arial"/>
          <w:b/>
          <w:bCs/>
          <w:color w:val="000000" w:themeColor="text1"/>
        </w:rPr>
      </w:pPr>
      <w:r w:rsidRPr="00A03F2A">
        <w:rPr>
          <w:rFonts w:cs="Arial"/>
          <w:b/>
          <w:bCs/>
          <w:color w:val="000000" w:themeColor="text1"/>
        </w:rPr>
        <w:t xml:space="preserve">Word Count: </w:t>
      </w:r>
      <w:r w:rsidRPr="00762C7F">
        <w:rPr>
          <w:rFonts w:cs="Arial"/>
          <w:b/>
          <w:bCs/>
          <w:color w:val="000000" w:themeColor="text1"/>
        </w:rPr>
        <w:t>5,0</w:t>
      </w:r>
      <w:r w:rsidR="00F54B27" w:rsidRPr="00762C7F">
        <w:rPr>
          <w:rFonts w:cs="Arial"/>
          <w:b/>
          <w:bCs/>
          <w:color w:val="000000" w:themeColor="text1"/>
        </w:rPr>
        <w:t>12</w:t>
      </w:r>
    </w:p>
    <w:p w14:paraId="320DF718" w14:textId="77777777" w:rsidR="006E29DD" w:rsidRPr="00A03F2A" w:rsidRDefault="006E29DD" w:rsidP="00A03F2A">
      <w:pPr>
        <w:jc w:val="center"/>
        <w:rPr>
          <w:rFonts w:cs="Arial"/>
          <w:b/>
          <w:bCs/>
          <w:color w:val="000000" w:themeColor="text1"/>
        </w:rPr>
      </w:pPr>
    </w:p>
    <w:p w14:paraId="2BC402F8" w14:textId="54C145CE" w:rsidR="006E75F0" w:rsidRPr="00A03F2A" w:rsidRDefault="006E29DD" w:rsidP="00A03F2A">
      <w:pPr>
        <w:jc w:val="center"/>
        <w:rPr>
          <w:rFonts w:cs="Arial"/>
          <w:b/>
          <w:bCs/>
          <w:lang w:val="en-GB"/>
        </w:rPr>
      </w:pPr>
      <w:r w:rsidRPr="00A03F2A">
        <w:rPr>
          <w:rFonts w:cs="Arial"/>
          <w:b/>
          <w:bCs/>
          <w:color w:val="000000" w:themeColor="text1"/>
        </w:rPr>
        <w:t>Submission Date:</w:t>
      </w:r>
      <w:r w:rsidR="00590137">
        <w:rPr>
          <w:rFonts w:cs="Arial"/>
          <w:b/>
          <w:bCs/>
          <w:color w:val="000000" w:themeColor="text1"/>
        </w:rPr>
        <w:t xml:space="preserve"> 1</w:t>
      </w:r>
      <w:r w:rsidR="00590137" w:rsidRPr="00590137">
        <w:rPr>
          <w:rFonts w:cs="Arial"/>
          <w:b/>
          <w:bCs/>
          <w:color w:val="000000" w:themeColor="text1"/>
          <w:vertAlign w:val="superscript"/>
        </w:rPr>
        <w:t>st</w:t>
      </w:r>
      <w:r w:rsidR="00590137">
        <w:rPr>
          <w:rFonts w:cs="Arial"/>
          <w:b/>
          <w:bCs/>
          <w:color w:val="000000" w:themeColor="text1"/>
        </w:rPr>
        <w:t xml:space="preserve"> April 2026</w:t>
      </w:r>
      <w:r w:rsidR="00E66B2E" w:rsidRPr="00A03F2A">
        <w:rPr>
          <w:rFonts w:cs="Arial"/>
          <w:b/>
          <w:bCs/>
          <w:sz w:val="32"/>
          <w:szCs w:val="32"/>
          <w:lang w:val="en-GB"/>
        </w:rPr>
        <w:br w:type="page"/>
      </w:r>
    </w:p>
    <w:p w14:paraId="19B29FF7" w14:textId="4832F10C" w:rsidR="006E75F0" w:rsidRPr="00A03F2A" w:rsidRDefault="00E66B2E" w:rsidP="00A03F2A">
      <w:pPr>
        <w:jc w:val="center"/>
        <w:rPr>
          <w:rFonts w:cs="Arial"/>
          <w:b/>
          <w:bCs/>
          <w:lang w:val="en-GB"/>
        </w:rPr>
      </w:pPr>
      <w:r w:rsidRPr="00A03F2A">
        <w:rPr>
          <w:rFonts w:cs="Arial"/>
          <w:b/>
          <w:bCs/>
          <w:lang w:val="en-GB"/>
        </w:rPr>
        <w:lastRenderedPageBreak/>
        <w:t>Executive Summary</w:t>
      </w:r>
    </w:p>
    <w:p w14:paraId="65562A48" w14:textId="77777777" w:rsidR="00CC020F" w:rsidRPr="00A03F2A" w:rsidRDefault="00CC020F" w:rsidP="00A03F2A">
      <w:pPr>
        <w:jc w:val="center"/>
        <w:rPr>
          <w:rFonts w:cs="Arial"/>
          <w:b/>
          <w:bCs/>
          <w:lang w:val="en-GB"/>
        </w:rPr>
      </w:pPr>
    </w:p>
    <w:p w14:paraId="06487777" w14:textId="15790C50" w:rsidR="00EF2136" w:rsidRPr="00A03F2A" w:rsidRDefault="00E66B2E" w:rsidP="00A03F2A">
      <w:pPr>
        <w:rPr>
          <w:rFonts w:cs="Arial"/>
          <w:lang w:val="en-GB"/>
        </w:rPr>
      </w:pPr>
      <w:r w:rsidRPr="00A03F2A">
        <w:rPr>
          <w:rFonts w:cs="Arial"/>
          <w:lang w:val="en-GB"/>
        </w:rPr>
        <w:t>This report is a critical assessment of strategic management of BP in the light of the global energy industry that is rapidly changing. The analysis of the internal capabilities, external pressures, and the competitive positioning of BP is conducted using PESTEL, VRIO, SWOT, Ansoff Matrix, and the Balanced Scorecard. The results show that despite highly encouraging financial assets and the international presence of BP, its policy could be defined by the absence of uniformity between fossil fuel reliance and renewable energy interests. The report finds that a more targeted and combined strategic process is needed in order to realise sustainable competitive advantage during the shift towards a low-carbon economy.</w:t>
      </w:r>
      <w:r w:rsidR="00EF2136" w:rsidRPr="00A03F2A">
        <w:rPr>
          <w:rFonts w:cs="Arial"/>
          <w:lang w:val="en-GB"/>
        </w:rPr>
        <w:br w:type="page"/>
      </w:r>
    </w:p>
    <w:sdt>
      <w:sdtPr>
        <w:rPr>
          <w:rFonts w:ascii="Arial" w:eastAsia="Times New Roman" w:hAnsi="Arial" w:cs="Arial"/>
          <w:color w:val="auto"/>
          <w:sz w:val="24"/>
          <w:szCs w:val="24"/>
          <w:lang w:val="en" w:eastAsia="en-IN"/>
        </w:rPr>
        <w:id w:val="576249632"/>
        <w:docPartObj>
          <w:docPartGallery w:val="Table of Contents"/>
          <w:docPartUnique/>
        </w:docPartObj>
      </w:sdtPr>
      <w:sdtEndPr>
        <w:rPr>
          <w:b/>
          <w:bCs/>
          <w:noProof/>
        </w:rPr>
      </w:sdtEndPr>
      <w:sdtContent>
        <w:p w14:paraId="5915C438" w14:textId="4086DF2C" w:rsidR="00EF2136" w:rsidRPr="00A03F2A" w:rsidRDefault="00EF2136" w:rsidP="00A03F2A">
          <w:pPr>
            <w:pStyle w:val="TOCHeading"/>
            <w:spacing w:line="360" w:lineRule="auto"/>
            <w:jc w:val="center"/>
            <w:rPr>
              <w:rFonts w:ascii="Arial" w:hAnsi="Arial" w:cs="Arial"/>
              <w:b/>
              <w:bCs/>
              <w:color w:val="000000" w:themeColor="text1"/>
              <w:sz w:val="24"/>
              <w:szCs w:val="24"/>
            </w:rPr>
          </w:pPr>
          <w:r w:rsidRPr="00A03F2A">
            <w:rPr>
              <w:rFonts w:ascii="Arial" w:hAnsi="Arial" w:cs="Arial"/>
              <w:b/>
              <w:bCs/>
              <w:color w:val="000000" w:themeColor="text1"/>
              <w:sz w:val="24"/>
              <w:szCs w:val="24"/>
            </w:rPr>
            <w:t>Table of Contents</w:t>
          </w:r>
        </w:p>
        <w:p w14:paraId="38CFEFCD" w14:textId="0D388DF4" w:rsidR="00F54B27" w:rsidRDefault="00EF2136">
          <w:pPr>
            <w:pStyle w:val="TOC1"/>
            <w:tabs>
              <w:tab w:val="right" w:leader="dot" w:pos="9350"/>
            </w:tabs>
            <w:rPr>
              <w:rFonts w:asciiTheme="minorHAnsi" w:eastAsiaTheme="minorEastAsia" w:hAnsiTheme="minorHAnsi" w:cstheme="minorBidi"/>
              <w:noProof/>
              <w:sz w:val="22"/>
              <w:szCs w:val="22"/>
              <w:lang w:val="en-IN"/>
            </w:rPr>
          </w:pPr>
          <w:r w:rsidRPr="00A03F2A">
            <w:rPr>
              <w:rFonts w:cs="Arial"/>
            </w:rPr>
            <w:fldChar w:fldCharType="begin"/>
          </w:r>
          <w:r w:rsidRPr="00A03F2A">
            <w:rPr>
              <w:rFonts w:cs="Arial"/>
            </w:rPr>
            <w:instrText xml:space="preserve"> TOC \o "1-3" \h \z \u </w:instrText>
          </w:r>
          <w:r w:rsidRPr="00A03F2A">
            <w:rPr>
              <w:rFonts w:cs="Arial"/>
            </w:rPr>
            <w:fldChar w:fldCharType="separate"/>
          </w:r>
          <w:hyperlink w:anchor="_Toc224807761" w:history="1">
            <w:r w:rsidR="00F54B27" w:rsidRPr="00656F7E">
              <w:rPr>
                <w:rStyle w:val="Hyperlink"/>
                <w:rFonts w:cs="Arial"/>
                <w:noProof/>
                <w:lang w:val="en-GB"/>
              </w:rPr>
              <w:t>Section 1: Report</w:t>
            </w:r>
            <w:r w:rsidR="00F54B27">
              <w:rPr>
                <w:noProof/>
                <w:webHidden/>
              </w:rPr>
              <w:tab/>
            </w:r>
            <w:r w:rsidR="00F54B27">
              <w:rPr>
                <w:noProof/>
                <w:webHidden/>
              </w:rPr>
              <w:fldChar w:fldCharType="begin"/>
            </w:r>
            <w:r w:rsidR="00F54B27">
              <w:rPr>
                <w:noProof/>
                <w:webHidden/>
              </w:rPr>
              <w:instrText xml:space="preserve"> PAGEREF _Toc224807761 \h </w:instrText>
            </w:r>
            <w:r w:rsidR="00F54B27">
              <w:rPr>
                <w:noProof/>
                <w:webHidden/>
              </w:rPr>
            </w:r>
            <w:r w:rsidR="00F54B27">
              <w:rPr>
                <w:noProof/>
                <w:webHidden/>
              </w:rPr>
              <w:fldChar w:fldCharType="separate"/>
            </w:r>
            <w:r w:rsidR="00F54B27">
              <w:rPr>
                <w:noProof/>
                <w:webHidden/>
              </w:rPr>
              <w:t>5</w:t>
            </w:r>
            <w:r w:rsidR="00F54B27">
              <w:rPr>
                <w:noProof/>
                <w:webHidden/>
              </w:rPr>
              <w:fldChar w:fldCharType="end"/>
            </w:r>
          </w:hyperlink>
        </w:p>
        <w:p w14:paraId="1C2F5248" w14:textId="5C7572BD" w:rsidR="00F54B27" w:rsidRDefault="00F54B27">
          <w:pPr>
            <w:pStyle w:val="TOC1"/>
            <w:tabs>
              <w:tab w:val="right" w:leader="dot" w:pos="9350"/>
            </w:tabs>
            <w:rPr>
              <w:rFonts w:asciiTheme="minorHAnsi" w:eastAsiaTheme="minorEastAsia" w:hAnsiTheme="minorHAnsi" w:cstheme="minorBidi"/>
              <w:noProof/>
              <w:sz w:val="22"/>
              <w:szCs w:val="22"/>
              <w:lang w:val="en-IN"/>
            </w:rPr>
          </w:pPr>
          <w:hyperlink w:anchor="_Toc224807762" w:history="1">
            <w:r w:rsidRPr="00656F7E">
              <w:rPr>
                <w:rStyle w:val="Hyperlink"/>
                <w:rFonts w:cs="Arial"/>
                <w:noProof/>
                <w:lang w:val="en-GB"/>
              </w:rPr>
              <w:t>1. Organisational Context</w:t>
            </w:r>
            <w:r>
              <w:rPr>
                <w:noProof/>
                <w:webHidden/>
              </w:rPr>
              <w:tab/>
            </w:r>
            <w:r>
              <w:rPr>
                <w:noProof/>
                <w:webHidden/>
              </w:rPr>
              <w:fldChar w:fldCharType="begin"/>
            </w:r>
            <w:r>
              <w:rPr>
                <w:noProof/>
                <w:webHidden/>
              </w:rPr>
              <w:instrText xml:space="preserve"> PAGEREF _Toc224807762 \h </w:instrText>
            </w:r>
            <w:r>
              <w:rPr>
                <w:noProof/>
                <w:webHidden/>
              </w:rPr>
            </w:r>
            <w:r>
              <w:rPr>
                <w:noProof/>
                <w:webHidden/>
              </w:rPr>
              <w:fldChar w:fldCharType="separate"/>
            </w:r>
            <w:r>
              <w:rPr>
                <w:noProof/>
                <w:webHidden/>
              </w:rPr>
              <w:t>5</w:t>
            </w:r>
            <w:r>
              <w:rPr>
                <w:noProof/>
                <w:webHidden/>
              </w:rPr>
              <w:fldChar w:fldCharType="end"/>
            </w:r>
          </w:hyperlink>
        </w:p>
        <w:p w14:paraId="5E746095" w14:textId="2E33A156"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63" w:history="1">
            <w:r w:rsidRPr="00656F7E">
              <w:rPr>
                <w:rStyle w:val="Hyperlink"/>
                <w:rFonts w:cs="Arial"/>
                <w:noProof/>
                <w:lang w:val="en-GB"/>
              </w:rPr>
              <w:t>1.1 Company Overview, History, Mission &amp; Business Model</w:t>
            </w:r>
            <w:r>
              <w:rPr>
                <w:noProof/>
                <w:webHidden/>
              </w:rPr>
              <w:tab/>
            </w:r>
            <w:r>
              <w:rPr>
                <w:noProof/>
                <w:webHidden/>
              </w:rPr>
              <w:fldChar w:fldCharType="begin"/>
            </w:r>
            <w:r>
              <w:rPr>
                <w:noProof/>
                <w:webHidden/>
              </w:rPr>
              <w:instrText xml:space="preserve"> PAGEREF _Toc224807763 \h </w:instrText>
            </w:r>
            <w:r>
              <w:rPr>
                <w:noProof/>
                <w:webHidden/>
              </w:rPr>
            </w:r>
            <w:r>
              <w:rPr>
                <w:noProof/>
                <w:webHidden/>
              </w:rPr>
              <w:fldChar w:fldCharType="separate"/>
            </w:r>
            <w:r>
              <w:rPr>
                <w:noProof/>
                <w:webHidden/>
              </w:rPr>
              <w:t>5</w:t>
            </w:r>
            <w:r>
              <w:rPr>
                <w:noProof/>
                <w:webHidden/>
              </w:rPr>
              <w:fldChar w:fldCharType="end"/>
            </w:r>
          </w:hyperlink>
        </w:p>
        <w:p w14:paraId="31AA1876" w14:textId="0C884507"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64" w:history="1">
            <w:r w:rsidRPr="00656F7E">
              <w:rPr>
                <w:rStyle w:val="Hyperlink"/>
                <w:rFonts w:cs="Arial"/>
                <w:noProof/>
                <w:lang w:val="en-GB"/>
              </w:rPr>
              <w:t>1.2 Industry Context, Competitors &amp; Market Position</w:t>
            </w:r>
            <w:r>
              <w:rPr>
                <w:noProof/>
                <w:webHidden/>
              </w:rPr>
              <w:tab/>
            </w:r>
            <w:r>
              <w:rPr>
                <w:noProof/>
                <w:webHidden/>
              </w:rPr>
              <w:fldChar w:fldCharType="begin"/>
            </w:r>
            <w:r>
              <w:rPr>
                <w:noProof/>
                <w:webHidden/>
              </w:rPr>
              <w:instrText xml:space="preserve"> PAGEREF _Toc224807764 \h </w:instrText>
            </w:r>
            <w:r>
              <w:rPr>
                <w:noProof/>
                <w:webHidden/>
              </w:rPr>
            </w:r>
            <w:r>
              <w:rPr>
                <w:noProof/>
                <w:webHidden/>
              </w:rPr>
              <w:fldChar w:fldCharType="separate"/>
            </w:r>
            <w:r>
              <w:rPr>
                <w:noProof/>
                <w:webHidden/>
              </w:rPr>
              <w:t>6</w:t>
            </w:r>
            <w:r>
              <w:rPr>
                <w:noProof/>
                <w:webHidden/>
              </w:rPr>
              <w:fldChar w:fldCharType="end"/>
            </w:r>
          </w:hyperlink>
        </w:p>
        <w:p w14:paraId="657922A8" w14:textId="36D16CAF" w:rsidR="00F54B27" w:rsidRDefault="00F54B27">
          <w:pPr>
            <w:pStyle w:val="TOC1"/>
            <w:tabs>
              <w:tab w:val="right" w:leader="dot" w:pos="9350"/>
            </w:tabs>
            <w:rPr>
              <w:rFonts w:asciiTheme="minorHAnsi" w:eastAsiaTheme="minorEastAsia" w:hAnsiTheme="minorHAnsi" w:cstheme="minorBidi"/>
              <w:noProof/>
              <w:sz w:val="22"/>
              <w:szCs w:val="22"/>
              <w:lang w:val="en-IN"/>
            </w:rPr>
          </w:pPr>
          <w:hyperlink w:anchor="_Toc224807765" w:history="1">
            <w:r w:rsidRPr="00656F7E">
              <w:rPr>
                <w:rStyle w:val="Hyperlink"/>
                <w:rFonts w:cs="Arial"/>
                <w:noProof/>
                <w:lang w:val="en-GB"/>
              </w:rPr>
              <w:t>2. External &amp; Internal Analysis</w:t>
            </w:r>
            <w:r>
              <w:rPr>
                <w:noProof/>
                <w:webHidden/>
              </w:rPr>
              <w:tab/>
            </w:r>
            <w:r>
              <w:rPr>
                <w:noProof/>
                <w:webHidden/>
              </w:rPr>
              <w:fldChar w:fldCharType="begin"/>
            </w:r>
            <w:r>
              <w:rPr>
                <w:noProof/>
                <w:webHidden/>
              </w:rPr>
              <w:instrText xml:space="preserve"> PAGEREF _Toc224807765 \h </w:instrText>
            </w:r>
            <w:r>
              <w:rPr>
                <w:noProof/>
                <w:webHidden/>
              </w:rPr>
            </w:r>
            <w:r>
              <w:rPr>
                <w:noProof/>
                <w:webHidden/>
              </w:rPr>
              <w:fldChar w:fldCharType="separate"/>
            </w:r>
            <w:r>
              <w:rPr>
                <w:noProof/>
                <w:webHidden/>
              </w:rPr>
              <w:t>7</w:t>
            </w:r>
            <w:r>
              <w:rPr>
                <w:noProof/>
                <w:webHidden/>
              </w:rPr>
              <w:fldChar w:fldCharType="end"/>
            </w:r>
          </w:hyperlink>
        </w:p>
        <w:p w14:paraId="73338548" w14:textId="28900699"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66" w:history="1">
            <w:r w:rsidRPr="00656F7E">
              <w:rPr>
                <w:rStyle w:val="Hyperlink"/>
                <w:rFonts w:cs="Arial"/>
                <w:noProof/>
                <w:lang w:val="en-GB"/>
              </w:rPr>
              <w:t>2.1 PESTEL Analysis</w:t>
            </w:r>
            <w:r>
              <w:rPr>
                <w:noProof/>
                <w:webHidden/>
              </w:rPr>
              <w:tab/>
            </w:r>
            <w:r>
              <w:rPr>
                <w:noProof/>
                <w:webHidden/>
              </w:rPr>
              <w:fldChar w:fldCharType="begin"/>
            </w:r>
            <w:r>
              <w:rPr>
                <w:noProof/>
                <w:webHidden/>
              </w:rPr>
              <w:instrText xml:space="preserve"> PAGEREF _Toc224807766 \h </w:instrText>
            </w:r>
            <w:r>
              <w:rPr>
                <w:noProof/>
                <w:webHidden/>
              </w:rPr>
            </w:r>
            <w:r>
              <w:rPr>
                <w:noProof/>
                <w:webHidden/>
              </w:rPr>
              <w:fldChar w:fldCharType="separate"/>
            </w:r>
            <w:r>
              <w:rPr>
                <w:noProof/>
                <w:webHidden/>
              </w:rPr>
              <w:t>7</w:t>
            </w:r>
            <w:r>
              <w:rPr>
                <w:noProof/>
                <w:webHidden/>
              </w:rPr>
              <w:fldChar w:fldCharType="end"/>
            </w:r>
          </w:hyperlink>
        </w:p>
        <w:p w14:paraId="1A8D1DD5" w14:textId="054089EE"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67" w:history="1">
            <w:r w:rsidRPr="00656F7E">
              <w:rPr>
                <w:rStyle w:val="Hyperlink"/>
                <w:rFonts w:cs="Arial"/>
                <w:noProof/>
                <w:lang w:val="en-GB"/>
              </w:rPr>
              <w:t>2.2 Critical Success Factors &amp; Strategic Challenges</w:t>
            </w:r>
            <w:r>
              <w:rPr>
                <w:noProof/>
                <w:webHidden/>
              </w:rPr>
              <w:tab/>
            </w:r>
            <w:r>
              <w:rPr>
                <w:noProof/>
                <w:webHidden/>
              </w:rPr>
              <w:fldChar w:fldCharType="begin"/>
            </w:r>
            <w:r>
              <w:rPr>
                <w:noProof/>
                <w:webHidden/>
              </w:rPr>
              <w:instrText xml:space="preserve"> PAGEREF _Toc224807767 \h </w:instrText>
            </w:r>
            <w:r>
              <w:rPr>
                <w:noProof/>
                <w:webHidden/>
              </w:rPr>
            </w:r>
            <w:r>
              <w:rPr>
                <w:noProof/>
                <w:webHidden/>
              </w:rPr>
              <w:fldChar w:fldCharType="separate"/>
            </w:r>
            <w:r>
              <w:rPr>
                <w:noProof/>
                <w:webHidden/>
              </w:rPr>
              <w:t>9</w:t>
            </w:r>
            <w:r>
              <w:rPr>
                <w:noProof/>
                <w:webHidden/>
              </w:rPr>
              <w:fldChar w:fldCharType="end"/>
            </w:r>
          </w:hyperlink>
        </w:p>
        <w:p w14:paraId="32BE45D4" w14:textId="02EECB15"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68" w:history="1">
            <w:r w:rsidRPr="00656F7E">
              <w:rPr>
                <w:rStyle w:val="Hyperlink"/>
                <w:rFonts w:cs="Arial"/>
                <w:noProof/>
                <w:lang w:val="en-GB"/>
              </w:rPr>
              <w:t>2.3 Internal Environment &amp; VRIO Analysis</w:t>
            </w:r>
            <w:r>
              <w:rPr>
                <w:noProof/>
                <w:webHidden/>
              </w:rPr>
              <w:tab/>
            </w:r>
            <w:r>
              <w:rPr>
                <w:noProof/>
                <w:webHidden/>
              </w:rPr>
              <w:fldChar w:fldCharType="begin"/>
            </w:r>
            <w:r>
              <w:rPr>
                <w:noProof/>
                <w:webHidden/>
              </w:rPr>
              <w:instrText xml:space="preserve"> PAGEREF _Toc224807768 \h </w:instrText>
            </w:r>
            <w:r>
              <w:rPr>
                <w:noProof/>
                <w:webHidden/>
              </w:rPr>
            </w:r>
            <w:r>
              <w:rPr>
                <w:noProof/>
                <w:webHidden/>
              </w:rPr>
              <w:fldChar w:fldCharType="separate"/>
            </w:r>
            <w:r>
              <w:rPr>
                <w:noProof/>
                <w:webHidden/>
              </w:rPr>
              <w:t>10</w:t>
            </w:r>
            <w:r>
              <w:rPr>
                <w:noProof/>
                <w:webHidden/>
              </w:rPr>
              <w:fldChar w:fldCharType="end"/>
            </w:r>
          </w:hyperlink>
        </w:p>
        <w:p w14:paraId="48899A80" w14:textId="42C9F889"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69" w:history="1">
            <w:r w:rsidRPr="00656F7E">
              <w:rPr>
                <w:rStyle w:val="Hyperlink"/>
                <w:rFonts w:cs="Arial"/>
                <w:noProof/>
                <w:lang w:val="en-GB"/>
              </w:rPr>
              <w:t>2.4 Internal Strengths Promote Competitive Advantage</w:t>
            </w:r>
            <w:r>
              <w:rPr>
                <w:noProof/>
                <w:webHidden/>
              </w:rPr>
              <w:tab/>
            </w:r>
            <w:r>
              <w:rPr>
                <w:noProof/>
                <w:webHidden/>
              </w:rPr>
              <w:fldChar w:fldCharType="begin"/>
            </w:r>
            <w:r>
              <w:rPr>
                <w:noProof/>
                <w:webHidden/>
              </w:rPr>
              <w:instrText xml:space="preserve"> PAGEREF _Toc224807769 \h </w:instrText>
            </w:r>
            <w:r>
              <w:rPr>
                <w:noProof/>
                <w:webHidden/>
              </w:rPr>
            </w:r>
            <w:r>
              <w:rPr>
                <w:noProof/>
                <w:webHidden/>
              </w:rPr>
              <w:fldChar w:fldCharType="separate"/>
            </w:r>
            <w:r>
              <w:rPr>
                <w:noProof/>
                <w:webHidden/>
              </w:rPr>
              <w:t>12</w:t>
            </w:r>
            <w:r>
              <w:rPr>
                <w:noProof/>
                <w:webHidden/>
              </w:rPr>
              <w:fldChar w:fldCharType="end"/>
            </w:r>
          </w:hyperlink>
        </w:p>
        <w:p w14:paraId="61F8FB16" w14:textId="1465E8C2" w:rsidR="00F54B27" w:rsidRDefault="00F54B27">
          <w:pPr>
            <w:pStyle w:val="TOC1"/>
            <w:tabs>
              <w:tab w:val="right" w:leader="dot" w:pos="9350"/>
            </w:tabs>
            <w:rPr>
              <w:rFonts w:asciiTheme="minorHAnsi" w:eastAsiaTheme="minorEastAsia" w:hAnsiTheme="minorHAnsi" w:cstheme="minorBidi"/>
              <w:noProof/>
              <w:sz w:val="22"/>
              <w:szCs w:val="22"/>
              <w:lang w:val="en-IN"/>
            </w:rPr>
          </w:pPr>
          <w:hyperlink w:anchor="_Toc224807770" w:history="1">
            <w:r w:rsidRPr="00656F7E">
              <w:rPr>
                <w:rStyle w:val="Hyperlink"/>
                <w:rFonts w:cs="Arial"/>
                <w:noProof/>
                <w:lang w:val="en-GB"/>
              </w:rPr>
              <w:t>3. CSR and Sustainability Objectives</w:t>
            </w:r>
            <w:r>
              <w:rPr>
                <w:noProof/>
                <w:webHidden/>
              </w:rPr>
              <w:tab/>
            </w:r>
            <w:r>
              <w:rPr>
                <w:noProof/>
                <w:webHidden/>
              </w:rPr>
              <w:fldChar w:fldCharType="begin"/>
            </w:r>
            <w:r>
              <w:rPr>
                <w:noProof/>
                <w:webHidden/>
              </w:rPr>
              <w:instrText xml:space="preserve"> PAGEREF _Toc224807770 \h </w:instrText>
            </w:r>
            <w:r>
              <w:rPr>
                <w:noProof/>
                <w:webHidden/>
              </w:rPr>
            </w:r>
            <w:r>
              <w:rPr>
                <w:noProof/>
                <w:webHidden/>
              </w:rPr>
              <w:fldChar w:fldCharType="separate"/>
            </w:r>
            <w:r>
              <w:rPr>
                <w:noProof/>
                <w:webHidden/>
              </w:rPr>
              <w:t>13</w:t>
            </w:r>
            <w:r>
              <w:rPr>
                <w:noProof/>
                <w:webHidden/>
              </w:rPr>
              <w:fldChar w:fldCharType="end"/>
            </w:r>
          </w:hyperlink>
        </w:p>
        <w:p w14:paraId="27C56BFC" w14:textId="7C27AA0D" w:rsidR="00F54B27" w:rsidRDefault="00F54B27">
          <w:pPr>
            <w:pStyle w:val="TOC1"/>
            <w:tabs>
              <w:tab w:val="right" w:leader="dot" w:pos="9350"/>
            </w:tabs>
            <w:rPr>
              <w:rFonts w:asciiTheme="minorHAnsi" w:eastAsiaTheme="minorEastAsia" w:hAnsiTheme="minorHAnsi" w:cstheme="minorBidi"/>
              <w:noProof/>
              <w:sz w:val="22"/>
              <w:szCs w:val="22"/>
              <w:lang w:val="en-IN"/>
            </w:rPr>
          </w:pPr>
          <w:hyperlink w:anchor="_Toc224807771" w:history="1">
            <w:r w:rsidRPr="00656F7E">
              <w:rPr>
                <w:rStyle w:val="Hyperlink"/>
                <w:rFonts w:cs="Arial"/>
                <w:noProof/>
                <w:lang w:val="en-GB"/>
              </w:rPr>
              <w:t>4. Comprehensive and Holistic View: Balanced Scorecard</w:t>
            </w:r>
            <w:r>
              <w:rPr>
                <w:noProof/>
                <w:webHidden/>
              </w:rPr>
              <w:tab/>
            </w:r>
            <w:r>
              <w:rPr>
                <w:noProof/>
                <w:webHidden/>
              </w:rPr>
              <w:fldChar w:fldCharType="begin"/>
            </w:r>
            <w:r>
              <w:rPr>
                <w:noProof/>
                <w:webHidden/>
              </w:rPr>
              <w:instrText xml:space="preserve"> PAGEREF _Toc224807771 \h </w:instrText>
            </w:r>
            <w:r>
              <w:rPr>
                <w:noProof/>
                <w:webHidden/>
              </w:rPr>
            </w:r>
            <w:r>
              <w:rPr>
                <w:noProof/>
                <w:webHidden/>
              </w:rPr>
              <w:fldChar w:fldCharType="separate"/>
            </w:r>
            <w:r>
              <w:rPr>
                <w:noProof/>
                <w:webHidden/>
              </w:rPr>
              <w:t>14</w:t>
            </w:r>
            <w:r>
              <w:rPr>
                <w:noProof/>
                <w:webHidden/>
              </w:rPr>
              <w:fldChar w:fldCharType="end"/>
            </w:r>
          </w:hyperlink>
        </w:p>
        <w:p w14:paraId="5BCC7916" w14:textId="348E56A5" w:rsidR="00F54B27" w:rsidRDefault="00F54B27">
          <w:pPr>
            <w:pStyle w:val="TOC1"/>
            <w:tabs>
              <w:tab w:val="right" w:leader="dot" w:pos="9350"/>
            </w:tabs>
            <w:rPr>
              <w:rFonts w:asciiTheme="minorHAnsi" w:eastAsiaTheme="minorEastAsia" w:hAnsiTheme="minorHAnsi" w:cstheme="minorBidi"/>
              <w:noProof/>
              <w:sz w:val="22"/>
              <w:szCs w:val="22"/>
              <w:lang w:val="en-IN"/>
            </w:rPr>
          </w:pPr>
          <w:hyperlink w:anchor="_Toc224807772" w:history="1">
            <w:r w:rsidRPr="00656F7E">
              <w:rPr>
                <w:rStyle w:val="Hyperlink"/>
                <w:rFonts w:cs="Arial"/>
                <w:noProof/>
                <w:lang w:val="en-GB"/>
              </w:rPr>
              <w:t>5. Strategic Choices and Implementation</w:t>
            </w:r>
            <w:r>
              <w:rPr>
                <w:noProof/>
                <w:webHidden/>
              </w:rPr>
              <w:tab/>
            </w:r>
            <w:r>
              <w:rPr>
                <w:noProof/>
                <w:webHidden/>
              </w:rPr>
              <w:fldChar w:fldCharType="begin"/>
            </w:r>
            <w:r>
              <w:rPr>
                <w:noProof/>
                <w:webHidden/>
              </w:rPr>
              <w:instrText xml:space="preserve"> PAGEREF _Toc224807772 \h </w:instrText>
            </w:r>
            <w:r>
              <w:rPr>
                <w:noProof/>
                <w:webHidden/>
              </w:rPr>
            </w:r>
            <w:r>
              <w:rPr>
                <w:noProof/>
                <w:webHidden/>
              </w:rPr>
              <w:fldChar w:fldCharType="separate"/>
            </w:r>
            <w:r>
              <w:rPr>
                <w:noProof/>
                <w:webHidden/>
              </w:rPr>
              <w:t>15</w:t>
            </w:r>
            <w:r>
              <w:rPr>
                <w:noProof/>
                <w:webHidden/>
              </w:rPr>
              <w:fldChar w:fldCharType="end"/>
            </w:r>
          </w:hyperlink>
        </w:p>
        <w:p w14:paraId="4E4E3954" w14:textId="071CE11E"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73" w:history="1">
            <w:r w:rsidRPr="00656F7E">
              <w:rPr>
                <w:rStyle w:val="Hyperlink"/>
                <w:rFonts w:cs="Arial"/>
                <w:noProof/>
                <w:lang w:val="en-GB"/>
              </w:rPr>
              <w:t>5.1 Business-Level Strategy</w:t>
            </w:r>
            <w:r>
              <w:rPr>
                <w:noProof/>
                <w:webHidden/>
              </w:rPr>
              <w:tab/>
            </w:r>
            <w:r>
              <w:rPr>
                <w:noProof/>
                <w:webHidden/>
              </w:rPr>
              <w:fldChar w:fldCharType="begin"/>
            </w:r>
            <w:r>
              <w:rPr>
                <w:noProof/>
                <w:webHidden/>
              </w:rPr>
              <w:instrText xml:space="preserve"> PAGEREF _Toc224807773 \h </w:instrText>
            </w:r>
            <w:r>
              <w:rPr>
                <w:noProof/>
                <w:webHidden/>
              </w:rPr>
            </w:r>
            <w:r>
              <w:rPr>
                <w:noProof/>
                <w:webHidden/>
              </w:rPr>
              <w:fldChar w:fldCharType="separate"/>
            </w:r>
            <w:r>
              <w:rPr>
                <w:noProof/>
                <w:webHidden/>
              </w:rPr>
              <w:t>15</w:t>
            </w:r>
            <w:r>
              <w:rPr>
                <w:noProof/>
                <w:webHidden/>
              </w:rPr>
              <w:fldChar w:fldCharType="end"/>
            </w:r>
          </w:hyperlink>
        </w:p>
        <w:p w14:paraId="29FA1A6B" w14:textId="237F1FF2"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74" w:history="1">
            <w:r w:rsidRPr="00656F7E">
              <w:rPr>
                <w:rStyle w:val="Hyperlink"/>
                <w:rFonts w:cs="Arial"/>
                <w:noProof/>
                <w:lang w:val="en-GB"/>
              </w:rPr>
              <w:t>5.2 Corporate-Level Strategy</w:t>
            </w:r>
            <w:r>
              <w:rPr>
                <w:noProof/>
                <w:webHidden/>
              </w:rPr>
              <w:tab/>
            </w:r>
            <w:r>
              <w:rPr>
                <w:noProof/>
                <w:webHidden/>
              </w:rPr>
              <w:fldChar w:fldCharType="begin"/>
            </w:r>
            <w:r>
              <w:rPr>
                <w:noProof/>
                <w:webHidden/>
              </w:rPr>
              <w:instrText xml:space="preserve"> PAGEREF _Toc224807774 \h </w:instrText>
            </w:r>
            <w:r>
              <w:rPr>
                <w:noProof/>
                <w:webHidden/>
              </w:rPr>
            </w:r>
            <w:r>
              <w:rPr>
                <w:noProof/>
                <w:webHidden/>
              </w:rPr>
              <w:fldChar w:fldCharType="separate"/>
            </w:r>
            <w:r>
              <w:rPr>
                <w:noProof/>
                <w:webHidden/>
              </w:rPr>
              <w:t>16</w:t>
            </w:r>
            <w:r>
              <w:rPr>
                <w:noProof/>
                <w:webHidden/>
              </w:rPr>
              <w:fldChar w:fldCharType="end"/>
            </w:r>
          </w:hyperlink>
        </w:p>
        <w:p w14:paraId="7AD4389C" w14:textId="03F5E664"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75" w:history="1">
            <w:r w:rsidRPr="00656F7E">
              <w:rPr>
                <w:rStyle w:val="Hyperlink"/>
                <w:rFonts w:cs="Arial"/>
                <w:noProof/>
                <w:lang w:val="en-GB"/>
              </w:rPr>
              <w:t>5.3 Strategic Direction Recommendation.</w:t>
            </w:r>
            <w:r>
              <w:rPr>
                <w:noProof/>
                <w:webHidden/>
              </w:rPr>
              <w:tab/>
            </w:r>
            <w:r>
              <w:rPr>
                <w:noProof/>
                <w:webHidden/>
              </w:rPr>
              <w:fldChar w:fldCharType="begin"/>
            </w:r>
            <w:r>
              <w:rPr>
                <w:noProof/>
                <w:webHidden/>
              </w:rPr>
              <w:instrText xml:space="preserve"> PAGEREF _Toc224807775 \h </w:instrText>
            </w:r>
            <w:r>
              <w:rPr>
                <w:noProof/>
                <w:webHidden/>
              </w:rPr>
            </w:r>
            <w:r>
              <w:rPr>
                <w:noProof/>
                <w:webHidden/>
              </w:rPr>
              <w:fldChar w:fldCharType="separate"/>
            </w:r>
            <w:r>
              <w:rPr>
                <w:noProof/>
                <w:webHidden/>
              </w:rPr>
              <w:t>16</w:t>
            </w:r>
            <w:r>
              <w:rPr>
                <w:noProof/>
                <w:webHidden/>
              </w:rPr>
              <w:fldChar w:fldCharType="end"/>
            </w:r>
          </w:hyperlink>
        </w:p>
        <w:p w14:paraId="3A8CAC49" w14:textId="4959AD1E"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76" w:history="1">
            <w:r w:rsidRPr="00656F7E">
              <w:rPr>
                <w:rStyle w:val="Hyperlink"/>
                <w:rFonts w:cs="Arial"/>
                <w:noProof/>
                <w:lang w:val="en-GB"/>
              </w:rPr>
              <w:t>5.4 Change Management/Implementation.</w:t>
            </w:r>
            <w:r>
              <w:rPr>
                <w:noProof/>
                <w:webHidden/>
              </w:rPr>
              <w:tab/>
            </w:r>
            <w:r>
              <w:rPr>
                <w:noProof/>
                <w:webHidden/>
              </w:rPr>
              <w:fldChar w:fldCharType="begin"/>
            </w:r>
            <w:r>
              <w:rPr>
                <w:noProof/>
                <w:webHidden/>
              </w:rPr>
              <w:instrText xml:space="preserve"> PAGEREF _Toc224807776 \h </w:instrText>
            </w:r>
            <w:r>
              <w:rPr>
                <w:noProof/>
                <w:webHidden/>
              </w:rPr>
            </w:r>
            <w:r>
              <w:rPr>
                <w:noProof/>
                <w:webHidden/>
              </w:rPr>
              <w:fldChar w:fldCharType="separate"/>
            </w:r>
            <w:r>
              <w:rPr>
                <w:noProof/>
                <w:webHidden/>
              </w:rPr>
              <w:t>16</w:t>
            </w:r>
            <w:r>
              <w:rPr>
                <w:noProof/>
                <w:webHidden/>
              </w:rPr>
              <w:fldChar w:fldCharType="end"/>
            </w:r>
          </w:hyperlink>
        </w:p>
        <w:p w14:paraId="41BA50D9" w14:textId="6EA68257" w:rsidR="00F54B27" w:rsidRDefault="00F54B27">
          <w:pPr>
            <w:pStyle w:val="TOC1"/>
            <w:tabs>
              <w:tab w:val="right" w:leader="dot" w:pos="9350"/>
            </w:tabs>
            <w:rPr>
              <w:rFonts w:asciiTheme="minorHAnsi" w:eastAsiaTheme="minorEastAsia" w:hAnsiTheme="minorHAnsi" w:cstheme="minorBidi"/>
              <w:noProof/>
              <w:sz w:val="22"/>
              <w:szCs w:val="22"/>
              <w:lang w:val="en-IN"/>
            </w:rPr>
          </w:pPr>
          <w:hyperlink w:anchor="_Toc224807777" w:history="1">
            <w:r w:rsidRPr="00656F7E">
              <w:rPr>
                <w:rStyle w:val="Hyperlink"/>
                <w:rFonts w:cs="Arial"/>
                <w:noProof/>
                <w:lang w:val="en-GB"/>
              </w:rPr>
              <w:t>6. Strategic Evaluation and Recommendations</w:t>
            </w:r>
            <w:r>
              <w:rPr>
                <w:noProof/>
                <w:webHidden/>
              </w:rPr>
              <w:tab/>
            </w:r>
            <w:r>
              <w:rPr>
                <w:noProof/>
                <w:webHidden/>
              </w:rPr>
              <w:fldChar w:fldCharType="begin"/>
            </w:r>
            <w:r>
              <w:rPr>
                <w:noProof/>
                <w:webHidden/>
              </w:rPr>
              <w:instrText xml:space="preserve"> PAGEREF _Toc224807777 \h </w:instrText>
            </w:r>
            <w:r>
              <w:rPr>
                <w:noProof/>
                <w:webHidden/>
              </w:rPr>
            </w:r>
            <w:r>
              <w:rPr>
                <w:noProof/>
                <w:webHidden/>
              </w:rPr>
              <w:fldChar w:fldCharType="separate"/>
            </w:r>
            <w:r>
              <w:rPr>
                <w:noProof/>
                <w:webHidden/>
              </w:rPr>
              <w:t>17</w:t>
            </w:r>
            <w:r>
              <w:rPr>
                <w:noProof/>
                <w:webHidden/>
              </w:rPr>
              <w:fldChar w:fldCharType="end"/>
            </w:r>
          </w:hyperlink>
        </w:p>
        <w:p w14:paraId="23BC76FD" w14:textId="386A8BE0"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78" w:history="1">
            <w:r w:rsidRPr="00656F7E">
              <w:rPr>
                <w:rStyle w:val="Hyperlink"/>
                <w:rFonts w:cs="Arial"/>
                <w:noProof/>
                <w:lang w:val="en-GB"/>
              </w:rPr>
              <w:t>6.1 SWOT Analysis of BP</w:t>
            </w:r>
            <w:r>
              <w:rPr>
                <w:noProof/>
                <w:webHidden/>
              </w:rPr>
              <w:tab/>
            </w:r>
            <w:r>
              <w:rPr>
                <w:noProof/>
                <w:webHidden/>
              </w:rPr>
              <w:fldChar w:fldCharType="begin"/>
            </w:r>
            <w:r>
              <w:rPr>
                <w:noProof/>
                <w:webHidden/>
              </w:rPr>
              <w:instrText xml:space="preserve"> PAGEREF _Toc224807778 \h </w:instrText>
            </w:r>
            <w:r>
              <w:rPr>
                <w:noProof/>
                <w:webHidden/>
              </w:rPr>
            </w:r>
            <w:r>
              <w:rPr>
                <w:noProof/>
                <w:webHidden/>
              </w:rPr>
              <w:fldChar w:fldCharType="separate"/>
            </w:r>
            <w:r>
              <w:rPr>
                <w:noProof/>
                <w:webHidden/>
              </w:rPr>
              <w:t>17</w:t>
            </w:r>
            <w:r>
              <w:rPr>
                <w:noProof/>
                <w:webHidden/>
              </w:rPr>
              <w:fldChar w:fldCharType="end"/>
            </w:r>
          </w:hyperlink>
        </w:p>
        <w:p w14:paraId="102D9FCE" w14:textId="0DC12C77"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79" w:history="1">
            <w:r w:rsidRPr="00656F7E">
              <w:rPr>
                <w:rStyle w:val="Hyperlink"/>
                <w:rFonts w:cs="Arial"/>
                <w:noProof/>
                <w:lang w:val="en-GB"/>
              </w:rPr>
              <w:t>6.2 Ansoff Matrix for Strategic Direction</w:t>
            </w:r>
            <w:r>
              <w:rPr>
                <w:noProof/>
                <w:webHidden/>
              </w:rPr>
              <w:tab/>
            </w:r>
            <w:r>
              <w:rPr>
                <w:noProof/>
                <w:webHidden/>
              </w:rPr>
              <w:fldChar w:fldCharType="begin"/>
            </w:r>
            <w:r>
              <w:rPr>
                <w:noProof/>
                <w:webHidden/>
              </w:rPr>
              <w:instrText xml:space="preserve"> PAGEREF _Toc224807779 \h </w:instrText>
            </w:r>
            <w:r>
              <w:rPr>
                <w:noProof/>
                <w:webHidden/>
              </w:rPr>
            </w:r>
            <w:r>
              <w:rPr>
                <w:noProof/>
                <w:webHidden/>
              </w:rPr>
              <w:fldChar w:fldCharType="separate"/>
            </w:r>
            <w:r>
              <w:rPr>
                <w:noProof/>
                <w:webHidden/>
              </w:rPr>
              <w:t>18</w:t>
            </w:r>
            <w:r>
              <w:rPr>
                <w:noProof/>
                <w:webHidden/>
              </w:rPr>
              <w:fldChar w:fldCharType="end"/>
            </w:r>
          </w:hyperlink>
        </w:p>
        <w:p w14:paraId="415857C9" w14:textId="2D2E6D15"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80" w:history="1">
            <w:r w:rsidRPr="00656F7E">
              <w:rPr>
                <w:rStyle w:val="Hyperlink"/>
                <w:rFonts w:cs="Arial"/>
                <w:noProof/>
                <w:lang w:val="en-GB"/>
              </w:rPr>
              <w:t>6.3 Recommendations</w:t>
            </w:r>
            <w:r>
              <w:rPr>
                <w:noProof/>
                <w:webHidden/>
              </w:rPr>
              <w:tab/>
            </w:r>
            <w:r>
              <w:rPr>
                <w:noProof/>
                <w:webHidden/>
              </w:rPr>
              <w:fldChar w:fldCharType="begin"/>
            </w:r>
            <w:r>
              <w:rPr>
                <w:noProof/>
                <w:webHidden/>
              </w:rPr>
              <w:instrText xml:space="preserve"> PAGEREF _Toc224807780 \h </w:instrText>
            </w:r>
            <w:r>
              <w:rPr>
                <w:noProof/>
                <w:webHidden/>
              </w:rPr>
            </w:r>
            <w:r>
              <w:rPr>
                <w:noProof/>
                <w:webHidden/>
              </w:rPr>
              <w:fldChar w:fldCharType="separate"/>
            </w:r>
            <w:r>
              <w:rPr>
                <w:noProof/>
                <w:webHidden/>
              </w:rPr>
              <w:t>18</w:t>
            </w:r>
            <w:r>
              <w:rPr>
                <w:noProof/>
                <w:webHidden/>
              </w:rPr>
              <w:fldChar w:fldCharType="end"/>
            </w:r>
          </w:hyperlink>
        </w:p>
        <w:p w14:paraId="752C8B77" w14:textId="07819688" w:rsidR="00F54B27" w:rsidRDefault="00F54B27">
          <w:pPr>
            <w:pStyle w:val="TOC1"/>
            <w:tabs>
              <w:tab w:val="right" w:leader="dot" w:pos="9350"/>
            </w:tabs>
            <w:rPr>
              <w:rFonts w:asciiTheme="minorHAnsi" w:eastAsiaTheme="minorEastAsia" w:hAnsiTheme="minorHAnsi" w:cstheme="minorBidi"/>
              <w:noProof/>
              <w:sz w:val="22"/>
              <w:szCs w:val="22"/>
              <w:lang w:val="en-IN"/>
            </w:rPr>
          </w:pPr>
          <w:hyperlink w:anchor="_Toc224807781" w:history="1">
            <w:r w:rsidRPr="00656F7E">
              <w:rPr>
                <w:rStyle w:val="Hyperlink"/>
                <w:rFonts w:cs="Arial"/>
                <w:noProof/>
                <w:lang w:val="en-GB"/>
              </w:rPr>
              <w:t>Section 2: Reflective Account</w:t>
            </w:r>
            <w:r>
              <w:rPr>
                <w:noProof/>
                <w:webHidden/>
              </w:rPr>
              <w:tab/>
            </w:r>
            <w:r>
              <w:rPr>
                <w:noProof/>
                <w:webHidden/>
              </w:rPr>
              <w:fldChar w:fldCharType="begin"/>
            </w:r>
            <w:r>
              <w:rPr>
                <w:noProof/>
                <w:webHidden/>
              </w:rPr>
              <w:instrText xml:space="preserve"> PAGEREF _Toc224807781 \h </w:instrText>
            </w:r>
            <w:r>
              <w:rPr>
                <w:noProof/>
                <w:webHidden/>
              </w:rPr>
            </w:r>
            <w:r>
              <w:rPr>
                <w:noProof/>
                <w:webHidden/>
              </w:rPr>
              <w:fldChar w:fldCharType="separate"/>
            </w:r>
            <w:r>
              <w:rPr>
                <w:noProof/>
                <w:webHidden/>
              </w:rPr>
              <w:t>20</w:t>
            </w:r>
            <w:r>
              <w:rPr>
                <w:noProof/>
                <w:webHidden/>
              </w:rPr>
              <w:fldChar w:fldCharType="end"/>
            </w:r>
          </w:hyperlink>
        </w:p>
        <w:p w14:paraId="48EF3F14" w14:textId="2163F21E"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82" w:history="1">
            <w:r w:rsidRPr="00656F7E">
              <w:rPr>
                <w:rStyle w:val="Hyperlink"/>
                <w:rFonts w:cs="Arial"/>
                <w:noProof/>
                <w:lang w:val="en-GB"/>
              </w:rPr>
              <w:t>2.1 Description</w:t>
            </w:r>
            <w:r>
              <w:rPr>
                <w:noProof/>
                <w:webHidden/>
              </w:rPr>
              <w:tab/>
            </w:r>
            <w:r>
              <w:rPr>
                <w:noProof/>
                <w:webHidden/>
              </w:rPr>
              <w:fldChar w:fldCharType="begin"/>
            </w:r>
            <w:r>
              <w:rPr>
                <w:noProof/>
                <w:webHidden/>
              </w:rPr>
              <w:instrText xml:space="preserve"> PAGEREF _Toc224807782 \h </w:instrText>
            </w:r>
            <w:r>
              <w:rPr>
                <w:noProof/>
                <w:webHidden/>
              </w:rPr>
            </w:r>
            <w:r>
              <w:rPr>
                <w:noProof/>
                <w:webHidden/>
              </w:rPr>
              <w:fldChar w:fldCharType="separate"/>
            </w:r>
            <w:r>
              <w:rPr>
                <w:noProof/>
                <w:webHidden/>
              </w:rPr>
              <w:t>20</w:t>
            </w:r>
            <w:r>
              <w:rPr>
                <w:noProof/>
                <w:webHidden/>
              </w:rPr>
              <w:fldChar w:fldCharType="end"/>
            </w:r>
          </w:hyperlink>
        </w:p>
        <w:p w14:paraId="1D53BD02" w14:textId="1207ECB4"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83" w:history="1">
            <w:r w:rsidRPr="00656F7E">
              <w:rPr>
                <w:rStyle w:val="Hyperlink"/>
                <w:rFonts w:cs="Arial"/>
                <w:noProof/>
                <w:lang w:val="en-GB"/>
              </w:rPr>
              <w:t>2.2 Feelings</w:t>
            </w:r>
            <w:r>
              <w:rPr>
                <w:noProof/>
                <w:webHidden/>
              </w:rPr>
              <w:tab/>
            </w:r>
            <w:r>
              <w:rPr>
                <w:noProof/>
                <w:webHidden/>
              </w:rPr>
              <w:fldChar w:fldCharType="begin"/>
            </w:r>
            <w:r>
              <w:rPr>
                <w:noProof/>
                <w:webHidden/>
              </w:rPr>
              <w:instrText xml:space="preserve"> PAGEREF _Toc224807783 \h </w:instrText>
            </w:r>
            <w:r>
              <w:rPr>
                <w:noProof/>
                <w:webHidden/>
              </w:rPr>
            </w:r>
            <w:r>
              <w:rPr>
                <w:noProof/>
                <w:webHidden/>
              </w:rPr>
              <w:fldChar w:fldCharType="separate"/>
            </w:r>
            <w:r>
              <w:rPr>
                <w:noProof/>
                <w:webHidden/>
              </w:rPr>
              <w:t>20</w:t>
            </w:r>
            <w:r>
              <w:rPr>
                <w:noProof/>
                <w:webHidden/>
              </w:rPr>
              <w:fldChar w:fldCharType="end"/>
            </w:r>
          </w:hyperlink>
        </w:p>
        <w:p w14:paraId="3086A7EE" w14:textId="4E875AE1"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84" w:history="1">
            <w:r w:rsidRPr="00656F7E">
              <w:rPr>
                <w:rStyle w:val="Hyperlink"/>
                <w:rFonts w:cs="Arial"/>
                <w:noProof/>
                <w:lang w:val="en-GB"/>
              </w:rPr>
              <w:t>2.3 Evaluation</w:t>
            </w:r>
            <w:r>
              <w:rPr>
                <w:noProof/>
                <w:webHidden/>
              </w:rPr>
              <w:tab/>
            </w:r>
            <w:r>
              <w:rPr>
                <w:noProof/>
                <w:webHidden/>
              </w:rPr>
              <w:fldChar w:fldCharType="begin"/>
            </w:r>
            <w:r>
              <w:rPr>
                <w:noProof/>
                <w:webHidden/>
              </w:rPr>
              <w:instrText xml:space="preserve"> PAGEREF _Toc224807784 \h </w:instrText>
            </w:r>
            <w:r>
              <w:rPr>
                <w:noProof/>
                <w:webHidden/>
              </w:rPr>
            </w:r>
            <w:r>
              <w:rPr>
                <w:noProof/>
                <w:webHidden/>
              </w:rPr>
              <w:fldChar w:fldCharType="separate"/>
            </w:r>
            <w:r>
              <w:rPr>
                <w:noProof/>
                <w:webHidden/>
              </w:rPr>
              <w:t>20</w:t>
            </w:r>
            <w:r>
              <w:rPr>
                <w:noProof/>
                <w:webHidden/>
              </w:rPr>
              <w:fldChar w:fldCharType="end"/>
            </w:r>
          </w:hyperlink>
        </w:p>
        <w:p w14:paraId="38E523C3" w14:textId="3A460F7E"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85" w:history="1">
            <w:r w:rsidRPr="00656F7E">
              <w:rPr>
                <w:rStyle w:val="Hyperlink"/>
                <w:rFonts w:cs="Arial"/>
                <w:noProof/>
                <w:lang w:val="en-GB"/>
              </w:rPr>
              <w:t>2.4 Analysis</w:t>
            </w:r>
            <w:r>
              <w:rPr>
                <w:noProof/>
                <w:webHidden/>
              </w:rPr>
              <w:tab/>
            </w:r>
            <w:r>
              <w:rPr>
                <w:noProof/>
                <w:webHidden/>
              </w:rPr>
              <w:fldChar w:fldCharType="begin"/>
            </w:r>
            <w:r>
              <w:rPr>
                <w:noProof/>
                <w:webHidden/>
              </w:rPr>
              <w:instrText xml:space="preserve"> PAGEREF _Toc224807785 \h </w:instrText>
            </w:r>
            <w:r>
              <w:rPr>
                <w:noProof/>
                <w:webHidden/>
              </w:rPr>
            </w:r>
            <w:r>
              <w:rPr>
                <w:noProof/>
                <w:webHidden/>
              </w:rPr>
              <w:fldChar w:fldCharType="separate"/>
            </w:r>
            <w:r>
              <w:rPr>
                <w:noProof/>
                <w:webHidden/>
              </w:rPr>
              <w:t>21</w:t>
            </w:r>
            <w:r>
              <w:rPr>
                <w:noProof/>
                <w:webHidden/>
              </w:rPr>
              <w:fldChar w:fldCharType="end"/>
            </w:r>
          </w:hyperlink>
        </w:p>
        <w:p w14:paraId="4999C28F" w14:textId="185621AF"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86" w:history="1">
            <w:r w:rsidRPr="00656F7E">
              <w:rPr>
                <w:rStyle w:val="Hyperlink"/>
                <w:rFonts w:cs="Arial"/>
                <w:noProof/>
                <w:lang w:val="en-GB"/>
              </w:rPr>
              <w:t>2.5 Conclusion</w:t>
            </w:r>
            <w:r>
              <w:rPr>
                <w:noProof/>
                <w:webHidden/>
              </w:rPr>
              <w:tab/>
            </w:r>
            <w:r>
              <w:rPr>
                <w:noProof/>
                <w:webHidden/>
              </w:rPr>
              <w:fldChar w:fldCharType="begin"/>
            </w:r>
            <w:r>
              <w:rPr>
                <w:noProof/>
                <w:webHidden/>
              </w:rPr>
              <w:instrText xml:space="preserve"> PAGEREF _Toc224807786 \h </w:instrText>
            </w:r>
            <w:r>
              <w:rPr>
                <w:noProof/>
                <w:webHidden/>
              </w:rPr>
            </w:r>
            <w:r>
              <w:rPr>
                <w:noProof/>
                <w:webHidden/>
              </w:rPr>
              <w:fldChar w:fldCharType="separate"/>
            </w:r>
            <w:r>
              <w:rPr>
                <w:noProof/>
                <w:webHidden/>
              </w:rPr>
              <w:t>22</w:t>
            </w:r>
            <w:r>
              <w:rPr>
                <w:noProof/>
                <w:webHidden/>
              </w:rPr>
              <w:fldChar w:fldCharType="end"/>
            </w:r>
          </w:hyperlink>
        </w:p>
        <w:p w14:paraId="2AC9D62C" w14:textId="176581A6" w:rsidR="00F54B27" w:rsidRDefault="00F54B27">
          <w:pPr>
            <w:pStyle w:val="TOC2"/>
            <w:tabs>
              <w:tab w:val="right" w:leader="dot" w:pos="9350"/>
            </w:tabs>
            <w:rPr>
              <w:rFonts w:asciiTheme="minorHAnsi" w:eastAsiaTheme="minorEastAsia" w:hAnsiTheme="minorHAnsi" w:cstheme="minorBidi"/>
              <w:noProof/>
              <w:sz w:val="22"/>
              <w:szCs w:val="22"/>
              <w:lang w:val="en-IN"/>
            </w:rPr>
          </w:pPr>
          <w:hyperlink w:anchor="_Toc224807787" w:history="1">
            <w:r w:rsidRPr="00656F7E">
              <w:rPr>
                <w:rStyle w:val="Hyperlink"/>
                <w:rFonts w:cs="Arial"/>
                <w:noProof/>
                <w:lang w:val="en-GB"/>
              </w:rPr>
              <w:t>2.6 Action Plan</w:t>
            </w:r>
            <w:r>
              <w:rPr>
                <w:noProof/>
                <w:webHidden/>
              </w:rPr>
              <w:tab/>
            </w:r>
            <w:r>
              <w:rPr>
                <w:noProof/>
                <w:webHidden/>
              </w:rPr>
              <w:fldChar w:fldCharType="begin"/>
            </w:r>
            <w:r>
              <w:rPr>
                <w:noProof/>
                <w:webHidden/>
              </w:rPr>
              <w:instrText xml:space="preserve"> PAGEREF _Toc224807787 \h </w:instrText>
            </w:r>
            <w:r>
              <w:rPr>
                <w:noProof/>
                <w:webHidden/>
              </w:rPr>
            </w:r>
            <w:r>
              <w:rPr>
                <w:noProof/>
                <w:webHidden/>
              </w:rPr>
              <w:fldChar w:fldCharType="separate"/>
            </w:r>
            <w:r>
              <w:rPr>
                <w:noProof/>
                <w:webHidden/>
              </w:rPr>
              <w:t>22</w:t>
            </w:r>
            <w:r>
              <w:rPr>
                <w:noProof/>
                <w:webHidden/>
              </w:rPr>
              <w:fldChar w:fldCharType="end"/>
            </w:r>
          </w:hyperlink>
        </w:p>
        <w:p w14:paraId="1C2A10E1" w14:textId="67C09A66" w:rsidR="00F54B27" w:rsidRDefault="00F54B27">
          <w:pPr>
            <w:pStyle w:val="TOC1"/>
            <w:tabs>
              <w:tab w:val="right" w:leader="dot" w:pos="9350"/>
            </w:tabs>
            <w:rPr>
              <w:rFonts w:asciiTheme="minorHAnsi" w:eastAsiaTheme="minorEastAsia" w:hAnsiTheme="minorHAnsi" w:cstheme="minorBidi"/>
              <w:noProof/>
              <w:sz w:val="22"/>
              <w:szCs w:val="22"/>
              <w:lang w:val="en-IN"/>
            </w:rPr>
          </w:pPr>
          <w:hyperlink w:anchor="_Toc224807788" w:history="1">
            <w:r w:rsidRPr="00656F7E">
              <w:rPr>
                <w:rStyle w:val="Hyperlink"/>
                <w:rFonts w:cs="Arial"/>
                <w:noProof/>
                <w:lang w:val="en-GB"/>
              </w:rPr>
              <w:t>References</w:t>
            </w:r>
            <w:r>
              <w:rPr>
                <w:noProof/>
                <w:webHidden/>
              </w:rPr>
              <w:tab/>
            </w:r>
            <w:r>
              <w:rPr>
                <w:noProof/>
                <w:webHidden/>
              </w:rPr>
              <w:fldChar w:fldCharType="begin"/>
            </w:r>
            <w:r>
              <w:rPr>
                <w:noProof/>
                <w:webHidden/>
              </w:rPr>
              <w:instrText xml:space="preserve"> PAGEREF _Toc224807788 \h </w:instrText>
            </w:r>
            <w:r>
              <w:rPr>
                <w:noProof/>
                <w:webHidden/>
              </w:rPr>
            </w:r>
            <w:r>
              <w:rPr>
                <w:noProof/>
                <w:webHidden/>
              </w:rPr>
              <w:fldChar w:fldCharType="separate"/>
            </w:r>
            <w:r>
              <w:rPr>
                <w:noProof/>
                <w:webHidden/>
              </w:rPr>
              <w:t>23</w:t>
            </w:r>
            <w:r>
              <w:rPr>
                <w:noProof/>
                <w:webHidden/>
              </w:rPr>
              <w:fldChar w:fldCharType="end"/>
            </w:r>
          </w:hyperlink>
        </w:p>
        <w:p w14:paraId="33157B07" w14:textId="14D658BD" w:rsidR="00EF2136" w:rsidRPr="00A03F2A" w:rsidRDefault="00EF2136" w:rsidP="00A03F2A">
          <w:pPr>
            <w:rPr>
              <w:rFonts w:cs="Arial"/>
            </w:rPr>
          </w:pPr>
          <w:r w:rsidRPr="00A03F2A">
            <w:rPr>
              <w:rFonts w:cs="Arial"/>
              <w:b/>
              <w:bCs/>
              <w:noProof/>
            </w:rPr>
            <w:fldChar w:fldCharType="end"/>
          </w:r>
        </w:p>
      </w:sdtContent>
    </w:sdt>
    <w:p w14:paraId="74AF7F39" w14:textId="5192C2D0" w:rsidR="006E75F0" w:rsidRPr="00A03F2A" w:rsidRDefault="00E66B2E" w:rsidP="00A03F2A">
      <w:pPr>
        <w:rPr>
          <w:rFonts w:cs="Arial"/>
          <w:lang w:val="en-GB"/>
        </w:rPr>
      </w:pPr>
      <w:r w:rsidRPr="00A03F2A">
        <w:rPr>
          <w:rFonts w:cs="Arial"/>
          <w:lang w:val="en-GB"/>
        </w:rPr>
        <w:br w:type="page"/>
      </w:r>
    </w:p>
    <w:p w14:paraId="0BB0AC44" w14:textId="77777777" w:rsidR="006E75F0" w:rsidRPr="00A03F2A" w:rsidRDefault="00E66B2E" w:rsidP="00A03F2A">
      <w:pPr>
        <w:pStyle w:val="Heading1"/>
        <w:rPr>
          <w:rFonts w:cs="Arial"/>
          <w:lang w:val="en-GB"/>
        </w:rPr>
      </w:pPr>
      <w:bookmarkStart w:id="1" w:name="_n9vrzjkji9hq" w:colFirst="0" w:colLast="0"/>
      <w:bookmarkStart w:id="2" w:name="_Toc224807761"/>
      <w:bookmarkEnd w:id="1"/>
      <w:r w:rsidRPr="00A03F2A">
        <w:rPr>
          <w:rFonts w:cs="Arial"/>
          <w:lang w:val="en-GB"/>
        </w:rPr>
        <w:lastRenderedPageBreak/>
        <w:t>Section 1: Report</w:t>
      </w:r>
      <w:bookmarkEnd w:id="2"/>
    </w:p>
    <w:p w14:paraId="13CD583D" w14:textId="77777777" w:rsidR="006E75F0" w:rsidRPr="00A03F2A" w:rsidRDefault="00E66B2E" w:rsidP="00A03F2A">
      <w:pPr>
        <w:pStyle w:val="Heading1"/>
        <w:rPr>
          <w:rFonts w:cs="Arial"/>
          <w:lang w:val="en-GB"/>
        </w:rPr>
      </w:pPr>
      <w:bookmarkStart w:id="3" w:name="_jpdxh7e2sk00" w:colFirst="0" w:colLast="0"/>
      <w:bookmarkStart w:id="4" w:name="_Toc224807762"/>
      <w:bookmarkEnd w:id="3"/>
      <w:r w:rsidRPr="00A03F2A">
        <w:rPr>
          <w:rFonts w:cs="Arial"/>
          <w:lang w:val="en-GB"/>
        </w:rPr>
        <w:t>1. Organisational Context</w:t>
      </w:r>
      <w:bookmarkEnd w:id="4"/>
      <w:r w:rsidRPr="00A03F2A">
        <w:rPr>
          <w:rFonts w:cs="Arial"/>
          <w:lang w:val="en-GB"/>
        </w:rPr>
        <w:t xml:space="preserve"> </w:t>
      </w:r>
    </w:p>
    <w:p w14:paraId="47BEE417" w14:textId="77777777" w:rsidR="006E75F0" w:rsidRPr="00A03F2A" w:rsidRDefault="00E66B2E" w:rsidP="00A03F2A">
      <w:pPr>
        <w:pStyle w:val="Heading2"/>
        <w:rPr>
          <w:rFonts w:cs="Arial"/>
          <w:lang w:val="en-GB"/>
        </w:rPr>
      </w:pPr>
      <w:bookmarkStart w:id="5" w:name="_h5scif9no7j" w:colFirst="0" w:colLast="0"/>
      <w:bookmarkStart w:id="6" w:name="_Toc224807763"/>
      <w:bookmarkEnd w:id="5"/>
      <w:r w:rsidRPr="00A03F2A">
        <w:rPr>
          <w:rFonts w:cs="Arial"/>
          <w:lang w:val="en-GB"/>
        </w:rPr>
        <w:t>1.1 Company Overview, History, Mission &amp; Business Model</w:t>
      </w:r>
      <w:bookmarkEnd w:id="6"/>
    </w:p>
    <w:p w14:paraId="01412E96" w14:textId="3E62780F" w:rsidR="006E75F0" w:rsidRPr="00A03F2A" w:rsidRDefault="00E66B2E" w:rsidP="00A03F2A">
      <w:pPr>
        <w:rPr>
          <w:rFonts w:cs="Arial"/>
          <w:lang w:val="en-GB"/>
        </w:rPr>
      </w:pPr>
      <w:r w:rsidRPr="00A03F2A">
        <w:rPr>
          <w:rFonts w:cs="Arial"/>
          <w:lang w:val="en-GB"/>
        </w:rPr>
        <w:t>BP is a British multinational oil and gas corporation, which started as the Anglo-Persian oil company in 1909</w:t>
      </w:r>
      <w:r w:rsidR="00D95E80" w:rsidRPr="00A03F2A">
        <w:rPr>
          <w:rFonts w:cs="Arial"/>
          <w:lang w:val="en-GB"/>
        </w:rPr>
        <w:t>. I</w:t>
      </w:r>
      <w:r w:rsidRPr="00A03F2A">
        <w:rPr>
          <w:rFonts w:cs="Arial"/>
          <w:lang w:val="en-GB"/>
        </w:rPr>
        <w:t xml:space="preserve">t has grown to be one of the largest and most integrated oil and energy companies in the world, with a presence in over 61 countries (BP, 2025). However, due to its revenue of about </w:t>
      </w:r>
      <w:r w:rsidR="00D95E80" w:rsidRPr="00A03F2A">
        <w:rPr>
          <w:rFonts w:cs="Arial"/>
          <w:lang w:val="en-GB"/>
        </w:rPr>
        <w:t>$</w:t>
      </w:r>
      <w:r w:rsidRPr="00A03F2A">
        <w:rPr>
          <w:rFonts w:cs="Arial"/>
          <w:lang w:val="en-GB"/>
        </w:rPr>
        <w:t>2.3 billion in 2024, the company has firmly positioned itself among the largest global players in the energy sector in terms of scale and financial strength (Statista, 2025). This is globally present in the upstream exploration, refining, and retailing business, which was a characteristic of business oils in the past.</w:t>
      </w:r>
    </w:p>
    <w:p w14:paraId="3CA4D702" w14:textId="77777777" w:rsidR="006E75F0" w:rsidRPr="00A03F2A" w:rsidRDefault="00E66B2E" w:rsidP="00A03F2A">
      <w:pPr>
        <w:jc w:val="center"/>
        <w:rPr>
          <w:rFonts w:cs="Arial"/>
          <w:lang w:val="en-GB"/>
        </w:rPr>
      </w:pPr>
      <w:r w:rsidRPr="00A03F2A">
        <w:rPr>
          <w:rFonts w:cs="Arial"/>
          <w:noProof/>
          <w:lang w:val="en-GB"/>
        </w:rPr>
        <w:drawing>
          <wp:inline distT="114300" distB="114300" distL="114300" distR="114300" wp14:anchorId="4484961E" wp14:editId="56D31645">
            <wp:extent cx="5695950" cy="3733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696891" cy="3734417"/>
                    </a:xfrm>
                    <a:prstGeom prst="rect">
                      <a:avLst/>
                    </a:prstGeom>
                    <a:ln/>
                  </pic:spPr>
                </pic:pic>
              </a:graphicData>
            </a:graphic>
          </wp:inline>
        </w:drawing>
      </w:r>
    </w:p>
    <w:p w14:paraId="1AD92925" w14:textId="77777777" w:rsidR="006E75F0" w:rsidRPr="00A03F2A" w:rsidRDefault="00E66B2E" w:rsidP="00A03F2A">
      <w:pPr>
        <w:jc w:val="center"/>
        <w:rPr>
          <w:rFonts w:cs="Arial"/>
          <w:b/>
          <w:bCs/>
          <w:lang w:val="en-GB"/>
        </w:rPr>
      </w:pPr>
      <w:r w:rsidRPr="00A03F2A">
        <w:rPr>
          <w:rFonts w:cs="Arial"/>
          <w:b/>
          <w:bCs/>
          <w:lang w:val="en-GB"/>
        </w:rPr>
        <w:t>Figure 1: Revenue of BP</w:t>
      </w:r>
    </w:p>
    <w:p w14:paraId="180C1EFA" w14:textId="77777777" w:rsidR="006E75F0" w:rsidRPr="00A03F2A" w:rsidRDefault="00E66B2E" w:rsidP="00A03F2A">
      <w:pPr>
        <w:jc w:val="center"/>
        <w:rPr>
          <w:rFonts w:cs="Arial"/>
          <w:lang w:val="en-GB"/>
        </w:rPr>
      </w:pPr>
      <w:r w:rsidRPr="00A03F2A">
        <w:rPr>
          <w:rFonts w:cs="Arial"/>
          <w:lang w:val="en-GB"/>
        </w:rPr>
        <w:t>(Source: Statista, 2025)</w:t>
      </w:r>
    </w:p>
    <w:p w14:paraId="230EF29B" w14:textId="46793733" w:rsidR="006E75F0" w:rsidRPr="00A03F2A" w:rsidRDefault="00E66B2E" w:rsidP="00A03F2A">
      <w:pPr>
        <w:rPr>
          <w:rFonts w:cs="Arial"/>
          <w:lang w:val="en-GB"/>
        </w:rPr>
      </w:pPr>
      <w:r w:rsidRPr="00A03F2A">
        <w:rPr>
          <w:rFonts w:cs="Arial"/>
          <w:lang w:val="en-GB"/>
        </w:rPr>
        <w:t xml:space="preserve">BP has been strategically transformed into an integrated energy company rather than a traditional oil and gas company. The organisation is determined to achieve net zero emissions by 2050, as one of the biggest changes to the investments in renewable energy, including wind, solar, and hydrogen (BP, 2025a). The growing regulatory pressures, the issue of climate change and changing expectations of stakeholders </w:t>
      </w:r>
      <w:r w:rsidRPr="00A03F2A">
        <w:rPr>
          <w:rFonts w:cs="Arial"/>
          <w:lang w:val="en-GB"/>
        </w:rPr>
        <w:lastRenderedPageBreak/>
        <w:t>become the key drivers of this transition, as now, energy firms are re-assessing long-term sustainability.</w:t>
      </w:r>
      <w:r w:rsidR="006E29DD" w:rsidRPr="00A03F2A">
        <w:rPr>
          <w:rFonts w:cs="Arial"/>
          <w:lang w:val="en-GB"/>
        </w:rPr>
        <w:t xml:space="preserve"> </w:t>
      </w:r>
      <w:r w:rsidRPr="00A03F2A">
        <w:rPr>
          <w:rFonts w:cs="Arial"/>
          <w:lang w:val="en-GB"/>
        </w:rPr>
        <w:t>The business model of BP is now conducted in three major segments, namely, upstream, downstream and low-carbon energy investments. Although diversification into renewable sources increases future resilience, the usage of a hybrid business model of remaining dependent on fossil fuel revenues is rather worrisome concerning the sustainability of such a business model over the long term.</w:t>
      </w:r>
    </w:p>
    <w:p w14:paraId="0F7DD9D0" w14:textId="77777777" w:rsidR="006E75F0" w:rsidRPr="00A03F2A" w:rsidRDefault="00E66B2E" w:rsidP="00A03F2A">
      <w:pPr>
        <w:pStyle w:val="Heading2"/>
        <w:rPr>
          <w:rFonts w:cs="Arial"/>
          <w:lang w:val="en-GB"/>
        </w:rPr>
      </w:pPr>
      <w:bookmarkStart w:id="7" w:name="_msmduvyeh7a3" w:colFirst="0" w:colLast="0"/>
      <w:bookmarkStart w:id="8" w:name="_Toc224807764"/>
      <w:bookmarkEnd w:id="7"/>
      <w:r w:rsidRPr="00A03F2A">
        <w:rPr>
          <w:rFonts w:cs="Arial"/>
          <w:lang w:val="en-GB"/>
        </w:rPr>
        <w:t>1.2 Industry Context, Competitors &amp; Market Position</w:t>
      </w:r>
      <w:bookmarkEnd w:id="8"/>
    </w:p>
    <w:p w14:paraId="6A19A833" w14:textId="77777777" w:rsidR="006E75F0" w:rsidRPr="00A03F2A" w:rsidRDefault="00E66B2E" w:rsidP="00A03F2A">
      <w:pPr>
        <w:jc w:val="center"/>
        <w:rPr>
          <w:rFonts w:cs="Arial"/>
          <w:lang w:val="en-GB"/>
        </w:rPr>
      </w:pPr>
      <w:r w:rsidRPr="00A03F2A">
        <w:rPr>
          <w:rFonts w:cs="Arial"/>
          <w:noProof/>
          <w:lang w:val="en-GB"/>
        </w:rPr>
        <w:drawing>
          <wp:inline distT="114300" distB="114300" distL="114300" distR="114300" wp14:anchorId="1C8340A7" wp14:editId="4FE3B2BD">
            <wp:extent cx="6257925" cy="3381375"/>
            <wp:effectExtent l="0" t="0" r="9525" b="952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10"/>
                    <a:srcRect r="3653" b="3611"/>
                    <a:stretch/>
                  </pic:blipFill>
                  <pic:spPr bwMode="auto">
                    <a:xfrm>
                      <a:off x="0" y="0"/>
                      <a:ext cx="6258443" cy="3381655"/>
                    </a:xfrm>
                    <a:prstGeom prst="rect">
                      <a:avLst/>
                    </a:prstGeom>
                    <a:ln>
                      <a:noFill/>
                    </a:ln>
                    <a:extLst>
                      <a:ext uri="{53640926-AAD7-44D8-BBD7-CCE9431645EC}">
                        <a14:shadowObscured xmlns:a14="http://schemas.microsoft.com/office/drawing/2010/main"/>
                      </a:ext>
                    </a:extLst>
                  </pic:spPr>
                </pic:pic>
              </a:graphicData>
            </a:graphic>
          </wp:inline>
        </w:drawing>
      </w:r>
    </w:p>
    <w:p w14:paraId="755689BC" w14:textId="77777777" w:rsidR="006E75F0" w:rsidRPr="00A03F2A" w:rsidRDefault="00E66B2E" w:rsidP="00A03F2A">
      <w:pPr>
        <w:jc w:val="center"/>
        <w:rPr>
          <w:rFonts w:cs="Arial"/>
          <w:b/>
          <w:bCs/>
          <w:lang w:val="en-GB"/>
        </w:rPr>
      </w:pPr>
      <w:r w:rsidRPr="00A03F2A">
        <w:rPr>
          <w:rFonts w:cs="Arial"/>
          <w:b/>
          <w:bCs/>
          <w:lang w:val="en-GB"/>
        </w:rPr>
        <w:t>Figure 2: Global energy investment in clean energy</w:t>
      </w:r>
    </w:p>
    <w:p w14:paraId="13EEF001" w14:textId="77777777" w:rsidR="006E75F0" w:rsidRPr="00A03F2A" w:rsidRDefault="00E66B2E" w:rsidP="00A03F2A">
      <w:pPr>
        <w:jc w:val="center"/>
        <w:rPr>
          <w:rFonts w:cs="Arial"/>
          <w:lang w:val="en-GB"/>
        </w:rPr>
      </w:pPr>
      <w:r w:rsidRPr="00A03F2A">
        <w:rPr>
          <w:rFonts w:cs="Arial"/>
          <w:lang w:val="en-GB"/>
        </w:rPr>
        <w:t>(Source: International Energy Agency, 2023)</w:t>
      </w:r>
    </w:p>
    <w:p w14:paraId="75BE446E" w14:textId="3A6E5FE9" w:rsidR="006E75F0" w:rsidRPr="00A03F2A" w:rsidRDefault="00E66B2E" w:rsidP="00A03F2A">
      <w:pPr>
        <w:rPr>
          <w:rFonts w:cs="Arial"/>
          <w:lang w:val="en-GB"/>
        </w:rPr>
      </w:pPr>
      <w:r w:rsidRPr="00A03F2A">
        <w:rPr>
          <w:rFonts w:cs="Arial"/>
          <w:lang w:val="en-GB"/>
        </w:rPr>
        <w:t>The decarbonisation policies, technology and shifting consumer demand are causing the structural transition in the global energy industry. As of the year 2023, clean energy investment globally was more than 1.7 trillion, which is representative of a fast-paced transition out of more traditional fossil-based energy sources (International Energy Agency, 2023). In this environment, BP is in competition with giants like Shell and ExxonMobil that also invest in the energy transition strategy (Forbes, 2024).</w:t>
      </w:r>
      <w:r w:rsidR="000B5A0F" w:rsidRPr="00A03F2A">
        <w:rPr>
          <w:rFonts w:cs="Arial"/>
          <w:lang w:val="en-GB"/>
        </w:rPr>
        <w:t xml:space="preserve"> </w:t>
      </w:r>
      <w:r w:rsidRPr="00A03F2A">
        <w:rPr>
          <w:rFonts w:cs="Arial"/>
          <w:lang w:val="en-GB"/>
        </w:rPr>
        <w:t xml:space="preserve">Nevertheless, the positioning of BP is not simple. Though it has been comparatively stronger in making commitments to renewable energy than ExxonMobil, it is at a disadvantage to other competitors like Shell in its renewable capacity and profitability </w:t>
      </w:r>
      <w:r w:rsidRPr="00A03F2A">
        <w:rPr>
          <w:rFonts w:cs="Arial"/>
          <w:lang w:val="en-GB"/>
        </w:rPr>
        <w:lastRenderedPageBreak/>
        <w:t>diversification. According to Statista (2024), the production of renewable energy is still a smaller part of the entire portfolio of BP in comparison with more common oil and gas.</w:t>
      </w:r>
    </w:p>
    <w:p w14:paraId="1F5418F0" w14:textId="376241CA" w:rsidR="006E75F0" w:rsidRPr="00A03F2A" w:rsidRDefault="00E66B2E" w:rsidP="00A03F2A">
      <w:pPr>
        <w:rPr>
          <w:rFonts w:cs="Arial"/>
          <w:lang w:val="en-GB"/>
        </w:rPr>
      </w:pPr>
      <w:r w:rsidRPr="00A03F2A">
        <w:rPr>
          <w:rFonts w:cs="Arial"/>
          <w:lang w:val="en-GB"/>
        </w:rPr>
        <w:t>Most importantly, this positions BP in an intermediate strategic location in the sense that it is not a full-fledged oil major and it is not a full-scale renewable leader. As a result, the risk to its competitive advantage is present, since it has to keep up the short-term profitability of fossil fuels and the long-term sustainability in an increasingly competitive and regulated energy market worldwide (International Energy Agency, 2023).</w:t>
      </w:r>
    </w:p>
    <w:p w14:paraId="4F82BB8C" w14:textId="77777777" w:rsidR="000B5A0F" w:rsidRPr="00A03F2A" w:rsidRDefault="000B5A0F" w:rsidP="00A03F2A">
      <w:pPr>
        <w:rPr>
          <w:rFonts w:cs="Arial"/>
          <w:lang w:val="en-GB"/>
        </w:rPr>
      </w:pPr>
    </w:p>
    <w:p w14:paraId="784D7518" w14:textId="77777777" w:rsidR="006E75F0" w:rsidRPr="00A03F2A" w:rsidRDefault="00E66B2E" w:rsidP="00A03F2A">
      <w:pPr>
        <w:pStyle w:val="Heading1"/>
        <w:rPr>
          <w:rFonts w:cs="Arial"/>
          <w:lang w:val="en-GB"/>
        </w:rPr>
      </w:pPr>
      <w:bookmarkStart w:id="9" w:name="_jlt4s0km17pt" w:colFirst="0" w:colLast="0"/>
      <w:bookmarkStart w:id="10" w:name="_Toc224807765"/>
      <w:bookmarkEnd w:id="9"/>
      <w:r w:rsidRPr="00A03F2A">
        <w:rPr>
          <w:rFonts w:cs="Arial"/>
          <w:lang w:val="en-GB"/>
        </w:rPr>
        <w:t>2. External &amp; Internal Analysis</w:t>
      </w:r>
      <w:bookmarkEnd w:id="10"/>
    </w:p>
    <w:p w14:paraId="4E92059D" w14:textId="77777777" w:rsidR="006E75F0" w:rsidRPr="00A03F2A" w:rsidRDefault="00E66B2E" w:rsidP="00A03F2A">
      <w:pPr>
        <w:pStyle w:val="Heading2"/>
        <w:rPr>
          <w:rFonts w:cs="Arial"/>
          <w:lang w:val="en-GB"/>
        </w:rPr>
      </w:pPr>
      <w:bookmarkStart w:id="11" w:name="_59upz7gniu8d" w:colFirst="0" w:colLast="0"/>
      <w:bookmarkStart w:id="12" w:name="_Toc224807766"/>
      <w:bookmarkEnd w:id="11"/>
      <w:r w:rsidRPr="00A03F2A">
        <w:rPr>
          <w:rFonts w:cs="Arial"/>
          <w:lang w:val="en-GB"/>
        </w:rPr>
        <w:t>2.1 PESTEL Analysis</w:t>
      </w:r>
      <w:bookmarkEnd w:id="12"/>
    </w:p>
    <w:tbl>
      <w:tblPr>
        <w:tblStyle w:val="TableGrid"/>
        <w:tblW w:w="10491" w:type="dxa"/>
        <w:tblInd w:w="-431" w:type="dxa"/>
        <w:tblLook w:val="04A0" w:firstRow="1" w:lastRow="0" w:firstColumn="1" w:lastColumn="0" w:noHBand="0" w:noVBand="1"/>
      </w:tblPr>
      <w:tblGrid>
        <w:gridCol w:w="2127"/>
        <w:gridCol w:w="8364"/>
      </w:tblGrid>
      <w:tr w:rsidR="00A504BA" w:rsidRPr="00A03F2A" w14:paraId="1E322EB0" w14:textId="77777777" w:rsidTr="000B5A0F">
        <w:tc>
          <w:tcPr>
            <w:tcW w:w="2127" w:type="dxa"/>
            <w:hideMark/>
          </w:tcPr>
          <w:p w14:paraId="40D52A60" w14:textId="77777777" w:rsidR="00A504BA" w:rsidRPr="00A03F2A" w:rsidRDefault="00A504BA" w:rsidP="00A03F2A">
            <w:pPr>
              <w:spacing w:after="160" w:line="360" w:lineRule="auto"/>
              <w:rPr>
                <w:rFonts w:cs="Arial"/>
                <w:b/>
                <w:bCs/>
              </w:rPr>
            </w:pPr>
            <w:r w:rsidRPr="00A03F2A">
              <w:rPr>
                <w:rFonts w:cs="Arial"/>
                <w:b/>
                <w:bCs/>
              </w:rPr>
              <w:t>Factor</w:t>
            </w:r>
          </w:p>
        </w:tc>
        <w:tc>
          <w:tcPr>
            <w:tcW w:w="8364" w:type="dxa"/>
            <w:hideMark/>
          </w:tcPr>
          <w:p w14:paraId="4CC78B27" w14:textId="77777777" w:rsidR="00A504BA" w:rsidRPr="00A03F2A" w:rsidRDefault="00A504BA" w:rsidP="00A03F2A">
            <w:pPr>
              <w:spacing w:after="160" w:line="360" w:lineRule="auto"/>
              <w:rPr>
                <w:rFonts w:cs="Arial"/>
                <w:b/>
                <w:bCs/>
              </w:rPr>
            </w:pPr>
            <w:r w:rsidRPr="00A03F2A">
              <w:rPr>
                <w:rFonts w:cs="Arial"/>
                <w:b/>
                <w:bCs/>
              </w:rPr>
              <w:t>Key Issues &amp; Evidence</w:t>
            </w:r>
          </w:p>
        </w:tc>
      </w:tr>
      <w:tr w:rsidR="00A504BA" w:rsidRPr="00A03F2A" w14:paraId="33FE001E" w14:textId="77777777" w:rsidTr="000B5A0F">
        <w:tc>
          <w:tcPr>
            <w:tcW w:w="2127" w:type="dxa"/>
            <w:hideMark/>
          </w:tcPr>
          <w:p w14:paraId="0635CF69" w14:textId="77777777" w:rsidR="00A504BA" w:rsidRPr="00A03F2A" w:rsidRDefault="00A504BA" w:rsidP="00A03F2A">
            <w:pPr>
              <w:spacing w:after="160" w:line="360" w:lineRule="auto"/>
              <w:rPr>
                <w:rFonts w:cs="Arial"/>
              </w:rPr>
            </w:pPr>
            <w:r w:rsidRPr="00A03F2A">
              <w:rPr>
                <w:rFonts w:cs="Arial"/>
                <w:b/>
                <w:bCs/>
              </w:rPr>
              <w:t>Political</w:t>
            </w:r>
          </w:p>
        </w:tc>
        <w:tc>
          <w:tcPr>
            <w:tcW w:w="8364" w:type="dxa"/>
            <w:hideMark/>
          </w:tcPr>
          <w:p w14:paraId="5962AED5" w14:textId="6C983EF3" w:rsidR="00A504BA" w:rsidRPr="00A03F2A" w:rsidRDefault="00A504BA" w:rsidP="00A03F2A">
            <w:pPr>
              <w:pStyle w:val="ListParagraph"/>
              <w:numPr>
                <w:ilvl w:val="0"/>
                <w:numId w:val="1"/>
              </w:numPr>
              <w:spacing w:after="0" w:line="360" w:lineRule="auto"/>
              <w:jc w:val="both"/>
              <w:rPr>
                <w:rFonts w:ascii="Arial" w:hAnsi="Arial" w:cs="Arial"/>
              </w:rPr>
            </w:pPr>
            <w:r w:rsidRPr="00A03F2A">
              <w:rPr>
                <w:rFonts w:ascii="Arial" w:hAnsi="Arial" w:cs="Arial"/>
              </w:rPr>
              <w:t>The rise of government control on fossil fuels in the world</w:t>
            </w:r>
          </w:p>
          <w:p w14:paraId="39DA0A5B" w14:textId="27B3DC2D" w:rsidR="00A504BA" w:rsidRPr="00A03F2A" w:rsidRDefault="00A504BA" w:rsidP="00A03F2A">
            <w:pPr>
              <w:pStyle w:val="ListParagraph"/>
              <w:numPr>
                <w:ilvl w:val="0"/>
                <w:numId w:val="1"/>
              </w:numPr>
              <w:spacing w:after="0" w:line="360" w:lineRule="auto"/>
              <w:jc w:val="both"/>
              <w:rPr>
                <w:rFonts w:ascii="Arial" w:hAnsi="Arial" w:cs="Arial"/>
              </w:rPr>
            </w:pPr>
            <w:r w:rsidRPr="00A03F2A">
              <w:rPr>
                <w:rFonts w:ascii="Arial" w:hAnsi="Arial" w:cs="Arial"/>
              </w:rPr>
              <w:t>The EU and the UK are increasing the carbon pricing policies</w:t>
            </w:r>
          </w:p>
          <w:p w14:paraId="7CCC0AE3" w14:textId="3A127367" w:rsidR="00A504BA" w:rsidRPr="00A03F2A" w:rsidRDefault="00A504BA" w:rsidP="00A03F2A">
            <w:pPr>
              <w:pStyle w:val="ListParagraph"/>
              <w:numPr>
                <w:ilvl w:val="0"/>
                <w:numId w:val="1"/>
              </w:numPr>
              <w:spacing w:after="0" w:line="360" w:lineRule="auto"/>
              <w:jc w:val="both"/>
              <w:rPr>
                <w:rFonts w:ascii="Arial" w:hAnsi="Arial" w:cs="Arial"/>
              </w:rPr>
            </w:pPr>
            <w:r w:rsidRPr="00A03F2A">
              <w:rPr>
                <w:rFonts w:ascii="Arial" w:hAnsi="Arial" w:cs="Arial"/>
              </w:rPr>
              <w:t>Energy security issues which have helped in pricing decisions on oil production</w:t>
            </w:r>
          </w:p>
          <w:p w14:paraId="3ACAB1C2" w14:textId="40992331" w:rsidR="00A504BA" w:rsidRPr="00A03F2A" w:rsidRDefault="00A504BA" w:rsidP="00A03F2A">
            <w:pPr>
              <w:pStyle w:val="ListParagraph"/>
              <w:numPr>
                <w:ilvl w:val="0"/>
                <w:numId w:val="1"/>
              </w:numPr>
              <w:spacing w:after="0" w:line="360" w:lineRule="auto"/>
              <w:jc w:val="both"/>
              <w:rPr>
                <w:rFonts w:ascii="Arial" w:hAnsi="Arial" w:cs="Arial"/>
              </w:rPr>
            </w:pPr>
            <w:r w:rsidRPr="00A03F2A">
              <w:rPr>
                <w:rFonts w:ascii="Arial" w:hAnsi="Arial" w:cs="Arial"/>
              </w:rPr>
              <w:t>Supply chains are being affected by geopolitical tensions</w:t>
            </w:r>
            <w:r w:rsidR="000B5A0F" w:rsidRPr="00A03F2A">
              <w:rPr>
                <w:rFonts w:ascii="Arial" w:hAnsi="Arial" w:cs="Arial"/>
              </w:rPr>
              <w:t>,</w:t>
            </w:r>
            <w:r w:rsidRPr="00A03F2A">
              <w:rPr>
                <w:rFonts w:ascii="Arial" w:hAnsi="Arial" w:cs="Arial"/>
              </w:rPr>
              <w:t xml:space="preserve"> </w:t>
            </w:r>
            <w:r w:rsidR="00883D8F" w:rsidRPr="00A03F2A">
              <w:rPr>
                <w:rFonts w:ascii="Arial" w:hAnsi="Arial" w:cs="Arial"/>
              </w:rPr>
              <w:t>such as</w:t>
            </w:r>
            <w:r w:rsidRPr="00A03F2A">
              <w:rPr>
                <w:rFonts w:ascii="Arial" w:hAnsi="Arial" w:cs="Arial"/>
              </w:rPr>
              <w:t xml:space="preserve"> Russia and Ukraine war.</w:t>
            </w:r>
          </w:p>
          <w:p w14:paraId="0D122CBB" w14:textId="70E21413" w:rsidR="00A504BA" w:rsidRPr="00A03F2A" w:rsidRDefault="00A504BA" w:rsidP="00A03F2A">
            <w:pPr>
              <w:pStyle w:val="ListParagraph"/>
              <w:numPr>
                <w:ilvl w:val="0"/>
                <w:numId w:val="1"/>
              </w:numPr>
              <w:spacing w:after="0" w:line="360" w:lineRule="auto"/>
              <w:jc w:val="both"/>
              <w:rPr>
                <w:rFonts w:ascii="Arial" w:hAnsi="Arial" w:cs="Arial"/>
              </w:rPr>
            </w:pPr>
            <w:r w:rsidRPr="00A03F2A">
              <w:rPr>
                <w:rFonts w:ascii="Arial" w:hAnsi="Arial" w:cs="Arial"/>
              </w:rPr>
              <w:t>In 2022, fossil fuel subsidies around the world total more than 7 trillion (Reuters, 2022)</w:t>
            </w:r>
          </w:p>
          <w:p w14:paraId="0D4ABFD4" w14:textId="4DE7F71A" w:rsidR="00A504BA" w:rsidRPr="00A03F2A" w:rsidRDefault="00A504BA" w:rsidP="00A03F2A">
            <w:pPr>
              <w:pStyle w:val="ListParagraph"/>
              <w:numPr>
                <w:ilvl w:val="0"/>
                <w:numId w:val="1"/>
              </w:numPr>
              <w:spacing w:after="0" w:line="360" w:lineRule="auto"/>
              <w:jc w:val="both"/>
              <w:rPr>
                <w:rFonts w:ascii="Arial" w:hAnsi="Arial" w:cs="Arial"/>
              </w:rPr>
            </w:pPr>
            <w:r w:rsidRPr="00A03F2A">
              <w:rPr>
                <w:rFonts w:ascii="Arial" w:hAnsi="Arial" w:cs="Arial"/>
              </w:rPr>
              <w:t>The net-zero targets are seen in more than 70 countries (Worldgbc, 2025)</w:t>
            </w:r>
          </w:p>
          <w:p w14:paraId="07ADDCD8" w14:textId="77777777" w:rsidR="00A504BA" w:rsidRPr="00A03F2A" w:rsidRDefault="00A504BA" w:rsidP="00A03F2A">
            <w:pPr>
              <w:spacing w:after="160" w:line="360" w:lineRule="auto"/>
              <w:jc w:val="both"/>
              <w:rPr>
                <w:rFonts w:cs="Arial"/>
              </w:rPr>
            </w:pPr>
          </w:p>
        </w:tc>
      </w:tr>
      <w:tr w:rsidR="00A504BA" w:rsidRPr="00A03F2A" w14:paraId="3AED26E6" w14:textId="77777777" w:rsidTr="000B5A0F">
        <w:tc>
          <w:tcPr>
            <w:tcW w:w="2127" w:type="dxa"/>
            <w:hideMark/>
          </w:tcPr>
          <w:p w14:paraId="32575AD6" w14:textId="77777777" w:rsidR="00A504BA" w:rsidRPr="00A03F2A" w:rsidRDefault="00A504BA" w:rsidP="00A03F2A">
            <w:pPr>
              <w:spacing w:after="160" w:line="360" w:lineRule="auto"/>
              <w:rPr>
                <w:rFonts w:cs="Arial"/>
              </w:rPr>
            </w:pPr>
            <w:r w:rsidRPr="00A03F2A">
              <w:rPr>
                <w:rFonts w:cs="Arial"/>
                <w:b/>
                <w:bCs/>
              </w:rPr>
              <w:t>Economic</w:t>
            </w:r>
          </w:p>
        </w:tc>
        <w:tc>
          <w:tcPr>
            <w:tcW w:w="8364" w:type="dxa"/>
            <w:hideMark/>
          </w:tcPr>
          <w:p w14:paraId="5C4498B6" w14:textId="247735C7" w:rsidR="00A504BA" w:rsidRPr="00A03F2A" w:rsidRDefault="00A504BA" w:rsidP="00A03F2A">
            <w:pPr>
              <w:pStyle w:val="ListParagraph"/>
              <w:numPr>
                <w:ilvl w:val="0"/>
                <w:numId w:val="2"/>
              </w:numPr>
              <w:spacing w:after="0" w:line="360" w:lineRule="auto"/>
              <w:jc w:val="both"/>
              <w:rPr>
                <w:rFonts w:ascii="Arial" w:hAnsi="Arial" w:cs="Arial"/>
              </w:rPr>
            </w:pPr>
            <w:r w:rsidRPr="00A03F2A">
              <w:rPr>
                <w:rFonts w:ascii="Arial" w:hAnsi="Arial" w:cs="Arial"/>
              </w:rPr>
              <w:t>The revenues of BP are directly affected by the instability of oil prices</w:t>
            </w:r>
          </w:p>
          <w:p w14:paraId="4EA35735" w14:textId="56FF744A" w:rsidR="00A504BA" w:rsidRPr="00A03F2A" w:rsidRDefault="00A504BA" w:rsidP="00A03F2A">
            <w:pPr>
              <w:pStyle w:val="ListParagraph"/>
              <w:numPr>
                <w:ilvl w:val="0"/>
                <w:numId w:val="2"/>
              </w:numPr>
              <w:spacing w:after="0" w:line="360" w:lineRule="auto"/>
              <w:jc w:val="both"/>
              <w:rPr>
                <w:rFonts w:ascii="Arial" w:hAnsi="Arial" w:cs="Arial"/>
              </w:rPr>
            </w:pPr>
            <w:r w:rsidRPr="00A03F2A">
              <w:rPr>
                <w:rFonts w:ascii="Arial" w:hAnsi="Arial" w:cs="Arial"/>
              </w:rPr>
              <w:t>Energy demand is subject to inflationary risks and recession risks in the world</w:t>
            </w:r>
          </w:p>
          <w:p w14:paraId="6B5564F7" w14:textId="211D1E8A" w:rsidR="00A504BA" w:rsidRPr="00A03F2A" w:rsidRDefault="00A504BA" w:rsidP="00A03F2A">
            <w:pPr>
              <w:pStyle w:val="ListParagraph"/>
              <w:numPr>
                <w:ilvl w:val="0"/>
                <w:numId w:val="2"/>
              </w:numPr>
              <w:spacing w:after="0" w:line="360" w:lineRule="auto"/>
              <w:jc w:val="both"/>
              <w:rPr>
                <w:rFonts w:ascii="Arial" w:hAnsi="Arial" w:cs="Arial"/>
              </w:rPr>
            </w:pPr>
            <w:r w:rsidRPr="00A03F2A">
              <w:rPr>
                <w:rFonts w:ascii="Arial" w:hAnsi="Arial" w:cs="Arial"/>
              </w:rPr>
              <w:t>The renewable transition needs to be high capital investment</w:t>
            </w:r>
          </w:p>
          <w:p w14:paraId="460F5A55" w14:textId="75295DEF" w:rsidR="00A504BA" w:rsidRPr="00A03F2A" w:rsidRDefault="00A504BA" w:rsidP="00A03F2A">
            <w:pPr>
              <w:pStyle w:val="ListParagraph"/>
              <w:numPr>
                <w:ilvl w:val="0"/>
                <w:numId w:val="2"/>
              </w:numPr>
              <w:spacing w:after="0" w:line="360" w:lineRule="auto"/>
              <w:jc w:val="both"/>
              <w:rPr>
                <w:rFonts w:ascii="Arial" w:hAnsi="Arial" w:cs="Arial"/>
              </w:rPr>
            </w:pPr>
            <w:r w:rsidRPr="00A03F2A">
              <w:rPr>
                <w:rFonts w:ascii="Arial" w:hAnsi="Arial" w:cs="Arial"/>
              </w:rPr>
              <w:t>Fluctuations of exchange rates impact the operations of the world</w:t>
            </w:r>
          </w:p>
          <w:p w14:paraId="5609396E" w14:textId="4F0596CE" w:rsidR="00A504BA" w:rsidRPr="00A03F2A" w:rsidRDefault="00A504BA" w:rsidP="00A03F2A">
            <w:pPr>
              <w:pStyle w:val="ListParagraph"/>
              <w:numPr>
                <w:ilvl w:val="0"/>
                <w:numId w:val="2"/>
              </w:numPr>
              <w:spacing w:after="0" w:line="360" w:lineRule="auto"/>
              <w:jc w:val="both"/>
              <w:rPr>
                <w:rFonts w:ascii="Arial" w:hAnsi="Arial" w:cs="Arial"/>
              </w:rPr>
            </w:pPr>
            <w:r w:rsidRPr="00A03F2A">
              <w:rPr>
                <w:rFonts w:ascii="Arial" w:hAnsi="Arial" w:cs="Arial"/>
              </w:rPr>
              <w:t xml:space="preserve">In 2023, the global oil demand was 102 million barrels/day (IEA, 2024) </w:t>
            </w:r>
          </w:p>
        </w:tc>
      </w:tr>
      <w:tr w:rsidR="00A504BA" w:rsidRPr="00A03F2A" w14:paraId="6ECDD90D" w14:textId="77777777" w:rsidTr="000B5A0F">
        <w:tc>
          <w:tcPr>
            <w:tcW w:w="2127" w:type="dxa"/>
            <w:hideMark/>
          </w:tcPr>
          <w:p w14:paraId="36FA1BA6" w14:textId="77777777" w:rsidR="00A504BA" w:rsidRPr="00A03F2A" w:rsidRDefault="00A504BA" w:rsidP="00A03F2A">
            <w:pPr>
              <w:spacing w:after="160" w:line="360" w:lineRule="auto"/>
              <w:rPr>
                <w:rFonts w:cs="Arial"/>
              </w:rPr>
            </w:pPr>
            <w:r w:rsidRPr="00A03F2A">
              <w:rPr>
                <w:rFonts w:cs="Arial"/>
                <w:b/>
                <w:bCs/>
              </w:rPr>
              <w:t>Social</w:t>
            </w:r>
          </w:p>
        </w:tc>
        <w:tc>
          <w:tcPr>
            <w:tcW w:w="8364" w:type="dxa"/>
            <w:hideMark/>
          </w:tcPr>
          <w:p w14:paraId="34037DD5" w14:textId="0C56DE13" w:rsidR="00A504BA" w:rsidRPr="00A03F2A" w:rsidRDefault="00A504BA" w:rsidP="00A03F2A">
            <w:pPr>
              <w:pStyle w:val="ListParagraph"/>
              <w:numPr>
                <w:ilvl w:val="0"/>
                <w:numId w:val="3"/>
              </w:numPr>
              <w:spacing w:after="0" w:line="360" w:lineRule="auto"/>
              <w:jc w:val="both"/>
              <w:rPr>
                <w:rFonts w:ascii="Arial" w:hAnsi="Arial" w:cs="Arial"/>
              </w:rPr>
            </w:pPr>
            <w:r w:rsidRPr="00A03F2A">
              <w:rPr>
                <w:rFonts w:ascii="Arial" w:hAnsi="Arial" w:cs="Arial"/>
              </w:rPr>
              <w:t>Increased awareness on climate change</w:t>
            </w:r>
          </w:p>
          <w:p w14:paraId="04FF15A5" w14:textId="7B923D04" w:rsidR="00A504BA" w:rsidRPr="00A03F2A" w:rsidRDefault="00A504BA" w:rsidP="00A03F2A">
            <w:pPr>
              <w:pStyle w:val="ListParagraph"/>
              <w:numPr>
                <w:ilvl w:val="0"/>
                <w:numId w:val="3"/>
              </w:numPr>
              <w:spacing w:after="0" w:line="360" w:lineRule="auto"/>
              <w:jc w:val="both"/>
              <w:rPr>
                <w:rFonts w:ascii="Arial" w:hAnsi="Arial" w:cs="Arial"/>
              </w:rPr>
            </w:pPr>
            <w:r w:rsidRPr="00A03F2A">
              <w:rPr>
                <w:rFonts w:ascii="Arial" w:hAnsi="Arial" w:cs="Arial"/>
              </w:rPr>
              <w:t>Electric vehicle and consumer shift to clean energy</w:t>
            </w:r>
          </w:p>
          <w:p w14:paraId="48EE166F" w14:textId="343BB28C" w:rsidR="00A504BA" w:rsidRPr="00A03F2A" w:rsidRDefault="00A504BA" w:rsidP="00A03F2A">
            <w:pPr>
              <w:pStyle w:val="ListParagraph"/>
              <w:numPr>
                <w:ilvl w:val="0"/>
                <w:numId w:val="3"/>
              </w:numPr>
              <w:spacing w:after="0" w:line="360" w:lineRule="auto"/>
              <w:jc w:val="both"/>
              <w:rPr>
                <w:rFonts w:ascii="Arial" w:hAnsi="Arial" w:cs="Arial"/>
              </w:rPr>
            </w:pPr>
            <w:r w:rsidRPr="00A03F2A">
              <w:rPr>
                <w:rFonts w:ascii="Arial" w:hAnsi="Arial" w:cs="Arial"/>
              </w:rPr>
              <w:t>Raising the standards of stakeholders on ESG</w:t>
            </w:r>
          </w:p>
          <w:p w14:paraId="70DF82B4" w14:textId="713D7481" w:rsidR="00A504BA" w:rsidRPr="00A03F2A" w:rsidRDefault="00A504BA" w:rsidP="00A03F2A">
            <w:pPr>
              <w:pStyle w:val="ListParagraph"/>
              <w:numPr>
                <w:ilvl w:val="0"/>
                <w:numId w:val="3"/>
              </w:numPr>
              <w:spacing w:after="0" w:line="360" w:lineRule="auto"/>
              <w:jc w:val="both"/>
              <w:rPr>
                <w:rFonts w:ascii="Arial" w:hAnsi="Arial" w:cs="Arial"/>
              </w:rPr>
            </w:pPr>
            <w:r w:rsidRPr="00A03F2A">
              <w:rPr>
                <w:rFonts w:ascii="Arial" w:hAnsi="Arial" w:cs="Arial"/>
              </w:rPr>
              <w:lastRenderedPageBreak/>
              <w:t>Environmental pressure by activists</w:t>
            </w:r>
          </w:p>
          <w:p w14:paraId="49A62030" w14:textId="5DAB7C49" w:rsidR="00A504BA" w:rsidRPr="00A03F2A" w:rsidRDefault="00A504BA" w:rsidP="00A03F2A">
            <w:pPr>
              <w:pStyle w:val="ListParagraph"/>
              <w:numPr>
                <w:ilvl w:val="0"/>
                <w:numId w:val="3"/>
              </w:numPr>
              <w:spacing w:after="0" w:line="360" w:lineRule="auto"/>
              <w:jc w:val="both"/>
              <w:rPr>
                <w:rFonts w:ascii="Arial" w:hAnsi="Arial" w:cs="Arial"/>
              </w:rPr>
            </w:pPr>
            <w:r w:rsidRPr="00A03F2A">
              <w:rPr>
                <w:rFonts w:ascii="Arial" w:hAnsi="Arial" w:cs="Arial"/>
              </w:rPr>
              <w:t>Responding to workforce expectations (sustainability focus)</w:t>
            </w:r>
          </w:p>
          <w:p w14:paraId="052DA164" w14:textId="16CBED70" w:rsidR="00A504BA" w:rsidRPr="00A03F2A" w:rsidRDefault="00A504BA" w:rsidP="00A03F2A">
            <w:pPr>
              <w:pStyle w:val="ListParagraph"/>
              <w:numPr>
                <w:ilvl w:val="0"/>
                <w:numId w:val="3"/>
              </w:numPr>
              <w:spacing w:after="0" w:line="360" w:lineRule="auto"/>
              <w:jc w:val="both"/>
              <w:rPr>
                <w:rFonts w:ascii="Arial" w:hAnsi="Arial" w:cs="Arial"/>
              </w:rPr>
            </w:pPr>
            <w:r w:rsidRPr="00A03F2A">
              <w:rPr>
                <w:rFonts w:ascii="Arial" w:hAnsi="Arial" w:cs="Arial"/>
              </w:rPr>
              <w:t>In 2023, the sales of EVs all around the world reached more than 14 million units (IEA, 2024a)</w:t>
            </w:r>
          </w:p>
          <w:p w14:paraId="42952589" w14:textId="77777777" w:rsidR="00A504BA" w:rsidRPr="00A03F2A" w:rsidRDefault="00A504BA" w:rsidP="00A03F2A">
            <w:pPr>
              <w:spacing w:after="160" w:line="360" w:lineRule="auto"/>
              <w:jc w:val="both"/>
              <w:rPr>
                <w:rFonts w:cs="Arial"/>
              </w:rPr>
            </w:pPr>
          </w:p>
        </w:tc>
      </w:tr>
      <w:tr w:rsidR="00A504BA" w:rsidRPr="00A03F2A" w14:paraId="12A10B26" w14:textId="77777777" w:rsidTr="000B5A0F">
        <w:tc>
          <w:tcPr>
            <w:tcW w:w="2127" w:type="dxa"/>
            <w:hideMark/>
          </w:tcPr>
          <w:p w14:paraId="6A0CB138" w14:textId="77777777" w:rsidR="00A504BA" w:rsidRPr="00A03F2A" w:rsidRDefault="00A504BA" w:rsidP="00A03F2A">
            <w:pPr>
              <w:spacing w:after="160" w:line="360" w:lineRule="auto"/>
              <w:rPr>
                <w:rFonts w:cs="Arial"/>
              </w:rPr>
            </w:pPr>
            <w:r w:rsidRPr="00A03F2A">
              <w:rPr>
                <w:rFonts w:cs="Arial"/>
                <w:b/>
                <w:bCs/>
              </w:rPr>
              <w:lastRenderedPageBreak/>
              <w:t>Technological</w:t>
            </w:r>
          </w:p>
        </w:tc>
        <w:tc>
          <w:tcPr>
            <w:tcW w:w="8364" w:type="dxa"/>
          </w:tcPr>
          <w:p w14:paraId="03F7A7F6" w14:textId="2860B143" w:rsidR="00A504BA" w:rsidRPr="00A03F2A" w:rsidRDefault="00A504BA" w:rsidP="00A03F2A">
            <w:pPr>
              <w:pStyle w:val="ListParagraph"/>
              <w:numPr>
                <w:ilvl w:val="0"/>
                <w:numId w:val="4"/>
              </w:numPr>
              <w:spacing w:after="0" w:line="360" w:lineRule="auto"/>
              <w:jc w:val="both"/>
              <w:rPr>
                <w:rFonts w:ascii="Arial" w:hAnsi="Arial" w:cs="Arial"/>
              </w:rPr>
            </w:pPr>
            <w:r w:rsidRPr="00A03F2A">
              <w:rPr>
                <w:rFonts w:ascii="Arial" w:hAnsi="Arial" w:cs="Arial"/>
              </w:rPr>
              <w:t>Quick development of renewable energy (solar, wind, hydrogen)</w:t>
            </w:r>
          </w:p>
          <w:p w14:paraId="4EF32A16" w14:textId="207D2D6F" w:rsidR="00A504BA" w:rsidRPr="00A03F2A" w:rsidRDefault="00A504BA" w:rsidP="00A03F2A">
            <w:pPr>
              <w:pStyle w:val="ListParagraph"/>
              <w:numPr>
                <w:ilvl w:val="0"/>
                <w:numId w:val="4"/>
              </w:numPr>
              <w:spacing w:after="0" w:line="360" w:lineRule="auto"/>
              <w:jc w:val="both"/>
              <w:rPr>
                <w:rFonts w:ascii="Arial" w:hAnsi="Arial" w:cs="Arial"/>
              </w:rPr>
            </w:pPr>
            <w:r w:rsidRPr="00A03F2A">
              <w:rPr>
                <w:rFonts w:ascii="Arial" w:hAnsi="Arial" w:cs="Arial"/>
              </w:rPr>
              <w:t>Energy systems digitalisation</w:t>
            </w:r>
          </w:p>
          <w:p w14:paraId="61A25DCA" w14:textId="3E26FE38" w:rsidR="00A504BA" w:rsidRPr="00A03F2A" w:rsidRDefault="00A504BA" w:rsidP="00A03F2A">
            <w:pPr>
              <w:pStyle w:val="ListParagraph"/>
              <w:numPr>
                <w:ilvl w:val="0"/>
                <w:numId w:val="4"/>
              </w:numPr>
              <w:spacing w:after="0" w:line="360" w:lineRule="auto"/>
              <w:jc w:val="both"/>
              <w:rPr>
                <w:rFonts w:ascii="Arial" w:hAnsi="Arial" w:cs="Arial"/>
              </w:rPr>
            </w:pPr>
            <w:r w:rsidRPr="00A03F2A">
              <w:rPr>
                <w:rFonts w:ascii="Arial" w:hAnsi="Arial" w:cs="Arial"/>
              </w:rPr>
              <w:t xml:space="preserve">Storage of carbon in storage </w:t>
            </w:r>
            <w:r w:rsidR="000B5A0F" w:rsidRPr="00A03F2A">
              <w:rPr>
                <w:rFonts w:ascii="Arial" w:hAnsi="Arial" w:cs="Arial"/>
              </w:rPr>
              <w:t>facilities</w:t>
            </w:r>
          </w:p>
          <w:p w14:paraId="2CF4F962" w14:textId="2F84E35F" w:rsidR="00A504BA" w:rsidRPr="00A03F2A" w:rsidRDefault="00A504BA" w:rsidP="00A03F2A">
            <w:pPr>
              <w:pStyle w:val="ListParagraph"/>
              <w:numPr>
                <w:ilvl w:val="0"/>
                <w:numId w:val="4"/>
              </w:numPr>
              <w:spacing w:after="0" w:line="360" w:lineRule="auto"/>
              <w:jc w:val="both"/>
              <w:rPr>
                <w:rFonts w:ascii="Arial" w:hAnsi="Arial" w:cs="Arial"/>
              </w:rPr>
            </w:pPr>
            <w:r w:rsidRPr="00A03F2A">
              <w:rPr>
                <w:rFonts w:ascii="Arial" w:hAnsi="Arial" w:cs="Arial"/>
              </w:rPr>
              <w:t>The operational efficiency is being enhanced by automation</w:t>
            </w:r>
          </w:p>
          <w:p w14:paraId="4D0FE6C3" w14:textId="78F37964" w:rsidR="00A504BA" w:rsidRPr="00A03F2A" w:rsidRDefault="00A504BA" w:rsidP="00A03F2A">
            <w:pPr>
              <w:pStyle w:val="ListParagraph"/>
              <w:numPr>
                <w:ilvl w:val="0"/>
                <w:numId w:val="4"/>
              </w:numPr>
              <w:spacing w:after="0" w:line="360" w:lineRule="auto"/>
              <w:jc w:val="both"/>
              <w:rPr>
                <w:rFonts w:ascii="Arial" w:hAnsi="Arial" w:cs="Arial"/>
              </w:rPr>
            </w:pPr>
            <w:r w:rsidRPr="00A03F2A">
              <w:rPr>
                <w:rFonts w:ascii="Arial" w:hAnsi="Arial" w:cs="Arial"/>
              </w:rPr>
              <w:t>EV Charging infrastructure investment</w:t>
            </w:r>
          </w:p>
          <w:p w14:paraId="7614AF96" w14:textId="181378AC" w:rsidR="00A504BA" w:rsidRPr="00A03F2A" w:rsidRDefault="00A504BA" w:rsidP="00A03F2A">
            <w:pPr>
              <w:pStyle w:val="ListParagraph"/>
              <w:numPr>
                <w:ilvl w:val="0"/>
                <w:numId w:val="4"/>
              </w:numPr>
              <w:spacing w:after="0" w:line="360" w:lineRule="auto"/>
              <w:jc w:val="both"/>
              <w:rPr>
                <w:rFonts w:ascii="Arial" w:hAnsi="Arial" w:cs="Arial"/>
              </w:rPr>
            </w:pPr>
            <w:r w:rsidRPr="00A03F2A">
              <w:rPr>
                <w:rFonts w:ascii="Arial" w:hAnsi="Arial" w:cs="Arial"/>
              </w:rPr>
              <w:t>In 2023, the global clean energy investment amounted to 1.7 trillion (IEA, 2023)</w:t>
            </w:r>
          </w:p>
        </w:tc>
      </w:tr>
      <w:tr w:rsidR="00A504BA" w:rsidRPr="00A03F2A" w14:paraId="687DB92A" w14:textId="77777777" w:rsidTr="000B5A0F">
        <w:tc>
          <w:tcPr>
            <w:tcW w:w="2127" w:type="dxa"/>
            <w:hideMark/>
          </w:tcPr>
          <w:p w14:paraId="47357BCF" w14:textId="77777777" w:rsidR="00A504BA" w:rsidRPr="00A03F2A" w:rsidRDefault="00A504BA" w:rsidP="00A03F2A">
            <w:pPr>
              <w:spacing w:after="160" w:line="360" w:lineRule="auto"/>
              <w:rPr>
                <w:rFonts w:cs="Arial"/>
              </w:rPr>
            </w:pPr>
            <w:r w:rsidRPr="00A03F2A">
              <w:rPr>
                <w:rFonts w:cs="Arial"/>
                <w:b/>
                <w:bCs/>
              </w:rPr>
              <w:t>Environmental</w:t>
            </w:r>
          </w:p>
        </w:tc>
        <w:tc>
          <w:tcPr>
            <w:tcW w:w="8364" w:type="dxa"/>
            <w:hideMark/>
          </w:tcPr>
          <w:p w14:paraId="69DB8738" w14:textId="622FD29C" w:rsidR="00A504BA" w:rsidRPr="00A03F2A" w:rsidRDefault="00A504BA" w:rsidP="00A03F2A">
            <w:pPr>
              <w:pStyle w:val="ListParagraph"/>
              <w:numPr>
                <w:ilvl w:val="0"/>
                <w:numId w:val="5"/>
              </w:numPr>
              <w:spacing w:after="0" w:line="360" w:lineRule="auto"/>
              <w:jc w:val="both"/>
              <w:rPr>
                <w:rFonts w:ascii="Arial" w:hAnsi="Arial" w:cs="Arial"/>
              </w:rPr>
            </w:pPr>
            <w:r w:rsidRPr="00A03F2A">
              <w:rPr>
                <w:rFonts w:ascii="Arial" w:hAnsi="Arial" w:cs="Arial"/>
              </w:rPr>
              <w:t>Carbon emission quotas and climate change pressures</w:t>
            </w:r>
          </w:p>
          <w:p w14:paraId="25DF5313" w14:textId="4901B955" w:rsidR="00A504BA" w:rsidRPr="00A03F2A" w:rsidRDefault="00A504BA" w:rsidP="00A03F2A">
            <w:pPr>
              <w:pStyle w:val="ListParagraph"/>
              <w:numPr>
                <w:ilvl w:val="0"/>
                <w:numId w:val="5"/>
              </w:numPr>
              <w:spacing w:after="0" w:line="360" w:lineRule="auto"/>
              <w:jc w:val="both"/>
              <w:rPr>
                <w:rFonts w:ascii="Arial" w:hAnsi="Arial" w:cs="Arial"/>
              </w:rPr>
            </w:pPr>
            <w:r w:rsidRPr="00A03F2A">
              <w:rPr>
                <w:rFonts w:ascii="Arial" w:hAnsi="Arial" w:cs="Arial"/>
              </w:rPr>
              <w:t>Oil spills and activities pose damages to the environment</w:t>
            </w:r>
          </w:p>
          <w:p w14:paraId="0382D0AE" w14:textId="3E092B10" w:rsidR="00A504BA" w:rsidRPr="00A03F2A" w:rsidRDefault="00A504BA" w:rsidP="00A03F2A">
            <w:pPr>
              <w:pStyle w:val="ListParagraph"/>
              <w:numPr>
                <w:ilvl w:val="0"/>
                <w:numId w:val="5"/>
              </w:numPr>
              <w:spacing w:after="0" w:line="360" w:lineRule="auto"/>
              <w:jc w:val="both"/>
              <w:rPr>
                <w:rFonts w:ascii="Arial" w:hAnsi="Arial" w:cs="Arial"/>
              </w:rPr>
            </w:pPr>
            <w:r w:rsidRPr="00A03F2A">
              <w:rPr>
                <w:rFonts w:ascii="Arial" w:hAnsi="Arial" w:cs="Arial"/>
              </w:rPr>
              <w:t>Tough restrictions on emissions</w:t>
            </w:r>
          </w:p>
          <w:p w14:paraId="4C8C4F58" w14:textId="00C5D0B8" w:rsidR="00A504BA" w:rsidRPr="00A03F2A" w:rsidRDefault="00A504BA" w:rsidP="00A03F2A">
            <w:pPr>
              <w:pStyle w:val="ListParagraph"/>
              <w:numPr>
                <w:ilvl w:val="0"/>
                <w:numId w:val="5"/>
              </w:numPr>
              <w:spacing w:after="0" w:line="360" w:lineRule="auto"/>
              <w:jc w:val="both"/>
              <w:rPr>
                <w:rFonts w:ascii="Arial" w:hAnsi="Arial" w:cs="Arial"/>
              </w:rPr>
            </w:pPr>
            <w:r w:rsidRPr="00A03F2A">
              <w:rPr>
                <w:rFonts w:ascii="Arial" w:hAnsi="Arial" w:cs="Arial"/>
              </w:rPr>
              <w:t>Move to the low-carbon economy</w:t>
            </w:r>
          </w:p>
          <w:p w14:paraId="3DCCBC49" w14:textId="3FE4D665" w:rsidR="00A504BA" w:rsidRPr="00A03F2A" w:rsidRDefault="00A504BA" w:rsidP="00A03F2A">
            <w:pPr>
              <w:pStyle w:val="ListParagraph"/>
              <w:numPr>
                <w:ilvl w:val="0"/>
                <w:numId w:val="5"/>
              </w:numPr>
              <w:spacing w:after="0" w:line="360" w:lineRule="auto"/>
              <w:jc w:val="both"/>
              <w:rPr>
                <w:rFonts w:ascii="Arial" w:hAnsi="Arial" w:cs="Arial"/>
              </w:rPr>
            </w:pPr>
            <w:r w:rsidRPr="00A03F2A">
              <w:rPr>
                <w:rFonts w:ascii="Arial" w:hAnsi="Arial" w:cs="Arial"/>
              </w:rPr>
              <w:t>Sustainability reporting criteria</w:t>
            </w:r>
          </w:p>
          <w:p w14:paraId="726003C6" w14:textId="5FAF979E" w:rsidR="00A504BA" w:rsidRPr="00A03F2A" w:rsidRDefault="00A504BA" w:rsidP="00A03F2A">
            <w:pPr>
              <w:pStyle w:val="ListParagraph"/>
              <w:numPr>
                <w:ilvl w:val="0"/>
                <w:numId w:val="5"/>
              </w:numPr>
              <w:spacing w:after="0" w:line="360" w:lineRule="auto"/>
              <w:jc w:val="both"/>
              <w:rPr>
                <w:rFonts w:ascii="Arial" w:hAnsi="Arial" w:cs="Arial"/>
              </w:rPr>
            </w:pPr>
            <w:r w:rsidRPr="00A03F2A">
              <w:rPr>
                <w:rFonts w:ascii="Arial" w:hAnsi="Arial" w:cs="Arial"/>
              </w:rPr>
              <w:t>Fourthly, emissions in the energy sector cause 75% of global reductions (IEA, 2023)</w:t>
            </w:r>
          </w:p>
        </w:tc>
      </w:tr>
      <w:tr w:rsidR="00A504BA" w:rsidRPr="00A03F2A" w14:paraId="357D56BB" w14:textId="77777777" w:rsidTr="000B5A0F">
        <w:tc>
          <w:tcPr>
            <w:tcW w:w="2127" w:type="dxa"/>
            <w:hideMark/>
          </w:tcPr>
          <w:p w14:paraId="3A357260" w14:textId="77777777" w:rsidR="00A504BA" w:rsidRPr="00A03F2A" w:rsidRDefault="00A504BA" w:rsidP="00A03F2A">
            <w:pPr>
              <w:spacing w:after="160" w:line="360" w:lineRule="auto"/>
              <w:rPr>
                <w:rFonts w:cs="Arial"/>
              </w:rPr>
            </w:pPr>
            <w:r w:rsidRPr="00A03F2A">
              <w:rPr>
                <w:rFonts w:cs="Arial"/>
                <w:b/>
                <w:bCs/>
              </w:rPr>
              <w:t>Legal</w:t>
            </w:r>
          </w:p>
        </w:tc>
        <w:tc>
          <w:tcPr>
            <w:tcW w:w="8364" w:type="dxa"/>
            <w:hideMark/>
          </w:tcPr>
          <w:p w14:paraId="2F7198DB" w14:textId="791E0DDC" w:rsidR="00A504BA" w:rsidRPr="00A03F2A" w:rsidRDefault="00A504BA" w:rsidP="00A03F2A">
            <w:pPr>
              <w:pStyle w:val="ListParagraph"/>
              <w:numPr>
                <w:ilvl w:val="0"/>
                <w:numId w:val="6"/>
              </w:numPr>
              <w:spacing w:after="0" w:line="360" w:lineRule="auto"/>
              <w:jc w:val="both"/>
              <w:rPr>
                <w:rFonts w:ascii="Arial" w:hAnsi="Arial" w:cs="Arial"/>
              </w:rPr>
            </w:pPr>
            <w:r w:rsidRPr="00A03F2A">
              <w:rPr>
                <w:rFonts w:ascii="Arial" w:hAnsi="Arial" w:cs="Arial"/>
              </w:rPr>
              <w:t>Raising laws protecting the environment and carbon taxes</w:t>
            </w:r>
          </w:p>
          <w:p w14:paraId="3401C414" w14:textId="6E586648" w:rsidR="00A504BA" w:rsidRPr="00A03F2A" w:rsidRDefault="00A504BA" w:rsidP="00A03F2A">
            <w:pPr>
              <w:pStyle w:val="ListParagraph"/>
              <w:numPr>
                <w:ilvl w:val="0"/>
                <w:numId w:val="6"/>
              </w:numPr>
              <w:spacing w:after="0" w:line="360" w:lineRule="auto"/>
              <w:jc w:val="both"/>
              <w:rPr>
                <w:rFonts w:ascii="Arial" w:hAnsi="Arial" w:cs="Arial"/>
              </w:rPr>
            </w:pPr>
            <w:r w:rsidRPr="00A03F2A">
              <w:rPr>
                <w:rFonts w:ascii="Arial" w:hAnsi="Arial" w:cs="Arial"/>
              </w:rPr>
              <w:t>Risks of climate damage litigation</w:t>
            </w:r>
          </w:p>
          <w:p w14:paraId="42CC07C9" w14:textId="5058C8D9" w:rsidR="00A504BA" w:rsidRPr="00A03F2A" w:rsidRDefault="00A504BA" w:rsidP="00A03F2A">
            <w:pPr>
              <w:pStyle w:val="ListParagraph"/>
              <w:numPr>
                <w:ilvl w:val="0"/>
                <w:numId w:val="6"/>
              </w:numPr>
              <w:spacing w:after="0" w:line="360" w:lineRule="auto"/>
              <w:jc w:val="both"/>
              <w:rPr>
                <w:rFonts w:ascii="Arial" w:hAnsi="Arial" w:cs="Arial"/>
              </w:rPr>
            </w:pPr>
            <w:r w:rsidRPr="00A03F2A">
              <w:rPr>
                <w:rFonts w:ascii="Arial" w:hAnsi="Arial" w:cs="Arial"/>
              </w:rPr>
              <w:t>Adherence to global CSR requirements</w:t>
            </w:r>
          </w:p>
          <w:p w14:paraId="28537FAA" w14:textId="1106B9BE" w:rsidR="00A504BA" w:rsidRPr="00A03F2A" w:rsidRDefault="00A504BA" w:rsidP="00A03F2A">
            <w:pPr>
              <w:pStyle w:val="ListParagraph"/>
              <w:numPr>
                <w:ilvl w:val="0"/>
                <w:numId w:val="6"/>
              </w:numPr>
              <w:spacing w:after="0" w:line="360" w:lineRule="auto"/>
              <w:jc w:val="both"/>
              <w:rPr>
                <w:rFonts w:ascii="Arial" w:hAnsi="Arial" w:cs="Arial"/>
              </w:rPr>
            </w:pPr>
            <w:r w:rsidRPr="00A03F2A">
              <w:rPr>
                <w:rFonts w:ascii="Arial" w:hAnsi="Arial" w:cs="Arial"/>
              </w:rPr>
              <w:t>Health and safety laws in the business, Anti-trust and international trade laws</w:t>
            </w:r>
          </w:p>
          <w:p w14:paraId="265567D6" w14:textId="4A107B93" w:rsidR="00A504BA" w:rsidRPr="00A03F2A" w:rsidRDefault="00A504BA" w:rsidP="00A03F2A">
            <w:pPr>
              <w:pStyle w:val="ListParagraph"/>
              <w:numPr>
                <w:ilvl w:val="0"/>
                <w:numId w:val="6"/>
              </w:numPr>
              <w:spacing w:after="0" w:line="360" w:lineRule="auto"/>
              <w:jc w:val="both"/>
              <w:rPr>
                <w:rFonts w:ascii="Arial" w:hAnsi="Arial" w:cs="Arial"/>
              </w:rPr>
            </w:pPr>
            <w:r w:rsidRPr="00A03F2A">
              <w:rPr>
                <w:rFonts w:ascii="Arial" w:hAnsi="Arial" w:cs="Arial"/>
              </w:rPr>
              <w:t>Oil companies have paid out billions of environmental penalties.</w:t>
            </w:r>
          </w:p>
        </w:tc>
      </w:tr>
    </w:tbl>
    <w:p w14:paraId="00AD90B8" w14:textId="6F9C6233" w:rsidR="00A504BA" w:rsidRPr="00A03F2A" w:rsidRDefault="00A504BA" w:rsidP="00A03F2A">
      <w:pPr>
        <w:jc w:val="center"/>
        <w:rPr>
          <w:rFonts w:cs="Arial"/>
          <w:b/>
          <w:bCs/>
          <w:lang w:val="en-GB"/>
        </w:rPr>
      </w:pPr>
      <w:r w:rsidRPr="00A03F2A">
        <w:rPr>
          <w:rFonts w:cs="Arial"/>
          <w:b/>
          <w:bCs/>
          <w:lang w:val="en-GB"/>
        </w:rPr>
        <w:t>Table 1: PESTLE</w:t>
      </w:r>
    </w:p>
    <w:p w14:paraId="33ED173C" w14:textId="4D0717A8" w:rsidR="00A504BA" w:rsidRPr="00A03F2A" w:rsidRDefault="00A504BA" w:rsidP="00A03F2A">
      <w:pPr>
        <w:jc w:val="center"/>
        <w:rPr>
          <w:rFonts w:cs="Arial"/>
          <w:lang w:val="en-GB"/>
        </w:rPr>
      </w:pPr>
      <w:r w:rsidRPr="00A03F2A">
        <w:rPr>
          <w:rFonts w:cs="Arial"/>
          <w:lang w:val="en-GB"/>
        </w:rPr>
        <w:t>(Source: Self-developed)</w:t>
      </w:r>
    </w:p>
    <w:p w14:paraId="73033642" w14:textId="76CF6CDE" w:rsidR="006E75F0" w:rsidRPr="00A03F2A" w:rsidRDefault="00E66B2E" w:rsidP="00A03F2A">
      <w:pPr>
        <w:rPr>
          <w:rFonts w:cs="Arial"/>
          <w:lang w:val="en-GB"/>
        </w:rPr>
      </w:pPr>
      <w:r w:rsidRPr="00A03F2A">
        <w:rPr>
          <w:rFonts w:cs="Arial"/>
          <w:lang w:val="en-GB"/>
        </w:rPr>
        <w:t>A</w:t>
      </w:r>
      <w:r w:rsidR="000B5A0F" w:rsidRPr="00A03F2A">
        <w:rPr>
          <w:rFonts w:cs="Arial"/>
          <w:lang w:val="en-GB"/>
        </w:rPr>
        <w:t>s evident from table 1</w:t>
      </w:r>
      <w:r w:rsidRPr="00A03F2A">
        <w:rPr>
          <w:rFonts w:cs="Arial"/>
          <w:lang w:val="en-GB"/>
        </w:rPr>
        <w:t xml:space="preserve">, external environmental factors have a conclusive impact on the strategic orientation of BP and that the organisation is forced to undergo constant modification in a highly fluctuating and controlled energy environment. Repeatedly, in the political aspect, the growing regulatory pressures and the decarbonisation agenda are </w:t>
      </w:r>
      <w:r w:rsidRPr="00A03F2A">
        <w:rPr>
          <w:rFonts w:cs="Arial"/>
          <w:lang w:val="en-GB"/>
        </w:rPr>
        <w:lastRenderedPageBreak/>
        <w:t>restricting strategic flexibility since companies need to adjust to the changing institutional requirements. Adewoyin (2021)</w:t>
      </w:r>
      <w:r w:rsidR="000B5A0F" w:rsidRPr="00A03F2A">
        <w:rPr>
          <w:rFonts w:cs="Arial"/>
          <w:lang w:val="en-GB"/>
        </w:rPr>
        <w:t xml:space="preserve"> stated that</w:t>
      </w:r>
      <w:r w:rsidRPr="00A03F2A">
        <w:rPr>
          <w:rFonts w:cs="Arial"/>
          <w:lang w:val="en-GB"/>
        </w:rPr>
        <w:t xml:space="preserve"> strategies </w:t>
      </w:r>
      <w:r w:rsidR="000B5A0F" w:rsidRPr="00A03F2A">
        <w:rPr>
          <w:rFonts w:cs="Arial"/>
          <w:lang w:val="en-GB"/>
        </w:rPr>
        <w:t>need to</w:t>
      </w:r>
      <w:r w:rsidRPr="00A03F2A">
        <w:rPr>
          <w:rFonts w:cs="Arial"/>
          <w:lang w:val="en-GB"/>
        </w:rPr>
        <w:t xml:space="preserve"> incorporate societal issues in organisations to maintain their legitimacy, thus compelling BP to increase the rate of moving towards low-carbon-energy.</w:t>
      </w:r>
      <w:r w:rsidR="000B5A0F" w:rsidRPr="00A03F2A">
        <w:rPr>
          <w:rFonts w:cs="Arial"/>
          <w:lang w:val="en-GB"/>
        </w:rPr>
        <w:t xml:space="preserve"> </w:t>
      </w:r>
      <w:r w:rsidRPr="00A03F2A">
        <w:rPr>
          <w:rFonts w:cs="Arial"/>
          <w:lang w:val="en-GB"/>
        </w:rPr>
        <w:t xml:space="preserve">BP has structural tension in both economies with regard to long-term sustainability and short-term profitability. Alkaraan et al. (2024) </w:t>
      </w:r>
      <w:r w:rsidR="000B5A0F" w:rsidRPr="00A03F2A">
        <w:rPr>
          <w:rFonts w:cs="Arial"/>
          <w:lang w:val="en-GB"/>
        </w:rPr>
        <w:t>added</w:t>
      </w:r>
      <w:r w:rsidRPr="00A03F2A">
        <w:rPr>
          <w:rFonts w:cs="Arial"/>
          <w:lang w:val="en-GB"/>
        </w:rPr>
        <w:t xml:space="preserve"> that resource-based industries are always cyclical in nature, and volatility needs to be handled through adaptive strategies. The fact that BP still has a dependency on fossil fuels implies a path dependency that inhibits rapid change</w:t>
      </w:r>
      <w:r w:rsidR="000B5A0F" w:rsidRPr="00A03F2A">
        <w:rPr>
          <w:rFonts w:cs="Arial"/>
          <w:lang w:val="en-GB"/>
        </w:rPr>
        <w:t xml:space="preserve"> </w:t>
      </w:r>
      <w:r w:rsidR="000B5A0F" w:rsidRPr="00A03F2A">
        <w:rPr>
          <w:rFonts w:cs="Arial"/>
        </w:rPr>
        <w:t>(Reuters, 2022). This</w:t>
      </w:r>
      <w:r w:rsidRPr="00A03F2A">
        <w:rPr>
          <w:rFonts w:cs="Arial"/>
          <w:lang w:val="en-GB"/>
        </w:rPr>
        <w:t xml:space="preserve"> indicat</w:t>
      </w:r>
      <w:r w:rsidR="000B5A0F" w:rsidRPr="00A03F2A">
        <w:rPr>
          <w:rFonts w:cs="Arial"/>
          <w:lang w:val="en-GB"/>
        </w:rPr>
        <w:t>es</w:t>
      </w:r>
      <w:r w:rsidRPr="00A03F2A">
        <w:rPr>
          <w:rFonts w:cs="Arial"/>
          <w:lang w:val="en-GB"/>
        </w:rPr>
        <w:t xml:space="preserve"> that its current strategy is not as sustainable as it could be, as it is still in the transitional phase.</w:t>
      </w:r>
    </w:p>
    <w:p w14:paraId="4BCE70D8" w14:textId="1FBD3055" w:rsidR="006E75F0" w:rsidRPr="00A03F2A" w:rsidRDefault="00E66B2E" w:rsidP="00A03F2A">
      <w:pPr>
        <w:rPr>
          <w:rFonts w:cs="Arial"/>
          <w:lang w:val="en-GB"/>
        </w:rPr>
      </w:pPr>
      <w:r w:rsidRPr="00A03F2A">
        <w:rPr>
          <w:rFonts w:cs="Arial"/>
          <w:lang w:val="en-GB"/>
        </w:rPr>
        <w:t>Th</w:t>
      </w:r>
      <w:r w:rsidR="000B5A0F" w:rsidRPr="00A03F2A">
        <w:rPr>
          <w:rFonts w:cs="Arial"/>
          <w:lang w:val="en-GB"/>
        </w:rPr>
        <w:t>e</w:t>
      </w:r>
      <w:r w:rsidRPr="00A03F2A">
        <w:rPr>
          <w:rFonts w:cs="Arial"/>
          <w:lang w:val="en-GB"/>
        </w:rPr>
        <w:t xml:space="preserve"> difficulty is further aggravated by social and environmental pressures. </w:t>
      </w:r>
      <w:r w:rsidR="000B5A0F" w:rsidRPr="00A03F2A">
        <w:rPr>
          <w:rFonts w:cs="Arial"/>
          <w:lang w:val="en-GB"/>
        </w:rPr>
        <w:t>It is stated by</w:t>
      </w:r>
      <w:r w:rsidRPr="00A03F2A">
        <w:rPr>
          <w:rFonts w:cs="Arial"/>
          <w:lang w:val="en-GB"/>
        </w:rPr>
        <w:t xml:space="preserve"> Valecha (2022)</w:t>
      </w:r>
      <w:r w:rsidR="000B5A0F" w:rsidRPr="00A03F2A">
        <w:rPr>
          <w:rFonts w:cs="Arial"/>
          <w:lang w:val="en-GB"/>
        </w:rPr>
        <w:t xml:space="preserve"> that it is essential for</w:t>
      </w:r>
      <w:r w:rsidRPr="00A03F2A">
        <w:rPr>
          <w:rFonts w:cs="Arial"/>
          <w:lang w:val="en-GB"/>
        </w:rPr>
        <w:t xml:space="preserve"> organisations </w:t>
      </w:r>
      <w:r w:rsidR="000B5A0F" w:rsidRPr="00A03F2A">
        <w:rPr>
          <w:rFonts w:cs="Arial"/>
          <w:lang w:val="en-GB"/>
        </w:rPr>
        <w:t>to</w:t>
      </w:r>
      <w:r w:rsidRPr="00A03F2A">
        <w:rPr>
          <w:rFonts w:cs="Arial"/>
          <w:lang w:val="en-GB"/>
        </w:rPr>
        <w:t xml:space="preserve"> strike a balance between monetary strategies and moral duties. Whereas Nguyen and Kanbach (2024) suggest</w:t>
      </w:r>
      <w:r w:rsidR="000B5A0F" w:rsidRPr="00A03F2A">
        <w:rPr>
          <w:rFonts w:cs="Arial"/>
          <w:lang w:val="en-GB"/>
        </w:rPr>
        <w:t>ed</w:t>
      </w:r>
      <w:r w:rsidRPr="00A03F2A">
        <w:rPr>
          <w:rFonts w:cs="Arial"/>
          <w:lang w:val="en-GB"/>
        </w:rPr>
        <w:t xml:space="preserve"> the concept of integrating sustainability in the core strategy. The strategic inconsistency between the two priorities within oil production and renewable investment in BP can be viewed as a lack of trust in the stakeholders and as a direct risk of losing the company's reputation.</w:t>
      </w:r>
      <w:r w:rsidR="006E29DD" w:rsidRPr="00A03F2A">
        <w:rPr>
          <w:rFonts w:cs="Arial"/>
          <w:lang w:val="en-GB"/>
        </w:rPr>
        <w:t xml:space="preserve"> </w:t>
      </w:r>
      <w:r w:rsidRPr="00A03F2A">
        <w:rPr>
          <w:rFonts w:cs="Arial"/>
          <w:lang w:val="en-GB"/>
        </w:rPr>
        <w:t xml:space="preserve">Opportunities and threats are also brought about by technological innovations, that innovation destroys old industries. </w:t>
      </w:r>
      <w:r w:rsidR="000B5A0F" w:rsidRPr="00A03F2A">
        <w:rPr>
          <w:rFonts w:cs="Arial"/>
          <w:lang w:val="en-GB"/>
        </w:rPr>
        <w:t xml:space="preserve">Therefore, </w:t>
      </w:r>
      <w:r w:rsidRPr="00A03F2A">
        <w:rPr>
          <w:rFonts w:cs="Arial"/>
          <w:lang w:val="en-GB"/>
        </w:rPr>
        <w:t>BP has got to reorganise its capacities to be competitive in the renewable energy industry. The legal provision of environmental regulations as drivers of change is also a strategic change, initiating as a driver of strategic change.</w:t>
      </w:r>
    </w:p>
    <w:p w14:paraId="49CBE66F" w14:textId="77777777" w:rsidR="006E75F0" w:rsidRPr="00A03F2A" w:rsidRDefault="00E66B2E" w:rsidP="00A03F2A">
      <w:pPr>
        <w:pStyle w:val="Heading2"/>
        <w:rPr>
          <w:rFonts w:cs="Arial"/>
          <w:lang w:val="en-GB"/>
        </w:rPr>
      </w:pPr>
      <w:bookmarkStart w:id="13" w:name="_7oqv2o98lr7n" w:colFirst="0" w:colLast="0"/>
      <w:bookmarkStart w:id="14" w:name="_Toc224807767"/>
      <w:bookmarkEnd w:id="13"/>
      <w:r w:rsidRPr="00A03F2A">
        <w:rPr>
          <w:rFonts w:cs="Arial"/>
          <w:lang w:val="en-GB"/>
        </w:rPr>
        <w:t>2.2 Critical Success Factors &amp; Strategic Challenges</w:t>
      </w:r>
      <w:bookmarkEnd w:id="14"/>
    </w:p>
    <w:p w14:paraId="2E54139B" w14:textId="77777777" w:rsidR="006E75F0" w:rsidRPr="00A03F2A" w:rsidRDefault="00E66B2E" w:rsidP="00A03F2A">
      <w:pPr>
        <w:rPr>
          <w:rFonts w:cs="Arial"/>
          <w:b/>
          <w:bCs/>
          <w:i/>
          <w:iCs/>
          <w:lang w:val="en-GB"/>
        </w:rPr>
      </w:pPr>
      <w:r w:rsidRPr="00A03F2A">
        <w:rPr>
          <w:rFonts w:cs="Arial"/>
          <w:b/>
          <w:bCs/>
          <w:i/>
          <w:iCs/>
          <w:lang w:val="en-GB"/>
        </w:rPr>
        <w:t>Critical Success Factors</w:t>
      </w:r>
    </w:p>
    <w:p w14:paraId="6A80EEA2" w14:textId="066FA867" w:rsidR="006E75F0" w:rsidRPr="00A03F2A" w:rsidRDefault="009523EF" w:rsidP="00A03F2A">
      <w:pPr>
        <w:rPr>
          <w:rFonts w:cs="Arial"/>
          <w:lang w:val="en-GB"/>
        </w:rPr>
      </w:pPr>
      <w:r w:rsidRPr="00A03F2A">
        <w:rPr>
          <w:rFonts w:cs="Arial"/>
          <w:lang w:val="en-GB"/>
        </w:rPr>
        <w:t>In context to</w:t>
      </w:r>
      <w:r w:rsidR="00E66B2E" w:rsidRPr="00A03F2A">
        <w:rPr>
          <w:rFonts w:cs="Arial"/>
          <w:lang w:val="en-GB"/>
        </w:rPr>
        <w:t xml:space="preserve"> the external environment, the credibility of BP is largely defined by its capacity to reconcile financial success and its strategic shift in a fast-changing energy market. One of the most important critical success factors is the financial size and </w:t>
      </w:r>
      <w:r w:rsidRPr="00A03F2A">
        <w:rPr>
          <w:rFonts w:cs="Arial"/>
          <w:lang w:val="en-GB"/>
        </w:rPr>
        <w:t xml:space="preserve">its </w:t>
      </w:r>
      <w:r w:rsidR="00E66B2E" w:rsidRPr="00A03F2A">
        <w:rPr>
          <w:rFonts w:cs="Arial"/>
          <w:lang w:val="en-GB"/>
        </w:rPr>
        <w:t xml:space="preserve">investment </w:t>
      </w:r>
      <w:r w:rsidRPr="00A03F2A">
        <w:rPr>
          <w:rFonts w:cs="Arial"/>
          <w:lang w:val="en-GB"/>
        </w:rPr>
        <w:t>of $274 million in research and development (R&amp;D) as of December 2025 (</w:t>
      </w:r>
      <w:r w:rsidR="000C7B2B" w:rsidRPr="00A03F2A">
        <w:rPr>
          <w:rFonts w:cs="Arial"/>
        </w:rPr>
        <w:t>BP, 2026</w:t>
      </w:r>
      <w:r w:rsidRPr="00A03F2A">
        <w:rPr>
          <w:rFonts w:cs="Arial"/>
          <w:lang w:val="en-GB"/>
        </w:rPr>
        <w:t>). Also, BP’s capital expenditure of $14.5 billion reveals that</w:t>
      </w:r>
      <w:r w:rsidR="00E66B2E" w:rsidRPr="00A03F2A">
        <w:rPr>
          <w:rFonts w:cs="Arial"/>
          <w:lang w:val="en-GB"/>
        </w:rPr>
        <w:t xml:space="preserve"> energy transition </w:t>
      </w:r>
      <w:r w:rsidR="000C7B2B" w:rsidRPr="00A03F2A">
        <w:rPr>
          <w:rFonts w:cs="Arial"/>
          <w:lang w:val="en-GB"/>
        </w:rPr>
        <w:t>requires</w:t>
      </w:r>
      <w:r w:rsidR="00E66B2E" w:rsidRPr="00A03F2A">
        <w:rPr>
          <w:rFonts w:cs="Arial"/>
          <w:lang w:val="en-GB"/>
        </w:rPr>
        <w:t xml:space="preserve"> a lot of funding. The fact that BP is still investing billions of dollars in oil and gas-related entities denotes its capability to generate immediate-term returns and fund long-term renewing programs. Nevertheless, profitability and sustainability are at war when it </w:t>
      </w:r>
      <w:r w:rsidR="00E66B2E" w:rsidRPr="00A03F2A">
        <w:rPr>
          <w:rFonts w:cs="Arial"/>
          <w:lang w:val="en-GB"/>
        </w:rPr>
        <w:lastRenderedPageBreak/>
        <w:t>comes to this dual investment strategy. Technological adaptation, especially in the area of renewable energy and low-carbon solutions, is another major factor. With the change in the global system of energy, companies that will be able to integrate the new technologies into their life will have a better chance to maintain a competitive edge (Alonge et al. 2023). Nevertheless, the oil-based heritage of BP can restrain its potential in exploiting the new clean energy markets to the fullest.</w:t>
      </w:r>
    </w:p>
    <w:p w14:paraId="6F4FA812" w14:textId="77777777" w:rsidR="006E75F0" w:rsidRPr="00A03F2A" w:rsidRDefault="00E66B2E" w:rsidP="00A03F2A">
      <w:pPr>
        <w:rPr>
          <w:rFonts w:cs="Arial"/>
          <w:b/>
          <w:bCs/>
          <w:i/>
          <w:iCs/>
          <w:lang w:val="en-GB"/>
        </w:rPr>
      </w:pPr>
      <w:r w:rsidRPr="00A03F2A">
        <w:rPr>
          <w:rFonts w:cs="Arial"/>
          <w:b/>
          <w:bCs/>
          <w:i/>
          <w:iCs/>
          <w:lang w:val="en-GB"/>
        </w:rPr>
        <w:t>Strategic Challenges</w:t>
      </w:r>
    </w:p>
    <w:p w14:paraId="5A7C7EDB" w14:textId="6EED29E9" w:rsidR="000B3B46" w:rsidRPr="00A03F2A" w:rsidRDefault="004425F4" w:rsidP="00A03F2A">
      <w:pPr>
        <w:rPr>
          <w:rFonts w:cs="Arial"/>
          <w:lang w:val="en-GB"/>
        </w:rPr>
      </w:pPr>
      <w:r w:rsidRPr="00A03F2A">
        <w:rPr>
          <w:rFonts w:cs="Arial"/>
          <w:lang w:val="en-GB"/>
        </w:rPr>
        <w:t>Despite</w:t>
      </w:r>
      <w:r w:rsidR="00E66B2E" w:rsidRPr="00A03F2A">
        <w:rPr>
          <w:rFonts w:cs="Arial"/>
          <w:lang w:val="en-GB"/>
        </w:rPr>
        <w:t xml:space="preserve"> these strengths, BP has considerable strategic challenges.</w:t>
      </w:r>
      <w:r w:rsidRPr="00A03F2A">
        <w:rPr>
          <w:rFonts w:cs="Arial"/>
          <w:lang w:val="en-GB"/>
        </w:rPr>
        <w:t xml:space="preserve"> For instance, s</w:t>
      </w:r>
      <w:r w:rsidR="00E66B2E" w:rsidRPr="00A03F2A">
        <w:rPr>
          <w:rFonts w:cs="Arial"/>
          <w:lang w:val="en-GB"/>
        </w:rPr>
        <w:t xml:space="preserve">trategic inconsistency is one of the most severe issues that can be demonstrated by its recent resourcing of fossil fuels. BP is reported to have cut annual spending on renewables by over </w:t>
      </w:r>
      <w:r w:rsidRPr="00A03F2A">
        <w:rPr>
          <w:rFonts w:cs="Arial"/>
          <w:lang w:val="en-GB"/>
        </w:rPr>
        <w:t>$</w:t>
      </w:r>
      <w:r w:rsidR="00E66B2E" w:rsidRPr="00A03F2A">
        <w:rPr>
          <w:rFonts w:cs="Arial"/>
          <w:lang w:val="en-GB"/>
        </w:rPr>
        <w:t xml:space="preserve">5 billion and more on oil and gas to closer to </w:t>
      </w:r>
      <w:r w:rsidRPr="00A03F2A">
        <w:rPr>
          <w:rFonts w:cs="Arial"/>
          <w:lang w:val="en-GB"/>
        </w:rPr>
        <w:t>$</w:t>
      </w:r>
      <w:r w:rsidR="00E66B2E" w:rsidRPr="00A03F2A">
        <w:rPr>
          <w:rFonts w:cs="Arial"/>
          <w:lang w:val="en-GB"/>
        </w:rPr>
        <w:t xml:space="preserve">10 billion annually (Apnews, 2025). </w:t>
      </w:r>
      <w:r w:rsidRPr="00A03F2A">
        <w:rPr>
          <w:rFonts w:cs="Arial"/>
          <w:lang w:val="en-GB"/>
        </w:rPr>
        <w:t xml:space="preserve">It is because investors clamour to get better returns in reaction to investor pressure on the company. </w:t>
      </w:r>
      <w:r w:rsidR="00E66B2E" w:rsidRPr="00A03F2A">
        <w:rPr>
          <w:rFonts w:cs="Arial"/>
          <w:lang w:val="en-GB"/>
        </w:rPr>
        <w:t>This change has been largely criticised as one that has prioritised short-term profitability over long-term sustainability objectives.</w:t>
      </w:r>
      <w:r w:rsidR="006E29DD" w:rsidRPr="00A03F2A">
        <w:rPr>
          <w:rFonts w:cs="Arial"/>
          <w:lang w:val="en-GB"/>
        </w:rPr>
        <w:t xml:space="preserve"> </w:t>
      </w:r>
    </w:p>
    <w:p w14:paraId="2D86E3D7" w14:textId="071AD923" w:rsidR="006E75F0" w:rsidRPr="00A03F2A" w:rsidRDefault="00E66B2E" w:rsidP="00A03F2A">
      <w:pPr>
        <w:rPr>
          <w:rFonts w:cs="Arial"/>
          <w:lang w:val="en-GB"/>
        </w:rPr>
      </w:pPr>
      <w:r w:rsidRPr="00A03F2A">
        <w:rPr>
          <w:rFonts w:cs="Arial"/>
          <w:lang w:val="en-GB"/>
        </w:rPr>
        <w:t>Furthermore, BP faces legal challenges after excluding climate resolution, stakeholders and investors like environmentalist investors, who want it to act strongly in terms of its transition measures (Netzeroinvestor, 2025). This touches on an increasing friction on the part of the financial stakeholders and environmental demands.</w:t>
      </w:r>
      <w:r w:rsidR="00EF103B" w:rsidRPr="00A03F2A">
        <w:rPr>
          <w:rFonts w:cs="Arial"/>
          <w:lang w:val="en-GB"/>
        </w:rPr>
        <w:t xml:space="preserve"> </w:t>
      </w:r>
      <w:r w:rsidRPr="00A03F2A">
        <w:rPr>
          <w:rFonts w:cs="Arial"/>
          <w:lang w:val="en-GB"/>
        </w:rPr>
        <w:t xml:space="preserve">The most outstanding dilemma is arguably the problem of competing energy transition and maximisation of rents to shareholders. Since recent strategic projects and investor loss of confidence point to the failure of BP to create an explicit and coherent long-term strategy, failure to create a direct and consistent one </w:t>
      </w:r>
      <w:r w:rsidR="004425F4" w:rsidRPr="00A03F2A">
        <w:rPr>
          <w:rFonts w:cs="Arial"/>
          <w:lang w:val="en-GB"/>
        </w:rPr>
        <w:t>has</w:t>
      </w:r>
      <w:r w:rsidRPr="00A03F2A">
        <w:rPr>
          <w:rFonts w:cs="Arial"/>
          <w:lang w:val="en-GB"/>
        </w:rPr>
        <w:t xml:space="preserve"> potentially undermine</w:t>
      </w:r>
      <w:r w:rsidR="004425F4" w:rsidRPr="00A03F2A">
        <w:rPr>
          <w:rFonts w:cs="Arial"/>
          <w:lang w:val="en-GB"/>
        </w:rPr>
        <w:t>d</w:t>
      </w:r>
      <w:r w:rsidRPr="00A03F2A">
        <w:rPr>
          <w:rFonts w:cs="Arial"/>
          <w:lang w:val="en-GB"/>
        </w:rPr>
        <w:t xml:space="preserve"> its competitive standing against the more focused competitors.</w:t>
      </w:r>
    </w:p>
    <w:p w14:paraId="2ADF8D97" w14:textId="77777777" w:rsidR="006E75F0" w:rsidRPr="00A03F2A" w:rsidRDefault="00E66B2E" w:rsidP="00A03F2A">
      <w:pPr>
        <w:pStyle w:val="Heading2"/>
        <w:rPr>
          <w:rFonts w:cs="Arial"/>
          <w:lang w:val="en-GB"/>
        </w:rPr>
      </w:pPr>
      <w:bookmarkStart w:id="15" w:name="_3eipj4agm1b1" w:colFirst="0" w:colLast="0"/>
      <w:bookmarkStart w:id="16" w:name="_Toc224807768"/>
      <w:bookmarkEnd w:id="15"/>
      <w:r w:rsidRPr="00A03F2A">
        <w:rPr>
          <w:rFonts w:cs="Arial"/>
          <w:lang w:val="en-GB"/>
        </w:rPr>
        <w:t>2.3 Internal Environment &amp; VRIO Analysis</w:t>
      </w:r>
      <w:bookmarkEnd w:id="16"/>
    </w:p>
    <w:tbl>
      <w:tblPr>
        <w:tblStyle w:val="TableGrid"/>
        <w:tblW w:w="0" w:type="auto"/>
        <w:tblLook w:val="04A0" w:firstRow="1" w:lastRow="0" w:firstColumn="1" w:lastColumn="0" w:noHBand="0" w:noVBand="1"/>
      </w:tblPr>
      <w:tblGrid>
        <w:gridCol w:w="1857"/>
        <w:gridCol w:w="1144"/>
        <w:gridCol w:w="1333"/>
        <w:gridCol w:w="1710"/>
        <w:gridCol w:w="1732"/>
        <w:gridCol w:w="1574"/>
      </w:tblGrid>
      <w:tr w:rsidR="00A504BA" w:rsidRPr="00A03F2A" w14:paraId="37FE4A5D" w14:textId="77777777" w:rsidTr="00A504BA">
        <w:tc>
          <w:tcPr>
            <w:tcW w:w="0" w:type="auto"/>
            <w:hideMark/>
          </w:tcPr>
          <w:p w14:paraId="384325CA" w14:textId="77777777" w:rsidR="00A504BA" w:rsidRPr="00A03F2A" w:rsidRDefault="00A504BA" w:rsidP="00A03F2A">
            <w:pPr>
              <w:spacing w:after="160" w:line="360" w:lineRule="auto"/>
              <w:rPr>
                <w:rFonts w:cs="Arial"/>
                <w:b/>
                <w:bCs/>
              </w:rPr>
            </w:pPr>
            <w:r w:rsidRPr="00A03F2A">
              <w:rPr>
                <w:rFonts w:cs="Arial"/>
                <w:b/>
                <w:bCs/>
              </w:rPr>
              <w:t>Resource / Capability</w:t>
            </w:r>
          </w:p>
        </w:tc>
        <w:tc>
          <w:tcPr>
            <w:tcW w:w="0" w:type="auto"/>
            <w:hideMark/>
          </w:tcPr>
          <w:p w14:paraId="030D7746" w14:textId="77777777" w:rsidR="00A504BA" w:rsidRPr="00A03F2A" w:rsidRDefault="00A504BA" w:rsidP="00A03F2A">
            <w:pPr>
              <w:spacing w:after="160" w:line="360" w:lineRule="auto"/>
              <w:rPr>
                <w:rFonts w:cs="Arial"/>
                <w:b/>
                <w:bCs/>
              </w:rPr>
            </w:pPr>
            <w:r w:rsidRPr="00A03F2A">
              <w:rPr>
                <w:rFonts w:cs="Arial"/>
                <w:b/>
                <w:bCs/>
              </w:rPr>
              <w:t>Value (V)</w:t>
            </w:r>
          </w:p>
        </w:tc>
        <w:tc>
          <w:tcPr>
            <w:tcW w:w="0" w:type="auto"/>
            <w:hideMark/>
          </w:tcPr>
          <w:p w14:paraId="36A57772" w14:textId="77777777" w:rsidR="00A504BA" w:rsidRPr="00A03F2A" w:rsidRDefault="00A504BA" w:rsidP="00A03F2A">
            <w:pPr>
              <w:spacing w:after="160" w:line="360" w:lineRule="auto"/>
              <w:rPr>
                <w:rFonts w:cs="Arial"/>
                <w:b/>
                <w:bCs/>
              </w:rPr>
            </w:pPr>
            <w:r w:rsidRPr="00A03F2A">
              <w:rPr>
                <w:rFonts w:cs="Arial"/>
                <w:b/>
                <w:bCs/>
              </w:rPr>
              <w:t>Rarity (R)</w:t>
            </w:r>
          </w:p>
        </w:tc>
        <w:tc>
          <w:tcPr>
            <w:tcW w:w="0" w:type="auto"/>
            <w:hideMark/>
          </w:tcPr>
          <w:p w14:paraId="04E4210B" w14:textId="77777777" w:rsidR="00A504BA" w:rsidRPr="00A03F2A" w:rsidRDefault="00A504BA" w:rsidP="00A03F2A">
            <w:pPr>
              <w:spacing w:after="160" w:line="360" w:lineRule="auto"/>
              <w:rPr>
                <w:rFonts w:cs="Arial"/>
                <w:b/>
                <w:bCs/>
              </w:rPr>
            </w:pPr>
            <w:r w:rsidRPr="00A03F2A">
              <w:rPr>
                <w:rFonts w:cs="Arial"/>
                <w:b/>
                <w:bCs/>
              </w:rPr>
              <w:t>Imitability (I)</w:t>
            </w:r>
          </w:p>
        </w:tc>
        <w:tc>
          <w:tcPr>
            <w:tcW w:w="0" w:type="auto"/>
            <w:hideMark/>
          </w:tcPr>
          <w:p w14:paraId="3ED45832" w14:textId="77777777" w:rsidR="00A504BA" w:rsidRPr="00A03F2A" w:rsidRDefault="00A504BA" w:rsidP="00A03F2A">
            <w:pPr>
              <w:spacing w:after="160" w:line="360" w:lineRule="auto"/>
              <w:rPr>
                <w:rFonts w:cs="Arial"/>
                <w:b/>
                <w:bCs/>
              </w:rPr>
            </w:pPr>
            <w:r w:rsidRPr="00A03F2A">
              <w:rPr>
                <w:rFonts w:cs="Arial"/>
                <w:b/>
                <w:bCs/>
              </w:rPr>
              <w:t>Organisation (O)</w:t>
            </w:r>
          </w:p>
        </w:tc>
        <w:tc>
          <w:tcPr>
            <w:tcW w:w="0" w:type="auto"/>
            <w:hideMark/>
          </w:tcPr>
          <w:p w14:paraId="73484EA7" w14:textId="77777777" w:rsidR="00A504BA" w:rsidRPr="00A03F2A" w:rsidRDefault="00A504BA" w:rsidP="00A03F2A">
            <w:pPr>
              <w:spacing w:after="160" w:line="360" w:lineRule="auto"/>
              <w:rPr>
                <w:rFonts w:cs="Arial"/>
                <w:b/>
                <w:bCs/>
              </w:rPr>
            </w:pPr>
            <w:r w:rsidRPr="00A03F2A">
              <w:rPr>
                <w:rFonts w:cs="Arial"/>
                <w:b/>
                <w:bCs/>
              </w:rPr>
              <w:t>Result</w:t>
            </w:r>
          </w:p>
        </w:tc>
      </w:tr>
      <w:tr w:rsidR="00A504BA" w:rsidRPr="00A03F2A" w14:paraId="2AD6C4B2" w14:textId="77777777" w:rsidTr="00A504BA">
        <w:tc>
          <w:tcPr>
            <w:tcW w:w="0" w:type="auto"/>
            <w:hideMark/>
          </w:tcPr>
          <w:p w14:paraId="3177A8A1" w14:textId="77777777" w:rsidR="00A504BA" w:rsidRPr="00A03F2A" w:rsidRDefault="00A504BA" w:rsidP="00A03F2A">
            <w:pPr>
              <w:spacing w:after="160" w:line="360" w:lineRule="auto"/>
              <w:rPr>
                <w:rFonts w:cs="Arial"/>
              </w:rPr>
            </w:pPr>
            <w:r w:rsidRPr="00A03F2A">
              <w:rPr>
                <w:rFonts w:cs="Arial"/>
              </w:rPr>
              <w:t>Global oil &amp; gas infrastructure</w:t>
            </w:r>
          </w:p>
        </w:tc>
        <w:tc>
          <w:tcPr>
            <w:tcW w:w="0" w:type="auto"/>
            <w:hideMark/>
          </w:tcPr>
          <w:p w14:paraId="568CEFF8"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High</w:t>
            </w:r>
          </w:p>
        </w:tc>
        <w:tc>
          <w:tcPr>
            <w:tcW w:w="0" w:type="auto"/>
            <w:hideMark/>
          </w:tcPr>
          <w:p w14:paraId="77DEE1DF"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Moderate</w:t>
            </w:r>
          </w:p>
        </w:tc>
        <w:tc>
          <w:tcPr>
            <w:tcW w:w="0" w:type="auto"/>
            <w:hideMark/>
          </w:tcPr>
          <w:p w14:paraId="3C8C0D9D"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Imitable (capital-intensive)</w:t>
            </w:r>
          </w:p>
        </w:tc>
        <w:tc>
          <w:tcPr>
            <w:tcW w:w="0" w:type="auto"/>
            <w:hideMark/>
          </w:tcPr>
          <w:p w14:paraId="63F32590"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Strong</w:t>
            </w:r>
          </w:p>
        </w:tc>
        <w:tc>
          <w:tcPr>
            <w:tcW w:w="0" w:type="auto"/>
            <w:hideMark/>
          </w:tcPr>
          <w:p w14:paraId="01F4E3E0" w14:textId="77777777" w:rsidR="00A504BA" w:rsidRPr="00A03F2A" w:rsidRDefault="00A504BA" w:rsidP="00A03F2A">
            <w:pPr>
              <w:spacing w:after="160" w:line="360" w:lineRule="auto"/>
              <w:rPr>
                <w:rFonts w:cs="Arial"/>
              </w:rPr>
            </w:pPr>
            <w:r w:rsidRPr="00A03F2A">
              <w:rPr>
                <w:rFonts w:cs="Arial"/>
              </w:rPr>
              <w:t>Temporary advantage</w:t>
            </w:r>
          </w:p>
        </w:tc>
      </w:tr>
      <w:tr w:rsidR="00A504BA" w:rsidRPr="00A03F2A" w14:paraId="6461CD7E" w14:textId="77777777" w:rsidTr="00A504BA">
        <w:tc>
          <w:tcPr>
            <w:tcW w:w="0" w:type="auto"/>
            <w:hideMark/>
          </w:tcPr>
          <w:p w14:paraId="0C449C9D" w14:textId="77777777" w:rsidR="00A504BA" w:rsidRPr="00A03F2A" w:rsidRDefault="00A504BA" w:rsidP="00A03F2A">
            <w:pPr>
              <w:spacing w:after="160" w:line="360" w:lineRule="auto"/>
              <w:rPr>
                <w:rFonts w:cs="Arial"/>
              </w:rPr>
            </w:pPr>
            <w:r w:rsidRPr="00A03F2A">
              <w:rPr>
                <w:rFonts w:cs="Arial"/>
              </w:rPr>
              <w:lastRenderedPageBreak/>
              <w:t>Financial strength &amp; cash flow</w:t>
            </w:r>
          </w:p>
        </w:tc>
        <w:tc>
          <w:tcPr>
            <w:tcW w:w="0" w:type="auto"/>
            <w:hideMark/>
          </w:tcPr>
          <w:p w14:paraId="3F38E324"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High</w:t>
            </w:r>
          </w:p>
        </w:tc>
        <w:tc>
          <w:tcPr>
            <w:tcW w:w="0" w:type="auto"/>
            <w:hideMark/>
          </w:tcPr>
          <w:p w14:paraId="046EA716"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Not rare</w:t>
            </w:r>
          </w:p>
        </w:tc>
        <w:tc>
          <w:tcPr>
            <w:tcW w:w="0" w:type="auto"/>
            <w:hideMark/>
          </w:tcPr>
          <w:p w14:paraId="240CA3A7"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Easily replicated by competitors</w:t>
            </w:r>
          </w:p>
        </w:tc>
        <w:tc>
          <w:tcPr>
            <w:tcW w:w="0" w:type="auto"/>
            <w:hideMark/>
          </w:tcPr>
          <w:p w14:paraId="13EEFB0A"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Strong</w:t>
            </w:r>
          </w:p>
        </w:tc>
        <w:tc>
          <w:tcPr>
            <w:tcW w:w="0" w:type="auto"/>
            <w:hideMark/>
          </w:tcPr>
          <w:p w14:paraId="5221590B" w14:textId="77777777" w:rsidR="00A504BA" w:rsidRPr="00A03F2A" w:rsidRDefault="00A504BA" w:rsidP="00A03F2A">
            <w:pPr>
              <w:spacing w:after="160" w:line="360" w:lineRule="auto"/>
              <w:rPr>
                <w:rFonts w:cs="Arial"/>
              </w:rPr>
            </w:pPr>
            <w:r w:rsidRPr="00A03F2A">
              <w:rPr>
                <w:rFonts w:cs="Arial"/>
              </w:rPr>
              <w:t>Competitive parity</w:t>
            </w:r>
          </w:p>
        </w:tc>
      </w:tr>
      <w:tr w:rsidR="00A504BA" w:rsidRPr="00A03F2A" w14:paraId="29EDC456" w14:textId="77777777" w:rsidTr="00A504BA">
        <w:tc>
          <w:tcPr>
            <w:tcW w:w="0" w:type="auto"/>
            <w:hideMark/>
          </w:tcPr>
          <w:p w14:paraId="17153417" w14:textId="77777777" w:rsidR="00A504BA" w:rsidRPr="00A03F2A" w:rsidRDefault="00A504BA" w:rsidP="00A03F2A">
            <w:pPr>
              <w:spacing w:after="160" w:line="360" w:lineRule="auto"/>
              <w:rPr>
                <w:rFonts w:cs="Arial"/>
              </w:rPr>
            </w:pPr>
            <w:r w:rsidRPr="00A03F2A">
              <w:rPr>
                <w:rFonts w:cs="Arial"/>
              </w:rPr>
              <w:t>Renewable energy portfolio</w:t>
            </w:r>
          </w:p>
        </w:tc>
        <w:tc>
          <w:tcPr>
            <w:tcW w:w="0" w:type="auto"/>
            <w:hideMark/>
          </w:tcPr>
          <w:p w14:paraId="237C1D9D"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Growing</w:t>
            </w:r>
          </w:p>
        </w:tc>
        <w:tc>
          <w:tcPr>
            <w:tcW w:w="0" w:type="auto"/>
            <w:hideMark/>
          </w:tcPr>
          <w:p w14:paraId="6B88DFE8"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Relatively rare</w:t>
            </w:r>
          </w:p>
        </w:tc>
        <w:tc>
          <w:tcPr>
            <w:tcW w:w="0" w:type="auto"/>
            <w:hideMark/>
          </w:tcPr>
          <w:p w14:paraId="7D02B93E"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Increasingly imitable</w:t>
            </w:r>
          </w:p>
        </w:tc>
        <w:tc>
          <w:tcPr>
            <w:tcW w:w="0" w:type="auto"/>
            <w:hideMark/>
          </w:tcPr>
          <w:p w14:paraId="6C898A5D"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Developing</w:t>
            </w:r>
          </w:p>
        </w:tc>
        <w:tc>
          <w:tcPr>
            <w:tcW w:w="0" w:type="auto"/>
            <w:hideMark/>
          </w:tcPr>
          <w:p w14:paraId="738E01F3" w14:textId="77777777" w:rsidR="00A504BA" w:rsidRPr="00A03F2A" w:rsidRDefault="00A504BA" w:rsidP="00A03F2A">
            <w:pPr>
              <w:spacing w:after="160" w:line="360" w:lineRule="auto"/>
              <w:rPr>
                <w:rFonts w:cs="Arial"/>
              </w:rPr>
            </w:pPr>
            <w:r w:rsidRPr="00A03F2A">
              <w:rPr>
                <w:rFonts w:cs="Arial"/>
              </w:rPr>
              <w:t>Temporary advantage</w:t>
            </w:r>
          </w:p>
        </w:tc>
      </w:tr>
      <w:tr w:rsidR="00A504BA" w:rsidRPr="00A03F2A" w14:paraId="37959AF9" w14:textId="77777777" w:rsidTr="00A504BA">
        <w:tc>
          <w:tcPr>
            <w:tcW w:w="0" w:type="auto"/>
            <w:hideMark/>
          </w:tcPr>
          <w:p w14:paraId="2191D0DD" w14:textId="77777777" w:rsidR="00A504BA" w:rsidRPr="00A03F2A" w:rsidRDefault="00A504BA" w:rsidP="00A03F2A">
            <w:pPr>
              <w:spacing w:after="160" w:line="360" w:lineRule="auto"/>
              <w:rPr>
                <w:rFonts w:cs="Arial"/>
              </w:rPr>
            </w:pPr>
            <w:r w:rsidRPr="00A03F2A">
              <w:rPr>
                <w:rFonts w:cs="Arial"/>
              </w:rPr>
              <w:t>Brand &amp; global presence</w:t>
            </w:r>
          </w:p>
        </w:tc>
        <w:tc>
          <w:tcPr>
            <w:tcW w:w="0" w:type="auto"/>
            <w:hideMark/>
          </w:tcPr>
          <w:p w14:paraId="72067BE8"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High</w:t>
            </w:r>
          </w:p>
        </w:tc>
        <w:tc>
          <w:tcPr>
            <w:tcW w:w="0" w:type="auto"/>
            <w:hideMark/>
          </w:tcPr>
          <w:p w14:paraId="7DCC7A60"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Rare</w:t>
            </w:r>
          </w:p>
        </w:tc>
        <w:tc>
          <w:tcPr>
            <w:tcW w:w="0" w:type="auto"/>
            <w:hideMark/>
          </w:tcPr>
          <w:p w14:paraId="287FA1E6"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Difficult to imitate</w:t>
            </w:r>
          </w:p>
        </w:tc>
        <w:tc>
          <w:tcPr>
            <w:tcW w:w="0" w:type="auto"/>
            <w:hideMark/>
          </w:tcPr>
          <w:p w14:paraId="4372B31F"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Strong</w:t>
            </w:r>
          </w:p>
        </w:tc>
        <w:tc>
          <w:tcPr>
            <w:tcW w:w="0" w:type="auto"/>
            <w:hideMark/>
          </w:tcPr>
          <w:p w14:paraId="224E7971" w14:textId="77777777" w:rsidR="00A504BA" w:rsidRPr="00A03F2A" w:rsidRDefault="00A504BA" w:rsidP="00A03F2A">
            <w:pPr>
              <w:spacing w:after="160" w:line="360" w:lineRule="auto"/>
              <w:rPr>
                <w:rFonts w:cs="Arial"/>
              </w:rPr>
            </w:pPr>
            <w:r w:rsidRPr="00A03F2A">
              <w:rPr>
                <w:rFonts w:cs="Arial"/>
              </w:rPr>
              <w:t>Sustained advantage</w:t>
            </w:r>
          </w:p>
        </w:tc>
      </w:tr>
      <w:tr w:rsidR="00A504BA" w:rsidRPr="00A03F2A" w14:paraId="6E31963E" w14:textId="77777777" w:rsidTr="00A504BA">
        <w:tc>
          <w:tcPr>
            <w:tcW w:w="0" w:type="auto"/>
            <w:hideMark/>
          </w:tcPr>
          <w:p w14:paraId="016721C5" w14:textId="77777777" w:rsidR="00A504BA" w:rsidRPr="00A03F2A" w:rsidRDefault="00A504BA" w:rsidP="00A03F2A">
            <w:pPr>
              <w:spacing w:after="160" w:line="360" w:lineRule="auto"/>
              <w:rPr>
                <w:rFonts w:cs="Arial"/>
              </w:rPr>
            </w:pPr>
            <w:r w:rsidRPr="00A03F2A">
              <w:rPr>
                <w:rFonts w:cs="Arial"/>
              </w:rPr>
              <w:t>Technical expertise (energy operations)</w:t>
            </w:r>
          </w:p>
        </w:tc>
        <w:tc>
          <w:tcPr>
            <w:tcW w:w="0" w:type="auto"/>
            <w:hideMark/>
          </w:tcPr>
          <w:p w14:paraId="6C8737D7"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High</w:t>
            </w:r>
          </w:p>
        </w:tc>
        <w:tc>
          <w:tcPr>
            <w:tcW w:w="0" w:type="auto"/>
            <w:hideMark/>
          </w:tcPr>
          <w:p w14:paraId="1A761291"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Moderate</w:t>
            </w:r>
          </w:p>
        </w:tc>
        <w:tc>
          <w:tcPr>
            <w:tcW w:w="0" w:type="auto"/>
            <w:hideMark/>
          </w:tcPr>
          <w:p w14:paraId="3EB3136D"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Partially imitable</w:t>
            </w:r>
          </w:p>
        </w:tc>
        <w:tc>
          <w:tcPr>
            <w:tcW w:w="0" w:type="auto"/>
            <w:hideMark/>
          </w:tcPr>
          <w:p w14:paraId="76FD12C3" w14:textId="77777777" w:rsidR="00A504BA" w:rsidRPr="00A03F2A" w:rsidRDefault="00A504BA" w:rsidP="00A03F2A">
            <w:pPr>
              <w:spacing w:after="160" w:line="360" w:lineRule="auto"/>
              <w:rPr>
                <w:rFonts w:cs="Arial"/>
              </w:rPr>
            </w:pPr>
            <w:r w:rsidRPr="00A03F2A">
              <w:rPr>
                <w:rFonts w:ascii="Segoe UI Emoji" w:hAnsi="Segoe UI Emoji" w:cs="Segoe UI Emoji"/>
              </w:rPr>
              <w:t>✔</w:t>
            </w:r>
            <w:r w:rsidRPr="00A03F2A">
              <w:rPr>
                <w:rFonts w:cs="Arial"/>
              </w:rPr>
              <w:t xml:space="preserve"> Strong</w:t>
            </w:r>
          </w:p>
        </w:tc>
        <w:tc>
          <w:tcPr>
            <w:tcW w:w="0" w:type="auto"/>
            <w:hideMark/>
          </w:tcPr>
          <w:p w14:paraId="65C5BEB2" w14:textId="77777777" w:rsidR="00A504BA" w:rsidRPr="00A03F2A" w:rsidRDefault="00A504BA" w:rsidP="00A03F2A">
            <w:pPr>
              <w:spacing w:after="160" w:line="360" w:lineRule="auto"/>
              <w:rPr>
                <w:rFonts w:cs="Arial"/>
              </w:rPr>
            </w:pPr>
            <w:r w:rsidRPr="00A03F2A">
              <w:rPr>
                <w:rFonts w:cs="Arial"/>
              </w:rPr>
              <w:t>Temporary advantage</w:t>
            </w:r>
          </w:p>
        </w:tc>
      </w:tr>
    </w:tbl>
    <w:p w14:paraId="1967A575" w14:textId="6E334085" w:rsidR="00A504BA" w:rsidRPr="00A03F2A" w:rsidRDefault="00A504BA" w:rsidP="00A03F2A">
      <w:pPr>
        <w:jc w:val="center"/>
        <w:rPr>
          <w:rFonts w:cs="Arial"/>
          <w:b/>
          <w:bCs/>
          <w:lang w:val="en-GB"/>
        </w:rPr>
      </w:pPr>
      <w:r w:rsidRPr="00A03F2A">
        <w:rPr>
          <w:rFonts w:cs="Arial"/>
          <w:b/>
          <w:bCs/>
          <w:lang w:val="en-GB"/>
        </w:rPr>
        <w:t>Table 2: VRIO</w:t>
      </w:r>
    </w:p>
    <w:p w14:paraId="2E7A21D7" w14:textId="5E737FF3" w:rsidR="00A504BA" w:rsidRPr="00A03F2A" w:rsidRDefault="00A504BA" w:rsidP="00A03F2A">
      <w:pPr>
        <w:jc w:val="center"/>
        <w:rPr>
          <w:rFonts w:cs="Arial"/>
          <w:lang w:val="en-GB"/>
        </w:rPr>
      </w:pPr>
      <w:r w:rsidRPr="00A03F2A">
        <w:rPr>
          <w:rFonts w:cs="Arial"/>
          <w:lang w:val="en-GB"/>
        </w:rPr>
        <w:t>(Source: Self-developed)</w:t>
      </w:r>
    </w:p>
    <w:p w14:paraId="537964E6" w14:textId="51770F23" w:rsidR="006E75F0" w:rsidRPr="00A03F2A" w:rsidRDefault="00E66B2E" w:rsidP="00A03F2A">
      <w:pPr>
        <w:rPr>
          <w:rFonts w:cs="Arial"/>
          <w:lang w:val="en-GB"/>
        </w:rPr>
      </w:pPr>
      <w:r w:rsidRPr="00A03F2A">
        <w:rPr>
          <w:rFonts w:cs="Arial"/>
          <w:lang w:val="en-GB"/>
        </w:rPr>
        <w:t>BP's internal environment is characterised by high financial assets, international infrastructure and extensive technical know-how, which in the past helped the company to be efficient in its operations and produce energy on a huge scale</w:t>
      </w:r>
      <w:r w:rsidR="004425F4" w:rsidRPr="00A03F2A">
        <w:rPr>
          <w:rFonts w:cs="Arial"/>
          <w:lang w:val="en-GB"/>
        </w:rPr>
        <w:t xml:space="preserve"> (BP, 2026)</w:t>
      </w:r>
      <w:r w:rsidRPr="00A03F2A">
        <w:rPr>
          <w:rFonts w:cs="Arial"/>
          <w:lang w:val="en-GB"/>
        </w:rPr>
        <w:t xml:space="preserve">. </w:t>
      </w:r>
      <w:r w:rsidR="005C5B23" w:rsidRPr="00A03F2A">
        <w:rPr>
          <w:rFonts w:cs="Arial"/>
          <w:lang w:val="en-GB"/>
        </w:rPr>
        <w:t>T</w:t>
      </w:r>
      <w:r w:rsidRPr="00A03F2A">
        <w:rPr>
          <w:rFonts w:cs="Arial"/>
          <w:lang w:val="en-GB"/>
        </w:rPr>
        <w:t xml:space="preserve">he VRIO framework application shows that most of these resources present short-term competitive advantages </w:t>
      </w:r>
      <w:r w:rsidR="00E3115D" w:rsidRPr="00A03F2A">
        <w:rPr>
          <w:rFonts w:cs="Arial"/>
          <w:lang w:val="en-GB"/>
        </w:rPr>
        <w:t xml:space="preserve">that </w:t>
      </w:r>
      <w:r w:rsidRPr="00A03F2A">
        <w:rPr>
          <w:rFonts w:cs="Arial"/>
          <w:lang w:val="en-GB"/>
        </w:rPr>
        <w:t>are either extensively distributed throughout the industry or can be duplicated by competitors in their capital base.</w:t>
      </w:r>
      <w:r w:rsidR="00E3115D" w:rsidRPr="00A03F2A">
        <w:rPr>
          <w:rFonts w:cs="Arial"/>
          <w:lang w:val="en-GB"/>
        </w:rPr>
        <w:t xml:space="preserve"> Most significantly, </w:t>
      </w:r>
      <w:r w:rsidRPr="00A03F2A">
        <w:rPr>
          <w:rFonts w:cs="Arial"/>
          <w:lang w:val="en-GB"/>
        </w:rPr>
        <w:t>the global brand name and market coverage of BP is a lasting competitive advantage since reputational resources and known networks are hard to replicate. However, the oil and gas operations based on their traditional core competencies no longer have as high a strategic value to the firm as they did in the energy transition context. According to Dagnino et al. (2021), valuable, rare and hard-to-copy resources are essential in terms of long-term advantage, but the resources in BP's legacy capabilities fall short of that in new renewable markets. Therefore, the competitive status of BP is identified by its ability to reorganise its capabilities in relation to low-carbon technologies, the lack of which can lead to the reduction of its strategic competitiveness.</w:t>
      </w:r>
    </w:p>
    <w:p w14:paraId="7320A325" w14:textId="77777777" w:rsidR="006E75F0" w:rsidRPr="00A03F2A" w:rsidRDefault="00E66B2E" w:rsidP="00A03F2A">
      <w:pPr>
        <w:pStyle w:val="Heading2"/>
        <w:rPr>
          <w:rFonts w:cs="Arial"/>
          <w:lang w:val="en-GB"/>
        </w:rPr>
      </w:pPr>
      <w:bookmarkStart w:id="17" w:name="_x2s1yegf4c63" w:colFirst="0" w:colLast="0"/>
      <w:bookmarkStart w:id="18" w:name="_Toc224807769"/>
      <w:bookmarkEnd w:id="17"/>
      <w:r w:rsidRPr="00A03F2A">
        <w:rPr>
          <w:rFonts w:cs="Arial"/>
          <w:lang w:val="en-GB"/>
        </w:rPr>
        <w:lastRenderedPageBreak/>
        <w:t>2.4 Internal Strengths Promote Competitive Advantage</w:t>
      </w:r>
      <w:bookmarkEnd w:id="18"/>
    </w:p>
    <w:p w14:paraId="4CA7FC1C" w14:textId="66CD0ED0" w:rsidR="00E3115D" w:rsidRPr="00A03F2A" w:rsidRDefault="00E66B2E" w:rsidP="00A03F2A">
      <w:pPr>
        <w:jc w:val="center"/>
        <w:rPr>
          <w:rFonts w:cs="Arial"/>
          <w:lang w:val="en-GB"/>
        </w:rPr>
      </w:pPr>
      <w:r w:rsidRPr="00A03F2A">
        <w:rPr>
          <w:rFonts w:cs="Arial"/>
          <w:noProof/>
          <w:lang w:val="en-GB"/>
        </w:rPr>
        <w:drawing>
          <wp:inline distT="114300" distB="114300" distL="114300" distR="114300" wp14:anchorId="1E1727EE" wp14:editId="56E5825A">
            <wp:extent cx="6229350" cy="3324225"/>
            <wp:effectExtent l="0" t="0" r="0" b="952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6231061" cy="3325138"/>
                    </a:xfrm>
                    <a:prstGeom prst="rect">
                      <a:avLst/>
                    </a:prstGeom>
                    <a:ln/>
                  </pic:spPr>
                </pic:pic>
              </a:graphicData>
            </a:graphic>
          </wp:inline>
        </w:drawing>
      </w:r>
    </w:p>
    <w:p w14:paraId="5FEA871B" w14:textId="1C32FE81" w:rsidR="00B36BE1" w:rsidRPr="00A03F2A" w:rsidRDefault="00B36BE1" w:rsidP="00A03F2A">
      <w:pPr>
        <w:jc w:val="center"/>
        <w:rPr>
          <w:rFonts w:cs="Arial"/>
          <w:lang w:val="en-GB"/>
        </w:rPr>
      </w:pPr>
      <w:r w:rsidRPr="00A03F2A">
        <w:rPr>
          <w:rFonts w:cs="Arial"/>
          <w:noProof/>
          <w:lang w:val="en-GB"/>
        </w:rPr>
        <w:drawing>
          <wp:inline distT="0" distB="0" distL="0" distR="0" wp14:anchorId="373B5B1C" wp14:editId="01E46F32">
            <wp:extent cx="1933575" cy="280790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48059"/>
                    <a:stretch/>
                  </pic:blipFill>
                  <pic:spPr bwMode="auto">
                    <a:xfrm>
                      <a:off x="0" y="0"/>
                      <a:ext cx="1938334" cy="2814813"/>
                    </a:xfrm>
                    <a:prstGeom prst="rect">
                      <a:avLst/>
                    </a:prstGeom>
                    <a:ln>
                      <a:noFill/>
                    </a:ln>
                    <a:extLst>
                      <a:ext uri="{53640926-AAD7-44D8-BBD7-CCE9431645EC}">
                        <a14:shadowObscured xmlns:a14="http://schemas.microsoft.com/office/drawing/2010/main"/>
                      </a:ext>
                    </a:extLst>
                  </pic:spPr>
                </pic:pic>
              </a:graphicData>
            </a:graphic>
          </wp:inline>
        </w:drawing>
      </w:r>
      <w:r w:rsidRPr="00A03F2A">
        <w:rPr>
          <w:rFonts w:cs="Arial"/>
          <w:lang w:val="en-GB"/>
        </w:rPr>
        <w:t xml:space="preserve">      </w:t>
      </w:r>
      <w:r w:rsidRPr="00A03F2A">
        <w:rPr>
          <w:rFonts w:cs="Arial"/>
          <w:noProof/>
          <w:lang w:val="en-GB"/>
        </w:rPr>
        <w:drawing>
          <wp:inline distT="0" distB="0" distL="0" distR="0" wp14:anchorId="0E00C60E" wp14:editId="113E8CB2">
            <wp:extent cx="2028825" cy="274764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51560"/>
                    <a:stretch/>
                  </pic:blipFill>
                  <pic:spPr bwMode="auto">
                    <a:xfrm>
                      <a:off x="0" y="0"/>
                      <a:ext cx="2033758" cy="2754330"/>
                    </a:xfrm>
                    <a:prstGeom prst="rect">
                      <a:avLst/>
                    </a:prstGeom>
                    <a:ln>
                      <a:noFill/>
                    </a:ln>
                    <a:extLst>
                      <a:ext uri="{53640926-AAD7-44D8-BBD7-CCE9431645EC}">
                        <a14:shadowObscured xmlns:a14="http://schemas.microsoft.com/office/drawing/2010/main"/>
                      </a:ext>
                    </a:extLst>
                  </pic:spPr>
                </pic:pic>
              </a:graphicData>
            </a:graphic>
          </wp:inline>
        </w:drawing>
      </w:r>
    </w:p>
    <w:p w14:paraId="376BB4F0" w14:textId="77777777" w:rsidR="00B36BE1" w:rsidRPr="00A03F2A" w:rsidRDefault="00B36BE1" w:rsidP="00A03F2A">
      <w:pPr>
        <w:jc w:val="center"/>
        <w:rPr>
          <w:rFonts w:cs="Arial"/>
          <w:b/>
          <w:bCs/>
          <w:lang w:val="en-GB"/>
        </w:rPr>
      </w:pPr>
      <w:r w:rsidRPr="00A03F2A">
        <w:rPr>
          <w:rFonts w:cs="Arial"/>
          <w:b/>
          <w:bCs/>
          <w:lang w:val="en-GB"/>
        </w:rPr>
        <w:t>Figure 3: (a) 2024 at a glance, (b) Performance in 2025</w:t>
      </w:r>
    </w:p>
    <w:p w14:paraId="3A09316E" w14:textId="77777777" w:rsidR="00B36BE1" w:rsidRPr="00A03F2A" w:rsidRDefault="00B36BE1" w:rsidP="00A03F2A">
      <w:pPr>
        <w:jc w:val="center"/>
        <w:rPr>
          <w:rFonts w:cs="Arial"/>
          <w:lang w:val="en-GB"/>
        </w:rPr>
      </w:pPr>
      <w:r w:rsidRPr="00A03F2A">
        <w:rPr>
          <w:rFonts w:cs="Arial"/>
          <w:lang w:val="en-GB"/>
        </w:rPr>
        <w:t>(Source: BP, 2024; BP, 2026)</w:t>
      </w:r>
    </w:p>
    <w:p w14:paraId="7FB56850" w14:textId="106A5DBB" w:rsidR="006E75F0" w:rsidRPr="00A03F2A" w:rsidRDefault="00E66B2E" w:rsidP="00A03F2A">
      <w:pPr>
        <w:rPr>
          <w:rFonts w:cs="Arial"/>
          <w:lang w:val="en-GB"/>
        </w:rPr>
      </w:pPr>
      <w:r w:rsidRPr="00A03F2A">
        <w:rPr>
          <w:rFonts w:cs="Arial"/>
          <w:lang w:val="en-GB"/>
        </w:rPr>
        <w:t xml:space="preserve">Internal competencies at BP play a vital role in its competitive edge, especially in terms of scale, financial ability, and the presence of integrated operations. With </w:t>
      </w:r>
      <w:r w:rsidR="00B36BE1" w:rsidRPr="00A03F2A">
        <w:rPr>
          <w:rFonts w:cs="Arial"/>
          <w:lang w:val="en-GB"/>
        </w:rPr>
        <w:t xml:space="preserve">operations </w:t>
      </w:r>
      <w:r w:rsidRPr="00A03F2A">
        <w:rPr>
          <w:rFonts w:cs="Arial"/>
          <w:lang w:val="en-GB"/>
        </w:rPr>
        <w:t xml:space="preserve">in 61 countries, BP is capable of attaining economies of scale and has great market access of over 2.4 million barrels of oil equivalent daily (BP, 2024). This scale will help BP to yield </w:t>
      </w:r>
      <w:r w:rsidRPr="00A03F2A">
        <w:rPr>
          <w:rFonts w:cs="Arial"/>
          <w:lang w:val="en-GB"/>
        </w:rPr>
        <w:lastRenderedPageBreak/>
        <w:t xml:space="preserve">high cash flow, </w:t>
      </w:r>
      <w:r w:rsidR="00B36BE1" w:rsidRPr="00A03F2A">
        <w:rPr>
          <w:rFonts w:cs="Arial"/>
          <w:lang w:val="en-GB"/>
        </w:rPr>
        <w:t>which</w:t>
      </w:r>
      <w:r w:rsidRPr="00A03F2A">
        <w:rPr>
          <w:rFonts w:cs="Arial"/>
          <w:lang w:val="en-GB"/>
        </w:rPr>
        <w:t xml:space="preserve"> plays a significant role in financing both fossil and renewable investments.</w:t>
      </w:r>
      <w:r w:rsidR="00B36BE1" w:rsidRPr="00A03F2A">
        <w:rPr>
          <w:rFonts w:cs="Arial"/>
          <w:lang w:val="en-GB"/>
        </w:rPr>
        <w:t xml:space="preserve"> The above figure, however, shows its employee base to reduce to 93,700 in 2025 from 100,500 (2024) (BP, 2026).</w:t>
      </w:r>
      <w:r w:rsidR="008F1D03" w:rsidRPr="00A03F2A">
        <w:rPr>
          <w:rFonts w:cs="Arial"/>
          <w:lang w:val="en-GB"/>
        </w:rPr>
        <w:t xml:space="preserve"> </w:t>
      </w:r>
      <w:r w:rsidRPr="00A03F2A">
        <w:rPr>
          <w:rFonts w:cs="Arial"/>
          <w:lang w:val="en-GB"/>
        </w:rPr>
        <w:t xml:space="preserve">Also, BP enhances its strategic position in the energy transition by managing an increasing portfolio of renewables, and has a pipeline of more than 60.6 GW of projects (BP, 2023). Nevertheless, this benefit is restrained by strategic inconsistency, as the company has recently cut its investment in renewable energy to </w:t>
      </w:r>
      <w:r w:rsidR="00FB4917" w:rsidRPr="00A03F2A">
        <w:rPr>
          <w:rFonts w:cs="Arial"/>
          <w:lang w:val="en-GB"/>
        </w:rPr>
        <w:t>$</w:t>
      </w:r>
      <w:r w:rsidRPr="00A03F2A">
        <w:rPr>
          <w:rFonts w:cs="Arial"/>
          <w:lang w:val="en-GB"/>
        </w:rPr>
        <w:t>5 billion</w:t>
      </w:r>
      <w:r w:rsidR="00FB4917" w:rsidRPr="00A03F2A">
        <w:rPr>
          <w:rFonts w:cs="Arial"/>
          <w:lang w:val="en-GB"/>
        </w:rPr>
        <w:t xml:space="preserve"> due to</w:t>
      </w:r>
      <w:r w:rsidRPr="00A03F2A">
        <w:rPr>
          <w:rFonts w:cs="Arial"/>
          <w:lang w:val="en-GB"/>
        </w:rPr>
        <w:t xml:space="preserve"> </w:t>
      </w:r>
      <w:r w:rsidR="00FB4917" w:rsidRPr="00A03F2A">
        <w:rPr>
          <w:rFonts w:cs="Arial"/>
          <w:lang w:val="en-GB"/>
        </w:rPr>
        <w:t xml:space="preserve">annual </w:t>
      </w:r>
      <w:r w:rsidRPr="00A03F2A">
        <w:rPr>
          <w:rFonts w:cs="Arial"/>
          <w:lang w:val="en-GB"/>
        </w:rPr>
        <w:t xml:space="preserve">investments of about </w:t>
      </w:r>
      <w:r w:rsidR="00B36BE1" w:rsidRPr="00A03F2A">
        <w:rPr>
          <w:rFonts w:cs="Arial"/>
          <w:lang w:val="en-GB"/>
        </w:rPr>
        <w:t>$</w:t>
      </w:r>
      <w:r w:rsidRPr="00A03F2A">
        <w:rPr>
          <w:rFonts w:cs="Arial"/>
          <w:lang w:val="en-GB"/>
        </w:rPr>
        <w:t>10 billion in oil and gas (Reuters, 2025). Thus, although internal strengths can give BP a short-term competitive edge, they are not sustainable</w:t>
      </w:r>
      <w:r w:rsidR="00F667E1" w:rsidRPr="00A03F2A">
        <w:rPr>
          <w:rFonts w:cs="Arial"/>
          <w:lang w:val="en-GB"/>
        </w:rPr>
        <w:t xml:space="preserve">. Because </w:t>
      </w:r>
      <w:r w:rsidRPr="00A03F2A">
        <w:rPr>
          <w:rFonts w:cs="Arial"/>
          <w:lang w:val="en-GB"/>
        </w:rPr>
        <w:t xml:space="preserve">focus on the revenues of fossil fuel might weaken </w:t>
      </w:r>
      <w:r w:rsidR="00F667E1" w:rsidRPr="00A03F2A">
        <w:rPr>
          <w:rFonts w:cs="Arial"/>
          <w:lang w:val="en-GB"/>
        </w:rPr>
        <w:t>BP</w:t>
      </w:r>
      <w:r w:rsidRPr="00A03F2A">
        <w:rPr>
          <w:rFonts w:cs="Arial"/>
          <w:lang w:val="en-GB"/>
        </w:rPr>
        <w:t xml:space="preserve"> in the long-term perspective of embedding in an increasingly low-carbon energy market.</w:t>
      </w:r>
    </w:p>
    <w:p w14:paraId="6D6FBA79" w14:textId="77777777" w:rsidR="006E75F0" w:rsidRPr="00A03F2A" w:rsidRDefault="00E66B2E" w:rsidP="00A03F2A">
      <w:pPr>
        <w:pStyle w:val="Heading1"/>
        <w:rPr>
          <w:rFonts w:cs="Arial"/>
          <w:lang w:val="en-GB"/>
        </w:rPr>
      </w:pPr>
      <w:bookmarkStart w:id="19" w:name="_sfglcntijo36" w:colFirst="0" w:colLast="0"/>
      <w:bookmarkStart w:id="20" w:name="_Toc224807770"/>
      <w:bookmarkEnd w:id="19"/>
      <w:r w:rsidRPr="00A03F2A">
        <w:rPr>
          <w:rFonts w:cs="Arial"/>
          <w:lang w:val="en-GB"/>
        </w:rPr>
        <w:t>3. CSR and Sustainability Objectives</w:t>
      </w:r>
      <w:bookmarkEnd w:id="20"/>
    </w:p>
    <w:p w14:paraId="415CF2F4" w14:textId="7E00C868" w:rsidR="006E75F0" w:rsidRPr="00A03F2A" w:rsidRDefault="00E66B2E" w:rsidP="00A03F2A">
      <w:pPr>
        <w:rPr>
          <w:rFonts w:cs="Arial"/>
          <w:lang w:val="en-GB"/>
        </w:rPr>
      </w:pPr>
      <w:r w:rsidRPr="00A03F2A">
        <w:rPr>
          <w:rFonts w:cs="Arial"/>
          <w:lang w:val="en-GB"/>
        </w:rPr>
        <w:t xml:space="preserve">CSR strategy of BP indicates a compound and inside-out contradictory orientation of the company with its fundamental business goals. The company is publicly pledging to reach net-zero emissions by 2050, and it is recorded to have been making visible strides with a 38% cut in its operational emissions since 2019 (Sun, 2025). This means that there is a level of sustainability alignment to corporate strategy, especially in reaction to climate expectations and regulatory demands in the rest of the world. That is, however, becoming doubtful since the strategic decisions made in the recent past. Although previously budgeted as investments in low-carbon initiatives, amounting to approximately $5 billion annually, BP has cut this over the years to about </w:t>
      </w:r>
      <w:r w:rsidR="005A11AE" w:rsidRPr="00A03F2A">
        <w:rPr>
          <w:rFonts w:cs="Arial"/>
          <w:lang w:val="en-GB"/>
        </w:rPr>
        <w:t>$</w:t>
      </w:r>
      <w:r w:rsidRPr="00A03F2A">
        <w:rPr>
          <w:rFonts w:cs="Arial"/>
          <w:lang w:val="en-GB"/>
        </w:rPr>
        <w:t xml:space="preserve">1.52 billion a year (Reuters, 2025). This implied that financial performance and shareholder </w:t>
      </w:r>
      <w:r w:rsidR="001438FA" w:rsidRPr="00A03F2A">
        <w:rPr>
          <w:rFonts w:cs="Arial"/>
          <w:lang w:val="en-GB"/>
        </w:rPr>
        <w:t>return</w:t>
      </w:r>
      <w:r w:rsidRPr="00A03F2A">
        <w:rPr>
          <w:rFonts w:cs="Arial"/>
          <w:lang w:val="en-GB"/>
        </w:rPr>
        <w:t xml:space="preserve"> stay on the high-priority list, at the expense of long-term sustainability goals.</w:t>
      </w:r>
    </w:p>
    <w:p w14:paraId="25E16291" w14:textId="52E42FD7" w:rsidR="006E75F0" w:rsidRPr="00A03F2A" w:rsidRDefault="008F640E" w:rsidP="00A03F2A">
      <w:pPr>
        <w:rPr>
          <w:rFonts w:cs="Arial"/>
          <w:lang w:val="en-GB"/>
        </w:rPr>
      </w:pPr>
      <w:r w:rsidRPr="00A03F2A">
        <w:rPr>
          <w:rFonts w:cs="Arial"/>
          <w:lang w:val="en-GB"/>
        </w:rPr>
        <w:t>As</w:t>
      </w:r>
      <w:r w:rsidR="00E66B2E" w:rsidRPr="00A03F2A">
        <w:rPr>
          <w:rFonts w:cs="Arial"/>
          <w:lang w:val="en-GB"/>
        </w:rPr>
        <w:t xml:space="preserve"> rooted in the most recent news, stakeholders </w:t>
      </w:r>
      <w:r w:rsidRPr="00A03F2A">
        <w:rPr>
          <w:rFonts w:cs="Arial"/>
          <w:lang w:val="en-GB"/>
        </w:rPr>
        <w:t xml:space="preserve">are </w:t>
      </w:r>
      <w:r w:rsidR="00E66B2E" w:rsidRPr="00A03F2A">
        <w:rPr>
          <w:rFonts w:cs="Arial"/>
          <w:lang w:val="en-GB"/>
        </w:rPr>
        <w:t>criticis</w:t>
      </w:r>
      <w:r w:rsidRPr="00A03F2A">
        <w:rPr>
          <w:rFonts w:cs="Arial"/>
          <w:lang w:val="en-GB"/>
        </w:rPr>
        <w:t>ing the BP strategy</w:t>
      </w:r>
      <w:r w:rsidR="00E66B2E" w:rsidRPr="00A03F2A">
        <w:rPr>
          <w:rFonts w:cs="Arial"/>
          <w:lang w:val="en-GB"/>
        </w:rPr>
        <w:t xml:space="preserve">, believing that it tends to hide its promises to the climate and </w:t>
      </w:r>
      <w:r w:rsidRPr="00A03F2A">
        <w:rPr>
          <w:rFonts w:cs="Arial"/>
          <w:lang w:val="en-GB"/>
        </w:rPr>
        <w:t xml:space="preserve">focus </w:t>
      </w:r>
      <w:r w:rsidR="00E66B2E" w:rsidRPr="00A03F2A">
        <w:rPr>
          <w:rFonts w:cs="Arial"/>
          <w:lang w:val="en-GB"/>
        </w:rPr>
        <w:t>on the increase of profitability in the short-term perspective rather than on the responsibility of the environment</w:t>
      </w:r>
      <w:r w:rsidRPr="00A03F2A">
        <w:rPr>
          <w:rFonts w:cs="Arial"/>
          <w:lang w:val="en-GB"/>
        </w:rPr>
        <w:t xml:space="preserve"> (</w:t>
      </w:r>
      <w:r w:rsidRPr="00A03F2A">
        <w:rPr>
          <w:rFonts w:cs="Arial"/>
        </w:rPr>
        <w:t>Gambetta et al. 2025</w:t>
      </w:r>
      <w:r w:rsidRPr="00A03F2A">
        <w:rPr>
          <w:rFonts w:cs="Arial"/>
          <w:lang w:val="en-GB"/>
        </w:rPr>
        <w:t>)</w:t>
      </w:r>
      <w:r w:rsidR="00E66B2E" w:rsidRPr="00A03F2A">
        <w:rPr>
          <w:rFonts w:cs="Arial"/>
          <w:lang w:val="en-GB"/>
        </w:rPr>
        <w:t>. This raises issues of greenwashing, whereby sustainability claims are not entirely supported by the operations. Thus, the conceptual alignment of the BP CSR framework is transparent with the strategic implementation, but, at the practical level, it is inconsistent. This lack of congruence is likely to undermine the trust of stakeholders and reduce the capacity of the company to attain sustained competitive advantage in an energy market that is increasingly becoming more sustainability-conscious.</w:t>
      </w:r>
    </w:p>
    <w:p w14:paraId="528F2C0B" w14:textId="77777777" w:rsidR="006E75F0" w:rsidRPr="00A03F2A" w:rsidRDefault="00E66B2E" w:rsidP="00A03F2A">
      <w:pPr>
        <w:pStyle w:val="Heading1"/>
        <w:rPr>
          <w:rFonts w:cs="Arial"/>
          <w:lang w:val="en-GB"/>
        </w:rPr>
      </w:pPr>
      <w:bookmarkStart w:id="21" w:name="_t8r3rusif0g9" w:colFirst="0" w:colLast="0"/>
      <w:bookmarkStart w:id="22" w:name="_Toc224807771"/>
      <w:bookmarkEnd w:id="21"/>
      <w:r w:rsidRPr="00A03F2A">
        <w:rPr>
          <w:rFonts w:cs="Arial"/>
          <w:lang w:val="en-GB"/>
        </w:rPr>
        <w:lastRenderedPageBreak/>
        <w:t>4. Comprehensive and Holistic View: Balanced Scorecard</w:t>
      </w:r>
      <w:bookmarkEnd w:id="22"/>
    </w:p>
    <w:tbl>
      <w:tblPr>
        <w:tblStyle w:val="TableGrid"/>
        <w:tblW w:w="0" w:type="auto"/>
        <w:jc w:val="center"/>
        <w:tblLook w:val="04A0" w:firstRow="1" w:lastRow="0" w:firstColumn="1" w:lastColumn="0" w:noHBand="0" w:noVBand="1"/>
      </w:tblPr>
      <w:tblGrid>
        <w:gridCol w:w="1637"/>
        <w:gridCol w:w="1916"/>
        <w:gridCol w:w="1989"/>
        <w:gridCol w:w="1776"/>
        <w:gridCol w:w="2032"/>
      </w:tblGrid>
      <w:tr w:rsidR="00A504BA" w:rsidRPr="00A03F2A" w14:paraId="3A00FB78" w14:textId="77777777" w:rsidTr="00A504BA">
        <w:trPr>
          <w:jc w:val="center"/>
        </w:trPr>
        <w:tc>
          <w:tcPr>
            <w:tcW w:w="0" w:type="auto"/>
            <w:hideMark/>
          </w:tcPr>
          <w:p w14:paraId="0A84AFCF" w14:textId="77777777" w:rsidR="00A504BA" w:rsidRPr="00A03F2A" w:rsidRDefault="00A504BA" w:rsidP="00A03F2A">
            <w:pPr>
              <w:spacing w:after="160" w:line="360" w:lineRule="auto"/>
              <w:rPr>
                <w:rFonts w:cs="Arial"/>
                <w:b/>
                <w:bCs/>
              </w:rPr>
            </w:pPr>
            <w:r w:rsidRPr="00A03F2A">
              <w:rPr>
                <w:rFonts w:cs="Arial"/>
                <w:b/>
                <w:bCs/>
              </w:rPr>
              <w:t>Perspective</w:t>
            </w:r>
          </w:p>
        </w:tc>
        <w:tc>
          <w:tcPr>
            <w:tcW w:w="0" w:type="auto"/>
            <w:hideMark/>
          </w:tcPr>
          <w:p w14:paraId="1F595318" w14:textId="77777777" w:rsidR="00A504BA" w:rsidRPr="00A03F2A" w:rsidRDefault="00A504BA" w:rsidP="00A03F2A">
            <w:pPr>
              <w:spacing w:after="160" w:line="360" w:lineRule="auto"/>
              <w:rPr>
                <w:rFonts w:cs="Arial"/>
                <w:b/>
                <w:bCs/>
              </w:rPr>
            </w:pPr>
            <w:r w:rsidRPr="00A03F2A">
              <w:rPr>
                <w:rFonts w:cs="Arial"/>
                <w:b/>
                <w:bCs/>
              </w:rPr>
              <w:t>Objectives</w:t>
            </w:r>
          </w:p>
        </w:tc>
        <w:tc>
          <w:tcPr>
            <w:tcW w:w="0" w:type="auto"/>
            <w:hideMark/>
          </w:tcPr>
          <w:p w14:paraId="40D590B7" w14:textId="77777777" w:rsidR="00A504BA" w:rsidRPr="00A03F2A" w:rsidRDefault="00A504BA" w:rsidP="00A03F2A">
            <w:pPr>
              <w:spacing w:after="160" w:line="360" w:lineRule="auto"/>
              <w:rPr>
                <w:rFonts w:cs="Arial"/>
                <w:b/>
                <w:bCs/>
              </w:rPr>
            </w:pPr>
            <w:r w:rsidRPr="00A03F2A">
              <w:rPr>
                <w:rFonts w:cs="Arial"/>
                <w:b/>
                <w:bCs/>
              </w:rPr>
              <w:t>KPIs</w:t>
            </w:r>
          </w:p>
        </w:tc>
        <w:tc>
          <w:tcPr>
            <w:tcW w:w="0" w:type="auto"/>
            <w:hideMark/>
          </w:tcPr>
          <w:p w14:paraId="5C1DA3E1" w14:textId="77777777" w:rsidR="00A504BA" w:rsidRPr="00A03F2A" w:rsidRDefault="00A504BA" w:rsidP="00A03F2A">
            <w:pPr>
              <w:spacing w:after="160" w:line="360" w:lineRule="auto"/>
              <w:rPr>
                <w:rFonts w:cs="Arial"/>
                <w:b/>
                <w:bCs/>
              </w:rPr>
            </w:pPr>
            <w:r w:rsidRPr="00A03F2A">
              <w:rPr>
                <w:rFonts w:cs="Arial"/>
                <w:b/>
                <w:bCs/>
              </w:rPr>
              <w:t>Targets</w:t>
            </w:r>
          </w:p>
        </w:tc>
        <w:tc>
          <w:tcPr>
            <w:tcW w:w="0" w:type="auto"/>
            <w:hideMark/>
          </w:tcPr>
          <w:p w14:paraId="7824E20D" w14:textId="77777777" w:rsidR="00A504BA" w:rsidRPr="00A03F2A" w:rsidRDefault="00A504BA" w:rsidP="00A03F2A">
            <w:pPr>
              <w:spacing w:after="160" w:line="360" w:lineRule="auto"/>
              <w:rPr>
                <w:rFonts w:cs="Arial"/>
                <w:b/>
                <w:bCs/>
              </w:rPr>
            </w:pPr>
            <w:r w:rsidRPr="00A03F2A">
              <w:rPr>
                <w:rFonts w:cs="Arial"/>
                <w:b/>
                <w:bCs/>
              </w:rPr>
              <w:t>Strategic Initiatives</w:t>
            </w:r>
          </w:p>
        </w:tc>
      </w:tr>
      <w:tr w:rsidR="00A504BA" w:rsidRPr="00A03F2A" w14:paraId="4E787D37" w14:textId="77777777" w:rsidTr="00A504BA">
        <w:trPr>
          <w:jc w:val="center"/>
        </w:trPr>
        <w:tc>
          <w:tcPr>
            <w:tcW w:w="0" w:type="auto"/>
            <w:hideMark/>
          </w:tcPr>
          <w:p w14:paraId="52BBF00D" w14:textId="77777777" w:rsidR="00A504BA" w:rsidRPr="00A03F2A" w:rsidRDefault="00A504BA" w:rsidP="00A03F2A">
            <w:pPr>
              <w:spacing w:after="160" w:line="360" w:lineRule="auto"/>
              <w:rPr>
                <w:rFonts w:cs="Arial"/>
              </w:rPr>
            </w:pPr>
            <w:r w:rsidRPr="00A03F2A">
              <w:rPr>
                <w:rFonts w:cs="Arial"/>
                <w:b/>
                <w:bCs/>
              </w:rPr>
              <w:t>Financial</w:t>
            </w:r>
          </w:p>
        </w:tc>
        <w:tc>
          <w:tcPr>
            <w:tcW w:w="0" w:type="auto"/>
            <w:hideMark/>
          </w:tcPr>
          <w:p w14:paraId="0EF50B2D" w14:textId="77777777" w:rsidR="00A504BA" w:rsidRPr="00A03F2A" w:rsidRDefault="00A504BA" w:rsidP="00A03F2A">
            <w:pPr>
              <w:spacing w:after="160" w:line="360" w:lineRule="auto"/>
              <w:jc w:val="both"/>
              <w:rPr>
                <w:rFonts w:cs="Arial"/>
              </w:rPr>
            </w:pPr>
            <w:r w:rsidRPr="00A03F2A">
              <w:rPr>
                <w:rFonts w:cs="Arial"/>
              </w:rPr>
              <w:t>Increase profitability &amp; shareholder value</w:t>
            </w:r>
          </w:p>
        </w:tc>
        <w:tc>
          <w:tcPr>
            <w:tcW w:w="0" w:type="auto"/>
            <w:hideMark/>
          </w:tcPr>
          <w:p w14:paraId="69BA78C3" w14:textId="77777777" w:rsidR="00A504BA" w:rsidRPr="00A03F2A" w:rsidRDefault="00A504BA" w:rsidP="00A03F2A">
            <w:pPr>
              <w:spacing w:after="160" w:line="360" w:lineRule="auto"/>
              <w:jc w:val="both"/>
              <w:rPr>
                <w:rFonts w:cs="Arial"/>
              </w:rPr>
            </w:pPr>
            <w:r w:rsidRPr="00A03F2A">
              <w:rPr>
                <w:rFonts w:cs="Arial"/>
              </w:rPr>
              <w:t>Revenue growth, Return on Capital Employed (ROCE), cash flow</w:t>
            </w:r>
          </w:p>
        </w:tc>
        <w:tc>
          <w:tcPr>
            <w:tcW w:w="0" w:type="auto"/>
            <w:hideMark/>
          </w:tcPr>
          <w:p w14:paraId="31B7D29E" w14:textId="77777777" w:rsidR="00A504BA" w:rsidRPr="00A03F2A" w:rsidRDefault="00A504BA" w:rsidP="00A03F2A">
            <w:pPr>
              <w:spacing w:after="160" w:line="360" w:lineRule="auto"/>
              <w:jc w:val="both"/>
              <w:rPr>
                <w:rFonts w:cs="Arial"/>
              </w:rPr>
            </w:pPr>
            <w:r w:rsidRPr="00A03F2A">
              <w:rPr>
                <w:rFonts w:cs="Arial"/>
              </w:rPr>
              <w:t>Maintain strong cash flow ($213bn revenue base)</w:t>
            </w:r>
          </w:p>
        </w:tc>
        <w:tc>
          <w:tcPr>
            <w:tcW w:w="0" w:type="auto"/>
            <w:hideMark/>
          </w:tcPr>
          <w:p w14:paraId="7417C1F3" w14:textId="77777777" w:rsidR="00A504BA" w:rsidRPr="00A03F2A" w:rsidRDefault="00A504BA" w:rsidP="00A03F2A">
            <w:pPr>
              <w:spacing w:after="160" w:line="360" w:lineRule="auto"/>
              <w:jc w:val="both"/>
              <w:rPr>
                <w:rFonts w:cs="Arial"/>
              </w:rPr>
            </w:pPr>
            <w:r w:rsidRPr="00A03F2A">
              <w:rPr>
                <w:rFonts w:cs="Arial"/>
              </w:rPr>
              <w:t>Balance oil profits with renewable investment</w:t>
            </w:r>
          </w:p>
        </w:tc>
      </w:tr>
      <w:tr w:rsidR="00A504BA" w:rsidRPr="00A03F2A" w14:paraId="63DD8450" w14:textId="77777777" w:rsidTr="00A504BA">
        <w:trPr>
          <w:jc w:val="center"/>
        </w:trPr>
        <w:tc>
          <w:tcPr>
            <w:tcW w:w="0" w:type="auto"/>
            <w:hideMark/>
          </w:tcPr>
          <w:p w14:paraId="7F687D38" w14:textId="77777777" w:rsidR="00A504BA" w:rsidRPr="00A03F2A" w:rsidRDefault="00A504BA" w:rsidP="00A03F2A">
            <w:pPr>
              <w:spacing w:after="160" w:line="360" w:lineRule="auto"/>
              <w:rPr>
                <w:rFonts w:cs="Arial"/>
              </w:rPr>
            </w:pPr>
            <w:r w:rsidRPr="00A03F2A">
              <w:rPr>
                <w:rFonts w:cs="Arial"/>
                <w:b/>
                <w:bCs/>
              </w:rPr>
              <w:t>Customer</w:t>
            </w:r>
          </w:p>
        </w:tc>
        <w:tc>
          <w:tcPr>
            <w:tcW w:w="0" w:type="auto"/>
            <w:hideMark/>
          </w:tcPr>
          <w:p w14:paraId="6698D02B" w14:textId="77777777" w:rsidR="00A504BA" w:rsidRPr="00A03F2A" w:rsidRDefault="00A504BA" w:rsidP="00A03F2A">
            <w:pPr>
              <w:spacing w:after="160" w:line="360" w:lineRule="auto"/>
              <w:jc w:val="both"/>
              <w:rPr>
                <w:rFonts w:cs="Arial"/>
              </w:rPr>
            </w:pPr>
            <w:r w:rsidRPr="00A03F2A">
              <w:rPr>
                <w:rFonts w:cs="Arial"/>
              </w:rPr>
              <w:t>Enhance brand trust &amp; sustainability perception</w:t>
            </w:r>
          </w:p>
        </w:tc>
        <w:tc>
          <w:tcPr>
            <w:tcW w:w="0" w:type="auto"/>
            <w:hideMark/>
          </w:tcPr>
          <w:p w14:paraId="0F76E128" w14:textId="77777777" w:rsidR="00A504BA" w:rsidRPr="00A03F2A" w:rsidRDefault="00A504BA" w:rsidP="00A03F2A">
            <w:pPr>
              <w:spacing w:after="160" w:line="360" w:lineRule="auto"/>
              <w:jc w:val="both"/>
              <w:rPr>
                <w:rFonts w:cs="Arial"/>
              </w:rPr>
            </w:pPr>
            <w:r w:rsidRPr="00A03F2A">
              <w:rPr>
                <w:rFonts w:cs="Arial"/>
              </w:rPr>
              <w:t>Customer satisfaction, ESG ratings, EV charging growth</w:t>
            </w:r>
          </w:p>
        </w:tc>
        <w:tc>
          <w:tcPr>
            <w:tcW w:w="0" w:type="auto"/>
            <w:hideMark/>
          </w:tcPr>
          <w:p w14:paraId="5EA885B5" w14:textId="77777777" w:rsidR="00A504BA" w:rsidRPr="00A03F2A" w:rsidRDefault="00A504BA" w:rsidP="00A03F2A">
            <w:pPr>
              <w:spacing w:after="160" w:line="360" w:lineRule="auto"/>
              <w:jc w:val="both"/>
              <w:rPr>
                <w:rFonts w:cs="Arial"/>
              </w:rPr>
            </w:pPr>
            <w:r w:rsidRPr="00A03F2A">
              <w:rPr>
                <w:rFonts w:cs="Arial"/>
              </w:rPr>
              <w:t>Improve ESG ranking &amp; customer loyalty</w:t>
            </w:r>
          </w:p>
        </w:tc>
        <w:tc>
          <w:tcPr>
            <w:tcW w:w="0" w:type="auto"/>
            <w:hideMark/>
          </w:tcPr>
          <w:p w14:paraId="021E6A37" w14:textId="77777777" w:rsidR="00A504BA" w:rsidRPr="00A03F2A" w:rsidRDefault="00A504BA" w:rsidP="00A03F2A">
            <w:pPr>
              <w:spacing w:after="160" w:line="360" w:lineRule="auto"/>
              <w:jc w:val="both"/>
              <w:rPr>
                <w:rFonts w:cs="Arial"/>
              </w:rPr>
            </w:pPr>
            <w:r w:rsidRPr="00A03F2A">
              <w:rPr>
                <w:rFonts w:cs="Arial"/>
              </w:rPr>
              <w:t>Expand EV charging network &amp; green energy offerings</w:t>
            </w:r>
          </w:p>
        </w:tc>
      </w:tr>
      <w:tr w:rsidR="00A504BA" w:rsidRPr="00A03F2A" w14:paraId="322A87DB" w14:textId="77777777" w:rsidTr="00A504BA">
        <w:trPr>
          <w:jc w:val="center"/>
        </w:trPr>
        <w:tc>
          <w:tcPr>
            <w:tcW w:w="0" w:type="auto"/>
            <w:hideMark/>
          </w:tcPr>
          <w:p w14:paraId="4429E414" w14:textId="77777777" w:rsidR="00A504BA" w:rsidRPr="00A03F2A" w:rsidRDefault="00A504BA" w:rsidP="00A03F2A">
            <w:pPr>
              <w:spacing w:after="160" w:line="360" w:lineRule="auto"/>
              <w:rPr>
                <w:rFonts w:cs="Arial"/>
              </w:rPr>
            </w:pPr>
            <w:r w:rsidRPr="00A03F2A">
              <w:rPr>
                <w:rFonts w:cs="Arial"/>
                <w:b/>
                <w:bCs/>
              </w:rPr>
              <w:t>Internal Processes</w:t>
            </w:r>
          </w:p>
        </w:tc>
        <w:tc>
          <w:tcPr>
            <w:tcW w:w="0" w:type="auto"/>
            <w:hideMark/>
          </w:tcPr>
          <w:p w14:paraId="161FBD24" w14:textId="77777777" w:rsidR="00A504BA" w:rsidRPr="00A03F2A" w:rsidRDefault="00A504BA" w:rsidP="00A03F2A">
            <w:pPr>
              <w:spacing w:after="160" w:line="360" w:lineRule="auto"/>
              <w:jc w:val="both"/>
              <w:rPr>
                <w:rFonts w:cs="Arial"/>
              </w:rPr>
            </w:pPr>
            <w:r w:rsidRPr="00A03F2A">
              <w:rPr>
                <w:rFonts w:cs="Arial"/>
              </w:rPr>
              <w:t>Improve operational efficiency &amp; safety</w:t>
            </w:r>
          </w:p>
        </w:tc>
        <w:tc>
          <w:tcPr>
            <w:tcW w:w="0" w:type="auto"/>
            <w:hideMark/>
          </w:tcPr>
          <w:p w14:paraId="5AA7DACE" w14:textId="77777777" w:rsidR="00A504BA" w:rsidRPr="00A03F2A" w:rsidRDefault="00A504BA" w:rsidP="00A03F2A">
            <w:pPr>
              <w:spacing w:after="160" w:line="360" w:lineRule="auto"/>
              <w:jc w:val="both"/>
              <w:rPr>
                <w:rFonts w:cs="Arial"/>
              </w:rPr>
            </w:pPr>
            <w:r w:rsidRPr="00A03F2A">
              <w:rPr>
                <w:rFonts w:cs="Arial"/>
              </w:rPr>
              <w:t>Production efficiency, emissions intensity, safety incidents</w:t>
            </w:r>
          </w:p>
        </w:tc>
        <w:tc>
          <w:tcPr>
            <w:tcW w:w="0" w:type="auto"/>
            <w:hideMark/>
          </w:tcPr>
          <w:p w14:paraId="7481EAAC" w14:textId="77777777" w:rsidR="00A504BA" w:rsidRPr="00A03F2A" w:rsidRDefault="00A504BA" w:rsidP="00A03F2A">
            <w:pPr>
              <w:spacing w:after="160" w:line="360" w:lineRule="auto"/>
              <w:jc w:val="both"/>
              <w:rPr>
                <w:rFonts w:cs="Arial"/>
              </w:rPr>
            </w:pPr>
            <w:r w:rsidRPr="00A03F2A">
              <w:rPr>
                <w:rFonts w:cs="Arial"/>
              </w:rPr>
              <w:t>Reduce emissions &amp; improve operational reliability</w:t>
            </w:r>
          </w:p>
        </w:tc>
        <w:tc>
          <w:tcPr>
            <w:tcW w:w="0" w:type="auto"/>
            <w:hideMark/>
          </w:tcPr>
          <w:p w14:paraId="3714C085" w14:textId="77777777" w:rsidR="00A504BA" w:rsidRPr="00A03F2A" w:rsidRDefault="00A504BA" w:rsidP="00A03F2A">
            <w:pPr>
              <w:spacing w:after="160" w:line="360" w:lineRule="auto"/>
              <w:jc w:val="both"/>
              <w:rPr>
                <w:rFonts w:cs="Arial"/>
              </w:rPr>
            </w:pPr>
            <w:r w:rsidRPr="00A03F2A">
              <w:rPr>
                <w:rFonts w:cs="Arial"/>
              </w:rPr>
              <w:t>Digitalisation, carbon reduction strategies</w:t>
            </w:r>
          </w:p>
        </w:tc>
      </w:tr>
      <w:tr w:rsidR="00A504BA" w:rsidRPr="00A03F2A" w14:paraId="510FD3AF" w14:textId="77777777" w:rsidTr="00A504BA">
        <w:trPr>
          <w:jc w:val="center"/>
        </w:trPr>
        <w:tc>
          <w:tcPr>
            <w:tcW w:w="0" w:type="auto"/>
            <w:hideMark/>
          </w:tcPr>
          <w:p w14:paraId="24AAB8B9" w14:textId="77777777" w:rsidR="00A504BA" w:rsidRPr="00A03F2A" w:rsidRDefault="00A504BA" w:rsidP="00A03F2A">
            <w:pPr>
              <w:spacing w:after="160" w:line="360" w:lineRule="auto"/>
              <w:rPr>
                <w:rFonts w:cs="Arial"/>
              </w:rPr>
            </w:pPr>
            <w:r w:rsidRPr="00A03F2A">
              <w:rPr>
                <w:rFonts w:cs="Arial"/>
                <w:b/>
                <w:bCs/>
              </w:rPr>
              <w:t>Learning &amp; Growth</w:t>
            </w:r>
          </w:p>
        </w:tc>
        <w:tc>
          <w:tcPr>
            <w:tcW w:w="0" w:type="auto"/>
            <w:hideMark/>
          </w:tcPr>
          <w:p w14:paraId="447D54B8" w14:textId="77777777" w:rsidR="00A504BA" w:rsidRPr="00A03F2A" w:rsidRDefault="00A504BA" w:rsidP="00A03F2A">
            <w:pPr>
              <w:spacing w:after="160" w:line="360" w:lineRule="auto"/>
              <w:jc w:val="both"/>
              <w:rPr>
                <w:rFonts w:cs="Arial"/>
              </w:rPr>
            </w:pPr>
            <w:r w:rsidRPr="00A03F2A">
              <w:rPr>
                <w:rFonts w:cs="Arial"/>
              </w:rPr>
              <w:t>Build innovation &amp; renewable capabilities</w:t>
            </w:r>
          </w:p>
        </w:tc>
        <w:tc>
          <w:tcPr>
            <w:tcW w:w="0" w:type="auto"/>
            <w:hideMark/>
          </w:tcPr>
          <w:p w14:paraId="1727E393" w14:textId="77777777" w:rsidR="00A504BA" w:rsidRPr="00A03F2A" w:rsidRDefault="00A504BA" w:rsidP="00A03F2A">
            <w:pPr>
              <w:spacing w:after="160" w:line="360" w:lineRule="auto"/>
              <w:jc w:val="both"/>
              <w:rPr>
                <w:rFonts w:cs="Arial"/>
              </w:rPr>
            </w:pPr>
            <w:r w:rsidRPr="00A03F2A">
              <w:rPr>
                <w:rFonts w:cs="Arial"/>
              </w:rPr>
              <w:t>R&amp;D investment, employee skills, renewable capacity (GW)</w:t>
            </w:r>
          </w:p>
        </w:tc>
        <w:tc>
          <w:tcPr>
            <w:tcW w:w="0" w:type="auto"/>
            <w:hideMark/>
          </w:tcPr>
          <w:p w14:paraId="705231E0" w14:textId="77777777" w:rsidR="00A504BA" w:rsidRPr="00A03F2A" w:rsidRDefault="00A504BA" w:rsidP="00A03F2A">
            <w:pPr>
              <w:spacing w:after="160" w:line="360" w:lineRule="auto"/>
              <w:jc w:val="both"/>
              <w:rPr>
                <w:rFonts w:cs="Arial"/>
              </w:rPr>
            </w:pPr>
            <w:r w:rsidRPr="00A03F2A">
              <w:rPr>
                <w:rFonts w:cs="Arial"/>
              </w:rPr>
              <w:t>Expand renewable portfolio (&gt;50–60 GW pipeline)</w:t>
            </w:r>
          </w:p>
        </w:tc>
        <w:tc>
          <w:tcPr>
            <w:tcW w:w="0" w:type="auto"/>
            <w:hideMark/>
          </w:tcPr>
          <w:p w14:paraId="1C50566A" w14:textId="77777777" w:rsidR="00A504BA" w:rsidRPr="00A03F2A" w:rsidRDefault="00A504BA" w:rsidP="00A03F2A">
            <w:pPr>
              <w:spacing w:after="160" w:line="360" w:lineRule="auto"/>
              <w:jc w:val="both"/>
              <w:rPr>
                <w:rFonts w:cs="Arial"/>
              </w:rPr>
            </w:pPr>
            <w:r w:rsidRPr="00A03F2A">
              <w:rPr>
                <w:rFonts w:cs="Arial"/>
              </w:rPr>
              <w:t>Invest in clean energy, workforce reskilling</w:t>
            </w:r>
          </w:p>
        </w:tc>
      </w:tr>
    </w:tbl>
    <w:p w14:paraId="5690C28E" w14:textId="1C4B83BB" w:rsidR="00A504BA" w:rsidRPr="00A03F2A" w:rsidRDefault="00A504BA" w:rsidP="00A03F2A">
      <w:pPr>
        <w:jc w:val="center"/>
        <w:rPr>
          <w:rFonts w:cs="Arial"/>
          <w:b/>
          <w:bCs/>
          <w:lang w:val="en-GB"/>
        </w:rPr>
      </w:pPr>
      <w:r w:rsidRPr="00A03F2A">
        <w:rPr>
          <w:rFonts w:cs="Arial"/>
          <w:b/>
          <w:bCs/>
          <w:lang w:val="en-GB"/>
        </w:rPr>
        <w:t xml:space="preserve">Table </w:t>
      </w:r>
      <w:r w:rsidR="009322E0" w:rsidRPr="00A03F2A">
        <w:rPr>
          <w:rFonts w:cs="Arial"/>
          <w:b/>
          <w:bCs/>
          <w:lang w:val="en-GB"/>
        </w:rPr>
        <w:t>3</w:t>
      </w:r>
      <w:r w:rsidRPr="00A03F2A">
        <w:rPr>
          <w:rFonts w:cs="Arial"/>
          <w:b/>
          <w:bCs/>
          <w:lang w:val="en-GB"/>
        </w:rPr>
        <w:t>: Balanced Scorecard</w:t>
      </w:r>
    </w:p>
    <w:p w14:paraId="4BC04D7D" w14:textId="7E512325" w:rsidR="00A504BA" w:rsidRPr="00A03F2A" w:rsidRDefault="00A504BA" w:rsidP="00A03F2A">
      <w:pPr>
        <w:jc w:val="center"/>
        <w:rPr>
          <w:rFonts w:cs="Arial"/>
          <w:lang w:val="en-GB"/>
        </w:rPr>
      </w:pPr>
      <w:r w:rsidRPr="00A03F2A">
        <w:rPr>
          <w:rFonts w:cs="Arial"/>
          <w:lang w:val="en-GB"/>
        </w:rPr>
        <w:t>(Source: Self-developed)</w:t>
      </w:r>
    </w:p>
    <w:p w14:paraId="6EFFE01F" w14:textId="5E1686C9" w:rsidR="006E75F0" w:rsidRPr="00A03F2A" w:rsidRDefault="00E66B2E" w:rsidP="00A03F2A">
      <w:pPr>
        <w:rPr>
          <w:rFonts w:cs="Arial"/>
          <w:lang w:val="en-GB"/>
        </w:rPr>
      </w:pPr>
      <w:r w:rsidRPr="00A03F2A">
        <w:rPr>
          <w:rFonts w:cs="Arial"/>
          <w:lang w:val="en-GB"/>
        </w:rPr>
        <w:t xml:space="preserve">Balanced Scorecard offers a detailed process of reflecting the strategic goals of BP in the financial and non-financial performance indicators. KPIs are quantifiable elements of organisational performance as identified in the literature on strategic management and are necessary in tying strategy to implementation (Investopedia, 2025). Financially, BP </w:t>
      </w:r>
      <w:r w:rsidRPr="00A03F2A">
        <w:rPr>
          <w:rFonts w:cs="Arial"/>
          <w:lang w:val="en-GB"/>
        </w:rPr>
        <w:lastRenderedPageBreak/>
        <w:t xml:space="preserve">still focuses on revenue production and shareholder returns, which are facilitated by the high level of cash flows that </w:t>
      </w:r>
      <w:r w:rsidR="00945AF4" w:rsidRPr="00A03F2A">
        <w:rPr>
          <w:rFonts w:cs="Arial"/>
          <w:lang w:val="en-GB"/>
        </w:rPr>
        <w:t xml:space="preserve">it </w:t>
      </w:r>
      <w:r w:rsidRPr="00A03F2A">
        <w:rPr>
          <w:rFonts w:cs="Arial"/>
          <w:lang w:val="en-GB"/>
        </w:rPr>
        <w:t>generates through oil and gas production</w:t>
      </w:r>
      <w:r w:rsidR="006F338F" w:rsidRPr="00A03F2A">
        <w:rPr>
          <w:rFonts w:cs="Arial"/>
          <w:lang w:val="en-GB"/>
        </w:rPr>
        <w:t xml:space="preserve"> (BP, 2026)</w:t>
      </w:r>
      <w:r w:rsidRPr="00A03F2A">
        <w:rPr>
          <w:rFonts w:cs="Arial"/>
          <w:lang w:val="en-GB"/>
        </w:rPr>
        <w:t>. This is, however, a strategic contradiction because financial performance largely relies on fossil fuels even when sustainability has been promised. Such financial power allows the country to invest in renewable energy, but excessive dependence on hydrocarbons could be a liability to resilience.</w:t>
      </w:r>
    </w:p>
    <w:p w14:paraId="6945ED7C" w14:textId="3B871AAF" w:rsidR="006E75F0" w:rsidRPr="00A03F2A" w:rsidRDefault="00E66B2E" w:rsidP="00A03F2A">
      <w:pPr>
        <w:rPr>
          <w:rFonts w:cs="Arial"/>
          <w:lang w:val="en-GB"/>
        </w:rPr>
      </w:pPr>
      <w:r w:rsidRPr="00A03F2A">
        <w:rPr>
          <w:rFonts w:cs="Arial"/>
          <w:lang w:val="en-GB"/>
        </w:rPr>
        <w:t xml:space="preserve">Regarding the customer view, the strategy of BP is less concerned with brand perception enhancement based on sustainability measures and low-carbon energy provisions. The proliferation of EV charging stations and cleaner energy benefits can be viewed as an effort to match consumer tastes and trends (Hopkins et al. 2023). Nevertheless, there have always been reputational issues related to the apparent discrepancies in its commitments towards sustainability. The internal business processes approach shows that BP is paying attention to the efficiency of its operations and cutting down emissions. The adoption of digital technologies and carbon management systems is an indication of the efforts toward optimising the performance and minimising the impact on the environment. </w:t>
      </w:r>
      <w:r w:rsidR="00945AF4" w:rsidRPr="00A03F2A">
        <w:rPr>
          <w:rFonts w:cs="Arial"/>
          <w:lang w:val="en-GB"/>
        </w:rPr>
        <w:t xml:space="preserve">Li et al. (2023) </w:t>
      </w:r>
      <w:r w:rsidRPr="00A03F2A">
        <w:rPr>
          <w:rFonts w:cs="Arial"/>
          <w:lang w:val="en-GB"/>
        </w:rPr>
        <w:t>revealed that efficiency and emissions control are the most important KPIs to stay competitive during the process of industry transition.</w:t>
      </w:r>
    </w:p>
    <w:p w14:paraId="3AB4A15D" w14:textId="3A3BA8A1" w:rsidR="006E75F0" w:rsidRPr="00A03F2A" w:rsidRDefault="00E66B2E" w:rsidP="00A03F2A">
      <w:pPr>
        <w:rPr>
          <w:rFonts w:cs="Arial"/>
          <w:lang w:val="en-GB"/>
        </w:rPr>
      </w:pPr>
      <w:r w:rsidRPr="00A03F2A">
        <w:rPr>
          <w:rFonts w:cs="Arial"/>
          <w:lang w:val="en-GB"/>
        </w:rPr>
        <w:t>Lastly, education and development would be the key subjects of the long-term transformation of BP. Renewable energy capacity and workforce reskilling assume a strategic change to the innovation-based development</w:t>
      </w:r>
      <w:r w:rsidR="00945AF4" w:rsidRPr="00A03F2A">
        <w:rPr>
          <w:rFonts w:cs="Arial"/>
          <w:lang w:val="en-GB"/>
        </w:rPr>
        <w:t xml:space="preserve"> (</w:t>
      </w:r>
      <w:r w:rsidR="00945AF4" w:rsidRPr="00A03F2A">
        <w:rPr>
          <w:rFonts w:cs="Arial"/>
        </w:rPr>
        <w:t xml:space="preserve">Hopkins </w:t>
      </w:r>
      <w:r w:rsidR="00945AF4" w:rsidRPr="00A03F2A">
        <w:rPr>
          <w:rFonts w:cs="Arial"/>
          <w:lang w:val="en-GB"/>
        </w:rPr>
        <w:t>et al. 2023)</w:t>
      </w:r>
      <w:r w:rsidRPr="00A03F2A">
        <w:rPr>
          <w:rFonts w:cs="Arial"/>
          <w:lang w:val="en-GB"/>
        </w:rPr>
        <w:t>. The success of this transition, though, will be determined by how BP can realign past capabilities into new energy competencies. In general, although the Balanced Scorecard shows the alignment between the strategic goals that BP has and the performance indicators, there are some essential discrepancies. The existence of fossil fuel growth and renewable investment implies that BP's strategy is more of a transition than an integrated plan, and this could hinder the firm in realising its competitive advantage in a low-carbon world.</w:t>
      </w:r>
    </w:p>
    <w:p w14:paraId="3E9F352B" w14:textId="77777777" w:rsidR="006E75F0" w:rsidRPr="00A03F2A" w:rsidRDefault="00E66B2E" w:rsidP="00A03F2A">
      <w:pPr>
        <w:pStyle w:val="Heading1"/>
        <w:rPr>
          <w:rFonts w:cs="Arial"/>
          <w:lang w:val="en-GB"/>
        </w:rPr>
      </w:pPr>
      <w:bookmarkStart w:id="23" w:name="_tn0tdjvwqb0q" w:colFirst="0" w:colLast="0"/>
      <w:bookmarkStart w:id="24" w:name="_Toc224807772"/>
      <w:bookmarkEnd w:id="23"/>
      <w:r w:rsidRPr="00A03F2A">
        <w:rPr>
          <w:rFonts w:cs="Arial"/>
          <w:lang w:val="en-GB"/>
        </w:rPr>
        <w:t>5. Strategic Choices and Implementation</w:t>
      </w:r>
      <w:bookmarkEnd w:id="24"/>
    </w:p>
    <w:p w14:paraId="7CC777ED" w14:textId="77777777" w:rsidR="006E75F0" w:rsidRPr="00A03F2A" w:rsidRDefault="00E66B2E" w:rsidP="00A03F2A">
      <w:pPr>
        <w:pStyle w:val="Heading2"/>
        <w:rPr>
          <w:rFonts w:cs="Arial"/>
          <w:lang w:val="en-GB"/>
        </w:rPr>
      </w:pPr>
      <w:bookmarkStart w:id="25" w:name="_2mqos7xv4vg" w:colFirst="0" w:colLast="0"/>
      <w:bookmarkStart w:id="26" w:name="_Toc224807773"/>
      <w:bookmarkEnd w:id="25"/>
      <w:r w:rsidRPr="00A03F2A">
        <w:rPr>
          <w:rFonts w:cs="Arial"/>
          <w:lang w:val="en-GB"/>
        </w:rPr>
        <w:t>5.1 Business-Level Strategy</w:t>
      </w:r>
      <w:bookmarkEnd w:id="26"/>
    </w:p>
    <w:p w14:paraId="0B50BFFA" w14:textId="73CFE432" w:rsidR="006E75F0" w:rsidRPr="00A03F2A" w:rsidRDefault="00E66B2E" w:rsidP="00A03F2A">
      <w:pPr>
        <w:rPr>
          <w:rFonts w:cs="Arial"/>
          <w:lang w:val="en-GB"/>
        </w:rPr>
      </w:pPr>
      <w:r w:rsidRPr="00A03F2A">
        <w:rPr>
          <w:rFonts w:cs="Arial"/>
          <w:lang w:val="en-GB"/>
        </w:rPr>
        <w:t>Th</w:t>
      </w:r>
      <w:r w:rsidR="00945AF4" w:rsidRPr="00A03F2A">
        <w:rPr>
          <w:rFonts w:cs="Arial"/>
          <w:lang w:val="en-GB"/>
        </w:rPr>
        <w:t>ere</w:t>
      </w:r>
      <w:r w:rsidRPr="00A03F2A">
        <w:rPr>
          <w:rFonts w:cs="Arial"/>
          <w:lang w:val="en-GB"/>
        </w:rPr>
        <w:t xml:space="preserve"> has been a hybrid approach to cost leadership and differentiation at the business level of BP. Its extensive production and distribution network in the world allows economies of scale in producing oil and gas, which are in line with the cost leadership </w:t>
      </w:r>
      <w:r w:rsidRPr="00A03F2A">
        <w:rPr>
          <w:rFonts w:cs="Arial"/>
          <w:lang w:val="en-GB"/>
        </w:rPr>
        <w:lastRenderedPageBreak/>
        <w:t>concept</w:t>
      </w:r>
      <w:r w:rsidR="00945AF4" w:rsidRPr="00A03F2A">
        <w:rPr>
          <w:rFonts w:cs="Arial"/>
          <w:lang w:val="en-GB"/>
        </w:rPr>
        <w:t xml:space="preserve"> (BP, 2026)</w:t>
      </w:r>
      <w:r w:rsidRPr="00A03F2A">
        <w:rPr>
          <w:rFonts w:cs="Arial"/>
          <w:lang w:val="en-GB"/>
        </w:rPr>
        <w:t>. In the same breath, BP tries to differentiate itself by investing in renewable energy and low-carbon solutions. Nonetheless, this dual strategy brings about ambiguity in strategy. Dressler (2023) argue</w:t>
      </w:r>
      <w:r w:rsidR="00945AF4" w:rsidRPr="00A03F2A">
        <w:rPr>
          <w:rFonts w:cs="Arial"/>
          <w:lang w:val="en-GB"/>
        </w:rPr>
        <w:t xml:space="preserve">d </w:t>
      </w:r>
      <w:r w:rsidRPr="00A03F2A">
        <w:rPr>
          <w:rFonts w:cs="Arial"/>
          <w:lang w:val="en-GB"/>
        </w:rPr>
        <w:t>that companies that have tried to gain cost leadership and differentiation face the risk of getting stuck in the middle and hence compromising the competitive advantage. The fact that BP continues to depend on fossil fuel revenues as well as renewable ambitions represents this tension, which restricts its ability to be clear in the value proposition.</w:t>
      </w:r>
    </w:p>
    <w:p w14:paraId="33E19D7B" w14:textId="77777777" w:rsidR="006E75F0" w:rsidRPr="00A03F2A" w:rsidRDefault="00E66B2E" w:rsidP="00A03F2A">
      <w:pPr>
        <w:pStyle w:val="Heading2"/>
        <w:rPr>
          <w:rFonts w:cs="Arial"/>
          <w:lang w:val="en-GB"/>
        </w:rPr>
      </w:pPr>
      <w:bookmarkStart w:id="27" w:name="_jxc00w9fqv8m" w:colFirst="0" w:colLast="0"/>
      <w:bookmarkStart w:id="28" w:name="_Toc224807774"/>
      <w:bookmarkEnd w:id="27"/>
      <w:r w:rsidRPr="00A03F2A">
        <w:rPr>
          <w:rFonts w:cs="Arial"/>
          <w:lang w:val="en-GB"/>
        </w:rPr>
        <w:t>5.2 Corporate-Level Strategy</w:t>
      </w:r>
      <w:bookmarkEnd w:id="28"/>
    </w:p>
    <w:p w14:paraId="71635258" w14:textId="512102B6" w:rsidR="006E75F0" w:rsidRPr="00A03F2A" w:rsidRDefault="00E66B2E" w:rsidP="00A03F2A">
      <w:pPr>
        <w:rPr>
          <w:rFonts w:cs="Arial"/>
          <w:lang w:val="en-GB"/>
        </w:rPr>
      </w:pPr>
      <w:r w:rsidRPr="00A03F2A">
        <w:rPr>
          <w:rFonts w:cs="Arial"/>
          <w:lang w:val="en-GB"/>
        </w:rPr>
        <w:t xml:space="preserve">On a corporate level, BP has been endeavouring to diversify and expand internationally, especially in the renewable energy sector. Global diversification is evident in the company, which has come up with a renewable pipeline of over 60 GW and is operating in </w:t>
      </w:r>
      <w:r w:rsidR="0045667F" w:rsidRPr="00A03F2A">
        <w:rPr>
          <w:rFonts w:cs="Arial"/>
          <w:lang w:val="en-GB"/>
        </w:rPr>
        <w:t>61+</w:t>
      </w:r>
      <w:r w:rsidRPr="00A03F2A">
        <w:rPr>
          <w:rFonts w:cs="Arial"/>
          <w:lang w:val="en-GB"/>
        </w:rPr>
        <w:t xml:space="preserve"> countries (BP, 2023</w:t>
      </w:r>
      <w:r w:rsidR="00A90028" w:rsidRPr="00A03F2A">
        <w:rPr>
          <w:rFonts w:cs="Arial"/>
          <w:lang w:val="en-GB"/>
        </w:rPr>
        <w:t>; BP, 2026</w:t>
      </w:r>
      <w:r w:rsidRPr="00A03F2A">
        <w:rPr>
          <w:rFonts w:cs="Arial"/>
          <w:lang w:val="en-GB"/>
        </w:rPr>
        <w:t>). Nevertheless, according to its recent strategic choices, that process is reversed to some extent. BP has grown its oil and gas expenditure to around 10 billion dollars annually as compared to spending on renewables, which implies a change towards short term financial performance (Reuters, 2025). This indicates that there is still no diversification and tactics incongruence.</w:t>
      </w:r>
    </w:p>
    <w:p w14:paraId="0A5AF1EF" w14:textId="77777777" w:rsidR="006E75F0" w:rsidRPr="00A03F2A" w:rsidRDefault="00E66B2E" w:rsidP="00A03F2A">
      <w:pPr>
        <w:pStyle w:val="Heading2"/>
        <w:rPr>
          <w:rFonts w:cs="Arial"/>
          <w:lang w:val="en-GB"/>
        </w:rPr>
      </w:pPr>
      <w:bookmarkStart w:id="29" w:name="_11imv25eo2h5" w:colFirst="0" w:colLast="0"/>
      <w:bookmarkStart w:id="30" w:name="_Toc224807775"/>
      <w:bookmarkEnd w:id="29"/>
      <w:r w:rsidRPr="00A03F2A">
        <w:rPr>
          <w:rFonts w:cs="Arial"/>
          <w:lang w:val="en-GB"/>
        </w:rPr>
        <w:t>5.3 Strategic Direction Recommendation.</w:t>
      </w:r>
      <w:bookmarkEnd w:id="30"/>
    </w:p>
    <w:p w14:paraId="5E0009F5" w14:textId="7A71E258" w:rsidR="006E75F0" w:rsidRPr="00A03F2A" w:rsidRDefault="00E66B2E" w:rsidP="00A03F2A">
      <w:pPr>
        <w:rPr>
          <w:rFonts w:cs="Arial"/>
          <w:lang w:val="en-GB"/>
        </w:rPr>
      </w:pPr>
      <w:r w:rsidRPr="00A03F2A">
        <w:rPr>
          <w:rFonts w:cs="Arial"/>
          <w:lang w:val="en-GB"/>
        </w:rPr>
        <w:t>It is suggested that rather than having a hybrid strategy, BP should embrace the focused differentiation strategy with a focus on becoming a leader in renewable energy. Alfawaire and Atan (2021) believe</w:t>
      </w:r>
      <w:r w:rsidR="00A90028" w:rsidRPr="00A03F2A">
        <w:rPr>
          <w:rFonts w:cs="Arial"/>
          <w:lang w:val="en-GB"/>
        </w:rPr>
        <w:t>d</w:t>
      </w:r>
      <w:r w:rsidRPr="00A03F2A">
        <w:rPr>
          <w:rFonts w:cs="Arial"/>
          <w:lang w:val="en-GB"/>
        </w:rPr>
        <w:t xml:space="preserve"> that competitive sustainable advantage involves a clear strategic positioning and resource fit. Further intensity in renewables and decreased reliance on fossil energy can enhance resilience over the long term and follow global energy transformation trends, which will allow BP to keep up with changing trends in the global sector.</w:t>
      </w:r>
    </w:p>
    <w:p w14:paraId="428AD552" w14:textId="77777777" w:rsidR="006E75F0" w:rsidRPr="00A03F2A" w:rsidRDefault="00E66B2E" w:rsidP="00A03F2A">
      <w:pPr>
        <w:pStyle w:val="Heading2"/>
        <w:rPr>
          <w:rFonts w:cs="Arial"/>
          <w:lang w:val="en-GB"/>
        </w:rPr>
      </w:pPr>
      <w:bookmarkStart w:id="31" w:name="_jkitlahd5qmm" w:colFirst="0" w:colLast="0"/>
      <w:bookmarkStart w:id="32" w:name="_Toc224807776"/>
      <w:bookmarkEnd w:id="31"/>
      <w:r w:rsidRPr="00A03F2A">
        <w:rPr>
          <w:rFonts w:cs="Arial"/>
          <w:lang w:val="en-GB"/>
        </w:rPr>
        <w:t>5.4 Change Management/Implementation.</w:t>
      </w:r>
      <w:bookmarkEnd w:id="32"/>
    </w:p>
    <w:p w14:paraId="54F2063B" w14:textId="2D52AE13" w:rsidR="006E75F0" w:rsidRPr="00A03F2A" w:rsidRDefault="00E66B2E" w:rsidP="00A03F2A">
      <w:pPr>
        <w:rPr>
          <w:rFonts w:cs="Arial"/>
          <w:lang w:val="en-GB"/>
        </w:rPr>
      </w:pPr>
      <w:r w:rsidRPr="00A03F2A">
        <w:rPr>
          <w:rFonts w:cs="Arial"/>
          <w:lang w:val="en-GB"/>
        </w:rPr>
        <w:t xml:space="preserve">The strategic change that BP has undergone is a complicated change management process. The company originally made a promise to significant decarbonisation goals; nevertheless, the changes in the recent tendencies towards investments in fossil fuels show inconsistency in applying to its actions. Sopow and Sushkova (2025) </w:t>
      </w:r>
      <w:r w:rsidR="00A90028" w:rsidRPr="00A03F2A">
        <w:rPr>
          <w:rFonts w:cs="Arial"/>
          <w:lang w:val="en-GB"/>
        </w:rPr>
        <w:t>stated</w:t>
      </w:r>
      <w:r w:rsidRPr="00A03F2A">
        <w:rPr>
          <w:rFonts w:cs="Arial"/>
          <w:lang w:val="en-GB"/>
        </w:rPr>
        <w:t xml:space="preserve"> that effective change needs vision and regular communication with organisations that are aligned towards change. The partial reversal undertaken by BP indicates an opposition </w:t>
      </w:r>
      <w:r w:rsidRPr="00A03F2A">
        <w:rPr>
          <w:rFonts w:cs="Arial"/>
          <w:lang w:val="en-GB"/>
        </w:rPr>
        <w:lastRenderedPageBreak/>
        <w:t>by the interested parties, especially investors who would focus on short-term gains. This has been a debilitating factor to strategic coherence and can be detrimental to long-term transformation work.</w:t>
      </w:r>
      <w:r w:rsidR="00F22667" w:rsidRPr="00A03F2A">
        <w:rPr>
          <w:rFonts w:cs="Arial"/>
          <w:lang w:val="en-GB"/>
        </w:rPr>
        <w:t xml:space="preserve"> </w:t>
      </w:r>
      <w:r w:rsidRPr="00A03F2A">
        <w:rPr>
          <w:rFonts w:cs="Arial"/>
          <w:lang w:val="en-GB"/>
        </w:rPr>
        <w:t>In totality, BP has been strategic in planning to become a low-carbon future, but it has not fully implemented this. Coexistence of competing strategies lowers the level of clarity and undermines the position of the competitors. Thus, to have efficient implementation and a competitive advantage, it needs a more regular and dedicated strategic approach.</w:t>
      </w:r>
    </w:p>
    <w:p w14:paraId="63E5F766" w14:textId="77777777" w:rsidR="006E75F0" w:rsidRPr="00A03F2A" w:rsidRDefault="00E66B2E" w:rsidP="00A03F2A">
      <w:pPr>
        <w:pStyle w:val="Heading1"/>
        <w:rPr>
          <w:rFonts w:cs="Arial"/>
          <w:lang w:val="en-GB"/>
        </w:rPr>
      </w:pPr>
      <w:bookmarkStart w:id="33" w:name="_vkjhxs1end7" w:colFirst="0" w:colLast="0"/>
      <w:bookmarkStart w:id="34" w:name="_Toc224807777"/>
      <w:bookmarkEnd w:id="33"/>
      <w:r w:rsidRPr="00A03F2A">
        <w:rPr>
          <w:rFonts w:cs="Arial"/>
          <w:lang w:val="en-GB"/>
        </w:rPr>
        <w:t>6. Strategic Evaluation and Recommendations</w:t>
      </w:r>
      <w:bookmarkEnd w:id="34"/>
    </w:p>
    <w:p w14:paraId="0850E876" w14:textId="77777777" w:rsidR="006E75F0" w:rsidRPr="00A03F2A" w:rsidRDefault="00E66B2E" w:rsidP="00A03F2A">
      <w:pPr>
        <w:pStyle w:val="Heading2"/>
        <w:rPr>
          <w:rFonts w:cs="Arial"/>
          <w:lang w:val="en-GB"/>
        </w:rPr>
      </w:pPr>
      <w:bookmarkStart w:id="35" w:name="_w71jh75mqsvc" w:colFirst="0" w:colLast="0"/>
      <w:bookmarkStart w:id="36" w:name="_Toc224807778"/>
      <w:bookmarkEnd w:id="35"/>
      <w:r w:rsidRPr="00A03F2A">
        <w:rPr>
          <w:rFonts w:cs="Arial"/>
          <w:lang w:val="en-GB"/>
        </w:rPr>
        <w:t>6.1 SWOT Analysis of BP</w:t>
      </w:r>
      <w:bookmarkEnd w:id="36"/>
    </w:p>
    <w:tbl>
      <w:tblPr>
        <w:tblStyle w:val="TableGrid"/>
        <w:tblW w:w="10060" w:type="dxa"/>
        <w:jc w:val="center"/>
        <w:tblLook w:val="04A0" w:firstRow="1" w:lastRow="0" w:firstColumn="1" w:lastColumn="0" w:noHBand="0" w:noVBand="1"/>
      </w:tblPr>
      <w:tblGrid>
        <w:gridCol w:w="4957"/>
        <w:gridCol w:w="5103"/>
      </w:tblGrid>
      <w:tr w:rsidR="00A504BA" w:rsidRPr="00A03F2A" w14:paraId="2B7242F0" w14:textId="77777777" w:rsidTr="00A90028">
        <w:trPr>
          <w:jc w:val="center"/>
        </w:trPr>
        <w:tc>
          <w:tcPr>
            <w:tcW w:w="4957" w:type="dxa"/>
            <w:hideMark/>
          </w:tcPr>
          <w:p w14:paraId="7D74B47F" w14:textId="77777777" w:rsidR="00A504BA" w:rsidRPr="00A03F2A" w:rsidRDefault="00A504BA" w:rsidP="00A03F2A">
            <w:pPr>
              <w:spacing w:after="160" w:line="360" w:lineRule="auto"/>
              <w:jc w:val="center"/>
              <w:rPr>
                <w:rFonts w:cs="Arial"/>
                <w:b/>
                <w:bCs/>
              </w:rPr>
            </w:pPr>
            <w:r w:rsidRPr="00A03F2A">
              <w:rPr>
                <w:rFonts w:cs="Arial"/>
                <w:b/>
                <w:bCs/>
              </w:rPr>
              <w:t>Strengths</w:t>
            </w:r>
          </w:p>
        </w:tc>
        <w:tc>
          <w:tcPr>
            <w:tcW w:w="5103" w:type="dxa"/>
            <w:hideMark/>
          </w:tcPr>
          <w:p w14:paraId="013D65AD" w14:textId="77777777" w:rsidR="00A504BA" w:rsidRPr="00A03F2A" w:rsidRDefault="00A504BA" w:rsidP="00A03F2A">
            <w:pPr>
              <w:spacing w:after="160" w:line="360" w:lineRule="auto"/>
              <w:jc w:val="center"/>
              <w:rPr>
                <w:rFonts w:cs="Arial"/>
                <w:b/>
                <w:bCs/>
              </w:rPr>
            </w:pPr>
            <w:r w:rsidRPr="00A03F2A">
              <w:rPr>
                <w:rFonts w:cs="Arial"/>
                <w:b/>
                <w:bCs/>
              </w:rPr>
              <w:t>Weaknesses</w:t>
            </w:r>
          </w:p>
        </w:tc>
      </w:tr>
      <w:tr w:rsidR="00A504BA" w:rsidRPr="00A03F2A" w14:paraId="5E425E11" w14:textId="77777777" w:rsidTr="00A90028">
        <w:trPr>
          <w:trHeight w:val="1330"/>
          <w:jc w:val="center"/>
        </w:trPr>
        <w:tc>
          <w:tcPr>
            <w:tcW w:w="4957" w:type="dxa"/>
          </w:tcPr>
          <w:p w14:paraId="597EC7A8" w14:textId="57ECDC14" w:rsidR="00A504BA" w:rsidRPr="00A03F2A" w:rsidRDefault="00A504BA" w:rsidP="00A03F2A">
            <w:pPr>
              <w:pStyle w:val="ListParagraph"/>
              <w:numPr>
                <w:ilvl w:val="0"/>
                <w:numId w:val="9"/>
              </w:numPr>
              <w:spacing w:line="360" w:lineRule="auto"/>
              <w:jc w:val="both"/>
              <w:rPr>
                <w:rFonts w:ascii="Arial" w:hAnsi="Arial" w:cs="Arial"/>
              </w:rPr>
            </w:pPr>
            <w:r w:rsidRPr="00A03F2A">
              <w:rPr>
                <w:rFonts w:ascii="Arial" w:hAnsi="Arial" w:cs="Arial"/>
              </w:rPr>
              <w:t xml:space="preserve">Strong global presence </w:t>
            </w:r>
          </w:p>
          <w:p w14:paraId="6FBE4E89" w14:textId="0B588655" w:rsidR="00A504BA" w:rsidRPr="00A03F2A" w:rsidRDefault="00A90028" w:rsidP="00A03F2A">
            <w:pPr>
              <w:pStyle w:val="ListParagraph"/>
              <w:numPr>
                <w:ilvl w:val="0"/>
                <w:numId w:val="9"/>
              </w:numPr>
              <w:spacing w:line="360" w:lineRule="auto"/>
              <w:jc w:val="both"/>
              <w:rPr>
                <w:rFonts w:ascii="Arial" w:hAnsi="Arial" w:cs="Arial"/>
              </w:rPr>
            </w:pPr>
            <w:r w:rsidRPr="00A03F2A">
              <w:rPr>
                <w:rFonts w:ascii="Arial" w:hAnsi="Arial" w:cs="Arial"/>
              </w:rPr>
              <w:t>R</w:t>
            </w:r>
            <w:r w:rsidR="00A504BA" w:rsidRPr="00A03F2A">
              <w:rPr>
                <w:rFonts w:ascii="Arial" w:hAnsi="Arial" w:cs="Arial"/>
              </w:rPr>
              <w:t xml:space="preserve">evenue </w:t>
            </w:r>
            <w:r w:rsidRPr="00A03F2A">
              <w:rPr>
                <w:rFonts w:ascii="Arial" w:hAnsi="Arial" w:cs="Arial"/>
              </w:rPr>
              <w:t>of $189.3 million (BP, 2025)</w:t>
            </w:r>
          </w:p>
          <w:p w14:paraId="72D7BF79" w14:textId="77777777" w:rsidR="00A504BA" w:rsidRPr="00A03F2A" w:rsidRDefault="00A504BA" w:rsidP="00A03F2A">
            <w:pPr>
              <w:pStyle w:val="ListParagraph"/>
              <w:numPr>
                <w:ilvl w:val="0"/>
                <w:numId w:val="9"/>
              </w:numPr>
              <w:spacing w:line="360" w:lineRule="auto"/>
              <w:jc w:val="both"/>
              <w:rPr>
                <w:rFonts w:ascii="Arial" w:hAnsi="Arial" w:cs="Arial"/>
              </w:rPr>
            </w:pPr>
            <w:r w:rsidRPr="00A03F2A">
              <w:rPr>
                <w:rFonts w:ascii="Arial" w:hAnsi="Arial" w:cs="Arial"/>
              </w:rPr>
              <w:t>Established brand &amp; infrastructure</w:t>
            </w:r>
          </w:p>
          <w:p w14:paraId="59D97FC3" w14:textId="5A43B866" w:rsidR="00A504BA" w:rsidRPr="00A03F2A" w:rsidRDefault="004876A4" w:rsidP="00A03F2A">
            <w:pPr>
              <w:pStyle w:val="ListParagraph"/>
              <w:numPr>
                <w:ilvl w:val="0"/>
                <w:numId w:val="9"/>
              </w:numPr>
              <w:spacing w:line="360" w:lineRule="auto"/>
              <w:jc w:val="both"/>
              <w:rPr>
                <w:rFonts w:ascii="Arial" w:hAnsi="Arial" w:cs="Arial"/>
              </w:rPr>
            </w:pPr>
            <w:r w:rsidRPr="00A03F2A">
              <w:rPr>
                <w:rFonts w:ascii="Arial" w:hAnsi="Arial" w:cs="Arial"/>
              </w:rPr>
              <w:t>I</w:t>
            </w:r>
            <w:r w:rsidR="00A504BA" w:rsidRPr="00A03F2A">
              <w:rPr>
                <w:rFonts w:ascii="Arial" w:hAnsi="Arial" w:cs="Arial"/>
              </w:rPr>
              <w:t>nvest</w:t>
            </w:r>
            <w:r w:rsidRPr="00A03F2A">
              <w:rPr>
                <w:rFonts w:ascii="Arial" w:hAnsi="Arial" w:cs="Arial"/>
              </w:rPr>
              <w:t>ment of $274 million in R&amp;D</w:t>
            </w:r>
            <w:r w:rsidR="00A90028" w:rsidRPr="00A03F2A">
              <w:rPr>
                <w:rFonts w:ascii="Arial" w:hAnsi="Arial" w:cs="Arial"/>
              </w:rPr>
              <w:t>, with further portfolio optimization for 2030 </w:t>
            </w:r>
          </w:p>
        </w:tc>
        <w:tc>
          <w:tcPr>
            <w:tcW w:w="5103" w:type="dxa"/>
          </w:tcPr>
          <w:p w14:paraId="080750F5" w14:textId="77777777" w:rsidR="00A504BA" w:rsidRPr="00A03F2A" w:rsidRDefault="00A504BA" w:rsidP="00A03F2A">
            <w:pPr>
              <w:pStyle w:val="ListParagraph"/>
              <w:numPr>
                <w:ilvl w:val="0"/>
                <w:numId w:val="9"/>
              </w:numPr>
              <w:spacing w:line="360" w:lineRule="auto"/>
              <w:jc w:val="both"/>
              <w:rPr>
                <w:rFonts w:ascii="Arial" w:hAnsi="Arial" w:cs="Arial"/>
              </w:rPr>
            </w:pPr>
            <w:r w:rsidRPr="00A03F2A">
              <w:rPr>
                <w:rFonts w:ascii="Arial" w:hAnsi="Arial" w:cs="Arial"/>
              </w:rPr>
              <w:t>Heavy reliance on fossil fuels</w:t>
            </w:r>
          </w:p>
          <w:p w14:paraId="1BB976D0" w14:textId="77777777" w:rsidR="00A504BA" w:rsidRPr="00A03F2A" w:rsidRDefault="00A504BA" w:rsidP="00A03F2A">
            <w:pPr>
              <w:pStyle w:val="ListParagraph"/>
              <w:numPr>
                <w:ilvl w:val="0"/>
                <w:numId w:val="9"/>
              </w:numPr>
              <w:spacing w:line="360" w:lineRule="auto"/>
              <w:jc w:val="both"/>
              <w:rPr>
                <w:rFonts w:ascii="Arial" w:hAnsi="Arial" w:cs="Arial"/>
              </w:rPr>
            </w:pPr>
            <w:r w:rsidRPr="00A03F2A">
              <w:rPr>
                <w:rFonts w:ascii="Arial" w:hAnsi="Arial" w:cs="Arial"/>
              </w:rPr>
              <w:t>Strategic inconsistency in energy transition</w:t>
            </w:r>
          </w:p>
          <w:p w14:paraId="350FB8B2" w14:textId="70E9D719" w:rsidR="00A504BA" w:rsidRPr="00A03F2A" w:rsidRDefault="00A504BA" w:rsidP="00A03F2A">
            <w:pPr>
              <w:pStyle w:val="ListParagraph"/>
              <w:numPr>
                <w:ilvl w:val="0"/>
                <w:numId w:val="9"/>
              </w:numPr>
              <w:spacing w:line="360" w:lineRule="auto"/>
              <w:jc w:val="both"/>
              <w:rPr>
                <w:rFonts w:ascii="Arial" w:hAnsi="Arial" w:cs="Arial"/>
              </w:rPr>
            </w:pPr>
            <w:r w:rsidRPr="00A03F2A">
              <w:rPr>
                <w:rFonts w:ascii="Arial" w:hAnsi="Arial" w:cs="Arial"/>
              </w:rPr>
              <w:t xml:space="preserve">Reputational issues </w:t>
            </w:r>
            <w:r w:rsidR="004876A4" w:rsidRPr="00A03F2A">
              <w:rPr>
                <w:rFonts w:ascii="Arial" w:hAnsi="Arial" w:cs="Arial"/>
              </w:rPr>
              <w:t>due to increase in Scope 1 and 2 emissions to 34.3</w:t>
            </w:r>
            <w:r w:rsidR="003D3E71" w:rsidRPr="00A03F2A">
              <w:rPr>
                <w:rFonts w:ascii="Arial" w:hAnsi="Arial" w:cs="Arial"/>
              </w:rPr>
              <w:t xml:space="preserve"> tonnes of carbon dioxide i</w:t>
            </w:r>
            <w:r w:rsidR="004876A4" w:rsidRPr="00A03F2A">
              <w:rPr>
                <w:rFonts w:ascii="Arial" w:hAnsi="Arial" w:cs="Arial"/>
              </w:rPr>
              <w:t>n 2025</w:t>
            </w:r>
            <w:r w:rsidR="003D3E71" w:rsidRPr="00A03F2A">
              <w:rPr>
                <w:rFonts w:ascii="Arial" w:hAnsi="Arial" w:cs="Arial"/>
              </w:rPr>
              <w:t xml:space="preserve"> (BP, 2025a)</w:t>
            </w:r>
          </w:p>
          <w:p w14:paraId="372D41CE" w14:textId="4AB91E98" w:rsidR="00A504BA" w:rsidRPr="00A03F2A" w:rsidRDefault="00A504BA" w:rsidP="00A03F2A">
            <w:pPr>
              <w:pStyle w:val="ListParagraph"/>
              <w:numPr>
                <w:ilvl w:val="0"/>
                <w:numId w:val="9"/>
              </w:numPr>
              <w:spacing w:line="360" w:lineRule="auto"/>
              <w:jc w:val="both"/>
              <w:rPr>
                <w:rFonts w:ascii="Arial" w:hAnsi="Arial" w:cs="Arial"/>
              </w:rPr>
            </w:pPr>
            <w:r w:rsidRPr="00A03F2A">
              <w:rPr>
                <w:rFonts w:ascii="Arial" w:hAnsi="Arial" w:cs="Arial"/>
              </w:rPr>
              <w:t xml:space="preserve">Slower renewable scaling </w:t>
            </w:r>
            <w:r w:rsidR="003D3E71" w:rsidRPr="00A03F2A">
              <w:rPr>
                <w:rFonts w:ascii="Arial" w:hAnsi="Arial" w:cs="Arial"/>
              </w:rPr>
              <w:t>as compared to</w:t>
            </w:r>
            <w:r w:rsidRPr="00A03F2A">
              <w:rPr>
                <w:rFonts w:ascii="Arial" w:hAnsi="Arial" w:cs="Arial"/>
              </w:rPr>
              <w:t xml:space="preserve"> competitors</w:t>
            </w:r>
          </w:p>
        </w:tc>
      </w:tr>
      <w:tr w:rsidR="00A504BA" w:rsidRPr="00A03F2A" w14:paraId="2B6226B1" w14:textId="77777777" w:rsidTr="00A90028">
        <w:trPr>
          <w:jc w:val="center"/>
        </w:trPr>
        <w:tc>
          <w:tcPr>
            <w:tcW w:w="4957" w:type="dxa"/>
          </w:tcPr>
          <w:p w14:paraId="331F9109" w14:textId="77777777" w:rsidR="00A504BA" w:rsidRPr="00A03F2A" w:rsidRDefault="00A504BA" w:rsidP="00A03F2A">
            <w:pPr>
              <w:spacing w:line="360" w:lineRule="auto"/>
              <w:jc w:val="center"/>
              <w:rPr>
                <w:rFonts w:cs="Arial"/>
                <w:b/>
                <w:bCs/>
              </w:rPr>
            </w:pPr>
            <w:r w:rsidRPr="00A03F2A">
              <w:rPr>
                <w:rFonts w:cs="Arial"/>
                <w:b/>
                <w:bCs/>
              </w:rPr>
              <w:t>Opportunities</w:t>
            </w:r>
          </w:p>
        </w:tc>
        <w:tc>
          <w:tcPr>
            <w:tcW w:w="5103" w:type="dxa"/>
          </w:tcPr>
          <w:p w14:paraId="5D0BDE75" w14:textId="77777777" w:rsidR="00A504BA" w:rsidRPr="00A03F2A" w:rsidRDefault="00A504BA" w:rsidP="00A03F2A">
            <w:pPr>
              <w:spacing w:line="360" w:lineRule="auto"/>
              <w:jc w:val="center"/>
              <w:rPr>
                <w:rFonts w:cs="Arial"/>
                <w:b/>
                <w:bCs/>
              </w:rPr>
            </w:pPr>
            <w:r w:rsidRPr="00A03F2A">
              <w:rPr>
                <w:rFonts w:cs="Arial"/>
                <w:b/>
                <w:bCs/>
              </w:rPr>
              <w:t>Threats</w:t>
            </w:r>
          </w:p>
        </w:tc>
      </w:tr>
      <w:tr w:rsidR="00A504BA" w:rsidRPr="00A03F2A" w14:paraId="77710D53" w14:textId="77777777" w:rsidTr="00A90028">
        <w:trPr>
          <w:jc w:val="center"/>
        </w:trPr>
        <w:tc>
          <w:tcPr>
            <w:tcW w:w="4957" w:type="dxa"/>
          </w:tcPr>
          <w:p w14:paraId="6F731543" w14:textId="77777777" w:rsidR="00A504BA" w:rsidRPr="00A03F2A" w:rsidRDefault="00A504BA" w:rsidP="00A03F2A">
            <w:pPr>
              <w:pStyle w:val="ListParagraph"/>
              <w:numPr>
                <w:ilvl w:val="0"/>
                <w:numId w:val="8"/>
              </w:numPr>
              <w:spacing w:line="360" w:lineRule="auto"/>
              <w:jc w:val="both"/>
              <w:rPr>
                <w:rFonts w:ascii="Arial" w:hAnsi="Arial" w:cs="Arial"/>
              </w:rPr>
            </w:pPr>
            <w:r w:rsidRPr="00A03F2A">
              <w:rPr>
                <w:rFonts w:ascii="Arial" w:hAnsi="Arial" w:cs="Arial"/>
              </w:rPr>
              <w:t>Growth in renewable energy market</w:t>
            </w:r>
          </w:p>
          <w:p w14:paraId="2D0397B0" w14:textId="77777777" w:rsidR="00A504BA" w:rsidRPr="00A03F2A" w:rsidRDefault="00A504BA" w:rsidP="00A03F2A">
            <w:pPr>
              <w:pStyle w:val="ListParagraph"/>
              <w:numPr>
                <w:ilvl w:val="0"/>
                <w:numId w:val="8"/>
              </w:numPr>
              <w:spacing w:line="360" w:lineRule="auto"/>
              <w:jc w:val="both"/>
              <w:rPr>
                <w:rFonts w:ascii="Arial" w:hAnsi="Arial" w:cs="Arial"/>
              </w:rPr>
            </w:pPr>
            <w:r w:rsidRPr="00A03F2A">
              <w:rPr>
                <w:rFonts w:ascii="Arial" w:hAnsi="Arial" w:cs="Arial"/>
              </w:rPr>
              <w:t>Expansion in EV charging &amp; clean tech</w:t>
            </w:r>
          </w:p>
          <w:p w14:paraId="7DDF0796" w14:textId="77777777" w:rsidR="00A504BA" w:rsidRPr="00A03F2A" w:rsidRDefault="00A504BA" w:rsidP="00A03F2A">
            <w:pPr>
              <w:pStyle w:val="ListParagraph"/>
              <w:numPr>
                <w:ilvl w:val="0"/>
                <w:numId w:val="8"/>
              </w:numPr>
              <w:spacing w:line="360" w:lineRule="auto"/>
              <w:jc w:val="both"/>
              <w:rPr>
                <w:rFonts w:ascii="Arial" w:hAnsi="Arial" w:cs="Arial"/>
              </w:rPr>
            </w:pPr>
            <w:r w:rsidRPr="00A03F2A">
              <w:rPr>
                <w:rFonts w:ascii="Arial" w:hAnsi="Arial" w:cs="Arial"/>
              </w:rPr>
              <w:t>Increasing global energy demand</w:t>
            </w:r>
          </w:p>
          <w:p w14:paraId="7032FEB9" w14:textId="77777777" w:rsidR="00A504BA" w:rsidRPr="00A03F2A" w:rsidRDefault="00A504BA" w:rsidP="00A03F2A">
            <w:pPr>
              <w:pStyle w:val="ListParagraph"/>
              <w:numPr>
                <w:ilvl w:val="0"/>
                <w:numId w:val="8"/>
              </w:numPr>
              <w:spacing w:line="360" w:lineRule="auto"/>
              <w:jc w:val="both"/>
              <w:rPr>
                <w:rFonts w:ascii="Arial" w:hAnsi="Arial" w:cs="Arial"/>
              </w:rPr>
            </w:pPr>
            <w:r w:rsidRPr="00A03F2A">
              <w:rPr>
                <w:rFonts w:ascii="Arial" w:hAnsi="Arial" w:cs="Arial"/>
              </w:rPr>
              <w:t>ESG-driven investment flows</w:t>
            </w:r>
          </w:p>
        </w:tc>
        <w:tc>
          <w:tcPr>
            <w:tcW w:w="5103" w:type="dxa"/>
          </w:tcPr>
          <w:p w14:paraId="6F62FB83" w14:textId="77777777" w:rsidR="00A504BA" w:rsidRPr="00A03F2A" w:rsidRDefault="00A504BA" w:rsidP="00A03F2A">
            <w:pPr>
              <w:pStyle w:val="ListParagraph"/>
              <w:numPr>
                <w:ilvl w:val="0"/>
                <w:numId w:val="7"/>
              </w:numPr>
              <w:spacing w:line="360" w:lineRule="auto"/>
              <w:jc w:val="both"/>
              <w:rPr>
                <w:rFonts w:ascii="Arial" w:hAnsi="Arial" w:cs="Arial"/>
              </w:rPr>
            </w:pPr>
            <w:r w:rsidRPr="00A03F2A">
              <w:rPr>
                <w:rFonts w:ascii="Arial" w:hAnsi="Arial" w:cs="Arial"/>
              </w:rPr>
              <w:t>Strict environmental regulations</w:t>
            </w:r>
          </w:p>
          <w:p w14:paraId="4357B79E" w14:textId="77777777" w:rsidR="00A504BA" w:rsidRPr="00A03F2A" w:rsidRDefault="00A504BA" w:rsidP="00A03F2A">
            <w:pPr>
              <w:pStyle w:val="ListParagraph"/>
              <w:numPr>
                <w:ilvl w:val="0"/>
                <w:numId w:val="7"/>
              </w:numPr>
              <w:spacing w:line="360" w:lineRule="auto"/>
              <w:jc w:val="both"/>
              <w:rPr>
                <w:rFonts w:ascii="Arial" w:hAnsi="Arial" w:cs="Arial"/>
              </w:rPr>
            </w:pPr>
            <w:r w:rsidRPr="00A03F2A">
              <w:rPr>
                <w:rFonts w:ascii="Arial" w:hAnsi="Arial" w:cs="Arial"/>
              </w:rPr>
              <w:t>Oil price volatility</w:t>
            </w:r>
          </w:p>
          <w:p w14:paraId="172BF8F3" w14:textId="39BA7EB6" w:rsidR="00A504BA" w:rsidRPr="00A03F2A" w:rsidRDefault="00A504BA" w:rsidP="00A03F2A">
            <w:pPr>
              <w:pStyle w:val="ListParagraph"/>
              <w:numPr>
                <w:ilvl w:val="0"/>
                <w:numId w:val="7"/>
              </w:numPr>
              <w:spacing w:line="360" w:lineRule="auto"/>
              <w:jc w:val="both"/>
              <w:rPr>
                <w:rFonts w:ascii="Arial" w:hAnsi="Arial" w:cs="Arial"/>
              </w:rPr>
            </w:pPr>
            <w:r w:rsidRPr="00A03F2A">
              <w:rPr>
                <w:rFonts w:ascii="Arial" w:hAnsi="Arial" w:cs="Arial"/>
              </w:rPr>
              <w:t xml:space="preserve">Competitive pressure </w:t>
            </w:r>
            <w:r w:rsidR="003A061D" w:rsidRPr="00A03F2A">
              <w:rPr>
                <w:rFonts w:ascii="Arial" w:hAnsi="Arial" w:cs="Arial"/>
              </w:rPr>
              <w:t xml:space="preserve">from </w:t>
            </w:r>
            <w:r w:rsidRPr="00A03F2A">
              <w:rPr>
                <w:rFonts w:ascii="Arial" w:hAnsi="Arial" w:cs="Arial"/>
              </w:rPr>
              <w:t xml:space="preserve">Shell, </w:t>
            </w:r>
            <w:r w:rsidR="003A061D" w:rsidRPr="00A03F2A">
              <w:rPr>
                <w:rFonts w:ascii="Arial" w:hAnsi="Arial" w:cs="Arial"/>
              </w:rPr>
              <w:t xml:space="preserve">and </w:t>
            </w:r>
            <w:r w:rsidRPr="00A03F2A">
              <w:rPr>
                <w:rFonts w:ascii="Arial" w:hAnsi="Arial" w:cs="Arial"/>
              </w:rPr>
              <w:t>TotalEnergies</w:t>
            </w:r>
          </w:p>
          <w:p w14:paraId="0CFA3FDF" w14:textId="77777777" w:rsidR="00A504BA" w:rsidRPr="00A03F2A" w:rsidRDefault="00A504BA" w:rsidP="00A03F2A">
            <w:pPr>
              <w:pStyle w:val="ListParagraph"/>
              <w:numPr>
                <w:ilvl w:val="0"/>
                <w:numId w:val="7"/>
              </w:numPr>
              <w:spacing w:line="360" w:lineRule="auto"/>
              <w:jc w:val="both"/>
              <w:rPr>
                <w:rFonts w:ascii="Arial" w:hAnsi="Arial" w:cs="Arial"/>
              </w:rPr>
            </w:pPr>
            <w:r w:rsidRPr="00A03F2A">
              <w:rPr>
                <w:rFonts w:ascii="Arial" w:hAnsi="Arial" w:cs="Arial"/>
              </w:rPr>
              <w:t>Climate litigation risks</w:t>
            </w:r>
          </w:p>
        </w:tc>
      </w:tr>
    </w:tbl>
    <w:p w14:paraId="0DF7FB69" w14:textId="3A1F09A4" w:rsidR="00A504BA" w:rsidRPr="00A03F2A" w:rsidRDefault="00A504BA" w:rsidP="00A03F2A">
      <w:pPr>
        <w:jc w:val="center"/>
        <w:rPr>
          <w:rFonts w:cs="Arial"/>
          <w:b/>
          <w:bCs/>
          <w:lang w:val="en-GB"/>
        </w:rPr>
      </w:pPr>
      <w:r w:rsidRPr="00A03F2A">
        <w:rPr>
          <w:rFonts w:cs="Arial"/>
          <w:b/>
          <w:bCs/>
          <w:lang w:val="en-GB"/>
        </w:rPr>
        <w:t xml:space="preserve">Table </w:t>
      </w:r>
      <w:r w:rsidR="009322E0" w:rsidRPr="00A03F2A">
        <w:rPr>
          <w:rFonts w:cs="Arial"/>
          <w:b/>
          <w:bCs/>
          <w:lang w:val="en-GB"/>
        </w:rPr>
        <w:t>4</w:t>
      </w:r>
      <w:r w:rsidRPr="00A03F2A">
        <w:rPr>
          <w:rFonts w:cs="Arial"/>
          <w:b/>
          <w:bCs/>
          <w:lang w:val="en-GB"/>
        </w:rPr>
        <w:t>: SWOT</w:t>
      </w:r>
    </w:p>
    <w:p w14:paraId="1E99A4A8" w14:textId="1EDA4601" w:rsidR="00A504BA" w:rsidRPr="00A03F2A" w:rsidRDefault="00A504BA" w:rsidP="00A03F2A">
      <w:pPr>
        <w:jc w:val="center"/>
        <w:rPr>
          <w:rFonts w:cs="Arial"/>
          <w:lang w:val="en-GB"/>
        </w:rPr>
      </w:pPr>
      <w:r w:rsidRPr="00A03F2A">
        <w:rPr>
          <w:rFonts w:cs="Arial"/>
          <w:lang w:val="en-GB"/>
        </w:rPr>
        <w:t>(Source: Self-developed)</w:t>
      </w:r>
    </w:p>
    <w:p w14:paraId="22F2B9A1" w14:textId="5E22881E" w:rsidR="006E75F0" w:rsidRPr="00A03F2A" w:rsidRDefault="003F3C64" w:rsidP="00A03F2A">
      <w:pPr>
        <w:rPr>
          <w:rFonts w:cs="Arial"/>
          <w:lang w:val="en-GB"/>
        </w:rPr>
      </w:pPr>
      <w:r w:rsidRPr="00A03F2A">
        <w:rPr>
          <w:rFonts w:cs="Arial"/>
          <w:lang w:val="en-GB"/>
        </w:rPr>
        <w:t>The ongoing strategy of BP is that of a transitional and hybrid strategy whereby the existing operations are focused on traditional fossil fuel as well as expansion of renewable energy. Although strong financial resources, global scale, and well</w:t>
      </w:r>
      <w:r w:rsidR="003A061D" w:rsidRPr="00A03F2A">
        <w:rPr>
          <w:rFonts w:cs="Arial"/>
          <w:lang w:val="en-GB"/>
        </w:rPr>
        <w:t>-</w:t>
      </w:r>
      <w:r w:rsidRPr="00A03F2A">
        <w:rPr>
          <w:rFonts w:cs="Arial"/>
          <w:lang w:val="en-GB"/>
        </w:rPr>
        <w:t xml:space="preserve">established infrastructure </w:t>
      </w:r>
      <w:r w:rsidR="003A061D" w:rsidRPr="00A03F2A">
        <w:rPr>
          <w:rFonts w:cs="Arial"/>
          <w:lang w:val="en-GB"/>
        </w:rPr>
        <w:t xml:space="preserve">are identified </w:t>
      </w:r>
      <w:r w:rsidRPr="00A03F2A">
        <w:rPr>
          <w:rFonts w:cs="Arial"/>
          <w:lang w:val="en-GB"/>
        </w:rPr>
        <w:t xml:space="preserve">as some of the strong points, </w:t>
      </w:r>
      <w:r w:rsidR="003A061D" w:rsidRPr="00A03F2A">
        <w:rPr>
          <w:rFonts w:cs="Arial"/>
          <w:lang w:val="en-GB"/>
        </w:rPr>
        <w:t>however, BP</w:t>
      </w:r>
      <w:r w:rsidR="009146CD" w:rsidRPr="00A03F2A">
        <w:rPr>
          <w:rFonts w:cs="Arial"/>
          <w:lang w:val="en-GB"/>
        </w:rPr>
        <w:t xml:space="preserve">’s </w:t>
      </w:r>
      <w:r w:rsidRPr="00A03F2A">
        <w:rPr>
          <w:rFonts w:cs="Arial"/>
          <w:lang w:val="en-GB"/>
        </w:rPr>
        <w:t>depend</w:t>
      </w:r>
      <w:r w:rsidR="009146CD" w:rsidRPr="00A03F2A">
        <w:rPr>
          <w:rFonts w:cs="Arial"/>
          <w:lang w:val="en-GB"/>
        </w:rPr>
        <w:t>ency</w:t>
      </w:r>
      <w:r w:rsidRPr="00A03F2A">
        <w:rPr>
          <w:rFonts w:cs="Arial"/>
          <w:lang w:val="en-GB"/>
        </w:rPr>
        <w:t xml:space="preserve"> on </w:t>
      </w:r>
      <w:r w:rsidRPr="00A03F2A">
        <w:rPr>
          <w:rFonts w:cs="Arial"/>
          <w:lang w:val="en-GB"/>
        </w:rPr>
        <w:lastRenderedPageBreak/>
        <w:t>hydrocarbon is a major structural weakness that will compromise the sustainability in the long-run. Moreover, the lack of strategic consistency in the balancing process between short-term profitability and long-term environmental objectives limits competitiveness. Bari et al. (2022) state</w:t>
      </w:r>
      <w:r w:rsidR="003D3E71" w:rsidRPr="00A03F2A">
        <w:rPr>
          <w:rFonts w:cs="Arial"/>
          <w:lang w:val="en-GB"/>
        </w:rPr>
        <w:t>d</w:t>
      </w:r>
      <w:r w:rsidRPr="00A03F2A">
        <w:rPr>
          <w:rFonts w:cs="Arial"/>
          <w:lang w:val="en-GB"/>
        </w:rPr>
        <w:t xml:space="preserve"> that competition needs to be maintained sustainably and achievable to attain equilibrium between the internal capabilities and external opportunities. This will assist BP to realize in totality on the changing low-carbon energy market. The analysis shows that, though BP is endowed with good monetary assets and an international distribution structure, its dependency on fossil fuels is a structural vulnerability that makes it unable to be sustainable in the long run.</w:t>
      </w:r>
    </w:p>
    <w:p w14:paraId="54C82942" w14:textId="77777777" w:rsidR="006E75F0" w:rsidRPr="00A03F2A" w:rsidRDefault="00E66B2E" w:rsidP="00A03F2A">
      <w:pPr>
        <w:pStyle w:val="Heading2"/>
        <w:rPr>
          <w:rFonts w:cs="Arial"/>
          <w:lang w:val="en-GB"/>
        </w:rPr>
      </w:pPr>
      <w:bookmarkStart w:id="37" w:name="_k4b044k0v1pu" w:colFirst="0" w:colLast="0"/>
      <w:bookmarkStart w:id="38" w:name="_Toc224807779"/>
      <w:bookmarkEnd w:id="37"/>
      <w:r w:rsidRPr="00A03F2A">
        <w:rPr>
          <w:rFonts w:cs="Arial"/>
          <w:lang w:val="en-GB"/>
        </w:rPr>
        <w:t>6.2 Ansoff Matrix for Strategic Direction</w:t>
      </w:r>
      <w:bookmarkEnd w:id="38"/>
    </w:p>
    <w:tbl>
      <w:tblPr>
        <w:tblStyle w:val="TableGrid"/>
        <w:tblW w:w="0" w:type="auto"/>
        <w:jc w:val="center"/>
        <w:tblLook w:val="04A0" w:firstRow="1" w:lastRow="0" w:firstColumn="1" w:lastColumn="0" w:noHBand="0" w:noVBand="1"/>
      </w:tblPr>
      <w:tblGrid>
        <w:gridCol w:w="2524"/>
        <w:gridCol w:w="5357"/>
      </w:tblGrid>
      <w:tr w:rsidR="00A504BA" w:rsidRPr="00A03F2A" w14:paraId="42D2E78A" w14:textId="77777777" w:rsidTr="00A504BA">
        <w:trPr>
          <w:jc w:val="center"/>
        </w:trPr>
        <w:tc>
          <w:tcPr>
            <w:tcW w:w="0" w:type="auto"/>
            <w:hideMark/>
          </w:tcPr>
          <w:p w14:paraId="2710809F" w14:textId="77777777" w:rsidR="00A504BA" w:rsidRPr="00A03F2A" w:rsidRDefault="00A504BA" w:rsidP="00A03F2A">
            <w:pPr>
              <w:spacing w:line="360" w:lineRule="auto"/>
              <w:jc w:val="center"/>
              <w:rPr>
                <w:rFonts w:cs="Arial"/>
                <w:b/>
                <w:bCs/>
              </w:rPr>
            </w:pPr>
            <w:r w:rsidRPr="00A03F2A">
              <w:rPr>
                <w:rFonts w:cs="Arial"/>
                <w:b/>
                <w:bCs/>
              </w:rPr>
              <w:t>Strategy</w:t>
            </w:r>
          </w:p>
        </w:tc>
        <w:tc>
          <w:tcPr>
            <w:tcW w:w="0" w:type="auto"/>
            <w:hideMark/>
          </w:tcPr>
          <w:p w14:paraId="3F23286E" w14:textId="77777777" w:rsidR="00A504BA" w:rsidRPr="00A03F2A" w:rsidRDefault="00A504BA" w:rsidP="00A03F2A">
            <w:pPr>
              <w:spacing w:line="360" w:lineRule="auto"/>
              <w:jc w:val="center"/>
              <w:rPr>
                <w:rFonts w:cs="Arial"/>
                <w:b/>
                <w:bCs/>
              </w:rPr>
            </w:pPr>
            <w:r w:rsidRPr="00A03F2A">
              <w:rPr>
                <w:rFonts w:cs="Arial"/>
                <w:b/>
                <w:bCs/>
              </w:rPr>
              <w:t>Application to BP</w:t>
            </w:r>
          </w:p>
        </w:tc>
      </w:tr>
      <w:tr w:rsidR="00A504BA" w:rsidRPr="00A03F2A" w14:paraId="7A4B72F6" w14:textId="77777777" w:rsidTr="00A504BA">
        <w:trPr>
          <w:jc w:val="center"/>
        </w:trPr>
        <w:tc>
          <w:tcPr>
            <w:tcW w:w="0" w:type="auto"/>
            <w:hideMark/>
          </w:tcPr>
          <w:p w14:paraId="30098255" w14:textId="77777777" w:rsidR="00A504BA" w:rsidRPr="00A03F2A" w:rsidRDefault="00A504BA" w:rsidP="00A03F2A">
            <w:pPr>
              <w:spacing w:line="360" w:lineRule="auto"/>
              <w:jc w:val="center"/>
              <w:rPr>
                <w:rFonts w:cs="Arial"/>
              </w:rPr>
            </w:pPr>
            <w:r w:rsidRPr="00A03F2A">
              <w:rPr>
                <w:rFonts w:cs="Arial"/>
              </w:rPr>
              <w:t>Market Penetration</w:t>
            </w:r>
          </w:p>
        </w:tc>
        <w:tc>
          <w:tcPr>
            <w:tcW w:w="0" w:type="auto"/>
            <w:hideMark/>
          </w:tcPr>
          <w:p w14:paraId="77D9D19D" w14:textId="77777777" w:rsidR="00A504BA" w:rsidRPr="00A03F2A" w:rsidRDefault="00A504BA" w:rsidP="00A03F2A">
            <w:pPr>
              <w:spacing w:line="360" w:lineRule="auto"/>
              <w:jc w:val="center"/>
              <w:rPr>
                <w:rFonts w:cs="Arial"/>
              </w:rPr>
            </w:pPr>
            <w:r w:rsidRPr="00A03F2A">
              <w:rPr>
                <w:rFonts w:cs="Arial"/>
              </w:rPr>
              <w:t>Increase efficiency in existing oil markets</w:t>
            </w:r>
          </w:p>
        </w:tc>
      </w:tr>
      <w:tr w:rsidR="00A504BA" w:rsidRPr="00A03F2A" w14:paraId="7B3B88FE" w14:textId="77777777" w:rsidTr="00A504BA">
        <w:trPr>
          <w:jc w:val="center"/>
        </w:trPr>
        <w:tc>
          <w:tcPr>
            <w:tcW w:w="0" w:type="auto"/>
            <w:hideMark/>
          </w:tcPr>
          <w:p w14:paraId="3B863C2E" w14:textId="77777777" w:rsidR="00A504BA" w:rsidRPr="00A03F2A" w:rsidRDefault="00A504BA" w:rsidP="00A03F2A">
            <w:pPr>
              <w:spacing w:line="360" w:lineRule="auto"/>
              <w:jc w:val="center"/>
              <w:rPr>
                <w:rFonts w:cs="Arial"/>
              </w:rPr>
            </w:pPr>
            <w:r w:rsidRPr="00A03F2A">
              <w:rPr>
                <w:rFonts w:cs="Arial"/>
              </w:rPr>
              <w:t>Market Development</w:t>
            </w:r>
          </w:p>
        </w:tc>
        <w:tc>
          <w:tcPr>
            <w:tcW w:w="0" w:type="auto"/>
            <w:hideMark/>
          </w:tcPr>
          <w:p w14:paraId="27BF9172" w14:textId="77777777" w:rsidR="00A504BA" w:rsidRPr="00A03F2A" w:rsidRDefault="00A504BA" w:rsidP="00A03F2A">
            <w:pPr>
              <w:spacing w:line="360" w:lineRule="auto"/>
              <w:jc w:val="center"/>
              <w:rPr>
                <w:rFonts w:cs="Arial"/>
              </w:rPr>
            </w:pPr>
            <w:r w:rsidRPr="00A03F2A">
              <w:rPr>
                <w:rFonts w:cs="Arial"/>
              </w:rPr>
              <w:t>Expand renewable energy into new regions</w:t>
            </w:r>
          </w:p>
        </w:tc>
      </w:tr>
      <w:tr w:rsidR="00A504BA" w:rsidRPr="00A03F2A" w14:paraId="56636CA1" w14:textId="77777777" w:rsidTr="00A504BA">
        <w:trPr>
          <w:jc w:val="center"/>
        </w:trPr>
        <w:tc>
          <w:tcPr>
            <w:tcW w:w="0" w:type="auto"/>
            <w:hideMark/>
          </w:tcPr>
          <w:p w14:paraId="36037C86" w14:textId="77777777" w:rsidR="00A504BA" w:rsidRPr="00A03F2A" w:rsidRDefault="00A504BA" w:rsidP="00A03F2A">
            <w:pPr>
              <w:spacing w:line="360" w:lineRule="auto"/>
              <w:jc w:val="center"/>
              <w:rPr>
                <w:rFonts w:cs="Arial"/>
              </w:rPr>
            </w:pPr>
            <w:r w:rsidRPr="00A03F2A">
              <w:rPr>
                <w:rFonts w:cs="Arial"/>
              </w:rPr>
              <w:t>Product Development</w:t>
            </w:r>
          </w:p>
        </w:tc>
        <w:tc>
          <w:tcPr>
            <w:tcW w:w="0" w:type="auto"/>
            <w:hideMark/>
          </w:tcPr>
          <w:p w14:paraId="3ECCEB15" w14:textId="77777777" w:rsidR="00A504BA" w:rsidRPr="00A03F2A" w:rsidRDefault="00A504BA" w:rsidP="00A03F2A">
            <w:pPr>
              <w:spacing w:line="360" w:lineRule="auto"/>
              <w:jc w:val="center"/>
              <w:rPr>
                <w:rFonts w:cs="Arial"/>
              </w:rPr>
            </w:pPr>
            <w:r w:rsidRPr="00A03F2A">
              <w:rPr>
                <w:rFonts w:cs="Arial"/>
              </w:rPr>
              <w:t>Invest in hydrogen, EV charging, bioenergy</w:t>
            </w:r>
          </w:p>
        </w:tc>
      </w:tr>
      <w:tr w:rsidR="00A504BA" w:rsidRPr="00A03F2A" w14:paraId="142B0A45" w14:textId="77777777" w:rsidTr="00A504BA">
        <w:trPr>
          <w:jc w:val="center"/>
        </w:trPr>
        <w:tc>
          <w:tcPr>
            <w:tcW w:w="0" w:type="auto"/>
            <w:hideMark/>
          </w:tcPr>
          <w:p w14:paraId="3F4B3AD3" w14:textId="77777777" w:rsidR="00A504BA" w:rsidRPr="00A03F2A" w:rsidRDefault="00A504BA" w:rsidP="00A03F2A">
            <w:pPr>
              <w:spacing w:line="360" w:lineRule="auto"/>
              <w:jc w:val="center"/>
              <w:rPr>
                <w:rFonts w:cs="Arial"/>
              </w:rPr>
            </w:pPr>
            <w:r w:rsidRPr="00A03F2A">
              <w:rPr>
                <w:rFonts w:cs="Arial"/>
              </w:rPr>
              <w:t>Diversification</w:t>
            </w:r>
          </w:p>
        </w:tc>
        <w:tc>
          <w:tcPr>
            <w:tcW w:w="0" w:type="auto"/>
            <w:hideMark/>
          </w:tcPr>
          <w:p w14:paraId="441C7E6E" w14:textId="77777777" w:rsidR="00A504BA" w:rsidRPr="00A03F2A" w:rsidRDefault="00A504BA" w:rsidP="00A03F2A">
            <w:pPr>
              <w:spacing w:line="360" w:lineRule="auto"/>
              <w:jc w:val="center"/>
              <w:rPr>
                <w:rFonts w:cs="Arial"/>
              </w:rPr>
            </w:pPr>
            <w:r w:rsidRPr="00A03F2A">
              <w:rPr>
                <w:rFonts w:cs="Arial"/>
              </w:rPr>
              <w:t>Transition from oil to integrated energy company</w:t>
            </w:r>
          </w:p>
        </w:tc>
      </w:tr>
    </w:tbl>
    <w:p w14:paraId="606956A4" w14:textId="75918D05" w:rsidR="00A504BA" w:rsidRPr="00A03F2A" w:rsidRDefault="00A504BA" w:rsidP="00A03F2A">
      <w:pPr>
        <w:jc w:val="center"/>
        <w:rPr>
          <w:rFonts w:cs="Arial"/>
          <w:b/>
          <w:bCs/>
          <w:lang w:val="en-GB"/>
        </w:rPr>
      </w:pPr>
      <w:r w:rsidRPr="00A03F2A">
        <w:rPr>
          <w:rFonts w:cs="Arial"/>
          <w:b/>
          <w:bCs/>
          <w:lang w:val="en-GB"/>
        </w:rPr>
        <w:t xml:space="preserve">Table </w:t>
      </w:r>
      <w:r w:rsidR="009322E0" w:rsidRPr="00A03F2A">
        <w:rPr>
          <w:rFonts w:cs="Arial"/>
          <w:b/>
          <w:bCs/>
          <w:lang w:val="en-GB"/>
        </w:rPr>
        <w:t>5</w:t>
      </w:r>
      <w:r w:rsidRPr="00A03F2A">
        <w:rPr>
          <w:rFonts w:cs="Arial"/>
          <w:b/>
          <w:bCs/>
          <w:lang w:val="en-GB"/>
        </w:rPr>
        <w:t>: Ansoff Matrix</w:t>
      </w:r>
    </w:p>
    <w:p w14:paraId="4A8F7173" w14:textId="1FA4ADAE" w:rsidR="00A504BA" w:rsidRPr="00A03F2A" w:rsidRDefault="00A504BA" w:rsidP="00A03F2A">
      <w:pPr>
        <w:jc w:val="center"/>
        <w:rPr>
          <w:rFonts w:cs="Arial"/>
          <w:lang w:val="en-GB"/>
        </w:rPr>
      </w:pPr>
      <w:r w:rsidRPr="00A03F2A">
        <w:rPr>
          <w:rFonts w:cs="Arial"/>
          <w:lang w:val="en-GB"/>
        </w:rPr>
        <w:t>(Source: Self-developed)</w:t>
      </w:r>
    </w:p>
    <w:p w14:paraId="1DE3A5AA" w14:textId="59F1FE02" w:rsidR="006E75F0" w:rsidRPr="00A03F2A" w:rsidRDefault="00E66B2E" w:rsidP="00A03F2A">
      <w:pPr>
        <w:rPr>
          <w:rFonts w:cs="Arial"/>
          <w:lang w:val="en-GB"/>
        </w:rPr>
      </w:pPr>
      <w:r w:rsidRPr="00A03F2A">
        <w:rPr>
          <w:rFonts w:cs="Arial"/>
          <w:lang w:val="en-GB"/>
        </w:rPr>
        <w:t xml:space="preserve">BP is currently seeking to diversify into renewable energy markets. Nonetheless, inconsistency in execution has been observed lately. Another example is that BP has more to invest in oil and gas and cut back on renewable investment, which is an indication of shorter-term gains being more focused than long-term change (Reuters, 2025). Diversification strategies are one area </w:t>
      </w:r>
      <w:r w:rsidR="009146CD" w:rsidRPr="00A03F2A">
        <w:rPr>
          <w:rFonts w:cs="Arial"/>
          <w:lang w:val="en-GB"/>
        </w:rPr>
        <w:t>that</w:t>
      </w:r>
      <w:r w:rsidRPr="00A03F2A">
        <w:rPr>
          <w:rFonts w:cs="Arial"/>
          <w:lang w:val="en-GB"/>
        </w:rPr>
        <w:t xml:space="preserve"> must have a clear-cut commitment and allocate resources</w:t>
      </w:r>
      <w:r w:rsidR="009146CD" w:rsidRPr="00A03F2A">
        <w:rPr>
          <w:rFonts w:cs="Arial"/>
          <w:lang w:val="en-GB"/>
        </w:rPr>
        <w:t>. However</w:t>
      </w:r>
      <w:r w:rsidRPr="00A03F2A">
        <w:rPr>
          <w:rFonts w:cs="Arial"/>
          <w:lang w:val="en-GB"/>
        </w:rPr>
        <w:t>, with BP partially shifting, it even indicates a lack of strategic coherence.  Sustainable competitive advantage is pegged on matching internal resources with long-term market opportunities, of which BP has not reached comprehensively.</w:t>
      </w:r>
    </w:p>
    <w:p w14:paraId="415738AF" w14:textId="77777777" w:rsidR="006E75F0" w:rsidRPr="00A03F2A" w:rsidRDefault="00E66B2E" w:rsidP="00A03F2A">
      <w:pPr>
        <w:pStyle w:val="Heading2"/>
        <w:rPr>
          <w:rFonts w:cs="Arial"/>
          <w:lang w:val="en-GB"/>
        </w:rPr>
      </w:pPr>
      <w:bookmarkStart w:id="39" w:name="_a8qqhfvo45v0" w:colFirst="0" w:colLast="0"/>
      <w:bookmarkStart w:id="40" w:name="_Toc224807780"/>
      <w:bookmarkEnd w:id="39"/>
      <w:r w:rsidRPr="00A03F2A">
        <w:rPr>
          <w:rFonts w:cs="Arial"/>
          <w:lang w:val="en-GB"/>
        </w:rPr>
        <w:t>6.3 Recommendations</w:t>
      </w:r>
      <w:bookmarkEnd w:id="40"/>
    </w:p>
    <w:p w14:paraId="3E699963" w14:textId="17BE76C0" w:rsidR="006E75F0" w:rsidRPr="00A03F2A" w:rsidRDefault="00E66B2E" w:rsidP="00A03F2A">
      <w:pPr>
        <w:rPr>
          <w:rFonts w:cs="Arial"/>
          <w:b/>
          <w:bCs/>
          <w:lang w:val="en-GB"/>
        </w:rPr>
      </w:pPr>
      <w:r w:rsidRPr="00A03F2A">
        <w:rPr>
          <w:rFonts w:cs="Arial"/>
          <w:b/>
          <w:bCs/>
          <w:lang w:val="en-GB"/>
        </w:rPr>
        <w:t>Increase Investment in Renewables</w:t>
      </w:r>
      <w:r w:rsidR="009146CD" w:rsidRPr="00A03F2A">
        <w:rPr>
          <w:rFonts w:cs="Arial"/>
          <w:b/>
          <w:bCs/>
          <w:lang w:val="en-GB"/>
        </w:rPr>
        <w:t xml:space="preserve">: </w:t>
      </w:r>
      <w:r w:rsidRPr="00A03F2A">
        <w:rPr>
          <w:rFonts w:cs="Arial"/>
          <w:lang w:val="en-GB"/>
        </w:rPr>
        <w:t>In an attempt to ensure sustainability, BP needs to invest heavily in renewable energy in an effort to enhance its competitive advantage in the long run. Clearly, the clean energy market is growing at a very high rate, and the first actors of the industry have a higher chance of having a sustainable edge (International Energy Agency, 2023).</w:t>
      </w:r>
    </w:p>
    <w:p w14:paraId="2EE71AF0" w14:textId="55B82613" w:rsidR="006E75F0" w:rsidRPr="00A03F2A" w:rsidRDefault="00E66B2E" w:rsidP="00A03F2A">
      <w:pPr>
        <w:rPr>
          <w:rFonts w:cs="Arial"/>
          <w:b/>
          <w:bCs/>
          <w:lang w:val="en-GB"/>
        </w:rPr>
      </w:pPr>
      <w:r w:rsidRPr="00A03F2A">
        <w:rPr>
          <w:rFonts w:cs="Arial"/>
          <w:b/>
          <w:bCs/>
          <w:lang w:val="en-GB"/>
        </w:rPr>
        <w:lastRenderedPageBreak/>
        <w:t>Strategic Focus (Eschew Hybrid Enhancement</w:t>
      </w:r>
      <w:r w:rsidR="009146CD" w:rsidRPr="00A03F2A">
        <w:rPr>
          <w:rFonts w:cs="Arial"/>
          <w:b/>
          <w:bCs/>
          <w:lang w:val="en-GB"/>
        </w:rPr>
        <w:t xml:space="preserve">: </w:t>
      </w:r>
      <w:r w:rsidRPr="00A03F2A">
        <w:rPr>
          <w:rFonts w:cs="Arial"/>
          <w:lang w:val="en-GB"/>
        </w:rPr>
        <w:t>BP needs to have a better strategic posture by declining the reliance on fossil fuels. Similar to Gede and Huluka's (2023) assertion, a focused approach increases the level of clarity and organisational alignment.</w:t>
      </w:r>
    </w:p>
    <w:p w14:paraId="12AEB2A2" w14:textId="2A2FC74B" w:rsidR="006E75F0" w:rsidRPr="00A03F2A" w:rsidRDefault="00E66B2E" w:rsidP="00A03F2A">
      <w:pPr>
        <w:rPr>
          <w:rFonts w:cs="Arial"/>
          <w:b/>
          <w:bCs/>
          <w:lang w:val="en-GB"/>
        </w:rPr>
      </w:pPr>
      <w:r w:rsidRPr="00A03F2A">
        <w:rPr>
          <w:rFonts w:cs="Arial"/>
          <w:b/>
          <w:bCs/>
          <w:lang w:val="en-GB"/>
        </w:rPr>
        <w:t>Strengthen ESG Integratio</w:t>
      </w:r>
      <w:r w:rsidR="009146CD" w:rsidRPr="00A03F2A">
        <w:rPr>
          <w:rFonts w:cs="Arial"/>
          <w:b/>
          <w:bCs/>
          <w:lang w:val="en-GB"/>
        </w:rPr>
        <w:t xml:space="preserve">n: </w:t>
      </w:r>
      <w:r w:rsidRPr="00A03F2A">
        <w:rPr>
          <w:rFonts w:cs="Arial"/>
          <w:lang w:val="en-GB"/>
        </w:rPr>
        <w:t>To regain the confidence of the stakeholders, BP must synchronise its activities with its CSR undertakings. The problem of reputational risks needs to be prevented by transparent reporting and measurable sustainability targets.</w:t>
      </w:r>
    </w:p>
    <w:p w14:paraId="66520688" w14:textId="5201CD5A" w:rsidR="006E75F0" w:rsidRPr="00A03F2A" w:rsidRDefault="00E66B2E" w:rsidP="00A03F2A">
      <w:pPr>
        <w:rPr>
          <w:rFonts w:cs="Arial"/>
          <w:b/>
          <w:bCs/>
          <w:lang w:val="en-GB"/>
        </w:rPr>
      </w:pPr>
      <w:r w:rsidRPr="00A03F2A">
        <w:rPr>
          <w:rFonts w:cs="Arial"/>
          <w:b/>
          <w:bCs/>
          <w:lang w:val="en-GB"/>
        </w:rPr>
        <w:t>Invest in New Energy and Innovation</w:t>
      </w:r>
      <w:r w:rsidR="009146CD" w:rsidRPr="00A03F2A">
        <w:rPr>
          <w:rFonts w:cs="Arial"/>
          <w:b/>
          <w:bCs/>
          <w:lang w:val="en-GB"/>
        </w:rPr>
        <w:t xml:space="preserve">: </w:t>
      </w:r>
      <w:r w:rsidRPr="00A03F2A">
        <w:rPr>
          <w:rFonts w:cs="Arial"/>
          <w:lang w:val="en-GB"/>
        </w:rPr>
        <w:t>The long-term growth can be expanded through the development of hydrogen, carbon capture, and EV infrastructure. The effectiveness of this strategy is shown with real-life examples like the successful shift of Ørsted to renewables.</w:t>
      </w:r>
    </w:p>
    <w:p w14:paraId="73D17F92" w14:textId="77777777" w:rsidR="006E75F0" w:rsidRPr="00A03F2A" w:rsidRDefault="00E66B2E" w:rsidP="00A03F2A">
      <w:pPr>
        <w:rPr>
          <w:rFonts w:cs="Arial"/>
          <w:lang w:val="en-GB"/>
        </w:rPr>
      </w:pPr>
      <w:r w:rsidRPr="00A03F2A">
        <w:rPr>
          <w:rFonts w:cs="Arial"/>
          <w:lang w:val="en-GB"/>
        </w:rPr>
        <w:t>The rationale behind these recommendations is the theory of strategic management and trends in the industry. The transition to directional differentiation of renewable energy is in line with the idea of resource-based view, and the long-term expansion is in line with the idea of constant diversification. In general, the existing strategy of BP will bring the company financial stability in the short term, but it will lack long-term consistency. Thus, a steadfast and more in-depth strategy is needed to ensure the attainment of a sustained competitive advantage in the dynamic global energy market.</w:t>
      </w:r>
    </w:p>
    <w:p w14:paraId="47180105" w14:textId="77777777" w:rsidR="006E75F0" w:rsidRPr="00A03F2A" w:rsidRDefault="00E66B2E" w:rsidP="00A03F2A">
      <w:pPr>
        <w:rPr>
          <w:rFonts w:cs="Arial"/>
          <w:lang w:val="en-GB"/>
        </w:rPr>
      </w:pPr>
      <w:r w:rsidRPr="00A03F2A">
        <w:rPr>
          <w:rFonts w:cs="Arial"/>
          <w:lang w:val="en-GB"/>
        </w:rPr>
        <w:br w:type="page"/>
      </w:r>
    </w:p>
    <w:p w14:paraId="7EEBF5C1" w14:textId="77777777" w:rsidR="006E75F0" w:rsidRPr="00A03F2A" w:rsidRDefault="00E66B2E" w:rsidP="00A03F2A">
      <w:pPr>
        <w:pStyle w:val="Heading1"/>
        <w:rPr>
          <w:rFonts w:cs="Arial"/>
          <w:lang w:val="en-GB"/>
        </w:rPr>
      </w:pPr>
      <w:bookmarkStart w:id="41" w:name="_a2k8ojg0y7yc" w:colFirst="0" w:colLast="0"/>
      <w:bookmarkStart w:id="42" w:name="_Toc224807781"/>
      <w:bookmarkEnd w:id="41"/>
      <w:r w:rsidRPr="00A03F2A">
        <w:rPr>
          <w:rFonts w:cs="Arial"/>
          <w:lang w:val="en-GB"/>
        </w:rPr>
        <w:lastRenderedPageBreak/>
        <w:t>Section 2: Reflective Account</w:t>
      </w:r>
      <w:bookmarkEnd w:id="42"/>
    </w:p>
    <w:p w14:paraId="3D3FDE41" w14:textId="77777777" w:rsidR="006E75F0" w:rsidRPr="00A03F2A" w:rsidRDefault="00E66B2E" w:rsidP="00A03F2A">
      <w:pPr>
        <w:pStyle w:val="Heading2"/>
        <w:rPr>
          <w:rFonts w:cs="Arial"/>
          <w:lang w:val="en-GB"/>
        </w:rPr>
      </w:pPr>
      <w:bookmarkStart w:id="43" w:name="_2p8uygeo7zq4" w:colFirst="0" w:colLast="0"/>
      <w:bookmarkStart w:id="44" w:name="_Toc224807782"/>
      <w:bookmarkEnd w:id="43"/>
      <w:r w:rsidRPr="00A03F2A">
        <w:rPr>
          <w:rFonts w:cs="Arial"/>
          <w:lang w:val="en-GB"/>
        </w:rPr>
        <w:t>2.1 Description</w:t>
      </w:r>
      <w:bookmarkEnd w:id="44"/>
    </w:p>
    <w:p w14:paraId="563E483E" w14:textId="77777777" w:rsidR="006E75F0" w:rsidRPr="00A03F2A" w:rsidRDefault="00E66B2E" w:rsidP="00A03F2A">
      <w:pPr>
        <w:rPr>
          <w:rFonts w:cs="Arial"/>
          <w:lang w:val="en-GB"/>
        </w:rPr>
      </w:pPr>
      <w:r w:rsidRPr="00A03F2A">
        <w:rPr>
          <w:rFonts w:cs="Arial"/>
          <w:lang w:val="en-GB"/>
        </w:rPr>
        <w:t>Throughout this assignment, I did a thorough strategic analysis of BP, which entailed analysing its internal and external environment and how it competed in the global energy scene. To do that, I have used some of the most essential strategic frameworks such as PESTEL, VRIO, SWOT, and the Balanced Scorecard. My research process consisted of getting information using various sources, among which are credible sources of information, including academic journal articles, industry reports and company publications. I thoroughly discussed the strategic choices made by BP, especially its shift into being more of an energy organisation rather than a conventional oil and gas company. The assignment involved combining theoretical knowledge with practical evidence without losing a systematic and academically rigorous approach.</w:t>
      </w:r>
    </w:p>
    <w:p w14:paraId="2E664A31" w14:textId="77777777" w:rsidR="006E75F0" w:rsidRPr="00A03F2A" w:rsidRDefault="00E66B2E" w:rsidP="00A03F2A">
      <w:pPr>
        <w:pStyle w:val="Heading2"/>
        <w:rPr>
          <w:rFonts w:cs="Arial"/>
          <w:lang w:val="en-GB"/>
        </w:rPr>
      </w:pPr>
      <w:bookmarkStart w:id="45" w:name="_o63tlxf5dinb" w:colFirst="0" w:colLast="0"/>
      <w:bookmarkStart w:id="46" w:name="_Toc224807783"/>
      <w:bookmarkEnd w:id="45"/>
      <w:r w:rsidRPr="00A03F2A">
        <w:rPr>
          <w:rFonts w:cs="Arial"/>
          <w:lang w:val="en-GB"/>
        </w:rPr>
        <w:t>2.2 Feelings</w:t>
      </w:r>
      <w:bookmarkEnd w:id="46"/>
    </w:p>
    <w:p w14:paraId="25390136" w14:textId="1AEE0F6D" w:rsidR="006E75F0" w:rsidRPr="00A03F2A" w:rsidRDefault="00E66B2E" w:rsidP="00A03F2A">
      <w:pPr>
        <w:rPr>
          <w:rFonts w:cs="Arial"/>
          <w:lang w:val="en-GB"/>
        </w:rPr>
      </w:pPr>
      <w:r w:rsidRPr="00A03F2A">
        <w:rPr>
          <w:rFonts w:cs="Arial"/>
          <w:lang w:val="en-GB"/>
        </w:rPr>
        <w:t xml:space="preserve">My attitude and attitude at the first stage </w:t>
      </w:r>
      <w:r w:rsidR="001438FA" w:rsidRPr="00A03F2A">
        <w:rPr>
          <w:rFonts w:cs="Arial"/>
          <w:lang w:val="en-GB"/>
        </w:rPr>
        <w:t>were</w:t>
      </w:r>
      <w:r w:rsidRPr="00A03F2A">
        <w:rPr>
          <w:rFonts w:cs="Arial"/>
          <w:lang w:val="en-GB"/>
        </w:rPr>
        <w:t xml:space="preserve"> doubtful, and the complexity of the assignment was a barrier to me. The study of a global company like BP was demanding not only a good knowledge of the strategic frameworks but also a critical interpretation of significant amounts of information. It felt especially hard to analyse the two-sided approach of BP to continue operating in fossil fuels, but at the same time invest in renewable energy, because that caused confusion in the definition of the strategic course of the company. According to </w:t>
      </w:r>
      <w:r w:rsidR="00F22667" w:rsidRPr="00A03F2A">
        <w:rPr>
          <w:rFonts w:cs="Arial"/>
          <w:lang w:val="en-GB"/>
        </w:rPr>
        <w:t>Mohamed et al. (2022</w:t>
      </w:r>
      <w:r w:rsidR="001438FA" w:rsidRPr="00A03F2A">
        <w:rPr>
          <w:rFonts w:cs="Arial"/>
          <w:lang w:val="en-GB"/>
        </w:rPr>
        <w:t>), reflective</w:t>
      </w:r>
      <w:r w:rsidRPr="00A03F2A">
        <w:rPr>
          <w:rFonts w:cs="Arial"/>
          <w:lang w:val="en-GB"/>
        </w:rPr>
        <w:t xml:space="preserve"> practice, complexity and uncertainty are inherent aspects of professional learning by being involved with complex and uncertain situations. In my development, I felt stronger in my competence to implement theoretical frameworks and analyse information efficiently. This change of confidence was provoked by further involvement in academic literature and a better understanding of how strategic frameworks may be implemented in practice.</w:t>
      </w:r>
    </w:p>
    <w:p w14:paraId="16F02C11" w14:textId="77777777" w:rsidR="006E75F0" w:rsidRPr="00A03F2A" w:rsidRDefault="00E66B2E" w:rsidP="00A03F2A">
      <w:pPr>
        <w:pStyle w:val="Heading2"/>
        <w:rPr>
          <w:rFonts w:cs="Arial"/>
          <w:lang w:val="en-GB"/>
        </w:rPr>
      </w:pPr>
      <w:bookmarkStart w:id="47" w:name="_zcp5n6ly620l" w:colFirst="0" w:colLast="0"/>
      <w:bookmarkStart w:id="48" w:name="_Toc224807784"/>
      <w:bookmarkEnd w:id="47"/>
      <w:r w:rsidRPr="00A03F2A">
        <w:rPr>
          <w:rFonts w:cs="Arial"/>
          <w:lang w:val="en-GB"/>
        </w:rPr>
        <w:t>2.3 Evaluation</w:t>
      </w:r>
      <w:bookmarkEnd w:id="48"/>
    </w:p>
    <w:p w14:paraId="5C79ABEC" w14:textId="59C251D0" w:rsidR="006E75F0" w:rsidRPr="00A03F2A" w:rsidRDefault="00E66B2E" w:rsidP="00A03F2A">
      <w:pPr>
        <w:rPr>
          <w:rFonts w:cs="Arial"/>
          <w:lang w:val="en-GB"/>
        </w:rPr>
      </w:pPr>
      <w:r w:rsidRPr="00A03F2A">
        <w:rPr>
          <w:rFonts w:cs="Arial"/>
          <w:lang w:val="en-GB"/>
        </w:rPr>
        <w:t xml:space="preserve">Altogether, I think that my research process was successful in allowing me to create an evidence-based and well-structured analysis. I have used a wide variety of reliable sources, such as journal articles and industry data, that contributed to the credibility of my arguments. Diversity of sources is a critical aspect in academic research because it enhances the sources' validity and analysis depth (Özkan, 2023). The good use of </w:t>
      </w:r>
      <w:r w:rsidRPr="00A03F2A">
        <w:rPr>
          <w:rFonts w:cs="Arial"/>
          <w:lang w:val="en-GB"/>
        </w:rPr>
        <w:lastRenderedPageBreak/>
        <w:t>strategic frameworks was one of the strengths of my approach. As an example, VRIO helped me to analyse the internal capabilities of BP in a systematic way, whereas the Balanced Scorecard helped me focus on the wholesome picture of organisational performance. This assisted me in going beyond simple description and has enabled me to form more open analytical ideas.</w:t>
      </w:r>
      <w:r w:rsidR="00652018" w:rsidRPr="00A03F2A">
        <w:rPr>
          <w:rFonts w:cs="Arial"/>
          <w:lang w:val="en-GB"/>
        </w:rPr>
        <w:t xml:space="preserve"> </w:t>
      </w:r>
      <w:r w:rsidRPr="00A03F2A">
        <w:rPr>
          <w:rFonts w:cs="Arial"/>
          <w:lang w:val="en-GB"/>
        </w:rPr>
        <w:t>The weakness of my work, though, was the fact that in the initial stages, I was inclined to use descriptive writing. First, I paid more attention to the explanation of concepts instead of critically analysing them. This meant that I had to consult and rework my analysis to ensure that my arguments were evidence-based and met above-average in a scholarly perspective.</w:t>
      </w:r>
    </w:p>
    <w:p w14:paraId="42C55ED1" w14:textId="77777777" w:rsidR="006E75F0" w:rsidRPr="00A03F2A" w:rsidRDefault="00E66B2E" w:rsidP="00A03F2A">
      <w:pPr>
        <w:pStyle w:val="Heading2"/>
        <w:rPr>
          <w:rFonts w:cs="Arial"/>
          <w:lang w:val="en-GB"/>
        </w:rPr>
      </w:pPr>
      <w:bookmarkStart w:id="49" w:name="_r0rb7ryo22vk" w:colFirst="0" w:colLast="0"/>
      <w:bookmarkStart w:id="50" w:name="_Toc224807785"/>
      <w:bookmarkEnd w:id="49"/>
      <w:r w:rsidRPr="00A03F2A">
        <w:rPr>
          <w:rFonts w:cs="Arial"/>
          <w:lang w:val="en-GB"/>
        </w:rPr>
        <w:t>2.4 Analysis</w:t>
      </w:r>
      <w:bookmarkEnd w:id="50"/>
    </w:p>
    <w:p w14:paraId="28D348DA" w14:textId="6FA2BB98" w:rsidR="006E75F0" w:rsidRPr="00A03F2A" w:rsidRDefault="00E66B2E" w:rsidP="00A03F2A">
      <w:pPr>
        <w:rPr>
          <w:rFonts w:cs="Arial"/>
          <w:lang w:val="en-GB"/>
        </w:rPr>
      </w:pPr>
      <w:r w:rsidRPr="00A03F2A">
        <w:rPr>
          <w:rFonts w:cs="Arial"/>
          <w:lang w:val="en-GB"/>
        </w:rPr>
        <w:t xml:space="preserve">This assignment provided me with an enhanced perception of the relevance of critical thinking and analysis utilising evidence in strategic management. According to </w:t>
      </w:r>
      <w:r w:rsidR="00850EC4" w:rsidRPr="00A03F2A">
        <w:rPr>
          <w:rFonts w:cs="Arial"/>
          <w:lang w:val="en-GB"/>
        </w:rPr>
        <w:t xml:space="preserve">Holdo, (2023), </w:t>
      </w:r>
      <w:r w:rsidRPr="00A03F2A">
        <w:rPr>
          <w:rFonts w:cs="Arial"/>
          <w:lang w:val="en-GB"/>
        </w:rPr>
        <w:t xml:space="preserve">critical reflection empowers people to challenge assumptions and come up with more advanced </w:t>
      </w:r>
      <w:r w:rsidR="009146CD" w:rsidRPr="00A03F2A">
        <w:rPr>
          <w:rFonts w:cs="Arial"/>
          <w:lang w:val="en-GB"/>
        </w:rPr>
        <w:t>knowledge</w:t>
      </w:r>
      <w:r w:rsidRPr="00A03F2A">
        <w:rPr>
          <w:rFonts w:cs="Arial"/>
          <w:lang w:val="en-GB"/>
        </w:rPr>
        <w:t xml:space="preserve">. This came into good play when examining the strategy at BP, since I was to examine contradictory evidence on its sustainability promises and financial priorities. Balanced Scorecard framework layout revealed the relevance of performance measures being paired with organisational goals. </w:t>
      </w:r>
      <w:r w:rsidR="009146CD" w:rsidRPr="00A03F2A">
        <w:rPr>
          <w:rFonts w:cs="Arial"/>
          <w:lang w:val="en-GB"/>
        </w:rPr>
        <w:t>S</w:t>
      </w:r>
      <w:r w:rsidRPr="00A03F2A">
        <w:rPr>
          <w:rFonts w:cs="Arial"/>
          <w:lang w:val="en-GB"/>
        </w:rPr>
        <w:t>trategic management also underlines that effective organisations combine both the financial and non-financial views so as to make long-term performance</w:t>
      </w:r>
      <w:r w:rsidR="009146CD" w:rsidRPr="00A03F2A">
        <w:rPr>
          <w:rFonts w:cs="Arial"/>
          <w:lang w:val="en-GB"/>
        </w:rPr>
        <w:t xml:space="preserve"> (Ombai et al. 2024)</w:t>
      </w:r>
      <w:r w:rsidRPr="00A03F2A">
        <w:rPr>
          <w:rFonts w:cs="Arial"/>
          <w:lang w:val="en-GB"/>
        </w:rPr>
        <w:t>. This analysis showed in the case of BP that the company has lacked consistency in its sustainability objectives and its investment in fossil fuels.</w:t>
      </w:r>
    </w:p>
    <w:p w14:paraId="4C9E8D44" w14:textId="77777777" w:rsidR="006E75F0" w:rsidRPr="00A03F2A" w:rsidRDefault="00E66B2E" w:rsidP="00A03F2A">
      <w:pPr>
        <w:rPr>
          <w:rFonts w:cs="Arial"/>
          <w:lang w:val="en-GB"/>
        </w:rPr>
      </w:pPr>
      <w:r w:rsidRPr="00A03F2A">
        <w:rPr>
          <w:rFonts w:cs="Arial"/>
          <w:lang w:val="en-GB"/>
        </w:rPr>
        <w:t>Moreover, the application of the VRIO framework also revealed the weaknesses of the conventional core competencies of BP in the environment of the energy transition. The resource-based view is based on the fact that sustainable competitive advantage is determined by resources that are valued and rare, and challenge imitation (Zvarimwa and Zimuto, 2022). This lesson made me realise that the current capabilities possessed by BP in the oil and gas industry might be too little to make it competitive in the long term in renewable energy markets. The assignment helped me to improve the skills of synthesising information presented in several sources and writing coherent arguments as well. I also got to know how to critically analyse the information instead of just displaying it, which is a major ability at the postgraduate level of research.</w:t>
      </w:r>
    </w:p>
    <w:p w14:paraId="799E3AC6" w14:textId="77777777" w:rsidR="006E75F0" w:rsidRPr="00A03F2A" w:rsidRDefault="00E66B2E" w:rsidP="00A03F2A">
      <w:pPr>
        <w:pStyle w:val="Heading2"/>
        <w:rPr>
          <w:rFonts w:cs="Arial"/>
          <w:lang w:val="en-GB"/>
        </w:rPr>
      </w:pPr>
      <w:bookmarkStart w:id="51" w:name="_1e2aas6if64" w:colFirst="0" w:colLast="0"/>
      <w:bookmarkStart w:id="52" w:name="_Toc224807786"/>
      <w:bookmarkEnd w:id="51"/>
      <w:r w:rsidRPr="00A03F2A">
        <w:rPr>
          <w:rFonts w:cs="Arial"/>
          <w:lang w:val="en-GB"/>
        </w:rPr>
        <w:lastRenderedPageBreak/>
        <w:t>2.5 Conclusion</w:t>
      </w:r>
      <w:bookmarkEnd w:id="52"/>
    </w:p>
    <w:p w14:paraId="4641AC4D" w14:textId="77777777" w:rsidR="006E75F0" w:rsidRPr="00A03F2A" w:rsidRDefault="00E66B2E" w:rsidP="00A03F2A">
      <w:pPr>
        <w:rPr>
          <w:rFonts w:cs="Arial"/>
          <w:lang w:val="en-GB"/>
        </w:rPr>
      </w:pPr>
      <w:r w:rsidRPr="00A03F2A">
        <w:rPr>
          <w:rFonts w:cs="Arial"/>
          <w:lang w:val="en-GB"/>
        </w:rPr>
        <w:t>The given assignment has had a substantial impact on my professional and academic growth. I am now more capable of putting strategic frameworks into practice, being a critical thinker and bringing together theory and evidence. The process has also developed my research skills as well as my knowledge of how organisations can perform and survive in the dynamic and complex environment. Nevertheless, I understand that I can still use improvement, especially regarding the ability to maintain a high degree of critical thinking in the process of my work. A more organised writing style will also help me improve the quality of my future assignments, as I will make sure that my arguments are backed up by evidence.</w:t>
      </w:r>
    </w:p>
    <w:p w14:paraId="607BCEE0" w14:textId="77777777" w:rsidR="006E75F0" w:rsidRPr="00A03F2A" w:rsidRDefault="00E66B2E" w:rsidP="00A03F2A">
      <w:pPr>
        <w:pStyle w:val="Heading2"/>
        <w:rPr>
          <w:rFonts w:cs="Arial"/>
          <w:lang w:val="en-GB"/>
        </w:rPr>
      </w:pPr>
      <w:bookmarkStart w:id="53" w:name="_z5teinedgytf" w:colFirst="0" w:colLast="0"/>
      <w:bookmarkStart w:id="54" w:name="_Toc224807787"/>
      <w:bookmarkEnd w:id="53"/>
      <w:r w:rsidRPr="00A03F2A">
        <w:rPr>
          <w:rFonts w:cs="Arial"/>
          <w:lang w:val="en-GB"/>
        </w:rPr>
        <w:t>2.6 Action Plan</w:t>
      </w:r>
      <w:bookmarkEnd w:id="54"/>
    </w:p>
    <w:p w14:paraId="3D5A5BE6" w14:textId="50404B73" w:rsidR="006E75F0" w:rsidRPr="00A03F2A" w:rsidRDefault="00E66B2E" w:rsidP="00A03F2A">
      <w:pPr>
        <w:rPr>
          <w:rFonts w:cs="Arial"/>
          <w:lang w:val="en-GB"/>
        </w:rPr>
      </w:pPr>
      <w:r w:rsidRPr="00A03F2A">
        <w:rPr>
          <w:rFonts w:cs="Arial"/>
          <w:lang w:val="en-GB"/>
        </w:rPr>
        <w:t>In subsequent works, I will choose to work on my critical thinking in the early phases of the research project. The latter will entail being more careful with my arguments and being more analytical and immersed in academic literature. I am also going to enhance my time management so that I have enough time to revise and polish my work. It will also assist me in determining a point where my analysis can be improved and to make sure that my writing is up to the required academic requirements.</w:t>
      </w:r>
      <w:r w:rsidR="00652018" w:rsidRPr="00A03F2A">
        <w:rPr>
          <w:rFonts w:cs="Arial"/>
          <w:lang w:val="en-GB"/>
        </w:rPr>
        <w:t xml:space="preserve"> </w:t>
      </w:r>
      <w:r w:rsidRPr="00A03F2A">
        <w:rPr>
          <w:rFonts w:cs="Arial"/>
          <w:lang w:val="en-GB"/>
        </w:rPr>
        <w:t>I will also maintain the practice of reflection since it is an important aspect of lifelong learning and improvement. With the help of these enhancements, I will be able to improve the quality of my academic work and my general knowledge of strategic management.</w:t>
      </w:r>
    </w:p>
    <w:tbl>
      <w:tblPr>
        <w:tblStyle w:val="TableGrid"/>
        <w:tblW w:w="0" w:type="auto"/>
        <w:tblLook w:val="04A0" w:firstRow="1" w:lastRow="0" w:firstColumn="1" w:lastColumn="0" w:noHBand="0" w:noVBand="1"/>
      </w:tblPr>
      <w:tblGrid>
        <w:gridCol w:w="2920"/>
        <w:gridCol w:w="3779"/>
        <w:gridCol w:w="2651"/>
      </w:tblGrid>
      <w:tr w:rsidR="005340DD" w:rsidRPr="00A03F2A" w14:paraId="2CECD5CD" w14:textId="77777777" w:rsidTr="005340DD">
        <w:tc>
          <w:tcPr>
            <w:tcW w:w="0" w:type="auto"/>
            <w:hideMark/>
          </w:tcPr>
          <w:p w14:paraId="117BA5A2" w14:textId="77777777" w:rsidR="005340DD" w:rsidRPr="00A03F2A" w:rsidRDefault="005340DD" w:rsidP="00A03F2A">
            <w:pPr>
              <w:spacing w:line="360" w:lineRule="auto"/>
              <w:jc w:val="center"/>
              <w:rPr>
                <w:rFonts w:cs="Arial"/>
                <w:b/>
                <w:bCs/>
              </w:rPr>
            </w:pPr>
            <w:r w:rsidRPr="00A03F2A">
              <w:rPr>
                <w:rFonts w:cs="Arial"/>
                <w:b/>
                <w:bCs/>
              </w:rPr>
              <w:t>Objective</w:t>
            </w:r>
          </w:p>
        </w:tc>
        <w:tc>
          <w:tcPr>
            <w:tcW w:w="0" w:type="auto"/>
            <w:hideMark/>
          </w:tcPr>
          <w:p w14:paraId="4F8DF392" w14:textId="77777777" w:rsidR="005340DD" w:rsidRPr="00A03F2A" w:rsidRDefault="005340DD" w:rsidP="00A03F2A">
            <w:pPr>
              <w:spacing w:line="360" w:lineRule="auto"/>
              <w:jc w:val="center"/>
              <w:rPr>
                <w:rFonts w:cs="Arial"/>
                <w:b/>
                <w:bCs/>
              </w:rPr>
            </w:pPr>
            <w:r w:rsidRPr="00A03F2A">
              <w:rPr>
                <w:rFonts w:cs="Arial"/>
                <w:b/>
                <w:bCs/>
              </w:rPr>
              <w:t>Resources</w:t>
            </w:r>
          </w:p>
        </w:tc>
        <w:tc>
          <w:tcPr>
            <w:tcW w:w="0" w:type="auto"/>
            <w:hideMark/>
          </w:tcPr>
          <w:p w14:paraId="13C5F8F7" w14:textId="77777777" w:rsidR="005340DD" w:rsidRPr="00A03F2A" w:rsidRDefault="005340DD" w:rsidP="00A03F2A">
            <w:pPr>
              <w:spacing w:line="360" w:lineRule="auto"/>
              <w:jc w:val="center"/>
              <w:rPr>
                <w:rFonts w:cs="Arial"/>
                <w:b/>
                <w:bCs/>
              </w:rPr>
            </w:pPr>
            <w:r w:rsidRPr="00A03F2A">
              <w:rPr>
                <w:rFonts w:cs="Arial"/>
                <w:b/>
                <w:bCs/>
              </w:rPr>
              <w:t>Timeframe</w:t>
            </w:r>
          </w:p>
        </w:tc>
      </w:tr>
      <w:tr w:rsidR="005340DD" w:rsidRPr="00A03F2A" w14:paraId="5571D470" w14:textId="77777777" w:rsidTr="005340DD">
        <w:tc>
          <w:tcPr>
            <w:tcW w:w="0" w:type="auto"/>
            <w:hideMark/>
          </w:tcPr>
          <w:p w14:paraId="14D2EA8C" w14:textId="77777777" w:rsidR="005340DD" w:rsidRPr="00A03F2A" w:rsidRDefault="005340DD" w:rsidP="00A03F2A">
            <w:pPr>
              <w:spacing w:line="360" w:lineRule="auto"/>
              <w:jc w:val="center"/>
              <w:rPr>
                <w:rFonts w:cs="Arial"/>
              </w:rPr>
            </w:pPr>
            <w:r w:rsidRPr="00A03F2A">
              <w:rPr>
                <w:rFonts w:cs="Arial"/>
              </w:rPr>
              <w:t>Improve critical thinking and analysis</w:t>
            </w:r>
          </w:p>
        </w:tc>
        <w:tc>
          <w:tcPr>
            <w:tcW w:w="0" w:type="auto"/>
            <w:hideMark/>
          </w:tcPr>
          <w:p w14:paraId="7A7CC4DD" w14:textId="77777777" w:rsidR="005340DD" w:rsidRPr="00A03F2A" w:rsidRDefault="005340DD" w:rsidP="00A03F2A">
            <w:pPr>
              <w:spacing w:line="360" w:lineRule="auto"/>
              <w:jc w:val="center"/>
              <w:rPr>
                <w:rFonts w:cs="Arial"/>
              </w:rPr>
            </w:pPr>
            <w:r w:rsidRPr="00A03F2A">
              <w:rPr>
                <w:rFonts w:cs="Arial"/>
              </w:rPr>
              <w:t>Academic journals, strategic management textbooks</w:t>
            </w:r>
          </w:p>
        </w:tc>
        <w:tc>
          <w:tcPr>
            <w:tcW w:w="0" w:type="auto"/>
            <w:hideMark/>
          </w:tcPr>
          <w:p w14:paraId="1F99417B" w14:textId="77777777" w:rsidR="005340DD" w:rsidRPr="00A03F2A" w:rsidRDefault="005340DD" w:rsidP="00A03F2A">
            <w:pPr>
              <w:spacing w:line="360" w:lineRule="auto"/>
              <w:jc w:val="center"/>
              <w:rPr>
                <w:rFonts w:cs="Arial"/>
              </w:rPr>
            </w:pPr>
            <w:r w:rsidRPr="00A03F2A">
              <w:rPr>
                <w:rFonts w:cs="Arial"/>
              </w:rPr>
              <w:t>From initial research stage</w:t>
            </w:r>
          </w:p>
        </w:tc>
      </w:tr>
      <w:tr w:rsidR="005340DD" w:rsidRPr="00A03F2A" w14:paraId="5229CAF7" w14:textId="77777777" w:rsidTr="005340DD">
        <w:tc>
          <w:tcPr>
            <w:tcW w:w="0" w:type="auto"/>
            <w:hideMark/>
          </w:tcPr>
          <w:p w14:paraId="0AEFB4D7" w14:textId="77777777" w:rsidR="005340DD" w:rsidRPr="00A03F2A" w:rsidRDefault="005340DD" w:rsidP="00A03F2A">
            <w:pPr>
              <w:spacing w:line="360" w:lineRule="auto"/>
              <w:jc w:val="center"/>
              <w:rPr>
                <w:rFonts w:cs="Arial"/>
              </w:rPr>
            </w:pPr>
            <w:r w:rsidRPr="00A03F2A">
              <w:rPr>
                <w:rFonts w:cs="Arial"/>
              </w:rPr>
              <w:t>Enhance time management</w:t>
            </w:r>
          </w:p>
        </w:tc>
        <w:tc>
          <w:tcPr>
            <w:tcW w:w="0" w:type="auto"/>
            <w:hideMark/>
          </w:tcPr>
          <w:p w14:paraId="28F96204" w14:textId="77777777" w:rsidR="005340DD" w:rsidRPr="00A03F2A" w:rsidRDefault="005340DD" w:rsidP="00A03F2A">
            <w:pPr>
              <w:spacing w:line="360" w:lineRule="auto"/>
              <w:jc w:val="center"/>
              <w:rPr>
                <w:rFonts w:cs="Arial"/>
              </w:rPr>
            </w:pPr>
            <w:r w:rsidRPr="00A03F2A">
              <w:rPr>
                <w:rFonts w:cs="Arial"/>
              </w:rPr>
              <w:t>Study planner, scheduling tools</w:t>
            </w:r>
          </w:p>
        </w:tc>
        <w:tc>
          <w:tcPr>
            <w:tcW w:w="0" w:type="auto"/>
            <w:hideMark/>
          </w:tcPr>
          <w:p w14:paraId="0231F8FE" w14:textId="77777777" w:rsidR="005340DD" w:rsidRPr="00A03F2A" w:rsidRDefault="005340DD" w:rsidP="00A03F2A">
            <w:pPr>
              <w:spacing w:line="360" w:lineRule="auto"/>
              <w:jc w:val="center"/>
              <w:rPr>
                <w:rFonts w:cs="Arial"/>
              </w:rPr>
            </w:pPr>
            <w:r w:rsidRPr="00A03F2A">
              <w:rPr>
                <w:rFonts w:cs="Arial"/>
              </w:rPr>
              <w:t>Throughout assignment timeline</w:t>
            </w:r>
          </w:p>
        </w:tc>
      </w:tr>
      <w:tr w:rsidR="005340DD" w:rsidRPr="00A03F2A" w14:paraId="559F804D" w14:textId="77777777" w:rsidTr="005340DD">
        <w:tc>
          <w:tcPr>
            <w:tcW w:w="0" w:type="auto"/>
            <w:hideMark/>
          </w:tcPr>
          <w:p w14:paraId="285C4365" w14:textId="77777777" w:rsidR="005340DD" w:rsidRPr="00A03F2A" w:rsidRDefault="005340DD" w:rsidP="00A03F2A">
            <w:pPr>
              <w:spacing w:line="360" w:lineRule="auto"/>
              <w:jc w:val="center"/>
              <w:rPr>
                <w:rFonts w:cs="Arial"/>
              </w:rPr>
            </w:pPr>
            <w:r w:rsidRPr="00A03F2A">
              <w:rPr>
                <w:rFonts w:cs="Arial"/>
              </w:rPr>
              <w:t>Strengthen reflective learning</w:t>
            </w:r>
          </w:p>
        </w:tc>
        <w:tc>
          <w:tcPr>
            <w:tcW w:w="0" w:type="auto"/>
            <w:hideMark/>
          </w:tcPr>
          <w:p w14:paraId="7692461E" w14:textId="77777777" w:rsidR="005340DD" w:rsidRPr="00A03F2A" w:rsidRDefault="005340DD" w:rsidP="00A03F2A">
            <w:pPr>
              <w:spacing w:line="360" w:lineRule="auto"/>
              <w:jc w:val="center"/>
              <w:rPr>
                <w:rFonts w:cs="Arial"/>
              </w:rPr>
            </w:pPr>
            <w:r w:rsidRPr="00A03F2A">
              <w:rPr>
                <w:rFonts w:cs="Arial"/>
              </w:rPr>
              <w:t>Reflective models (Gibbs, Moon, 2004)</w:t>
            </w:r>
          </w:p>
        </w:tc>
        <w:tc>
          <w:tcPr>
            <w:tcW w:w="0" w:type="auto"/>
            <w:hideMark/>
          </w:tcPr>
          <w:p w14:paraId="6498D13A" w14:textId="77777777" w:rsidR="005340DD" w:rsidRPr="00A03F2A" w:rsidRDefault="005340DD" w:rsidP="00A03F2A">
            <w:pPr>
              <w:spacing w:line="360" w:lineRule="auto"/>
              <w:jc w:val="center"/>
              <w:rPr>
                <w:rFonts w:cs="Arial"/>
              </w:rPr>
            </w:pPr>
            <w:r w:rsidRPr="00A03F2A">
              <w:rPr>
                <w:rFonts w:cs="Arial"/>
              </w:rPr>
              <w:t>Continuous development</w:t>
            </w:r>
          </w:p>
        </w:tc>
      </w:tr>
    </w:tbl>
    <w:p w14:paraId="5F2615EF" w14:textId="1247DCA2" w:rsidR="005340DD" w:rsidRPr="00A03F2A" w:rsidRDefault="005340DD" w:rsidP="00A03F2A">
      <w:pPr>
        <w:jc w:val="center"/>
        <w:rPr>
          <w:rFonts w:cs="Arial"/>
          <w:b/>
          <w:bCs/>
          <w:lang w:val="en-GB"/>
        </w:rPr>
      </w:pPr>
      <w:r w:rsidRPr="00A03F2A">
        <w:rPr>
          <w:rFonts w:cs="Arial"/>
          <w:b/>
          <w:bCs/>
          <w:lang w:val="en-GB"/>
        </w:rPr>
        <w:t>Table 6: Action Plan</w:t>
      </w:r>
    </w:p>
    <w:p w14:paraId="02B23CB7" w14:textId="2B5E3B80" w:rsidR="005340DD" w:rsidRPr="00A03F2A" w:rsidRDefault="005340DD" w:rsidP="00A03F2A">
      <w:pPr>
        <w:jc w:val="center"/>
        <w:rPr>
          <w:rFonts w:cs="Arial"/>
          <w:lang w:val="en-GB"/>
        </w:rPr>
      </w:pPr>
      <w:r w:rsidRPr="00A03F2A">
        <w:rPr>
          <w:rFonts w:cs="Arial"/>
          <w:lang w:val="en-GB"/>
        </w:rPr>
        <w:t>(Source: Self-developed)</w:t>
      </w:r>
    </w:p>
    <w:p w14:paraId="4E844CD6" w14:textId="20131714" w:rsidR="00EA4A2F" w:rsidRPr="00A03F2A" w:rsidRDefault="00EA4A2F" w:rsidP="00A03F2A">
      <w:pPr>
        <w:rPr>
          <w:rFonts w:cs="Arial"/>
          <w:lang w:val="en-GB"/>
        </w:rPr>
      </w:pPr>
      <w:r w:rsidRPr="00A03F2A">
        <w:rPr>
          <w:rFonts w:cs="Arial"/>
          <w:lang w:val="en-GB"/>
        </w:rPr>
        <w:br w:type="page"/>
      </w:r>
    </w:p>
    <w:p w14:paraId="1769214D" w14:textId="2F5740E0" w:rsidR="006E75F0" w:rsidRPr="00A03F2A" w:rsidRDefault="00EA4A2F" w:rsidP="00A03F2A">
      <w:pPr>
        <w:pStyle w:val="Heading1"/>
        <w:rPr>
          <w:rFonts w:cs="Arial"/>
          <w:lang w:val="en-GB"/>
        </w:rPr>
      </w:pPr>
      <w:bookmarkStart w:id="55" w:name="_Toc224807788"/>
      <w:r w:rsidRPr="00A03F2A">
        <w:rPr>
          <w:rFonts w:cs="Arial"/>
          <w:lang w:val="en-GB"/>
        </w:rPr>
        <w:lastRenderedPageBreak/>
        <w:t>References</w:t>
      </w:r>
      <w:bookmarkEnd w:id="55"/>
      <w:r w:rsidRPr="00A03F2A">
        <w:rPr>
          <w:rFonts w:cs="Arial"/>
          <w:lang w:val="en-GB"/>
        </w:rPr>
        <w:t xml:space="preserve"> </w:t>
      </w:r>
    </w:p>
    <w:p w14:paraId="5DAE5360" w14:textId="77777777" w:rsidR="00A03F2A" w:rsidRPr="00A03F2A" w:rsidRDefault="00A03F2A" w:rsidP="00A03F2A">
      <w:pPr>
        <w:rPr>
          <w:rFonts w:cs="Arial"/>
        </w:rPr>
      </w:pPr>
      <w:r w:rsidRPr="00A03F2A">
        <w:rPr>
          <w:rFonts w:cs="Arial"/>
        </w:rPr>
        <w:t>Adewoyin, M.A., 2021. Developing frameworks for managing low-carbon energy transitions: overcoming barriers to implementation in the oil and gas industry. </w:t>
      </w:r>
      <w:r w:rsidRPr="00A03F2A">
        <w:rPr>
          <w:rFonts w:cs="Arial"/>
          <w:i/>
          <w:iCs/>
        </w:rPr>
        <w:t>Magna Scientia Advanced Research and Reviews</w:t>
      </w:r>
      <w:r w:rsidRPr="00A03F2A">
        <w:rPr>
          <w:rFonts w:cs="Arial"/>
        </w:rPr>
        <w:t>, </w:t>
      </w:r>
      <w:r w:rsidRPr="00A03F2A">
        <w:rPr>
          <w:rFonts w:cs="Arial"/>
          <w:i/>
          <w:iCs/>
        </w:rPr>
        <w:t>1</w:t>
      </w:r>
      <w:r w:rsidRPr="00A03F2A">
        <w:rPr>
          <w:rFonts w:cs="Arial"/>
        </w:rPr>
        <w:t xml:space="preserve">(3), pp.68-75. </w:t>
      </w:r>
      <w:hyperlink r:id="rId13" w:history="1">
        <w:r w:rsidRPr="00A03F2A">
          <w:rPr>
            <w:rStyle w:val="Hyperlink"/>
            <w:rFonts w:cs="Arial"/>
          </w:rPr>
          <w:t>https://www.researchgate.net/profile/Musa-Adewoyin-2/publication/387667658_Developing_frameworks_for_managing_low-carbon_energy_transitions_overcoming_barriers_to_implementation_in_the_oil_and_gas_industry/links/6776e52ac1b013546509f485/Developing-frameworks-for-managing-low-carbon-energy-transitions-overcoming-barriers-to-implementation-in-the-oil-and-gas-industry.pdf</w:t>
        </w:r>
      </w:hyperlink>
      <w:r w:rsidRPr="00A03F2A">
        <w:rPr>
          <w:rFonts w:cs="Arial"/>
        </w:rPr>
        <w:t xml:space="preserve">  </w:t>
      </w:r>
    </w:p>
    <w:p w14:paraId="03C17759" w14:textId="77777777" w:rsidR="00A03F2A" w:rsidRPr="00A03F2A" w:rsidRDefault="00A03F2A" w:rsidP="00A03F2A">
      <w:pPr>
        <w:rPr>
          <w:rFonts w:cs="Arial"/>
        </w:rPr>
      </w:pPr>
      <w:r w:rsidRPr="00A03F2A">
        <w:rPr>
          <w:rFonts w:cs="Arial"/>
        </w:rPr>
        <w:t>Alfawaire, F. and Atan, T., 2021. The effect of strategic human resource and knowledge management on sustainable competitive advantages at Jordanian universities: The mediating role of organizational innovation. </w:t>
      </w:r>
      <w:r w:rsidRPr="00A03F2A">
        <w:rPr>
          <w:rFonts w:cs="Arial"/>
          <w:i/>
          <w:iCs/>
        </w:rPr>
        <w:t>Sustainability</w:t>
      </w:r>
      <w:r w:rsidRPr="00A03F2A">
        <w:rPr>
          <w:rFonts w:cs="Arial"/>
        </w:rPr>
        <w:t>, </w:t>
      </w:r>
      <w:r w:rsidRPr="00A03F2A">
        <w:rPr>
          <w:rFonts w:cs="Arial"/>
          <w:i/>
          <w:iCs/>
        </w:rPr>
        <w:t>13</w:t>
      </w:r>
      <w:r w:rsidRPr="00A03F2A">
        <w:rPr>
          <w:rFonts w:cs="Arial"/>
        </w:rPr>
        <w:t xml:space="preserve">(15), p.8445. </w:t>
      </w:r>
      <w:hyperlink r:id="rId14" w:history="1">
        <w:r w:rsidRPr="00A03F2A">
          <w:rPr>
            <w:rStyle w:val="Hyperlink"/>
            <w:rFonts w:cs="Arial"/>
          </w:rPr>
          <w:t>https://www.mdpi.com/2071-1050/13/15/8445</w:t>
        </w:r>
      </w:hyperlink>
      <w:r w:rsidRPr="00A03F2A">
        <w:rPr>
          <w:rFonts w:cs="Arial"/>
        </w:rPr>
        <w:t xml:space="preserve"> </w:t>
      </w:r>
    </w:p>
    <w:p w14:paraId="300C5345" w14:textId="77777777" w:rsidR="00A03F2A" w:rsidRPr="00A03F2A" w:rsidRDefault="00A03F2A" w:rsidP="00A03F2A">
      <w:pPr>
        <w:rPr>
          <w:rFonts w:cs="Arial"/>
        </w:rPr>
      </w:pPr>
      <w:r w:rsidRPr="00A03F2A">
        <w:rPr>
          <w:rFonts w:cs="Arial"/>
        </w:rPr>
        <w:t>Alkaraan, F., Elmarzouky, M., Hussainey, K., Venkatesh, V.G., Shi, Y. and Gulko, N., 2024. Reinforcing green business strategies with Industry 4.0 and governance towards sustainability: Natural</w:t>
      </w:r>
      <w:r w:rsidRPr="00A03F2A">
        <w:rPr>
          <w:rFonts w:ascii="Cambria Math" w:hAnsi="Cambria Math" w:cs="Cambria Math"/>
        </w:rPr>
        <w:t>‐</w:t>
      </w:r>
      <w:r w:rsidRPr="00A03F2A">
        <w:rPr>
          <w:rFonts w:cs="Arial"/>
        </w:rPr>
        <w:t>resource</w:t>
      </w:r>
      <w:r w:rsidRPr="00A03F2A">
        <w:rPr>
          <w:rFonts w:ascii="Cambria Math" w:hAnsi="Cambria Math" w:cs="Cambria Math"/>
        </w:rPr>
        <w:t>‐</w:t>
      </w:r>
      <w:r w:rsidRPr="00A03F2A">
        <w:rPr>
          <w:rFonts w:cs="Arial"/>
        </w:rPr>
        <w:t>based view and dynamic capability. </w:t>
      </w:r>
      <w:r w:rsidRPr="00A03F2A">
        <w:rPr>
          <w:rFonts w:cs="Arial"/>
          <w:i/>
          <w:iCs/>
        </w:rPr>
        <w:t>Business Strategy and the Environment</w:t>
      </w:r>
      <w:r w:rsidRPr="00A03F2A">
        <w:rPr>
          <w:rFonts w:cs="Arial"/>
        </w:rPr>
        <w:t>, </w:t>
      </w:r>
      <w:r w:rsidRPr="00A03F2A">
        <w:rPr>
          <w:rFonts w:cs="Arial"/>
          <w:i/>
          <w:iCs/>
        </w:rPr>
        <w:t>33</w:t>
      </w:r>
      <w:r w:rsidRPr="00A03F2A">
        <w:rPr>
          <w:rFonts w:cs="Arial"/>
        </w:rPr>
        <w:t xml:space="preserve">(4), pp.3588-3606. </w:t>
      </w:r>
      <w:hyperlink r:id="rId15" w:history="1">
        <w:r w:rsidRPr="00A03F2A">
          <w:rPr>
            <w:rStyle w:val="Hyperlink"/>
            <w:rFonts w:cs="Arial"/>
          </w:rPr>
          <w:t>https://onlinelibrary.wiley.com/doi/pdf/10.1002%2Fbse.3665</w:t>
        </w:r>
      </w:hyperlink>
      <w:r w:rsidRPr="00A03F2A">
        <w:rPr>
          <w:rFonts w:cs="Arial"/>
        </w:rPr>
        <w:t xml:space="preserve"> </w:t>
      </w:r>
    </w:p>
    <w:p w14:paraId="63E351E9" w14:textId="77777777" w:rsidR="00A03F2A" w:rsidRPr="00A03F2A" w:rsidRDefault="00A03F2A" w:rsidP="00A03F2A">
      <w:pPr>
        <w:rPr>
          <w:rFonts w:cs="Arial"/>
        </w:rPr>
      </w:pPr>
      <w:r w:rsidRPr="00A03F2A">
        <w:rPr>
          <w:rFonts w:cs="Arial"/>
        </w:rPr>
        <w:t>Alonge, E.O., Eyo-Udo, N.L., Ubanadu, B.C., Daraojimba, A.I., Balogun, E.D. and Ogunsola, K.O., 2023. Leveraging business intelligence for competitive advantage in the energy market: A conceptual framework. </w:t>
      </w:r>
      <w:r w:rsidRPr="00A03F2A">
        <w:rPr>
          <w:rFonts w:cs="Arial"/>
          <w:i/>
          <w:iCs/>
        </w:rPr>
        <w:t>Energy Market Dynamics Journal</w:t>
      </w:r>
      <w:r w:rsidRPr="00A03F2A">
        <w:rPr>
          <w:rFonts w:cs="Arial"/>
        </w:rPr>
        <w:t>, </w:t>
      </w:r>
      <w:r w:rsidRPr="00A03F2A">
        <w:rPr>
          <w:rFonts w:cs="Arial"/>
          <w:i/>
          <w:iCs/>
        </w:rPr>
        <w:t>8</w:t>
      </w:r>
      <w:r w:rsidRPr="00A03F2A">
        <w:rPr>
          <w:rFonts w:cs="Arial"/>
        </w:rPr>
        <w:t xml:space="preserve">(2), pp.22-36. </w:t>
      </w:r>
      <w:hyperlink r:id="rId16" w:history="1">
        <w:r w:rsidRPr="00A03F2A">
          <w:rPr>
            <w:rStyle w:val="Hyperlink"/>
            <w:rFonts w:cs="Arial"/>
          </w:rPr>
          <w:t>https://www.researchgate.net/profile/Enoch-Alonge/publication/390127059_Leveraging_business_intelligence_for_competitive_advantage_in_the_energy_market_A_conceptual_framework/links/67e15a7fe2c0ea36cd9ba585/Leveraging-business-intelligence-for-competitive-advantage-in-the-energy-market-A-conceptual-framework.pdf</w:t>
        </w:r>
      </w:hyperlink>
      <w:r w:rsidRPr="00A03F2A">
        <w:rPr>
          <w:rFonts w:cs="Arial"/>
        </w:rPr>
        <w:t xml:space="preserve">  </w:t>
      </w:r>
    </w:p>
    <w:p w14:paraId="22CA3B4D" w14:textId="77777777" w:rsidR="00A03F2A" w:rsidRPr="00A03F2A" w:rsidRDefault="00A03F2A" w:rsidP="00A03F2A">
      <w:pPr>
        <w:rPr>
          <w:rFonts w:cs="Arial"/>
        </w:rPr>
      </w:pPr>
      <w:r w:rsidRPr="00A03F2A">
        <w:rPr>
          <w:rFonts w:cs="Arial"/>
        </w:rPr>
        <w:t xml:space="preserve">Apnews, (2025). </w:t>
      </w:r>
      <w:r w:rsidRPr="00A03F2A">
        <w:rPr>
          <w:rFonts w:cs="Arial"/>
          <w:i/>
          <w:iCs/>
        </w:rPr>
        <w:t>BP to slash spending on net zero ventures as it focuses on oil and gas again.</w:t>
      </w:r>
      <w:r w:rsidRPr="00A03F2A">
        <w:rPr>
          <w:rFonts w:cs="Arial"/>
        </w:rPr>
        <w:t xml:space="preserve"> Available at:  </w:t>
      </w:r>
      <w:hyperlink r:id="rId17" w:history="1">
        <w:r w:rsidRPr="00A03F2A">
          <w:rPr>
            <w:rStyle w:val="Hyperlink"/>
            <w:rFonts w:cs="Arial"/>
          </w:rPr>
          <w:t>https://apnews.com/article/bp-oil-green-reset-1b9cfca4c2da138f83ace86b5945e053</w:t>
        </w:r>
      </w:hyperlink>
      <w:r w:rsidRPr="00A03F2A">
        <w:rPr>
          <w:rFonts w:cs="Arial"/>
        </w:rPr>
        <w:t xml:space="preserve"> [Accessed on: 10.03.2026]</w:t>
      </w:r>
    </w:p>
    <w:p w14:paraId="4351C2C7" w14:textId="77777777" w:rsidR="00A03F2A" w:rsidRPr="00A03F2A" w:rsidRDefault="00A03F2A" w:rsidP="00A03F2A">
      <w:pPr>
        <w:rPr>
          <w:rFonts w:cs="Arial"/>
        </w:rPr>
      </w:pPr>
      <w:r w:rsidRPr="00A03F2A">
        <w:rPr>
          <w:rFonts w:cs="Arial"/>
        </w:rPr>
        <w:lastRenderedPageBreak/>
        <w:t>Bari, N., Chimhundu, R. and Chan, K.C., 2022. Dynamic capabilities to achieve corporate sustainability: a roadmap to sustained competitive advantage. </w:t>
      </w:r>
      <w:r w:rsidRPr="00A03F2A">
        <w:rPr>
          <w:rFonts w:cs="Arial"/>
          <w:i/>
          <w:iCs/>
        </w:rPr>
        <w:t>Sustainability</w:t>
      </w:r>
      <w:r w:rsidRPr="00A03F2A">
        <w:rPr>
          <w:rFonts w:cs="Arial"/>
        </w:rPr>
        <w:t>, </w:t>
      </w:r>
      <w:r w:rsidRPr="00A03F2A">
        <w:rPr>
          <w:rFonts w:cs="Arial"/>
          <w:i/>
          <w:iCs/>
        </w:rPr>
        <w:t>14</w:t>
      </w:r>
      <w:r w:rsidRPr="00A03F2A">
        <w:rPr>
          <w:rFonts w:cs="Arial"/>
        </w:rPr>
        <w:t xml:space="preserve">(3), p.1531. </w:t>
      </w:r>
      <w:hyperlink r:id="rId18" w:history="1">
        <w:r w:rsidRPr="00A03F2A">
          <w:rPr>
            <w:rStyle w:val="Hyperlink"/>
            <w:rFonts w:cs="Arial"/>
          </w:rPr>
          <w:t>https://www.mdpi.com/2071-1050/14/3/1531</w:t>
        </w:r>
      </w:hyperlink>
      <w:r w:rsidRPr="00A03F2A">
        <w:rPr>
          <w:rFonts w:cs="Arial"/>
        </w:rPr>
        <w:t xml:space="preserve"> </w:t>
      </w:r>
    </w:p>
    <w:p w14:paraId="32AA22E9" w14:textId="45FB7839" w:rsidR="00A03F2A" w:rsidRPr="00A03F2A" w:rsidRDefault="00A03F2A" w:rsidP="00A03F2A">
      <w:pPr>
        <w:rPr>
          <w:rFonts w:cs="Arial"/>
        </w:rPr>
      </w:pPr>
      <w:r w:rsidRPr="00A03F2A">
        <w:rPr>
          <w:rFonts w:cs="Arial"/>
        </w:rPr>
        <w:t xml:space="preserve">BP, (2023). </w:t>
      </w:r>
      <w:r w:rsidRPr="00A03F2A">
        <w:rPr>
          <w:rFonts w:cs="Arial"/>
          <w:i/>
          <w:iCs/>
        </w:rPr>
        <w:t>Renewables and power.</w:t>
      </w:r>
      <w:r w:rsidRPr="00A03F2A">
        <w:rPr>
          <w:rFonts w:cs="Arial"/>
        </w:rPr>
        <w:t xml:space="preserve"> Available at:</w:t>
      </w:r>
      <w:r>
        <w:rPr>
          <w:rFonts w:cs="Arial"/>
        </w:rPr>
        <w:t xml:space="preserve"> </w:t>
      </w:r>
      <w:hyperlink r:id="rId19" w:history="1">
        <w:r w:rsidRPr="004E3D7C">
          <w:rPr>
            <w:rStyle w:val="Hyperlink"/>
            <w:rFonts w:cs="Arial"/>
          </w:rPr>
          <w:t>https://www.bp.com/en/global/corporate/what-we-do/renewables-and-power.html</w:t>
        </w:r>
      </w:hyperlink>
      <w:r w:rsidRPr="00A03F2A">
        <w:rPr>
          <w:rFonts w:cs="Arial"/>
        </w:rPr>
        <w:t xml:space="preserve"> [Accessed on: </w:t>
      </w:r>
      <w:r>
        <w:rPr>
          <w:rFonts w:cs="Arial"/>
        </w:rPr>
        <w:t>05</w:t>
      </w:r>
      <w:r w:rsidRPr="00A03F2A">
        <w:rPr>
          <w:rFonts w:cs="Arial"/>
        </w:rPr>
        <w:t>.03.2026]</w:t>
      </w:r>
    </w:p>
    <w:p w14:paraId="440A1D96" w14:textId="7C96F58F" w:rsidR="00A03F2A" w:rsidRPr="00A03F2A" w:rsidRDefault="00A03F2A" w:rsidP="00A03F2A">
      <w:pPr>
        <w:rPr>
          <w:rFonts w:cs="Arial"/>
        </w:rPr>
      </w:pPr>
      <w:r w:rsidRPr="00A03F2A">
        <w:rPr>
          <w:rFonts w:cs="Arial"/>
        </w:rPr>
        <w:t xml:space="preserve">BP, (2024). </w:t>
      </w:r>
      <w:r w:rsidRPr="00A03F2A">
        <w:rPr>
          <w:rFonts w:cs="Arial"/>
          <w:i/>
          <w:iCs/>
        </w:rPr>
        <w:t>The countries.</w:t>
      </w:r>
      <w:r w:rsidRPr="00A03F2A">
        <w:rPr>
          <w:rFonts w:cs="Arial"/>
        </w:rPr>
        <w:t xml:space="preserve"> Available at: </w:t>
      </w:r>
      <w:hyperlink r:id="rId20" w:history="1">
        <w:r w:rsidRPr="00A03F2A">
          <w:rPr>
            <w:rStyle w:val="Hyperlink"/>
            <w:rFonts w:cs="Arial"/>
          </w:rPr>
          <w:t>https://www.bp.com/content/dam/bp/business-sites/en/global/corporate/pdfs/sustainability/group-reports/bp-sustainability-report-2024.pdf</w:t>
        </w:r>
      </w:hyperlink>
      <w:r w:rsidRPr="00A03F2A">
        <w:rPr>
          <w:rFonts w:cs="Arial"/>
        </w:rPr>
        <w:t xml:space="preserve">  [Accessed on: </w:t>
      </w:r>
      <w:r>
        <w:rPr>
          <w:rFonts w:cs="Arial"/>
        </w:rPr>
        <w:t>05</w:t>
      </w:r>
      <w:r w:rsidRPr="00A03F2A">
        <w:rPr>
          <w:rFonts w:cs="Arial"/>
        </w:rPr>
        <w:t>.03.2026]</w:t>
      </w:r>
    </w:p>
    <w:p w14:paraId="531DCE45" w14:textId="1D6CAFCB" w:rsidR="00A03F2A" w:rsidRPr="00A03F2A" w:rsidRDefault="00A03F2A" w:rsidP="00A03F2A">
      <w:pPr>
        <w:rPr>
          <w:rFonts w:cs="Arial"/>
        </w:rPr>
      </w:pPr>
      <w:r w:rsidRPr="00A03F2A">
        <w:rPr>
          <w:rFonts w:cs="Arial"/>
        </w:rPr>
        <w:t xml:space="preserve">BP, (2025). </w:t>
      </w:r>
      <w:r w:rsidRPr="00A03F2A">
        <w:rPr>
          <w:rFonts w:cs="Arial"/>
          <w:i/>
          <w:iCs/>
        </w:rPr>
        <w:t>Consolidated financial statements of the bp group.</w:t>
      </w:r>
      <w:r w:rsidRPr="00A03F2A">
        <w:rPr>
          <w:rFonts w:cs="Arial"/>
        </w:rPr>
        <w:t xml:space="preserve"> Available at: </w:t>
      </w:r>
      <w:hyperlink r:id="rId21" w:history="1">
        <w:r w:rsidRPr="004E3D7C">
          <w:rPr>
            <w:rStyle w:val="Hyperlink"/>
            <w:rFonts w:cs="Arial"/>
          </w:rPr>
          <w:t>https://www.bp.com/content/dam/bp/business-sites/en/global/corporate/pdfs/investors/bp-annual-report-and-form-20f-financial-statements-2024.pdf</w:t>
        </w:r>
      </w:hyperlink>
      <w:r w:rsidRPr="00A03F2A">
        <w:rPr>
          <w:rFonts w:cs="Arial"/>
        </w:rPr>
        <w:t xml:space="preserve"> [Accessed on: 05.03.2026]</w:t>
      </w:r>
    </w:p>
    <w:p w14:paraId="397F118C" w14:textId="3B568DCD" w:rsidR="00A03F2A" w:rsidRPr="00A03F2A" w:rsidRDefault="00A03F2A" w:rsidP="00A03F2A">
      <w:pPr>
        <w:rPr>
          <w:rFonts w:cs="Arial"/>
        </w:rPr>
      </w:pPr>
      <w:r w:rsidRPr="00A03F2A">
        <w:rPr>
          <w:rFonts w:cs="Arial"/>
        </w:rPr>
        <w:t xml:space="preserve">BP, (2025a). </w:t>
      </w:r>
      <w:r w:rsidRPr="00A03F2A">
        <w:rPr>
          <w:rFonts w:cs="Arial"/>
          <w:i/>
          <w:iCs/>
        </w:rPr>
        <w:t>Getting to net zero.</w:t>
      </w:r>
      <w:r w:rsidRPr="00A03F2A">
        <w:rPr>
          <w:rFonts w:cs="Arial"/>
        </w:rPr>
        <w:t xml:space="preserve"> Available at:</w:t>
      </w:r>
      <w:r>
        <w:rPr>
          <w:rFonts w:cs="Arial"/>
        </w:rPr>
        <w:t xml:space="preserve"> </w:t>
      </w:r>
      <w:hyperlink r:id="rId22" w:history="1">
        <w:r w:rsidRPr="004E3D7C">
          <w:rPr>
            <w:rStyle w:val="Hyperlink"/>
            <w:rFonts w:cs="Arial"/>
          </w:rPr>
          <w:t>https://www.bp.com/en/global/corporate/sustainability/getting-to-net-zero.html</w:t>
        </w:r>
      </w:hyperlink>
      <w:r w:rsidRPr="00A03F2A">
        <w:rPr>
          <w:rFonts w:cs="Arial"/>
        </w:rPr>
        <w:t xml:space="preserve"> [Accessed on: 08.03.2026]</w:t>
      </w:r>
    </w:p>
    <w:p w14:paraId="5AD0F196" w14:textId="77777777" w:rsidR="00A03F2A" w:rsidRPr="00A03F2A" w:rsidRDefault="00A03F2A" w:rsidP="00A03F2A">
      <w:pPr>
        <w:rPr>
          <w:rFonts w:cs="Arial"/>
        </w:rPr>
      </w:pPr>
      <w:r w:rsidRPr="00A03F2A">
        <w:rPr>
          <w:rFonts w:cs="Arial"/>
        </w:rPr>
        <w:t xml:space="preserve">BP, (2026). </w:t>
      </w:r>
      <w:r w:rsidRPr="00A03F2A">
        <w:rPr>
          <w:rFonts w:cs="Arial"/>
          <w:i/>
          <w:iCs/>
        </w:rPr>
        <w:t>bp Annual Report and Form 20-F 2025.</w:t>
      </w:r>
      <w:r w:rsidRPr="00A03F2A">
        <w:rPr>
          <w:rFonts w:cs="Arial"/>
        </w:rPr>
        <w:t xml:space="preserve"> Available at: </w:t>
      </w:r>
      <w:hyperlink r:id="rId23" w:history="1">
        <w:r w:rsidRPr="00A03F2A">
          <w:rPr>
            <w:rStyle w:val="Hyperlink"/>
            <w:rFonts w:cs="Arial"/>
          </w:rPr>
          <w:t>https://www.bp.com/content/dam/bp/business-sites/en/global/corporate/pdfs/investors/bp-annual-report-and-form-20f-2025.pdf</w:t>
        </w:r>
      </w:hyperlink>
      <w:r w:rsidRPr="00A03F2A">
        <w:rPr>
          <w:rFonts w:cs="Arial"/>
        </w:rPr>
        <w:t xml:space="preserve"> [Accessed on: 11.03.2026]</w:t>
      </w:r>
    </w:p>
    <w:p w14:paraId="1CD0FD82" w14:textId="77777777" w:rsidR="00A03F2A" w:rsidRPr="00A03F2A" w:rsidRDefault="00A03F2A" w:rsidP="00A03F2A">
      <w:pPr>
        <w:rPr>
          <w:rFonts w:cs="Arial"/>
        </w:rPr>
      </w:pPr>
      <w:r w:rsidRPr="00A03F2A">
        <w:rPr>
          <w:rFonts w:cs="Arial"/>
        </w:rPr>
        <w:t>Dagnino, G.B., Picone, P.M. and Ferrigno, G., 2021. Temporary competitive advantage: a state</w:t>
      </w:r>
      <w:r w:rsidRPr="00A03F2A">
        <w:rPr>
          <w:rFonts w:ascii="Cambria Math" w:hAnsi="Cambria Math" w:cs="Cambria Math"/>
        </w:rPr>
        <w:t>‐</w:t>
      </w:r>
      <w:r w:rsidRPr="00A03F2A">
        <w:rPr>
          <w:rFonts w:cs="Arial"/>
        </w:rPr>
        <w:t>of</w:t>
      </w:r>
      <w:r w:rsidRPr="00A03F2A">
        <w:rPr>
          <w:rFonts w:ascii="Cambria Math" w:hAnsi="Cambria Math" w:cs="Cambria Math"/>
        </w:rPr>
        <w:t>‐</w:t>
      </w:r>
      <w:r w:rsidRPr="00A03F2A">
        <w:rPr>
          <w:rFonts w:cs="Arial"/>
        </w:rPr>
        <w:t>the</w:t>
      </w:r>
      <w:r w:rsidRPr="00A03F2A">
        <w:rPr>
          <w:rFonts w:ascii="Cambria Math" w:hAnsi="Cambria Math" w:cs="Cambria Math"/>
        </w:rPr>
        <w:t>‐</w:t>
      </w:r>
      <w:r w:rsidRPr="00A03F2A">
        <w:rPr>
          <w:rFonts w:cs="Arial"/>
        </w:rPr>
        <w:t>art literature review and research directions. </w:t>
      </w:r>
      <w:r w:rsidRPr="00A03F2A">
        <w:rPr>
          <w:rFonts w:cs="Arial"/>
          <w:i/>
          <w:iCs/>
        </w:rPr>
        <w:t>International Journal of Management Reviews</w:t>
      </w:r>
      <w:r w:rsidRPr="00A03F2A">
        <w:rPr>
          <w:rFonts w:cs="Arial"/>
        </w:rPr>
        <w:t>, </w:t>
      </w:r>
      <w:r w:rsidRPr="00A03F2A">
        <w:rPr>
          <w:rFonts w:cs="Arial"/>
          <w:i/>
          <w:iCs/>
        </w:rPr>
        <w:t>23</w:t>
      </w:r>
      <w:r w:rsidRPr="00A03F2A">
        <w:rPr>
          <w:rFonts w:cs="Arial"/>
        </w:rPr>
        <w:t xml:space="preserve">(1), pp.85-115. </w:t>
      </w:r>
      <w:hyperlink r:id="rId24" w:history="1">
        <w:r w:rsidRPr="00A03F2A">
          <w:rPr>
            <w:rStyle w:val="Hyperlink"/>
            <w:rFonts w:cs="Arial"/>
          </w:rPr>
          <w:t>https://onlinelibrary.wiley.com/doi/pdf/10.1111/ijmr.12242?casa_token=YuzDqSZV068AAAAA:TTfrBmHx-91O7L-FZoAN1W_c3O-pWBHiLhPtToCERg_CTX1golZAM5_IVIiz1uvA30YAU_nE8wMpFg</w:t>
        </w:r>
      </w:hyperlink>
      <w:r w:rsidRPr="00A03F2A">
        <w:rPr>
          <w:rFonts w:cs="Arial"/>
        </w:rPr>
        <w:t xml:space="preserve"> </w:t>
      </w:r>
    </w:p>
    <w:p w14:paraId="189A1AED" w14:textId="77777777" w:rsidR="00A03F2A" w:rsidRPr="00A03F2A" w:rsidRDefault="00A03F2A" w:rsidP="00A03F2A">
      <w:pPr>
        <w:rPr>
          <w:rFonts w:cs="Arial"/>
        </w:rPr>
      </w:pPr>
      <w:r w:rsidRPr="00A03F2A">
        <w:rPr>
          <w:rFonts w:cs="Arial"/>
        </w:rPr>
        <w:t>Dressler, M., 2023. Sustainable business model design: A multi-case approach exploring generic strategies and dynamic capabilities on the example of German Wine Estates. </w:t>
      </w:r>
      <w:r w:rsidRPr="00A03F2A">
        <w:rPr>
          <w:rFonts w:cs="Arial"/>
          <w:i/>
          <w:iCs/>
        </w:rPr>
        <w:t>Sustainability</w:t>
      </w:r>
      <w:r w:rsidRPr="00A03F2A">
        <w:rPr>
          <w:rFonts w:cs="Arial"/>
        </w:rPr>
        <w:t>, </w:t>
      </w:r>
      <w:r w:rsidRPr="00A03F2A">
        <w:rPr>
          <w:rFonts w:cs="Arial"/>
          <w:i/>
          <w:iCs/>
        </w:rPr>
        <w:t>15</w:t>
      </w:r>
      <w:r w:rsidRPr="00A03F2A">
        <w:rPr>
          <w:rFonts w:cs="Arial"/>
        </w:rPr>
        <w:t xml:space="preserve">(5), p.3880. </w:t>
      </w:r>
      <w:hyperlink r:id="rId25" w:history="1">
        <w:r w:rsidRPr="00A03F2A">
          <w:rPr>
            <w:rStyle w:val="Hyperlink"/>
            <w:rFonts w:cs="Arial"/>
          </w:rPr>
          <w:t>https://www.mdpi.com/2071-1050/15/5/3880</w:t>
        </w:r>
      </w:hyperlink>
      <w:r w:rsidRPr="00A03F2A">
        <w:rPr>
          <w:rFonts w:cs="Arial"/>
        </w:rPr>
        <w:t xml:space="preserve"> </w:t>
      </w:r>
    </w:p>
    <w:p w14:paraId="6B07C080" w14:textId="77777777" w:rsidR="00A03F2A" w:rsidRPr="00A03F2A" w:rsidRDefault="00A03F2A" w:rsidP="00A03F2A">
      <w:pPr>
        <w:rPr>
          <w:rFonts w:cs="Arial"/>
        </w:rPr>
      </w:pPr>
      <w:r w:rsidRPr="00A03F2A">
        <w:rPr>
          <w:rFonts w:cs="Arial"/>
        </w:rPr>
        <w:lastRenderedPageBreak/>
        <w:t xml:space="preserve">Forbes, (2024). </w:t>
      </w:r>
      <w:r w:rsidRPr="00A03F2A">
        <w:rPr>
          <w:rFonts w:cs="Arial"/>
          <w:i/>
          <w:iCs/>
        </w:rPr>
        <w:t>BP, ExxonMobil Provide A Contrast In Energy Transition Strategies.</w:t>
      </w:r>
      <w:r w:rsidRPr="00A03F2A">
        <w:rPr>
          <w:rFonts w:cs="Arial"/>
        </w:rPr>
        <w:t xml:space="preserve">   Available at: </w:t>
      </w:r>
      <w:hyperlink r:id="rId26" w:history="1">
        <w:r w:rsidRPr="00A03F2A">
          <w:rPr>
            <w:rStyle w:val="Hyperlink"/>
            <w:rFonts w:cs="Arial"/>
          </w:rPr>
          <w:t>https://www.forbes.com/sites/davidblackmon/2024/06/27/bp-exxonmobil-provide-a-contrast-in-energy-transition-strategies/</w:t>
        </w:r>
      </w:hyperlink>
      <w:r w:rsidRPr="00A03F2A">
        <w:rPr>
          <w:rFonts w:cs="Arial"/>
        </w:rPr>
        <w:t xml:space="preserve"> [Accessed on: 10.03.2026]</w:t>
      </w:r>
    </w:p>
    <w:p w14:paraId="2370D681" w14:textId="77777777" w:rsidR="00A03F2A" w:rsidRPr="00A03F2A" w:rsidRDefault="00A03F2A" w:rsidP="00A03F2A">
      <w:pPr>
        <w:rPr>
          <w:rFonts w:cs="Arial"/>
          <w:i/>
          <w:iCs/>
        </w:rPr>
      </w:pPr>
      <w:r w:rsidRPr="00A03F2A">
        <w:rPr>
          <w:rFonts w:cs="Arial"/>
        </w:rPr>
        <w:t xml:space="preserve">Gambetta, G., Webb, D., and Azizuddin, K. (2025). </w:t>
      </w:r>
      <w:r w:rsidRPr="00A03F2A">
        <w:rPr>
          <w:rFonts w:cs="Arial"/>
          <w:i/>
          <w:iCs/>
        </w:rPr>
        <w:t xml:space="preserve">Investors react to BP’s energy strategy shift. </w:t>
      </w:r>
      <w:r w:rsidRPr="00A03F2A">
        <w:rPr>
          <w:rFonts w:cs="Arial"/>
        </w:rPr>
        <w:t xml:space="preserve">Available at: </w:t>
      </w:r>
      <w:hyperlink r:id="rId27" w:history="1">
        <w:r w:rsidRPr="00A03F2A">
          <w:rPr>
            <w:rStyle w:val="Hyperlink"/>
            <w:rFonts w:cs="Arial"/>
          </w:rPr>
          <w:t>https://www.responsible-investor.com/investors-react-to-bps-energy-strategy-shift/</w:t>
        </w:r>
      </w:hyperlink>
      <w:r w:rsidRPr="00A03F2A">
        <w:rPr>
          <w:rFonts w:cs="Arial"/>
        </w:rPr>
        <w:t xml:space="preserve"> [Accessed on: 12.03.2026]</w:t>
      </w:r>
    </w:p>
    <w:p w14:paraId="3AE1CAD6" w14:textId="77777777" w:rsidR="00A03F2A" w:rsidRPr="00A03F2A" w:rsidRDefault="00A03F2A" w:rsidP="00A03F2A">
      <w:pPr>
        <w:rPr>
          <w:rFonts w:cs="Arial"/>
        </w:rPr>
      </w:pPr>
      <w:r w:rsidRPr="00A03F2A">
        <w:rPr>
          <w:rFonts w:cs="Arial"/>
        </w:rPr>
        <w:t>Gede, D.U. and Huluka, A.T., 2023. The impact of strategic alignment on organizational performance: The case of Ethiopian universities. </w:t>
      </w:r>
      <w:r w:rsidRPr="00A03F2A">
        <w:rPr>
          <w:rFonts w:cs="Arial"/>
          <w:i/>
          <w:iCs/>
        </w:rPr>
        <w:t>Cogent Business &amp; Management</w:t>
      </w:r>
      <w:r w:rsidRPr="00A03F2A">
        <w:rPr>
          <w:rFonts w:cs="Arial"/>
        </w:rPr>
        <w:t>, </w:t>
      </w:r>
      <w:r w:rsidRPr="00A03F2A">
        <w:rPr>
          <w:rFonts w:cs="Arial"/>
          <w:i/>
          <w:iCs/>
        </w:rPr>
        <w:t>10</w:t>
      </w:r>
      <w:r w:rsidRPr="00A03F2A">
        <w:rPr>
          <w:rFonts w:cs="Arial"/>
        </w:rPr>
        <w:t xml:space="preserve">(2), p.2247873. </w:t>
      </w:r>
      <w:hyperlink r:id="rId28" w:history="1">
        <w:r w:rsidRPr="00A03F2A">
          <w:rPr>
            <w:rStyle w:val="Hyperlink"/>
            <w:rFonts w:cs="Arial"/>
          </w:rPr>
          <w:t>https://www.tandfonline.com/doi/pdf/10.1080/23311975.2023.2247873</w:t>
        </w:r>
      </w:hyperlink>
      <w:r w:rsidRPr="00A03F2A">
        <w:rPr>
          <w:rFonts w:cs="Arial"/>
        </w:rPr>
        <w:t xml:space="preserve"> </w:t>
      </w:r>
    </w:p>
    <w:p w14:paraId="032F4186" w14:textId="77777777" w:rsidR="00A03F2A" w:rsidRPr="00A03F2A" w:rsidRDefault="00A03F2A" w:rsidP="00A03F2A">
      <w:pPr>
        <w:rPr>
          <w:rFonts w:cs="Arial"/>
        </w:rPr>
      </w:pPr>
      <w:r w:rsidRPr="00A03F2A">
        <w:rPr>
          <w:rFonts w:cs="Arial"/>
        </w:rPr>
        <w:t>Holdo, M., 2023. Critical reflection: John Dewey’s relational view of transformative learning. </w:t>
      </w:r>
      <w:r w:rsidRPr="00A03F2A">
        <w:rPr>
          <w:rFonts w:cs="Arial"/>
          <w:i/>
          <w:iCs/>
        </w:rPr>
        <w:t>Journal of Transformative Education</w:t>
      </w:r>
      <w:r w:rsidRPr="00A03F2A">
        <w:rPr>
          <w:rFonts w:cs="Arial"/>
        </w:rPr>
        <w:t>, </w:t>
      </w:r>
      <w:r w:rsidRPr="00A03F2A">
        <w:rPr>
          <w:rFonts w:cs="Arial"/>
          <w:i/>
          <w:iCs/>
        </w:rPr>
        <w:t>21</w:t>
      </w:r>
      <w:r w:rsidRPr="00A03F2A">
        <w:rPr>
          <w:rFonts w:cs="Arial"/>
        </w:rPr>
        <w:t xml:space="preserve">(1), pp.9-25. </w:t>
      </w:r>
      <w:hyperlink r:id="rId29" w:history="1">
        <w:r w:rsidRPr="00A03F2A">
          <w:rPr>
            <w:rStyle w:val="Hyperlink"/>
            <w:rFonts w:cs="Arial"/>
          </w:rPr>
          <w:t>https://journals.sagepub.com/doi/pdf/10.1177/15413446221086727</w:t>
        </w:r>
      </w:hyperlink>
      <w:r w:rsidRPr="00A03F2A">
        <w:rPr>
          <w:rFonts w:cs="Arial"/>
        </w:rPr>
        <w:t xml:space="preserve"> </w:t>
      </w:r>
    </w:p>
    <w:p w14:paraId="46F1539F" w14:textId="77777777" w:rsidR="00A03F2A" w:rsidRPr="00A03F2A" w:rsidRDefault="00A03F2A" w:rsidP="00A03F2A">
      <w:pPr>
        <w:rPr>
          <w:rFonts w:cs="Arial"/>
        </w:rPr>
      </w:pPr>
      <w:r w:rsidRPr="00A03F2A">
        <w:rPr>
          <w:rFonts w:cs="Arial"/>
        </w:rPr>
        <w:t>Hopkins, E., Potoglou, D., Orford, S. and Cipcigan, L., 2023. Can the equitable roll out of electric vehicle charging infrastructure be achieved?. </w:t>
      </w:r>
      <w:r w:rsidRPr="00A03F2A">
        <w:rPr>
          <w:rFonts w:cs="Arial"/>
          <w:i/>
          <w:iCs/>
        </w:rPr>
        <w:t>Renewable and Sustainable Energy Reviews</w:t>
      </w:r>
      <w:r w:rsidRPr="00A03F2A">
        <w:rPr>
          <w:rFonts w:cs="Arial"/>
        </w:rPr>
        <w:t>, </w:t>
      </w:r>
      <w:r w:rsidRPr="00A03F2A">
        <w:rPr>
          <w:rFonts w:cs="Arial"/>
          <w:i/>
          <w:iCs/>
        </w:rPr>
        <w:t>182</w:t>
      </w:r>
      <w:r w:rsidRPr="00A03F2A">
        <w:rPr>
          <w:rFonts w:cs="Arial"/>
        </w:rPr>
        <w:t xml:space="preserve">, p.113398. </w:t>
      </w:r>
      <w:hyperlink r:id="rId30" w:history="1">
        <w:r w:rsidRPr="00A03F2A">
          <w:rPr>
            <w:rStyle w:val="Hyperlink"/>
            <w:rFonts w:cs="Arial"/>
          </w:rPr>
          <w:t>https://www.sciencedirect.com/science/article/pii/S1364032123002551</w:t>
        </w:r>
      </w:hyperlink>
      <w:r w:rsidRPr="00A03F2A">
        <w:rPr>
          <w:rFonts w:cs="Arial"/>
        </w:rPr>
        <w:t xml:space="preserve"> </w:t>
      </w:r>
    </w:p>
    <w:p w14:paraId="3321DF78" w14:textId="3D5CA021" w:rsidR="00A03F2A" w:rsidRPr="00A03F2A" w:rsidRDefault="00A03F2A" w:rsidP="00A03F2A">
      <w:pPr>
        <w:rPr>
          <w:rFonts w:cs="Arial"/>
        </w:rPr>
      </w:pPr>
      <w:r w:rsidRPr="00A03F2A">
        <w:rPr>
          <w:rFonts w:cs="Arial"/>
        </w:rPr>
        <w:t xml:space="preserve">IEA, (2024). </w:t>
      </w:r>
      <w:r w:rsidRPr="00A03F2A">
        <w:rPr>
          <w:rFonts w:cs="Arial"/>
          <w:i/>
          <w:iCs/>
        </w:rPr>
        <w:t>Slowing demand growth and surging supply put global oil markets on course for major surplus this decade.</w:t>
      </w:r>
      <w:r w:rsidRPr="00A03F2A">
        <w:rPr>
          <w:rFonts w:cs="Arial"/>
        </w:rPr>
        <w:t xml:space="preserve"> Available at: </w:t>
      </w:r>
      <w:hyperlink r:id="rId31" w:history="1">
        <w:r w:rsidRPr="00A03F2A">
          <w:rPr>
            <w:rStyle w:val="Hyperlink"/>
            <w:rFonts w:cs="Arial"/>
          </w:rPr>
          <w:t>https://www.iea.org/news/slowing-demand-growth-and-surging-supply-put-global-oil-markets-on-course-for-major-surplus-this-decade</w:t>
        </w:r>
      </w:hyperlink>
      <w:r w:rsidRPr="00A03F2A">
        <w:rPr>
          <w:rFonts w:cs="Arial"/>
        </w:rPr>
        <w:t xml:space="preserve"> [Accessed on: </w:t>
      </w:r>
      <w:r>
        <w:rPr>
          <w:rFonts w:cs="Arial"/>
        </w:rPr>
        <w:t>11</w:t>
      </w:r>
      <w:r w:rsidRPr="00A03F2A">
        <w:rPr>
          <w:rFonts w:cs="Arial"/>
        </w:rPr>
        <w:t>.03.2026]</w:t>
      </w:r>
    </w:p>
    <w:p w14:paraId="3586CDDE" w14:textId="2577EDA1" w:rsidR="00A03F2A" w:rsidRPr="00A03F2A" w:rsidRDefault="00A03F2A" w:rsidP="00A03F2A">
      <w:pPr>
        <w:rPr>
          <w:rFonts w:cs="Arial"/>
        </w:rPr>
      </w:pPr>
      <w:r w:rsidRPr="00A03F2A">
        <w:rPr>
          <w:rFonts w:cs="Arial"/>
        </w:rPr>
        <w:t xml:space="preserve">IEA, (2024a). </w:t>
      </w:r>
      <w:r w:rsidRPr="00A03F2A">
        <w:rPr>
          <w:rFonts w:cs="Arial"/>
          <w:i/>
          <w:iCs/>
        </w:rPr>
        <w:t>Electric vehicles – IEA.</w:t>
      </w:r>
      <w:r w:rsidRPr="00A03F2A">
        <w:rPr>
          <w:rFonts w:cs="Arial"/>
        </w:rPr>
        <w:t xml:space="preserve"> Available at: </w:t>
      </w:r>
      <w:hyperlink r:id="rId32" w:history="1">
        <w:r w:rsidRPr="00A03F2A">
          <w:rPr>
            <w:rStyle w:val="Hyperlink"/>
            <w:rFonts w:cs="Arial"/>
          </w:rPr>
          <w:t>https://www.iea.org/energy-system/transport/electric-vehicles</w:t>
        </w:r>
      </w:hyperlink>
      <w:r w:rsidRPr="00A03F2A">
        <w:rPr>
          <w:rFonts w:cs="Arial"/>
        </w:rPr>
        <w:t xml:space="preserve"> [Accessed on: 10.03.2026]</w:t>
      </w:r>
    </w:p>
    <w:p w14:paraId="0F949E3C" w14:textId="3B2F5949" w:rsidR="00A03F2A" w:rsidRPr="00A03F2A" w:rsidRDefault="00A03F2A" w:rsidP="00A03F2A">
      <w:pPr>
        <w:rPr>
          <w:rFonts w:cs="Arial"/>
        </w:rPr>
      </w:pPr>
      <w:r w:rsidRPr="00A03F2A">
        <w:rPr>
          <w:rFonts w:cs="Arial"/>
        </w:rPr>
        <w:t>International Energy Agency, (2023).</w:t>
      </w:r>
      <w:r w:rsidRPr="00A03F2A">
        <w:rPr>
          <w:rFonts w:cs="Arial"/>
          <w:i/>
          <w:iCs/>
        </w:rPr>
        <w:t xml:space="preserve"> Energy Agency.</w:t>
      </w:r>
      <w:r w:rsidRPr="00A03F2A">
        <w:rPr>
          <w:rFonts w:cs="Arial"/>
        </w:rPr>
        <w:t xml:space="preserve"> Available at:</w:t>
      </w:r>
      <w:r>
        <w:rPr>
          <w:rFonts w:cs="Arial"/>
        </w:rPr>
        <w:t xml:space="preserve"> </w:t>
      </w:r>
      <w:hyperlink r:id="rId33" w:history="1">
        <w:r w:rsidRPr="004E3D7C">
          <w:rPr>
            <w:rStyle w:val="Hyperlink"/>
            <w:rFonts w:cs="Arial"/>
          </w:rPr>
          <w:t>https://www.iea.org/reports/world-energy-investment-2023/overview-and-key-findings</w:t>
        </w:r>
      </w:hyperlink>
      <w:r w:rsidRPr="00A03F2A">
        <w:rPr>
          <w:rFonts w:cs="Arial"/>
        </w:rPr>
        <w:t xml:space="preserve">  [Accessed on: 12.03.2026]</w:t>
      </w:r>
    </w:p>
    <w:p w14:paraId="53871C71" w14:textId="77777777" w:rsidR="00A03F2A" w:rsidRPr="00A03F2A" w:rsidRDefault="00A03F2A" w:rsidP="00A03F2A">
      <w:pPr>
        <w:rPr>
          <w:rFonts w:cs="Arial"/>
        </w:rPr>
      </w:pPr>
      <w:r w:rsidRPr="00A03F2A">
        <w:rPr>
          <w:rFonts w:cs="Arial"/>
        </w:rPr>
        <w:t xml:space="preserve">Investopedia, (2025). </w:t>
      </w:r>
      <w:r w:rsidRPr="00A03F2A">
        <w:rPr>
          <w:rFonts w:cs="Arial"/>
          <w:i/>
          <w:iCs/>
        </w:rPr>
        <w:t>KPIs: What Are Key Performance Indicators? Types and Example.</w:t>
      </w:r>
      <w:r w:rsidRPr="00A03F2A">
        <w:rPr>
          <w:rFonts w:cs="Arial"/>
        </w:rPr>
        <w:t xml:space="preserve"> Available at:  </w:t>
      </w:r>
      <w:hyperlink r:id="rId34" w:history="1">
        <w:r w:rsidRPr="00A03F2A">
          <w:rPr>
            <w:rStyle w:val="Hyperlink"/>
            <w:rFonts w:cs="Arial"/>
          </w:rPr>
          <w:t>https://www.investopedia.com/terms/k/kpi.asp</w:t>
        </w:r>
      </w:hyperlink>
      <w:r w:rsidRPr="00A03F2A">
        <w:rPr>
          <w:rFonts w:cs="Arial"/>
        </w:rPr>
        <w:t xml:space="preserve"> [Accessed on: 10.03.2026]</w:t>
      </w:r>
    </w:p>
    <w:p w14:paraId="015B012F" w14:textId="77777777" w:rsidR="00A03F2A" w:rsidRPr="00A03F2A" w:rsidRDefault="00A03F2A" w:rsidP="00A03F2A">
      <w:pPr>
        <w:rPr>
          <w:rFonts w:cs="Arial"/>
        </w:rPr>
      </w:pPr>
      <w:r w:rsidRPr="00A03F2A">
        <w:rPr>
          <w:rFonts w:cs="Arial"/>
        </w:rPr>
        <w:t xml:space="preserve">Li, H., Johra, H., de Andrade Pereira, F., Hong, T., Le Dréau, J., Maturo, A., Wei, M., Liu, Y., Saberi-Derakhtenjani, A., Nagy, Z. and Marszal-Pomianowska, A., 2023. Data-driven key performance indicators and datasets for building energy flexibility: A review and </w:t>
      </w:r>
      <w:r w:rsidRPr="00A03F2A">
        <w:rPr>
          <w:rFonts w:cs="Arial"/>
        </w:rPr>
        <w:lastRenderedPageBreak/>
        <w:t>perspectives. </w:t>
      </w:r>
      <w:r w:rsidRPr="00A03F2A">
        <w:rPr>
          <w:rFonts w:cs="Arial"/>
          <w:i/>
          <w:iCs/>
        </w:rPr>
        <w:t>Applied Energy</w:t>
      </w:r>
      <w:r w:rsidRPr="00A03F2A">
        <w:rPr>
          <w:rFonts w:cs="Arial"/>
        </w:rPr>
        <w:t>, </w:t>
      </w:r>
      <w:r w:rsidRPr="00A03F2A">
        <w:rPr>
          <w:rFonts w:cs="Arial"/>
          <w:i/>
          <w:iCs/>
        </w:rPr>
        <w:t>343</w:t>
      </w:r>
      <w:r w:rsidRPr="00A03F2A">
        <w:rPr>
          <w:rFonts w:cs="Arial"/>
        </w:rPr>
        <w:t xml:space="preserve">, p.121217. </w:t>
      </w:r>
      <w:hyperlink r:id="rId35" w:history="1">
        <w:r w:rsidRPr="00A03F2A">
          <w:rPr>
            <w:rStyle w:val="Hyperlink"/>
            <w:rFonts w:cs="Arial"/>
          </w:rPr>
          <w:t>https://www.sciencedirect.com/science/article/am/pii/S0306261923005810</w:t>
        </w:r>
      </w:hyperlink>
      <w:r w:rsidRPr="00A03F2A">
        <w:rPr>
          <w:rFonts w:cs="Arial"/>
        </w:rPr>
        <w:t xml:space="preserve"> </w:t>
      </w:r>
    </w:p>
    <w:p w14:paraId="1B490B4B" w14:textId="77777777" w:rsidR="00A03F2A" w:rsidRPr="00A03F2A" w:rsidRDefault="00A03F2A" w:rsidP="00A03F2A">
      <w:pPr>
        <w:rPr>
          <w:rFonts w:cs="Arial"/>
        </w:rPr>
      </w:pPr>
      <w:r w:rsidRPr="00A03F2A">
        <w:rPr>
          <w:rFonts w:cs="Arial"/>
        </w:rPr>
        <w:t>Mohamed, M., Rashid, R.A. and Alqaryouti, M.H., 2022. Conceptualizing the complexity of reflective practice in education. </w:t>
      </w:r>
      <w:r w:rsidRPr="00A03F2A">
        <w:rPr>
          <w:rFonts w:cs="Arial"/>
          <w:i/>
          <w:iCs/>
        </w:rPr>
        <w:t>Frontiers in psychology</w:t>
      </w:r>
      <w:r w:rsidRPr="00A03F2A">
        <w:rPr>
          <w:rFonts w:cs="Arial"/>
        </w:rPr>
        <w:t>, </w:t>
      </w:r>
      <w:r w:rsidRPr="00A03F2A">
        <w:rPr>
          <w:rFonts w:cs="Arial"/>
          <w:i/>
          <w:iCs/>
        </w:rPr>
        <w:t>13</w:t>
      </w:r>
      <w:r w:rsidRPr="00A03F2A">
        <w:rPr>
          <w:rFonts w:cs="Arial"/>
        </w:rPr>
        <w:t xml:space="preserve">, p.1008234. </w:t>
      </w:r>
      <w:hyperlink r:id="rId36" w:history="1">
        <w:r w:rsidRPr="00A03F2A">
          <w:rPr>
            <w:rStyle w:val="Hyperlink"/>
            <w:rFonts w:cs="Arial"/>
          </w:rPr>
          <w:t>https://www.frontiersin.org/journals/psychology/articles/10.3389/fpsyg.2022.1008234/pdf</w:t>
        </w:r>
      </w:hyperlink>
      <w:r w:rsidRPr="00A03F2A">
        <w:rPr>
          <w:rFonts w:cs="Arial"/>
        </w:rPr>
        <w:t xml:space="preserve"> </w:t>
      </w:r>
    </w:p>
    <w:p w14:paraId="5C42FDF5" w14:textId="77777777" w:rsidR="00A03F2A" w:rsidRPr="00A03F2A" w:rsidRDefault="00A03F2A" w:rsidP="00A03F2A">
      <w:pPr>
        <w:rPr>
          <w:rFonts w:cs="Arial"/>
        </w:rPr>
      </w:pPr>
      <w:r w:rsidRPr="00A03F2A">
        <w:rPr>
          <w:rFonts w:cs="Arial"/>
        </w:rPr>
        <w:t xml:space="preserve">Netzeroinvestor, (2025). </w:t>
      </w:r>
      <w:r w:rsidRPr="00A03F2A">
        <w:rPr>
          <w:rFonts w:cs="Arial"/>
          <w:i/>
          <w:iCs/>
        </w:rPr>
        <w:t>BP faces legal challenge after excluding climate resolution.</w:t>
      </w:r>
      <w:r w:rsidRPr="00A03F2A">
        <w:rPr>
          <w:rFonts w:cs="Arial"/>
        </w:rPr>
        <w:t xml:space="preserve"> Available at:  </w:t>
      </w:r>
      <w:hyperlink r:id="rId37" w:history="1">
        <w:r w:rsidRPr="00A03F2A">
          <w:rPr>
            <w:rStyle w:val="Hyperlink"/>
            <w:rFonts w:cs="Arial"/>
          </w:rPr>
          <w:t>https://www.netzeroinvestor.net/news-and-views/bp-faces-legal-challenge-after-excluding-climate-resolution</w:t>
        </w:r>
      </w:hyperlink>
      <w:r w:rsidRPr="00A03F2A">
        <w:rPr>
          <w:rFonts w:cs="Arial"/>
        </w:rPr>
        <w:t xml:space="preserve"> [Accessed on: 10.03.2026]</w:t>
      </w:r>
    </w:p>
    <w:p w14:paraId="111590D0" w14:textId="77777777" w:rsidR="00A03F2A" w:rsidRPr="00A03F2A" w:rsidRDefault="00A03F2A" w:rsidP="00A03F2A">
      <w:pPr>
        <w:rPr>
          <w:rFonts w:cs="Arial"/>
        </w:rPr>
      </w:pPr>
      <w:r w:rsidRPr="00A03F2A">
        <w:rPr>
          <w:rFonts w:cs="Arial"/>
        </w:rPr>
        <w:t>Nguyen, H.L. and Kanbach, D.K., 2024. Toward a view of integrating corporate sustainability into strategy: A systematic literature review. </w:t>
      </w:r>
      <w:r w:rsidRPr="00A03F2A">
        <w:rPr>
          <w:rFonts w:cs="Arial"/>
          <w:i/>
          <w:iCs/>
        </w:rPr>
        <w:t>Corporate Social Responsibility and Environmental Management</w:t>
      </w:r>
      <w:r w:rsidRPr="00A03F2A">
        <w:rPr>
          <w:rFonts w:cs="Arial"/>
        </w:rPr>
        <w:t>, </w:t>
      </w:r>
      <w:r w:rsidRPr="00A03F2A">
        <w:rPr>
          <w:rFonts w:cs="Arial"/>
          <w:i/>
          <w:iCs/>
        </w:rPr>
        <w:t>31</w:t>
      </w:r>
      <w:r w:rsidRPr="00A03F2A">
        <w:rPr>
          <w:rFonts w:cs="Arial"/>
        </w:rPr>
        <w:t xml:space="preserve">(2), pp.962-976. </w:t>
      </w:r>
      <w:hyperlink r:id="rId38" w:history="1">
        <w:r w:rsidRPr="00A03F2A">
          <w:rPr>
            <w:rStyle w:val="Hyperlink"/>
            <w:rFonts w:cs="Arial"/>
          </w:rPr>
          <w:t>https://onlinelibrary.wiley.com/doi/pdfdirect/10.1002/csr.2611</w:t>
        </w:r>
      </w:hyperlink>
    </w:p>
    <w:p w14:paraId="03612D78" w14:textId="77777777" w:rsidR="00A03F2A" w:rsidRPr="00A03F2A" w:rsidRDefault="00A03F2A" w:rsidP="00A03F2A">
      <w:pPr>
        <w:rPr>
          <w:rFonts w:cs="Arial"/>
        </w:rPr>
      </w:pPr>
      <w:r w:rsidRPr="00A03F2A">
        <w:rPr>
          <w:rFonts w:cs="Arial"/>
        </w:rPr>
        <w:t>Ombai, P., Kiflemariam, A. and Odollo, L., 2024. Financial and Non-Financial Information on Strategy Management Process; A Systematic Literature Review. </w:t>
      </w:r>
      <w:r w:rsidRPr="00A03F2A">
        <w:rPr>
          <w:rFonts w:cs="Arial"/>
          <w:i/>
          <w:iCs/>
        </w:rPr>
        <w:t>Journal of Strategic Management</w:t>
      </w:r>
      <w:r w:rsidRPr="00A03F2A">
        <w:rPr>
          <w:rFonts w:cs="Arial"/>
        </w:rPr>
        <w:t>, </w:t>
      </w:r>
      <w:r w:rsidRPr="00A03F2A">
        <w:rPr>
          <w:rFonts w:cs="Arial"/>
          <w:i/>
          <w:iCs/>
        </w:rPr>
        <w:t>8</w:t>
      </w:r>
      <w:r w:rsidRPr="00A03F2A">
        <w:rPr>
          <w:rFonts w:cs="Arial"/>
        </w:rPr>
        <w:t xml:space="preserve">(1), pp.33-64. </w:t>
      </w:r>
      <w:hyperlink r:id="rId39" w:history="1">
        <w:r w:rsidRPr="00A03F2A">
          <w:rPr>
            <w:rStyle w:val="Hyperlink"/>
            <w:rFonts w:cs="Arial"/>
          </w:rPr>
          <w:t>https://stratfordjournalpublishers.org/journals/index.php/journal-of-strategic-management/article/download/2098/2668</w:t>
        </w:r>
      </w:hyperlink>
      <w:r w:rsidRPr="00A03F2A">
        <w:rPr>
          <w:rFonts w:cs="Arial"/>
        </w:rPr>
        <w:t xml:space="preserve"> </w:t>
      </w:r>
    </w:p>
    <w:p w14:paraId="421A0705" w14:textId="77777777" w:rsidR="00A03F2A" w:rsidRPr="00A03F2A" w:rsidRDefault="00A03F2A" w:rsidP="00A03F2A">
      <w:pPr>
        <w:rPr>
          <w:rFonts w:cs="Arial"/>
        </w:rPr>
      </w:pPr>
      <w:r w:rsidRPr="00A03F2A">
        <w:rPr>
          <w:rFonts w:cs="Arial"/>
        </w:rPr>
        <w:t>Özkan, U.B., 2023. Validity and reliability in document analysis method: A theoretical review in the context of educational science research. </w:t>
      </w:r>
      <w:r w:rsidRPr="00A03F2A">
        <w:rPr>
          <w:rFonts w:cs="Arial"/>
          <w:i/>
          <w:iCs/>
        </w:rPr>
        <w:t>Education</w:t>
      </w:r>
      <w:r w:rsidRPr="00A03F2A">
        <w:rPr>
          <w:rFonts w:cs="Arial"/>
        </w:rPr>
        <w:t>, </w:t>
      </w:r>
      <w:r w:rsidRPr="00A03F2A">
        <w:rPr>
          <w:rFonts w:cs="Arial"/>
          <w:i/>
          <w:iCs/>
        </w:rPr>
        <w:t>56</w:t>
      </w:r>
      <w:r w:rsidRPr="00A03F2A">
        <w:rPr>
          <w:rFonts w:cs="Arial"/>
        </w:rPr>
        <w:t xml:space="preserve">, pp.823-848. </w:t>
      </w:r>
      <w:hyperlink r:id="rId40" w:history="1">
        <w:r w:rsidRPr="00A03F2A">
          <w:rPr>
            <w:rStyle w:val="Hyperlink"/>
            <w:rFonts w:cs="Arial"/>
          </w:rPr>
          <w:t>https://www.researchgate.net/profile/Umut-Oezkan/publication/372447447_Validity_and_Reliability_in_Document_Analysis_Method_A_Theoretical_Review_in_the_Context_of_Educational_Science_Research_Extended_Abstract/links/64b78ff8b9ed6874a52d9737/Validity-and-Reliability-in-Document-Analysis-Method-A-Theoretical-Review-in-the-Context-of-Educational-Science-Research-Extended-Abstract.pdf</w:t>
        </w:r>
      </w:hyperlink>
      <w:r w:rsidRPr="00A03F2A">
        <w:rPr>
          <w:rFonts w:cs="Arial"/>
        </w:rPr>
        <w:t xml:space="preserve"> </w:t>
      </w:r>
    </w:p>
    <w:p w14:paraId="7B8C2E05" w14:textId="7A5D3166" w:rsidR="00A03F2A" w:rsidRPr="00A03F2A" w:rsidRDefault="00A03F2A" w:rsidP="00A03F2A">
      <w:pPr>
        <w:rPr>
          <w:rFonts w:cs="Arial"/>
        </w:rPr>
      </w:pPr>
      <w:r w:rsidRPr="00A03F2A">
        <w:rPr>
          <w:rFonts w:cs="Arial"/>
        </w:rPr>
        <w:t xml:space="preserve">Reuters, (2022). </w:t>
      </w:r>
      <w:r w:rsidRPr="00A03F2A">
        <w:rPr>
          <w:rFonts w:cs="Arial"/>
          <w:i/>
          <w:iCs/>
        </w:rPr>
        <w:t>Total spending on fuel subsidies topped $7 trillion in 2022, IMF says.</w:t>
      </w:r>
      <w:r w:rsidRPr="00A03F2A">
        <w:rPr>
          <w:rFonts w:cs="Arial"/>
        </w:rPr>
        <w:t xml:space="preserve"> Available at:</w:t>
      </w:r>
      <w:r>
        <w:rPr>
          <w:rFonts w:cs="Arial"/>
        </w:rPr>
        <w:t xml:space="preserve"> </w:t>
      </w:r>
      <w:hyperlink r:id="rId41" w:history="1">
        <w:r w:rsidRPr="004E3D7C">
          <w:rPr>
            <w:rStyle w:val="Hyperlink"/>
            <w:rFonts w:cs="Arial"/>
          </w:rPr>
          <w:t>https://www.reuters.com/business/energy/total-spending-fuel-subsidies-topped-7-trillion-2022-imf-says-2023-08-24/</w:t>
        </w:r>
      </w:hyperlink>
      <w:r w:rsidRPr="00A03F2A">
        <w:rPr>
          <w:rFonts w:cs="Arial"/>
        </w:rPr>
        <w:t xml:space="preserve"> [Accessed on: </w:t>
      </w:r>
      <w:r>
        <w:rPr>
          <w:rFonts w:cs="Arial"/>
        </w:rPr>
        <w:t>09</w:t>
      </w:r>
      <w:r w:rsidRPr="00A03F2A">
        <w:rPr>
          <w:rFonts w:cs="Arial"/>
        </w:rPr>
        <w:t>.03.2026]</w:t>
      </w:r>
    </w:p>
    <w:p w14:paraId="4BCE6289" w14:textId="60EC9D15" w:rsidR="00A03F2A" w:rsidRPr="00A03F2A" w:rsidRDefault="00A03F2A" w:rsidP="00A03F2A">
      <w:pPr>
        <w:rPr>
          <w:rFonts w:cs="Arial"/>
        </w:rPr>
      </w:pPr>
      <w:r w:rsidRPr="00A03F2A">
        <w:rPr>
          <w:rFonts w:cs="Arial"/>
        </w:rPr>
        <w:t xml:space="preserve">Reuters, (2025). </w:t>
      </w:r>
      <w:r w:rsidRPr="00A03F2A">
        <w:rPr>
          <w:rFonts w:cs="Arial"/>
          <w:i/>
          <w:iCs/>
        </w:rPr>
        <w:t xml:space="preserve">BP cuts renewable investment and boosts oil and gas in strategy shift. </w:t>
      </w:r>
      <w:r w:rsidRPr="00A03F2A">
        <w:rPr>
          <w:rFonts w:cs="Arial"/>
        </w:rPr>
        <w:t>Available at:</w:t>
      </w:r>
      <w:r>
        <w:rPr>
          <w:rFonts w:cs="Arial"/>
        </w:rPr>
        <w:t xml:space="preserve"> </w:t>
      </w:r>
      <w:hyperlink r:id="rId42" w:history="1">
        <w:r w:rsidRPr="004E3D7C">
          <w:rPr>
            <w:rStyle w:val="Hyperlink"/>
            <w:rFonts w:cs="Arial"/>
          </w:rPr>
          <w:t>https://www.reuters.com/markets/commodities/bp-ramps-up-oil-gas-spending-10-billion-ceo-rebuilds-confidence-2025-02-26</w:t>
        </w:r>
      </w:hyperlink>
      <w:r w:rsidRPr="00A03F2A">
        <w:rPr>
          <w:rFonts w:cs="Arial"/>
        </w:rPr>
        <w:t xml:space="preserve"> [Accessed on: </w:t>
      </w:r>
      <w:r>
        <w:rPr>
          <w:rFonts w:cs="Arial"/>
        </w:rPr>
        <w:t>09</w:t>
      </w:r>
      <w:r w:rsidRPr="00A03F2A">
        <w:rPr>
          <w:rFonts w:cs="Arial"/>
        </w:rPr>
        <w:t>.03.2026]</w:t>
      </w:r>
    </w:p>
    <w:p w14:paraId="47A71130" w14:textId="6B312B57" w:rsidR="00A03F2A" w:rsidRPr="00A03F2A" w:rsidRDefault="00A03F2A" w:rsidP="00A03F2A">
      <w:pPr>
        <w:rPr>
          <w:rFonts w:cs="Arial"/>
        </w:rPr>
      </w:pPr>
      <w:r w:rsidRPr="00A03F2A">
        <w:rPr>
          <w:rFonts w:cs="Arial"/>
        </w:rPr>
        <w:lastRenderedPageBreak/>
        <w:t xml:space="preserve">Snau, (2025). </w:t>
      </w:r>
      <w:r w:rsidRPr="00A03F2A">
        <w:rPr>
          <w:rFonts w:cs="Arial"/>
          <w:i/>
          <w:iCs/>
        </w:rPr>
        <w:t>Comprehensive Analysis: BP Sustainability Report 2024 – Strategic Reset and Net Zero Pathway.</w:t>
      </w:r>
      <w:r w:rsidRPr="00A03F2A">
        <w:rPr>
          <w:rFonts w:cs="Arial"/>
        </w:rPr>
        <w:t xml:space="preserve"> Available at:</w:t>
      </w:r>
      <w:r>
        <w:rPr>
          <w:rFonts w:cs="Arial"/>
        </w:rPr>
        <w:t xml:space="preserve"> </w:t>
      </w:r>
      <w:hyperlink r:id="rId43" w:history="1">
        <w:r w:rsidRPr="004E3D7C">
          <w:rPr>
            <w:rStyle w:val="Hyperlink"/>
            <w:rFonts w:cs="Arial"/>
          </w:rPr>
          <w:t>https://eecore.snau.edu.ua/en/comprehensive-analysis-bp-sustainability-report-2024-strategic-reset-and-net-zero-pathway</w:t>
        </w:r>
      </w:hyperlink>
      <w:r w:rsidRPr="00A03F2A">
        <w:rPr>
          <w:rFonts w:cs="Arial"/>
        </w:rPr>
        <w:t xml:space="preserve"> [Accessed on: 10.03.2026]</w:t>
      </w:r>
    </w:p>
    <w:p w14:paraId="6F4B3C18" w14:textId="77777777" w:rsidR="00A03F2A" w:rsidRPr="00A03F2A" w:rsidRDefault="00A03F2A" w:rsidP="00A03F2A">
      <w:pPr>
        <w:rPr>
          <w:rFonts w:cs="Arial"/>
        </w:rPr>
      </w:pPr>
      <w:r w:rsidRPr="00A03F2A">
        <w:rPr>
          <w:rFonts w:cs="Arial"/>
        </w:rPr>
        <w:t>Sopow, E. and Sushkova, M.Y., 2025. Communication of Mission, Vision, and Goals: The Key to Successful Change Management in Changing Times. </w:t>
      </w:r>
      <w:r w:rsidRPr="00A03F2A">
        <w:rPr>
          <w:rFonts w:cs="Arial"/>
          <w:i/>
          <w:iCs/>
        </w:rPr>
        <w:t>International Journal of Business Communication</w:t>
      </w:r>
      <w:r w:rsidRPr="00A03F2A">
        <w:rPr>
          <w:rFonts w:cs="Arial"/>
        </w:rPr>
        <w:t xml:space="preserve">, p.23294884251377038. </w:t>
      </w:r>
      <w:hyperlink r:id="rId44" w:history="1">
        <w:r w:rsidRPr="00A03F2A">
          <w:rPr>
            <w:rStyle w:val="Hyperlink"/>
            <w:rFonts w:cs="Arial"/>
          </w:rPr>
          <w:t>https://journals.sagepub.com/doi/pdf/10.1177/23294884251377038?casa_token=lptEevDuJT4AAAAA:kap1dOD_VElHLHID3_RizR_oetyu5GfqyWGYx8LA5-YubznUlmSnc8r4Fsrocjy6xTfdcWz87Wo</w:t>
        </w:r>
      </w:hyperlink>
      <w:r w:rsidRPr="00A03F2A">
        <w:rPr>
          <w:rFonts w:cs="Arial"/>
        </w:rPr>
        <w:t xml:space="preserve"> </w:t>
      </w:r>
    </w:p>
    <w:p w14:paraId="344D66DF" w14:textId="77777777" w:rsidR="00A03F2A" w:rsidRPr="00A03F2A" w:rsidRDefault="00A03F2A" w:rsidP="00A03F2A">
      <w:pPr>
        <w:rPr>
          <w:rFonts w:cs="Arial"/>
        </w:rPr>
      </w:pPr>
      <w:r w:rsidRPr="00A03F2A">
        <w:rPr>
          <w:rFonts w:cs="Arial"/>
        </w:rPr>
        <w:t xml:space="preserve">Statista, (2025). </w:t>
      </w:r>
      <w:r w:rsidRPr="00A03F2A">
        <w:rPr>
          <w:rFonts w:cs="Arial"/>
          <w:i/>
          <w:iCs/>
        </w:rPr>
        <w:t xml:space="preserve">Revenue of BP's corporate and other businesses from 2010 to 2024. </w:t>
      </w:r>
      <w:r w:rsidRPr="00A03F2A">
        <w:rPr>
          <w:rFonts w:cs="Arial"/>
        </w:rPr>
        <w:t xml:space="preserve">Available at:  </w:t>
      </w:r>
      <w:hyperlink r:id="rId45" w:history="1">
        <w:r w:rsidRPr="00A03F2A">
          <w:rPr>
            <w:rStyle w:val="Hyperlink"/>
            <w:rFonts w:cs="Arial"/>
          </w:rPr>
          <w:t>https://www.statista.com/statistics/302505/bp-group-revenue-in-other-businesses/?srsltid=AfmBOoqXpvDEL5hrxQ9_cD94QEV-fuvwokVRGdi0gOt3CGEQ8VMWDOhO</w:t>
        </w:r>
      </w:hyperlink>
      <w:r w:rsidRPr="00A03F2A">
        <w:rPr>
          <w:rFonts w:cs="Arial"/>
        </w:rPr>
        <w:t xml:space="preserve"> [Accessed on: 10.03.2026]</w:t>
      </w:r>
    </w:p>
    <w:p w14:paraId="1870401F" w14:textId="77777777" w:rsidR="00A03F2A" w:rsidRPr="00A03F2A" w:rsidRDefault="00A03F2A" w:rsidP="00A03F2A">
      <w:pPr>
        <w:rPr>
          <w:rFonts w:cs="Arial"/>
        </w:rPr>
      </w:pPr>
      <w:r w:rsidRPr="00A03F2A">
        <w:rPr>
          <w:rFonts w:cs="Arial"/>
        </w:rPr>
        <w:t>Valecha, N., 2022. A study on importance of ethical responsibilities in HR management. </w:t>
      </w:r>
      <w:r w:rsidRPr="00A03F2A">
        <w:rPr>
          <w:rFonts w:cs="Arial"/>
          <w:i/>
          <w:iCs/>
        </w:rPr>
        <w:t>International Journal for Global Academic &amp; Scientific Research</w:t>
      </w:r>
      <w:r w:rsidRPr="00A03F2A">
        <w:rPr>
          <w:rFonts w:cs="Arial"/>
        </w:rPr>
        <w:t>, </w:t>
      </w:r>
      <w:r w:rsidRPr="00A03F2A">
        <w:rPr>
          <w:rFonts w:cs="Arial"/>
          <w:i/>
          <w:iCs/>
        </w:rPr>
        <w:t>1</w:t>
      </w:r>
      <w:r w:rsidRPr="00A03F2A">
        <w:rPr>
          <w:rFonts w:cs="Arial"/>
        </w:rPr>
        <w:t xml:space="preserve">(1), pp.13-22. </w:t>
      </w:r>
      <w:hyperlink r:id="rId46" w:anchor="page=94" w:history="1">
        <w:r w:rsidRPr="00A03F2A">
          <w:rPr>
            <w:rStyle w:val="Hyperlink"/>
            <w:rFonts w:cs="Arial"/>
          </w:rPr>
          <w:t>https://www.researchgate.net/profile/Chinaemelum-Okafor/publication/400299108_ETHICS_ENTREPRENEURSHIP_AND_SUSTAINABLE_DEVELOPMENT_Converging_Perspectives_and_Insights/links/697e83d47247bc6473dd1d9f/ETHICS-ENTREPRENEURSHIP-AND-SUSTAINABLE-DEVELOPMENT-Converging-Perspectives-and-Insights.pdf#page=94</w:t>
        </w:r>
      </w:hyperlink>
      <w:r w:rsidRPr="00A03F2A">
        <w:rPr>
          <w:rFonts w:cs="Arial"/>
        </w:rPr>
        <w:t xml:space="preserve"> </w:t>
      </w:r>
    </w:p>
    <w:p w14:paraId="2558A733" w14:textId="56F9E571" w:rsidR="00A03F2A" w:rsidRPr="00A03F2A" w:rsidRDefault="00A03F2A" w:rsidP="00A03F2A">
      <w:pPr>
        <w:rPr>
          <w:rFonts w:cs="Arial"/>
        </w:rPr>
      </w:pPr>
      <w:r w:rsidRPr="00A03F2A">
        <w:rPr>
          <w:rFonts w:cs="Arial"/>
        </w:rPr>
        <w:t xml:space="preserve">Worldgbc, (2025). </w:t>
      </w:r>
      <w:r w:rsidRPr="00A03F2A">
        <w:rPr>
          <w:rFonts w:cs="Arial"/>
          <w:i/>
          <w:iCs/>
        </w:rPr>
        <w:t xml:space="preserve">WorldGBC celebrates first three signatories of Net Zero Carbon Buildings Commitment. </w:t>
      </w:r>
      <w:r w:rsidRPr="00A03F2A">
        <w:rPr>
          <w:rFonts w:cs="Arial"/>
        </w:rPr>
        <w:t xml:space="preserve">Available at: </w:t>
      </w:r>
      <w:hyperlink r:id="rId47" w:history="1">
        <w:r w:rsidRPr="00A03F2A">
          <w:rPr>
            <w:rStyle w:val="Hyperlink"/>
            <w:rFonts w:cs="Arial"/>
          </w:rPr>
          <w:t>https://worldgbc.org/article/worldgbc-celebrates-first-three-signatories-of-net-zero-carbon-buildings-commitment/</w:t>
        </w:r>
      </w:hyperlink>
      <w:r w:rsidRPr="00A03F2A">
        <w:rPr>
          <w:rFonts w:cs="Arial"/>
        </w:rPr>
        <w:t xml:space="preserve">  [Accessed on: </w:t>
      </w:r>
      <w:r w:rsidR="00F54B27">
        <w:rPr>
          <w:rFonts w:cs="Arial"/>
        </w:rPr>
        <w:t>13</w:t>
      </w:r>
      <w:r w:rsidRPr="00A03F2A">
        <w:rPr>
          <w:rFonts w:cs="Arial"/>
        </w:rPr>
        <w:t>.03.2026]</w:t>
      </w:r>
    </w:p>
    <w:p w14:paraId="29FCC3B6" w14:textId="1D8D7A78" w:rsidR="006E29DD" w:rsidRPr="00A03F2A" w:rsidRDefault="00A03F2A" w:rsidP="00A03F2A">
      <w:pPr>
        <w:rPr>
          <w:rFonts w:cs="Arial"/>
        </w:rPr>
      </w:pPr>
      <w:r w:rsidRPr="00A03F2A">
        <w:rPr>
          <w:rFonts w:cs="Arial"/>
        </w:rPr>
        <w:t>Zvarimwa, C. and Zimuto, J., 2022. Valuable, rare, inimitable, non-substitutable and exploitable (VRINE) resources on competitive advantage. </w:t>
      </w:r>
      <w:r w:rsidRPr="00A03F2A">
        <w:rPr>
          <w:rFonts w:cs="Arial"/>
          <w:i/>
          <w:iCs/>
        </w:rPr>
        <w:t>International Journal of Business &amp; Management Sciences</w:t>
      </w:r>
      <w:r w:rsidRPr="00A03F2A">
        <w:rPr>
          <w:rFonts w:cs="Arial"/>
        </w:rPr>
        <w:t>, </w:t>
      </w:r>
      <w:r w:rsidRPr="00A03F2A">
        <w:rPr>
          <w:rFonts w:cs="Arial"/>
          <w:i/>
          <w:iCs/>
        </w:rPr>
        <w:t>8</w:t>
      </w:r>
      <w:r w:rsidRPr="00A03F2A">
        <w:rPr>
          <w:rFonts w:cs="Arial"/>
        </w:rPr>
        <w:t xml:space="preserve">(1), pp.9-22. </w:t>
      </w:r>
      <w:hyperlink r:id="rId48" w:history="1">
        <w:r w:rsidRPr="00A03F2A">
          <w:rPr>
            <w:rStyle w:val="Hyperlink"/>
            <w:rFonts w:cs="Arial"/>
          </w:rPr>
          <w:t>https://www.academia.edu/download/94001819/1071.pdf</w:t>
        </w:r>
      </w:hyperlink>
      <w:r w:rsidRPr="00A03F2A">
        <w:rPr>
          <w:rFonts w:cs="Arial"/>
        </w:rPr>
        <w:t xml:space="preserve"> </w:t>
      </w:r>
    </w:p>
    <w:sectPr w:rsidR="006E29DD" w:rsidRPr="00A03F2A">
      <w:footerReference w:type="default" r:id="rId4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AD5919" w14:textId="77777777" w:rsidR="00372B10" w:rsidRDefault="00372B10" w:rsidP="008E7E7A">
      <w:pPr>
        <w:spacing w:line="240" w:lineRule="auto"/>
      </w:pPr>
      <w:r>
        <w:separator/>
      </w:r>
    </w:p>
  </w:endnote>
  <w:endnote w:type="continuationSeparator" w:id="0">
    <w:p w14:paraId="13588DC9" w14:textId="77777777" w:rsidR="00372B10" w:rsidRDefault="00372B10" w:rsidP="008E7E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061C449A-BED1-4661-891A-3E506068ED4D}"/>
    <w:embedBold r:id="rId2" w:fontKey="{EAA0CD97-AFC9-4090-B181-A70DE20F61B7}"/>
  </w:font>
  <w:font w:name="Shruti">
    <w:panose1 w:val="02000500000000000000"/>
    <w:charset w:val="00"/>
    <w:family w:val="swiss"/>
    <w:pitch w:val="variable"/>
    <w:sig w:usb0="00040003" w:usb1="00000000" w:usb2="00000000" w:usb3="00000000" w:csb0="00000001" w:csb1="00000000"/>
    <w:embedRegular r:id="rId3" w:fontKey="{AD440275-F21C-4DBA-AF8D-14AAC1E21F15}"/>
  </w:font>
  <w:font w:name="Calibri">
    <w:panose1 w:val="020F0502020204030204"/>
    <w:charset w:val="00"/>
    <w:family w:val="swiss"/>
    <w:pitch w:val="variable"/>
    <w:sig w:usb0="E4002EFF" w:usb1="C200247B" w:usb2="00000009" w:usb3="00000000" w:csb0="000001FF" w:csb1="00000000"/>
    <w:embedRegular r:id="rId4" w:fontKey="{95DD23E3-C8BD-4B25-B13D-C67329A60370}"/>
  </w:font>
  <w:font w:name="Segoe UI Emoji">
    <w:panose1 w:val="020B0502040204020203"/>
    <w:charset w:val="00"/>
    <w:family w:val="swiss"/>
    <w:pitch w:val="variable"/>
    <w:sig w:usb0="00000003" w:usb1="02000000" w:usb2="08000000" w:usb3="00000000" w:csb0="00000001" w:csb1="00000000"/>
    <w:embedRegular r:id="rId5" w:fontKey="{FE67B9F2-F418-4BAC-81DD-FE1427D8A17D}"/>
  </w:font>
  <w:font w:name="Cambria Math">
    <w:panose1 w:val="02040503050406030204"/>
    <w:charset w:val="00"/>
    <w:family w:val="roman"/>
    <w:pitch w:val="variable"/>
    <w:sig w:usb0="E00006FF" w:usb1="420024FF" w:usb2="02000000" w:usb3="00000000" w:csb0="0000019F" w:csb1="00000000"/>
    <w:embedRegular r:id="rId6" w:fontKey="{FA78E3E8-79E6-4224-A191-93C2BABBDF7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4611372"/>
      <w:docPartObj>
        <w:docPartGallery w:val="Page Numbers (Bottom of Page)"/>
        <w:docPartUnique/>
      </w:docPartObj>
    </w:sdtPr>
    <w:sdtEndPr>
      <w:rPr>
        <w:noProof/>
        <w:sz w:val="20"/>
        <w:szCs w:val="20"/>
      </w:rPr>
    </w:sdtEndPr>
    <w:sdtContent>
      <w:p w14:paraId="16A68A87" w14:textId="5049477B" w:rsidR="008E7E7A" w:rsidRPr="008E7E7A" w:rsidRDefault="008E7E7A">
        <w:pPr>
          <w:pStyle w:val="Footer"/>
          <w:jc w:val="right"/>
          <w:rPr>
            <w:sz w:val="20"/>
            <w:szCs w:val="20"/>
          </w:rPr>
        </w:pPr>
        <w:r w:rsidRPr="008E7E7A">
          <w:rPr>
            <w:sz w:val="20"/>
            <w:szCs w:val="20"/>
          </w:rPr>
          <w:fldChar w:fldCharType="begin"/>
        </w:r>
        <w:r w:rsidRPr="008E7E7A">
          <w:rPr>
            <w:sz w:val="20"/>
            <w:szCs w:val="20"/>
          </w:rPr>
          <w:instrText xml:space="preserve"> PAGE   \* MERGEFORMAT </w:instrText>
        </w:r>
        <w:r w:rsidRPr="008E7E7A">
          <w:rPr>
            <w:sz w:val="20"/>
            <w:szCs w:val="20"/>
          </w:rPr>
          <w:fldChar w:fldCharType="separate"/>
        </w:r>
        <w:r w:rsidRPr="008E7E7A">
          <w:rPr>
            <w:noProof/>
            <w:sz w:val="20"/>
            <w:szCs w:val="20"/>
          </w:rPr>
          <w:t>2</w:t>
        </w:r>
        <w:r w:rsidRPr="008E7E7A">
          <w:rPr>
            <w:noProof/>
            <w:sz w:val="20"/>
            <w:szCs w:val="20"/>
          </w:rPr>
          <w:fldChar w:fldCharType="end"/>
        </w:r>
      </w:p>
    </w:sdtContent>
  </w:sdt>
  <w:p w14:paraId="778D8F7C" w14:textId="77777777" w:rsidR="008E7E7A" w:rsidRDefault="008E7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29708" w14:textId="77777777" w:rsidR="00372B10" w:rsidRDefault="00372B10" w:rsidP="008E7E7A">
      <w:pPr>
        <w:spacing w:line="240" w:lineRule="auto"/>
      </w:pPr>
      <w:r>
        <w:separator/>
      </w:r>
    </w:p>
  </w:footnote>
  <w:footnote w:type="continuationSeparator" w:id="0">
    <w:p w14:paraId="4B6B070D" w14:textId="77777777" w:rsidR="00372B10" w:rsidRDefault="00372B10" w:rsidP="008E7E7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61E67"/>
    <w:multiLevelType w:val="hybridMultilevel"/>
    <w:tmpl w:val="F85683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B66959"/>
    <w:multiLevelType w:val="hybridMultilevel"/>
    <w:tmpl w:val="84E273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081262"/>
    <w:multiLevelType w:val="hybridMultilevel"/>
    <w:tmpl w:val="BAC4A7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1E32C8B"/>
    <w:multiLevelType w:val="hybridMultilevel"/>
    <w:tmpl w:val="0F44F3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24B5EBF"/>
    <w:multiLevelType w:val="hybridMultilevel"/>
    <w:tmpl w:val="43AA4F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6CB0461"/>
    <w:multiLevelType w:val="hybridMultilevel"/>
    <w:tmpl w:val="3372F4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9B45FC9"/>
    <w:multiLevelType w:val="hybridMultilevel"/>
    <w:tmpl w:val="E5B633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75D4057"/>
    <w:multiLevelType w:val="hybridMultilevel"/>
    <w:tmpl w:val="C04C96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0BD4B51"/>
    <w:multiLevelType w:val="hybridMultilevel"/>
    <w:tmpl w:val="68C6F8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48067458">
    <w:abstractNumId w:val="6"/>
  </w:num>
  <w:num w:numId="2" w16cid:durableId="1810172973">
    <w:abstractNumId w:val="1"/>
  </w:num>
  <w:num w:numId="3" w16cid:durableId="1083069053">
    <w:abstractNumId w:val="3"/>
  </w:num>
  <w:num w:numId="4" w16cid:durableId="2083520622">
    <w:abstractNumId w:val="0"/>
  </w:num>
  <w:num w:numId="5" w16cid:durableId="698162113">
    <w:abstractNumId w:val="8"/>
  </w:num>
  <w:num w:numId="6" w16cid:durableId="526336654">
    <w:abstractNumId w:val="4"/>
  </w:num>
  <w:num w:numId="7" w16cid:durableId="252513095">
    <w:abstractNumId w:val="2"/>
  </w:num>
  <w:num w:numId="8" w16cid:durableId="2142578333">
    <w:abstractNumId w:val="5"/>
  </w:num>
  <w:num w:numId="9" w16cid:durableId="9298542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5F0"/>
    <w:rsid w:val="00060F36"/>
    <w:rsid w:val="000B3B46"/>
    <w:rsid w:val="000B5A0F"/>
    <w:rsid w:val="000C7B2B"/>
    <w:rsid w:val="000E56E0"/>
    <w:rsid w:val="001438FA"/>
    <w:rsid w:val="003633FF"/>
    <w:rsid w:val="00370733"/>
    <w:rsid w:val="00372B10"/>
    <w:rsid w:val="003A061D"/>
    <w:rsid w:val="003D3E71"/>
    <w:rsid w:val="003F3C64"/>
    <w:rsid w:val="004425F4"/>
    <w:rsid w:val="0045667F"/>
    <w:rsid w:val="004876A4"/>
    <w:rsid w:val="005005F8"/>
    <w:rsid w:val="005125E6"/>
    <w:rsid w:val="005340DD"/>
    <w:rsid w:val="00590137"/>
    <w:rsid w:val="005A11AE"/>
    <w:rsid w:val="005C5B23"/>
    <w:rsid w:val="00652018"/>
    <w:rsid w:val="006E29DD"/>
    <w:rsid w:val="006E75F0"/>
    <w:rsid w:val="006F338F"/>
    <w:rsid w:val="007134CD"/>
    <w:rsid w:val="00762C7F"/>
    <w:rsid w:val="007B711D"/>
    <w:rsid w:val="007E6C18"/>
    <w:rsid w:val="00841A75"/>
    <w:rsid w:val="00844299"/>
    <w:rsid w:val="00850EC4"/>
    <w:rsid w:val="00856FE6"/>
    <w:rsid w:val="00883D8F"/>
    <w:rsid w:val="008E7E7A"/>
    <w:rsid w:val="008F1D03"/>
    <w:rsid w:val="008F640E"/>
    <w:rsid w:val="009146CD"/>
    <w:rsid w:val="009322E0"/>
    <w:rsid w:val="0093646B"/>
    <w:rsid w:val="00945AF4"/>
    <w:rsid w:val="009523EF"/>
    <w:rsid w:val="00A03F2A"/>
    <w:rsid w:val="00A504BA"/>
    <w:rsid w:val="00A90028"/>
    <w:rsid w:val="00B36BE1"/>
    <w:rsid w:val="00BF0E45"/>
    <w:rsid w:val="00CC020F"/>
    <w:rsid w:val="00D167B7"/>
    <w:rsid w:val="00D20580"/>
    <w:rsid w:val="00D95E80"/>
    <w:rsid w:val="00E3115D"/>
    <w:rsid w:val="00E66B2E"/>
    <w:rsid w:val="00E81558"/>
    <w:rsid w:val="00EA4A2F"/>
    <w:rsid w:val="00EC797C"/>
    <w:rsid w:val="00EF103B"/>
    <w:rsid w:val="00EF2136"/>
    <w:rsid w:val="00F22667"/>
    <w:rsid w:val="00F54B27"/>
    <w:rsid w:val="00F667E1"/>
    <w:rsid w:val="00FA0A20"/>
    <w:rsid w:val="00FB491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0ABE6"/>
  <w15:docId w15:val="{154CB697-9CDF-46E8-A376-A20CEBF1D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E45"/>
    <w:rPr>
      <w:rFonts w:ascii="Arial" w:hAnsi="Arial"/>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ListParagraph">
    <w:name w:val="List Paragraph"/>
    <w:basedOn w:val="Normal"/>
    <w:uiPriority w:val="34"/>
    <w:qFormat/>
    <w:rsid w:val="00A504BA"/>
    <w:pPr>
      <w:spacing w:after="160" w:line="278" w:lineRule="auto"/>
      <w:ind w:left="720"/>
      <w:contextualSpacing/>
      <w:jc w:val="left"/>
    </w:pPr>
    <w:rPr>
      <w:rFonts w:asciiTheme="minorHAnsi" w:eastAsiaTheme="minorHAnsi" w:hAnsiTheme="minorHAnsi" w:cstheme="minorBidi"/>
      <w:kern w:val="2"/>
      <w:lang w:val="en-IN" w:eastAsia="en-US"/>
      <w14:ligatures w14:val="standardContextual"/>
    </w:rPr>
  </w:style>
  <w:style w:type="table" w:styleId="TableGrid">
    <w:name w:val="Table Grid"/>
    <w:basedOn w:val="TableNormal"/>
    <w:uiPriority w:val="39"/>
    <w:rsid w:val="00A504BA"/>
    <w:pPr>
      <w:spacing w:line="240" w:lineRule="auto"/>
      <w:jc w:val="left"/>
    </w:pPr>
    <w:rPr>
      <w:rFonts w:asciiTheme="minorHAnsi" w:eastAsiaTheme="minorHAnsi" w:hAnsiTheme="minorHAnsi" w:cstheme="minorBidi"/>
      <w:kern w:val="2"/>
      <w:lang w:val="en-IN"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504BA"/>
    <w:rPr>
      <w:color w:val="0000FF" w:themeColor="hyperlink"/>
      <w:u w:val="single"/>
    </w:rPr>
  </w:style>
  <w:style w:type="character" w:styleId="UnresolvedMention">
    <w:name w:val="Unresolved Mention"/>
    <w:basedOn w:val="DefaultParagraphFont"/>
    <w:uiPriority w:val="99"/>
    <w:semiHidden/>
    <w:unhideWhenUsed/>
    <w:rsid w:val="00A504BA"/>
    <w:rPr>
      <w:color w:val="605E5C"/>
      <w:shd w:val="clear" w:color="auto" w:fill="E1DFDD"/>
    </w:rPr>
  </w:style>
  <w:style w:type="paragraph" w:styleId="Header">
    <w:name w:val="header"/>
    <w:basedOn w:val="Normal"/>
    <w:link w:val="HeaderChar"/>
    <w:uiPriority w:val="99"/>
    <w:unhideWhenUsed/>
    <w:rsid w:val="008E7E7A"/>
    <w:pPr>
      <w:tabs>
        <w:tab w:val="center" w:pos="4513"/>
        <w:tab w:val="right" w:pos="9026"/>
      </w:tabs>
      <w:spacing w:line="240" w:lineRule="auto"/>
    </w:pPr>
  </w:style>
  <w:style w:type="character" w:customStyle="1" w:styleId="HeaderChar">
    <w:name w:val="Header Char"/>
    <w:basedOn w:val="DefaultParagraphFont"/>
    <w:link w:val="Header"/>
    <w:uiPriority w:val="99"/>
    <w:rsid w:val="008E7E7A"/>
    <w:rPr>
      <w:rFonts w:ascii="Arial" w:hAnsi="Arial"/>
    </w:rPr>
  </w:style>
  <w:style w:type="paragraph" w:styleId="Footer">
    <w:name w:val="footer"/>
    <w:basedOn w:val="Normal"/>
    <w:link w:val="FooterChar"/>
    <w:uiPriority w:val="99"/>
    <w:unhideWhenUsed/>
    <w:rsid w:val="008E7E7A"/>
    <w:pPr>
      <w:tabs>
        <w:tab w:val="center" w:pos="4513"/>
        <w:tab w:val="right" w:pos="9026"/>
      </w:tabs>
      <w:spacing w:line="240" w:lineRule="auto"/>
    </w:pPr>
  </w:style>
  <w:style w:type="character" w:customStyle="1" w:styleId="FooterChar">
    <w:name w:val="Footer Char"/>
    <w:basedOn w:val="DefaultParagraphFont"/>
    <w:link w:val="Footer"/>
    <w:uiPriority w:val="99"/>
    <w:rsid w:val="008E7E7A"/>
    <w:rPr>
      <w:rFonts w:ascii="Arial" w:hAnsi="Arial"/>
    </w:rPr>
  </w:style>
  <w:style w:type="paragraph" w:styleId="TOCHeading">
    <w:name w:val="TOC Heading"/>
    <w:basedOn w:val="Heading1"/>
    <w:next w:val="Normal"/>
    <w:uiPriority w:val="39"/>
    <w:unhideWhenUsed/>
    <w:qFormat/>
    <w:rsid w:val="00EF213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F2136"/>
    <w:pPr>
      <w:spacing w:after="100"/>
    </w:pPr>
  </w:style>
  <w:style w:type="paragraph" w:styleId="TOC2">
    <w:name w:val="toc 2"/>
    <w:basedOn w:val="Normal"/>
    <w:next w:val="Normal"/>
    <w:autoRedefine/>
    <w:uiPriority w:val="39"/>
    <w:unhideWhenUsed/>
    <w:rsid w:val="00EF213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Musa-Adewoyin-2/publication/387667658_Developing_frameworks_for_managing_low-carbon_energy_transitions_overcoming_barriers_to_implementation_in_the_oil_and_gas_industry/links/6776e52ac1b013546509f485/Developing-frameworks-for-managing-low-carbon-energy-transitions-overcoming-barriers-to-implementation-in-the-oil-and-gas-industry.pdf" TargetMode="External"/><Relationship Id="rId18" Type="http://schemas.openxmlformats.org/officeDocument/2006/relationships/hyperlink" Target="https://www.mdpi.com/2071-1050/14/3/1531" TargetMode="External"/><Relationship Id="rId26" Type="http://schemas.openxmlformats.org/officeDocument/2006/relationships/hyperlink" Target="https://www.forbes.com/sites/davidblackmon/2024/06/27/bp-exxonmobil-provide-a-contrast-in-energy-transition-strategies/" TargetMode="External"/><Relationship Id="rId39" Type="http://schemas.openxmlformats.org/officeDocument/2006/relationships/hyperlink" Target="https://stratfordjournalpublishers.org/journals/index.php/journal-of-strategic-management/article/download/2098/2668" TargetMode="External"/><Relationship Id="rId21" Type="http://schemas.openxmlformats.org/officeDocument/2006/relationships/hyperlink" Target="https://www.bp.com/content/dam/bp/business-sites/en/global/corporate/pdfs/investors/bp-annual-report-and-form-20f-financial-statements-2024.pdf" TargetMode="External"/><Relationship Id="rId34" Type="http://schemas.openxmlformats.org/officeDocument/2006/relationships/hyperlink" Target="https://www.investopedia.com/terms/k/kpi.asp" TargetMode="External"/><Relationship Id="rId42" Type="http://schemas.openxmlformats.org/officeDocument/2006/relationships/hyperlink" Target="https://www.reuters.com/markets/commodities/bp-ramps-up-oil-gas-spending-10-billion-ceo-rebuilds-confidence-2025-02-26" TargetMode="External"/><Relationship Id="rId47" Type="http://schemas.openxmlformats.org/officeDocument/2006/relationships/hyperlink" Target="https://worldgbc.org/article/worldgbc-celebrates-first-three-signatories-of-net-zero-carbon-buildings-commitment/"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Enoch-Alonge/publication/390127059_Leveraging_business_intelligence_for_competitive_advantage_in_the_energy_market_A_conceptual_framework/links/67e15a7fe2c0ea36cd9ba585/Leveraging-business-intelligence-for-competitive-advantage-in-the-energy-market-A-conceptual-framework.pdf" TargetMode="External"/><Relationship Id="rId29" Type="http://schemas.openxmlformats.org/officeDocument/2006/relationships/hyperlink" Target="https://journals.sagepub.com/doi/pdf/10.1177/15413446221086727" TargetMode="External"/><Relationship Id="rId11" Type="http://schemas.openxmlformats.org/officeDocument/2006/relationships/image" Target="media/image4.png"/><Relationship Id="rId24" Type="http://schemas.openxmlformats.org/officeDocument/2006/relationships/hyperlink" Target="https://onlinelibrary.wiley.com/doi/pdf/10.1111/ijmr.12242?casa_token=YuzDqSZV068AAAAA:TTfrBmHx-91O7L-FZoAN1W_c3O-pWBHiLhPtToCERg_CTX1golZAM5_IVIiz1uvA30YAU_nE8wMpFg" TargetMode="External"/><Relationship Id="rId32" Type="http://schemas.openxmlformats.org/officeDocument/2006/relationships/hyperlink" Target="https://www.iea.org/energy-system/transport/electric-vehicles" TargetMode="External"/><Relationship Id="rId37" Type="http://schemas.openxmlformats.org/officeDocument/2006/relationships/hyperlink" Target="https://www.netzeroinvestor.net/news-and-views/bp-faces-legal-challenge-after-excluding-climate-resolution" TargetMode="External"/><Relationship Id="rId40" Type="http://schemas.openxmlformats.org/officeDocument/2006/relationships/hyperlink" Target="https://www.researchgate.net/profile/Umut-Oezkan/publication/372447447_Validity_and_Reliability_in_Document_Analysis_Method_A_Theoretical_Review_in_the_Context_of_Educational_Science_Research_Extended_Abstract/links/64b78ff8b9ed6874a52d9737/Validity-and-Reliability-in-Document-Analysis-Method-A-Theoretical-Review-in-the-Context-of-Educational-Science-Research-Extended-Abstract.pdf" TargetMode="External"/><Relationship Id="rId45" Type="http://schemas.openxmlformats.org/officeDocument/2006/relationships/hyperlink" Target="https://www.statista.com/statistics/302505/bp-group-revenue-in-other-businesses/?srsltid=AfmBOoqXpvDEL5hrxQ9_cD94QEV-fuvwokVRGdi0gOt3CGEQ8VMWDOhO" TargetMode="External"/><Relationship Id="rId5" Type="http://schemas.openxmlformats.org/officeDocument/2006/relationships/webSettings" Target="webSettings.xml"/><Relationship Id="rId15" Type="http://schemas.openxmlformats.org/officeDocument/2006/relationships/hyperlink" Target="https://onlinelibrary.wiley.com/doi/pdf/10.1002%2Fbse.3665" TargetMode="External"/><Relationship Id="rId23" Type="http://schemas.openxmlformats.org/officeDocument/2006/relationships/hyperlink" Target="https://www.bp.com/content/dam/bp/business-sites/en/global/corporate/pdfs/investors/bp-annual-report-and-form-20f-2025.pdf" TargetMode="External"/><Relationship Id="rId28" Type="http://schemas.openxmlformats.org/officeDocument/2006/relationships/hyperlink" Target="https://www.tandfonline.com/doi/pdf/10.1080/23311975.2023.2247873" TargetMode="External"/><Relationship Id="rId36" Type="http://schemas.openxmlformats.org/officeDocument/2006/relationships/hyperlink" Target="https://www.frontiersin.org/journals/psychology/articles/10.3389/fpsyg.2022.1008234/pdf"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bp.com/en/global/corporate/what-we-do/renewables-and-power.html" TargetMode="External"/><Relationship Id="rId31" Type="http://schemas.openxmlformats.org/officeDocument/2006/relationships/hyperlink" Target="https://www.iea.org/news/slowing-demand-growth-and-surging-supply-put-global-oil-markets-on-course-for-major-surplus-this-decade" TargetMode="External"/><Relationship Id="rId44" Type="http://schemas.openxmlformats.org/officeDocument/2006/relationships/hyperlink" Target="https://journals.sagepub.com/doi/pdf/10.1177/23294884251377038?casa_token=lptEevDuJT4AAAAA:kap1dOD_VElHLHID3_RizR_oetyu5GfqyWGYx8LA5-YubznUlmSnc8r4Fsrocjy6xTfdcWz87W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2071-1050/13/15/8445" TargetMode="External"/><Relationship Id="rId22" Type="http://schemas.openxmlformats.org/officeDocument/2006/relationships/hyperlink" Target="https://www.bp.com/en/global/corporate/sustainability/getting-to-net-zero.html" TargetMode="External"/><Relationship Id="rId27" Type="http://schemas.openxmlformats.org/officeDocument/2006/relationships/hyperlink" Target="https://www.responsible-investor.com/investors-react-to-bps-energy-strategy-shift/" TargetMode="External"/><Relationship Id="rId30" Type="http://schemas.openxmlformats.org/officeDocument/2006/relationships/hyperlink" Target="https://www.sciencedirect.com/science/article/pii/S1364032123002551" TargetMode="External"/><Relationship Id="rId35" Type="http://schemas.openxmlformats.org/officeDocument/2006/relationships/hyperlink" Target="https://www.sciencedirect.com/science/article/am/pii/S0306261923005810" TargetMode="External"/><Relationship Id="rId43" Type="http://schemas.openxmlformats.org/officeDocument/2006/relationships/hyperlink" Target="https://eecore.snau.edu.ua/en/comprehensive-analysis-bp-sustainability-report-2024-strategic-reset-and-net-zero-pathway" TargetMode="External"/><Relationship Id="rId48" Type="http://schemas.openxmlformats.org/officeDocument/2006/relationships/hyperlink" Target="https://www.academia.edu/download/94001819/1071.pdf"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apnews.com/article/bp-oil-green-reset-1b9cfca4c2da138f83ace86b5945e053" TargetMode="External"/><Relationship Id="rId25" Type="http://schemas.openxmlformats.org/officeDocument/2006/relationships/hyperlink" Target="https://www.mdpi.com/2071-1050/15/5/3880" TargetMode="External"/><Relationship Id="rId33" Type="http://schemas.openxmlformats.org/officeDocument/2006/relationships/hyperlink" Target="https://www.iea.org/reports/world-energy-investment-2023/overview-and-key-findings" TargetMode="External"/><Relationship Id="rId38" Type="http://schemas.openxmlformats.org/officeDocument/2006/relationships/hyperlink" Target="https://onlinelibrary.wiley.com/doi/pdfdirect/10.1002/csr.2611" TargetMode="External"/><Relationship Id="rId46" Type="http://schemas.openxmlformats.org/officeDocument/2006/relationships/hyperlink" Target="https://www.researchgate.net/profile/Chinaemelum-Okafor/publication/400299108_ETHICS_ENTREPRENEURSHIP_AND_SUSTAINABLE_DEVELOPMENT_Converging_Perspectives_and_Insights/links/697e83d47247bc6473dd1d9f/ETHICS-ENTREPRENEURSHIP-AND-SUSTAINABLE-DEVELOPMENT-Converging-Perspectives-and-Insights.pdf" TargetMode="External"/><Relationship Id="rId20" Type="http://schemas.openxmlformats.org/officeDocument/2006/relationships/hyperlink" Target="https://www.bp.com/content/dam/bp/business-sites/en/global/corporate/pdfs/sustainability/group-reports/bp-sustainability-report-2024.pdf" TargetMode="External"/><Relationship Id="rId41" Type="http://schemas.openxmlformats.org/officeDocument/2006/relationships/hyperlink" Target="https://www.reuters.com/business/energy/total-spending-fuel-subsidies-topped-7-trillion-2022-imf-says-2023-08-24/"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E3454-5DEB-4413-B2E0-1687021E9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27</Pages>
  <Words>7827</Words>
  <Characters>44619</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Krinal Gandhi</cp:lastModifiedBy>
  <cp:revision>5</cp:revision>
  <dcterms:created xsi:type="dcterms:W3CDTF">2026-03-31T15:20:00Z</dcterms:created>
  <dcterms:modified xsi:type="dcterms:W3CDTF">2026-03-31T15:31:00Z</dcterms:modified>
</cp:coreProperties>
</file>