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14"/>
        <w:spacing w:line="600" w:lineRule="auto"/>
        <w:jc w:val="center"/>
        <w:rPr>
          <w:rFonts w:hint="default" w:ascii="Times New Roman Regular" w:hAnsi="Times New Roman Regular" w:cs="Times New Roman Regular"/>
          <w:sz w:val="24"/>
          <w:szCs w:val="24"/>
        </w:rPr>
      </w:pPr>
    </w:p>
    <w:p>
      <w:pPr>
        <w:pStyle w:val="14"/>
        <w:spacing w:line="600" w:lineRule="auto"/>
        <w:jc w:val="center"/>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drawing>
          <wp:inline distT="0" distB="0" distL="114300" distR="114300">
            <wp:extent cx="3228340" cy="1275715"/>
            <wp:effectExtent l="0" t="0" r="22860" b="1968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9"/>
                    <a:stretch>
                      <a:fillRect/>
                    </a:stretch>
                  </pic:blipFill>
                  <pic:spPr>
                    <a:xfrm>
                      <a:off x="0" y="0"/>
                      <a:ext cx="3228340" cy="1275715"/>
                    </a:xfrm>
                    <a:prstGeom prst="rect">
                      <a:avLst/>
                    </a:prstGeom>
                    <a:noFill/>
                    <a:ln>
                      <a:noFill/>
                    </a:ln>
                  </pic:spPr>
                </pic:pic>
              </a:graphicData>
            </a:graphic>
          </wp:inline>
        </w:drawing>
      </w:r>
    </w:p>
    <w:p>
      <w:pPr>
        <w:spacing w:line="600" w:lineRule="auto"/>
        <w:rPr>
          <w:rFonts w:hint="default" w:ascii="Times New Roman Regular" w:hAnsi="Times New Roman Regular" w:cs="Times New Roman Regular"/>
          <w:sz w:val="24"/>
          <w:szCs w:val="24"/>
        </w:rPr>
      </w:pPr>
    </w:p>
    <w:p>
      <w:pPr>
        <w:spacing w:line="600" w:lineRule="auto"/>
        <w:jc w:val="center"/>
        <w:rPr>
          <w:rFonts w:hint="default" w:ascii="Times New Roman Regular" w:hAnsi="Times New Roman Regular" w:cs="Times New Roman Regular"/>
          <w:b/>
          <w:bCs/>
          <w:sz w:val="24"/>
          <w:szCs w:val="24"/>
          <w:u w:val="none" w:color="auto"/>
        </w:rPr>
      </w:pPr>
      <w:bookmarkStart w:id="28" w:name="_GoBack"/>
      <w:bookmarkEnd w:id="28"/>
    </w:p>
    <w:p>
      <w:pPr>
        <w:spacing w:line="600" w:lineRule="auto"/>
        <w:jc w:val="center"/>
        <w:rPr>
          <w:rFonts w:hint="default" w:ascii="Times New Roman Regular" w:hAnsi="Times New Roman Regular" w:cs="Times New Roman Regular"/>
          <w:b/>
          <w:bCs/>
          <w:sz w:val="24"/>
          <w:szCs w:val="24"/>
          <w:u w:val="none" w:color="auto"/>
        </w:rPr>
      </w:pPr>
    </w:p>
    <w:p>
      <w:pPr>
        <w:spacing w:line="600" w:lineRule="auto"/>
        <w:jc w:val="center"/>
        <w:rPr>
          <w:rFonts w:hint="default" w:ascii="Times New Roman Regular" w:hAnsi="Times New Roman Regular" w:cs="Times New Roman Regular"/>
          <w:b/>
          <w:bCs/>
          <w:sz w:val="24"/>
          <w:szCs w:val="24"/>
          <w:u w:val="none" w:color="auto"/>
        </w:rPr>
      </w:pPr>
    </w:p>
    <w:p>
      <w:pPr>
        <w:spacing w:line="600" w:lineRule="auto"/>
        <w:jc w:val="center"/>
        <w:rPr>
          <w:rFonts w:hint="default" w:ascii="Times New Roman Regular" w:hAnsi="Times New Roman Regular" w:cs="Times New Roman Regular"/>
          <w:b/>
          <w:bCs/>
          <w:sz w:val="24"/>
          <w:szCs w:val="24"/>
          <w:u w:val="none" w:color="auto"/>
        </w:rPr>
      </w:pPr>
    </w:p>
    <w:p>
      <w:pPr>
        <w:spacing w:line="600" w:lineRule="auto"/>
        <w:ind w:left="0" w:leftChars="0" w:firstLine="0" w:firstLineChars="0"/>
        <w:jc w:val="center"/>
        <w:rPr>
          <w:rFonts w:hint="default" w:ascii="Times New Roman Regular" w:hAnsi="Times New Roman Regular" w:cs="Times New Roman Regular"/>
          <w:b/>
          <w:bCs/>
          <w:sz w:val="28"/>
          <w:szCs w:val="28"/>
          <w:u w:val="none" w:color="auto"/>
        </w:rPr>
      </w:pPr>
      <w:r>
        <w:rPr>
          <w:rFonts w:hint="default" w:ascii="Times New Roman Regular" w:hAnsi="Times New Roman Regular" w:cs="Times New Roman Regular"/>
          <w:b/>
          <w:bCs/>
          <w:sz w:val="28"/>
          <w:szCs w:val="28"/>
          <w:u w:val="none" w:color="auto"/>
        </w:rPr>
        <w:t>Strategic Management (BMMB7013)</w:t>
      </w:r>
    </w:p>
    <w:p>
      <w:pPr>
        <w:spacing w:line="600" w:lineRule="auto"/>
        <w:ind w:left="0" w:leftChars="0" w:firstLine="0" w:firstLineChars="0"/>
        <w:jc w:val="center"/>
        <w:rPr>
          <w:rFonts w:hint="default" w:ascii="Times New Roman Regular" w:hAnsi="Times New Roman Regular" w:cs="Times New Roman Regular"/>
          <w:b/>
          <w:bCs/>
          <w:sz w:val="28"/>
          <w:szCs w:val="28"/>
          <w:u w:val="none" w:color="auto"/>
        </w:rPr>
      </w:pPr>
      <w:r>
        <w:rPr>
          <w:rFonts w:hint="default" w:ascii="Times New Roman Regular" w:hAnsi="Times New Roman Regular" w:cs="Times New Roman Regular"/>
          <w:b/>
          <w:bCs/>
          <w:sz w:val="28"/>
          <w:szCs w:val="28"/>
          <w:u w:val="none" w:color="auto"/>
        </w:rPr>
        <w:t>Case study - Delta Air Lines</w:t>
      </w:r>
    </w:p>
    <w:p>
      <w:pPr>
        <w:spacing w:line="600" w:lineRule="auto"/>
        <w:jc w:val="center"/>
        <w:rPr>
          <w:rFonts w:hint="default" w:ascii="Times New Roman Regular" w:hAnsi="Times New Roman Regular" w:cs="Times New Roman Regular"/>
          <w:b/>
          <w:bCs/>
          <w:sz w:val="28"/>
          <w:szCs w:val="28"/>
          <w:u w:val="none" w:color="auto"/>
        </w:rPr>
      </w:pPr>
      <w:r>
        <w:rPr>
          <w:rFonts w:hint="default" w:ascii="Times New Roman Regular" w:hAnsi="Times New Roman Regular" w:cs="Times New Roman Regular"/>
          <w:b/>
          <w:bCs/>
          <w:sz w:val="28"/>
          <w:szCs w:val="28"/>
          <w:u w:val="none" w:color="auto"/>
        </w:rPr>
        <w:t>Student name: Kai Wang</w:t>
      </w:r>
    </w:p>
    <w:p>
      <w:pPr>
        <w:spacing w:line="600" w:lineRule="auto"/>
        <w:jc w:val="center"/>
        <w:rPr>
          <w:rFonts w:hint="default" w:ascii="Times New Roman Regular" w:hAnsi="Times New Roman Regular" w:cs="Times New Roman Regular"/>
          <w:b/>
          <w:bCs/>
          <w:sz w:val="28"/>
          <w:szCs w:val="28"/>
          <w:u w:val="none" w:color="auto"/>
        </w:rPr>
      </w:pPr>
      <w:r>
        <w:rPr>
          <w:rFonts w:hint="default" w:ascii="Times New Roman Regular" w:hAnsi="Times New Roman Regular" w:cs="Times New Roman Regular"/>
          <w:b/>
          <w:bCs/>
          <w:sz w:val="28"/>
          <w:szCs w:val="28"/>
          <w:u w:val="none" w:color="auto"/>
        </w:rPr>
        <w:t>Student number: 2228150</w:t>
      </w:r>
    </w:p>
    <w:p>
      <w:pPr>
        <w:spacing w:line="600" w:lineRule="auto"/>
        <w:jc w:val="center"/>
        <w:rPr>
          <w:rFonts w:hint="default" w:ascii="Times New Roman Regular" w:hAnsi="Times New Roman Regular" w:cs="Times New Roman Regular"/>
          <w:b/>
          <w:bCs/>
          <w:sz w:val="28"/>
          <w:szCs w:val="28"/>
          <w:u w:val="none" w:color="auto"/>
        </w:rPr>
      </w:pPr>
      <w:r>
        <w:rPr>
          <w:rFonts w:hint="default" w:ascii="Times New Roman Regular" w:hAnsi="Times New Roman Regular" w:cs="Times New Roman Regular"/>
          <w:b/>
          <w:bCs/>
          <w:sz w:val="28"/>
          <w:szCs w:val="28"/>
          <w:u w:val="none" w:color="auto"/>
        </w:rPr>
        <w:t>Date:July, 2023</w:t>
      </w:r>
    </w:p>
    <w:p>
      <w:pPr>
        <w:spacing w:line="600" w:lineRule="auto"/>
        <w:jc w:val="center"/>
        <w:rPr>
          <w:rFonts w:hint="default" w:ascii="Times New Roman Regular" w:hAnsi="Times New Roman Regular" w:cs="Times New Roman Regular"/>
          <w:sz w:val="24"/>
          <w:szCs w:val="24"/>
        </w:rPr>
        <w:sectPr>
          <w:footerReference r:id="rId5" w:type="default"/>
          <w:pgSz w:w="12240" w:h="15840"/>
          <w:pgMar w:top="1440" w:right="1440" w:bottom="1440" w:left="1440" w:header="720" w:footer="720" w:gutter="0"/>
          <w:pgNumType w:fmt="decimal" w:start="1"/>
          <w:cols w:space="720" w:num="1"/>
          <w:docGrid w:linePitch="360" w:charSpace="0"/>
        </w:sectPr>
      </w:pPr>
    </w:p>
    <w:sdt>
      <w:sdtPr>
        <w:rPr>
          <w:rFonts w:hint="default" w:ascii="Times New Roman Regular" w:hAnsi="Times New Roman Regular" w:cs="Times New Roman Regular" w:eastAsiaTheme="minorHAnsi"/>
          <w:b w:val="0"/>
          <w:sz w:val="24"/>
          <w:szCs w:val="24"/>
        </w:rPr>
        <w:id w:val="416675215"/>
        <w:docPartObj>
          <w:docPartGallery w:val="Table of Contents"/>
          <w:docPartUnique/>
        </w:docPartObj>
      </w:sdtPr>
      <w:sdtEndPr>
        <w:rPr>
          <w:rFonts w:hint="default" w:ascii="Times New Roman Regular" w:hAnsi="Times New Roman Regular" w:cs="Times New Roman Regular" w:eastAsiaTheme="minorEastAsia"/>
          <w:b w:val="0"/>
          <w:bCs/>
          <w:sz w:val="24"/>
          <w:szCs w:val="24"/>
        </w:rPr>
      </w:sdtEndPr>
      <w:sdtContent>
        <w:p>
          <w:pPr>
            <w:pStyle w:val="14"/>
            <w:spacing w:line="60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Table of Contents</w:t>
          </w:r>
        </w:p>
        <w:p>
          <w:pPr>
            <w:pStyle w:val="6"/>
            <w:tabs>
              <w:tab w:val="right" w:leader="dot" w:pos="9350"/>
            </w:tabs>
            <w:spacing w:line="60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TOC \o "1-3" \h \z \u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"_Toc139699194" </w:instrText>
          </w:r>
          <w:r>
            <w:rPr>
              <w:rFonts w:hint="default" w:ascii="Times New Roman Regular" w:hAnsi="Times New Roman Regular" w:cs="Times New Roman Regular"/>
              <w:sz w:val="24"/>
              <w:szCs w:val="24"/>
            </w:rPr>
            <w:fldChar w:fldCharType="separate"/>
          </w:r>
          <w:r>
            <w:rPr>
              <w:rStyle w:val="10"/>
              <w:rFonts w:hint="default" w:ascii="Times New Roman Regular" w:hAnsi="Times New Roman Regular" w:cs="Times New Roman Regular"/>
              <w:sz w:val="24"/>
              <w:szCs w:val="24"/>
            </w:rPr>
            <w:t>Executive Summary</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4</w:t>
          </w:r>
          <w:r>
            <w:rPr>
              <w:rFonts w:hint="default" w:ascii="Times New Roman Regular" w:hAnsi="Times New Roman Regular" w:cs="Times New Roman Regular"/>
              <w:sz w:val="24"/>
              <w:szCs w:val="24"/>
            </w:rPr>
            <w:fldChar w:fldCharType="end"/>
          </w:r>
        </w:p>
        <w:p>
          <w:pPr>
            <w:pStyle w:val="6"/>
            <w:tabs>
              <w:tab w:val="right" w:leader="dot" w:pos="9350"/>
            </w:tabs>
            <w:spacing w:line="60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"_Toc139699195" </w:instrText>
          </w:r>
          <w:r>
            <w:rPr>
              <w:rFonts w:hint="default" w:ascii="Times New Roman Regular" w:hAnsi="Times New Roman Regular" w:cs="Times New Roman Regular"/>
              <w:sz w:val="24"/>
              <w:szCs w:val="24"/>
            </w:rPr>
            <w:fldChar w:fldCharType="separate"/>
          </w:r>
          <w:r>
            <w:rPr>
              <w:rStyle w:val="10"/>
              <w:rFonts w:hint="default" w:ascii="Times New Roman Regular" w:hAnsi="Times New Roman Regular" w:cs="Times New Roman Regular"/>
              <w:sz w:val="24"/>
              <w:szCs w:val="24"/>
            </w:rPr>
            <w:t>1.0 Introduction</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6</w:t>
          </w:r>
          <w:r>
            <w:rPr>
              <w:rFonts w:hint="default" w:ascii="Times New Roman Regular" w:hAnsi="Times New Roman Regular" w:cs="Times New Roman Regular"/>
              <w:sz w:val="24"/>
              <w:szCs w:val="24"/>
            </w:rPr>
            <w:fldChar w:fldCharType="end"/>
          </w:r>
        </w:p>
        <w:p>
          <w:pPr>
            <w:pStyle w:val="7"/>
            <w:tabs>
              <w:tab w:val="right" w:leader="dot" w:pos="9350"/>
            </w:tabs>
            <w:spacing w:line="60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"_Toc139699196" </w:instrText>
          </w:r>
          <w:r>
            <w:rPr>
              <w:rFonts w:hint="default" w:ascii="Times New Roman Regular" w:hAnsi="Times New Roman Regular" w:cs="Times New Roman Regular"/>
              <w:sz w:val="24"/>
              <w:szCs w:val="24"/>
            </w:rPr>
            <w:fldChar w:fldCharType="separate"/>
          </w:r>
          <w:r>
            <w:rPr>
              <w:rStyle w:val="10"/>
              <w:rFonts w:hint="default" w:ascii="Times New Roman Regular" w:hAnsi="Times New Roman Regular" w:cs="Times New Roman Regular"/>
              <w:sz w:val="24"/>
              <w:szCs w:val="24"/>
            </w:rPr>
            <w:t>1.1 Background</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7</w:t>
          </w:r>
          <w:r>
            <w:rPr>
              <w:rFonts w:hint="default" w:ascii="Times New Roman Regular" w:hAnsi="Times New Roman Regular" w:cs="Times New Roman Regular"/>
              <w:sz w:val="24"/>
              <w:szCs w:val="24"/>
            </w:rPr>
            <w:fldChar w:fldCharType="end"/>
          </w:r>
        </w:p>
        <w:p>
          <w:pPr>
            <w:pStyle w:val="7"/>
            <w:tabs>
              <w:tab w:val="right" w:leader="dot" w:pos="9350"/>
            </w:tabs>
            <w:spacing w:line="60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"_Toc139699197" </w:instrText>
          </w:r>
          <w:r>
            <w:rPr>
              <w:rFonts w:hint="default" w:ascii="Times New Roman Regular" w:hAnsi="Times New Roman Regular" w:cs="Times New Roman Regular"/>
              <w:sz w:val="24"/>
              <w:szCs w:val="24"/>
            </w:rPr>
            <w:fldChar w:fldCharType="separate"/>
          </w:r>
          <w:r>
            <w:rPr>
              <w:rStyle w:val="10"/>
              <w:rFonts w:hint="default" w:ascii="Times New Roman Regular" w:hAnsi="Times New Roman Regular" w:cs="Times New Roman Regular"/>
              <w:sz w:val="24"/>
              <w:szCs w:val="24"/>
            </w:rPr>
            <w:t>1.2 Purpose and Scope</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8</w:t>
          </w:r>
          <w:r>
            <w:rPr>
              <w:rFonts w:hint="default" w:ascii="Times New Roman Regular" w:hAnsi="Times New Roman Regular" w:cs="Times New Roman Regular"/>
              <w:sz w:val="24"/>
              <w:szCs w:val="24"/>
            </w:rPr>
            <w:fldChar w:fldCharType="end"/>
          </w:r>
        </w:p>
        <w:p>
          <w:pPr>
            <w:pStyle w:val="6"/>
            <w:tabs>
              <w:tab w:val="right" w:leader="dot" w:pos="9350"/>
            </w:tabs>
            <w:spacing w:line="60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"_Toc139699198" </w:instrText>
          </w:r>
          <w:r>
            <w:rPr>
              <w:rFonts w:hint="default" w:ascii="Times New Roman Regular" w:hAnsi="Times New Roman Regular" w:cs="Times New Roman Regular"/>
              <w:sz w:val="24"/>
              <w:szCs w:val="24"/>
            </w:rPr>
            <w:fldChar w:fldCharType="separate"/>
          </w:r>
          <w:r>
            <w:rPr>
              <w:rStyle w:val="10"/>
              <w:rFonts w:hint="default" w:ascii="Times New Roman Regular" w:hAnsi="Times New Roman Regular" w:cs="Times New Roman Regular"/>
              <w:sz w:val="24"/>
              <w:szCs w:val="24"/>
            </w:rPr>
            <w:t>2.0 External Analysis</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9</w:t>
          </w:r>
          <w:r>
            <w:rPr>
              <w:rFonts w:hint="default" w:ascii="Times New Roman Regular" w:hAnsi="Times New Roman Regular" w:cs="Times New Roman Regular"/>
              <w:sz w:val="24"/>
              <w:szCs w:val="24"/>
            </w:rPr>
            <w:fldChar w:fldCharType="end"/>
          </w:r>
        </w:p>
        <w:p>
          <w:pPr>
            <w:pStyle w:val="7"/>
            <w:tabs>
              <w:tab w:val="right" w:leader="dot" w:pos="9350"/>
            </w:tabs>
            <w:spacing w:line="60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"_Toc139699199" </w:instrText>
          </w:r>
          <w:r>
            <w:rPr>
              <w:rFonts w:hint="default" w:ascii="Times New Roman Regular" w:hAnsi="Times New Roman Regular" w:cs="Times New Roman Regular"/>
              <w:sz w:val="24"/>
              <w:szCs w:val="24"/>
            </w:rPr>
            <w:fldChar w:fldCharType="separate"/>
          </w:r>
          <w:r>
            <w:rPr>
              <w:rStyle w:val="10"/>
              <w:rFonts w:hint="default" w:ascii="Times New Roman Regular" w:hAnsi="Times New Roman Regular" w:cs="Times New Roman Regular"/>
              <w:sz w:val="24"/>
              <w:szCs w:val="24"/>
            </w:rPr>
            <w:t>2.1 PESTEL Analysis</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9</w:t>
          </w:r>
          <w:r>
            <w:rPr>
              <w:rFonts w:hint="default" w:ascii="Times New Roman Regular" w:hAnsi="Times New Roman Regular" w:cs="Times New Roman Regular"/>
              <w:sz w:val="24"/>
              <w:szCs w:val="24"/>
            </w:rPr>
            <w:fldChar w:fldCharType="end"/>
          </w:r>
        </w:p>
        <w:p>
          <w:pPr>
            <w:pStyle w:val="7"/>
            <w:tabs>
              <w:tab w:val="right" w:leader="dot" w:pos="9350"/>
            </w:tabs>
            <w:spacing w:line="60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"_Toc139699200" </w:instrText>
          </w:r>
          <w:r>
            <w:rPr>
              <w:rFonts w:hint="default" w:ascii="Times New Roman Regular" w:hAnsi="Times New Roman Regular" w:cs="Times New Roman Regular"/>
              <w:sz w:val="24"/>
              <w:szCs w:val="24"/>
            </w:rPr>
            <w:fldChar w:fldCharType="separate"/>
          </w:r>
          <w:r>
            <w:rPr>
              <w:rStyle w:val="10"/>
              <w:rFonts w:hint="default" w:ascii="Times New Roman Regular" w:hAnsi="Times New Roman Regular" w:cs="Times New Roman Regular"/>
              <w:sz w:val="24"/>
              <w:szCs w:val="24"/>
            </w:rPr>
            <w:t>2.2 Porter's Five Forces Analysis</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1</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t>1</w:t>
          </w:r>
        </w:p>
        <w:p>
          <w:pPr>
            <w:pStyle w:val="7"/>
            <w:tabs>
              <w:tab w:val="right" w:leader="dot" w:pos="9350"/>
            </w:tabs>
            <w:spacing w:line="60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"_Toc139699201" </w:instrText>
          </w:r>
          <w:r>
            <w:rPr>
              <w:rFonts w:hint="default" w:ascii="Times New Roman Regular" w:hAnsi="Times New Roman Regular" w:cs="Times New Roman Regular"/>
              <w:sz w:val="24"/>
              <w:szCs w:val="24"/>
            </w:rPr>
            <w:fldChar w:fldCharType="separate"/>
          </w:r>
          <w:r>
            <w:rPr>
              <w:rStyle w:val="10"/>
              <w:rFonts w:hint="default" w:ascii="Times New Roman Regular" w:hAnsi="Times New Roman Regular" w:cs="Times New Roman Regular"/>
              <w:sz w:val="24"/>
              <w:szCs w:val="24"/>
            </w:rPr>
            <w:t>2.3 Industry Trends and Competitive Landscape</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1</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t>3</w:t>
          </w:r>
        </w:p>
        <w:p>
          <w:pPr>
            <w:pStyle w:val="6"/>
            <w:tabs>
              <w:tab w:val="right" w:leader="dot" w:pos="9350"/>
            </w:tabs>
            <w:spacing w:line="60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"_Toc139699202" </w:instrText>
          </w:r>
          <w:r>
            <w:rPr>
              <w:rFonts w:hint="default" w:ascii="Times New Roman Regular" w:hAnsi="Times New Roman Regular" w:cs="Times New Roman Regular"/>
              <w:sz w:val="24"/>
              <w:szCs w:val="24"/>
            </w:rPr>
            <w:fldChar w:fldCharType="separate"/>
          </w:r>
          <w:r>
            <w:rPr>
              <w:rStyle w:val="10"/>
              <w:rFonts w:hint="default" w:ascii="Times New Roman Regular" w:hAnsi="Times New Roman Regular" w:cs="Times New Roman Regular"/>
              <w:sz w:val="24"/>
              <w:szCs w:val="24"/>
            </w:rPr>
            <w:t>3.0 Internal Analysis</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1</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t>4</w:t>
          </w:r>
        </w:p>
        <w:p>
          <w:pPr>
            <w:pStyle w:val="7"/>
            <w:tabs>
              <w:tab w:val="right" w:leader="dot" w:pos="9350"/>
            </w:tabs>
            <w:spacing w:line="60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"_Toc139699203" </w:instrText>
          </w:r>
          <w:r>
            <w:rPr>
              <w:rFonts w:hint="default" w:ascii="Times New Roman Regular" w:hAnsi="Times New Roman Regular" w:cs="Times New Roman Regular"/>
              <w:sz w:val="24"/>
              <w:szCs w:val="24"/>
            </w:rPr>
            <w:fldChar w:fldCharType="separate"/>
          </w:r>
          <w:r>
            <w:rPr>
              <w:rStyle w:val="10"/>
              <w:rFonts w:hint="default" w:ascii="Times New Roman Regular" w:hAnsi="Times New Roman Regular" w:cs="Times New Roman Regular"/>
              <w:sz w:val="24"/>
              <w:szCs w:val="24"/>
            </w:rPr>
            <w:t>3.1 SWOT Analysis</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1</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t>4</w:t>
          </w:r>
        </w:p>
        <w:p>
          <w:pPr>
            <w:pStyle w:val="7"/>
            <w:tabs>
              <w:tab w:val="right" w:leader="dot" w:pos="9350"/>
            </w:tabs>
            <w:spacing w:line="60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"_Toc139699204" </w:instrText>
          </w:r>
          <w:r>
            <w:rPr>
              <w:rFonts w:hint="default" w:ascii="Times New Roman Regular" w:hAnsi="Times New Roman Regular" w:cs="Times New Roman Regular"/>
              <w:sz w:val="24"/>
              <w:szCs w:val="24"/>
            </w:rPr>
            <w:fldChar w:fldCharType="separate"/>
          </w:r>
          <w:r>
            <w:rPr>
              <w:rStyle w:val="10"/>
              <w:rFonts w:hint="default" w:ascii="Times New Roman Regular" w:hAnsi="Times New Roman Regular" w:cs="Times New Roman Regular"/>
              <w:sz w:val="24"/>
              <w:szCs w:val="24"/>
            </w:rPr>
            <w:t>3.2 Value Chain Analysis</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1</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t>6</w:t>
          </w:r>
        </w:p>
        <w:p>
          <w:pPr>
            <w:pStyle w:val="6"/>
            <w:tabs>
              <w:tab w:val="right" w:leader="dot" w:pos="9350"/>
            </w:tabs>
            <w:spacing w:line="60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"_Toc139699205" </w:instrText>
          </w:r>
          <w:r>
            <w:rPr>
              <w:rFonts w:hint="default" w:ascii="Times New Roman Regular" w:hAnsi="Times New Roman Regular" w:cs="Times New Roman Regular"/>
              <w:sz w:val="24"/>
              <w:szCs w:val="24"/>
            </w:rPr>
            <w:fldChar w:fldCharType="separate"/>
          </w:r>
          <w:r>
            <w:rPr>
              <w:rStyle w:val="10"/>
              <w:rFonts w:hint="default" w:ascii="Times New Roman Regular" w:hAnsi="Times New Roman Regular" w:cs="Times New Roman Regular"/>
              <w:sz w:val="24"/>
              <w:szCs w:val="24"/>
            </w:rPr>
            <w:t>4.0 Strategic Options for Personalized Customer Care</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1</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t>8</w:t>
          </w:r>
        </w:p>
        <w:p>
          <w:pPr>
            <w:pStyle w:val="7"/>
            <w:tabs>
              <w:tab w:val="right" w:leader="dot" w:pos="9350"/>
            </w:tabs>
            <w:spacing w:line="60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"_Toc139699206" </w:instrText>
          </w:r>
          <w:r>
            <w:rPr>
              <w:rFonts w:hint="default" w:ascii="Times New Roman Regular" w:hAnsi="Times New Roman Regular" w:cs="Times New Roman Regular"/>
              <w:sz w:val="24"/>
              <w:szCs w:val="24"/>
            </w:rPr>
            <w:fldChar w:fldCharType="separate"/>
          </w:r>
          <w:r>
            <w:rPr>
              <w:rStyle w:val="10"/>
              <w:rFonts w:hint="default" w:ascii="Times New Roman Regular" w:hAnsi="Times New Roman Regular" w:cs="Times New Roman Regular"/>
              <w:sz w:val="24"/>
              <w:szCs w:val="24"/>
            </w:rPr>
            <w:t>4.1 Leveraging Digital Technologies</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1</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t>8</w:t>
          </w:r>
        </w:p>
        <w:p>
          <w:pPr>
            <w:pStyle w:val="7"/>
            <w:tabs>
              <w:tab w:val="right" w:leader="dot" w:pos="9350"/>
            </w:tabs>
            <w:spacing w:line="60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"_Toc139699207" </w:instrText>
          </w:r>
          <w:r>
            <w:rPr>
              <w:rFonts w:hint="default" w:ascii="Times New Roman Regular" w:hAnsi="Times New Roman Regular" w:cs="Times New Roman Regular"/>
              <w:sz w:val="24"/>
              <w:szCs w:val="24"/>
            </w:rPr>
            <w:fldChar w:fldCharType="separate"/>
          </w:r>
          <w:r>
            <w:rPr>
              <w:rStyle w:val="10"/>
              <w:rFonts w:hint="default" w:ascii="Times New Roman Regular" w:hAnsi="Times New Roman Regular" w:cs="Times New Roman Regular"/>
              <w:sz w:val="24"/>
              <w:szCs w:val="24"/>
            </w:rPr>
            <w:t>4.2 Enhancing Customer Experience throughout the Journey</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1</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t>9</w:t>
          </w:r>
        </w:p>
        <w:p>
          <w:pPr>
            <w:pStyle w:val="7"/>
            <w:tabs>
              <w:tab w:val="right" w:leader="dot" w:pos="9350"/>
            </w:tabs>
            <w:spacing w:line="60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"_Toc139699208" </w:instrText>
          </w:r>
          <w:r>
            <w:rPr>
              <w:rFonts w:hint="default" w:ascii="Times New Roman Regular" w:hAnsi="Times New Roman Regular" w:cs="Times New Roman Regular"/>
              <w:sz w:val="24"/>
              <w:szCs w:val="24"/>
            </w:rPr>
            <w:fldChar w:fldCharType="separate"/>
          </w:r>
          <w:r>
            <w:rPr>
              <w:rStyle w:val="10"/>
              <w:rFonts w:hint="default" w:ascii="Times New Roman Regular" w:hAnsi="Times New Roman Regular" w:cs="Times New Roman Regular"/>
              <w:sz w:val="24"/>
              <w:szCs w:val="24"/>
            </w:rPr>
            <w:t>4.3 Empowering Frontline Employees</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2</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t>0</w:t>
          </w:r>
        </w:p>
        <w:p>
          <w:pPr>
            <w:pStyle w:val="7"/>
            <w:tabs>
              <w:tab w:val="right" w:leader="dot" w:pos="9350"/>
            </w:tabs>
            <w:spacing w:line="60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"_Toc139699209" </w:instrText>
          </w:r>
          <w:r>
            <w:rPr>
              <w:rFonts w:hint="default" w:ascii="Times New Roman Regular" w:hAnsi="Times New Roman Regular" w:cs="Times New Roman Regular"/>
              <w:sz w:val="24"/>
              <w:szCs w:val="24"/>
            </w:rPr>
            <w:fldChar w:fldCharType="separate"/>
          </w:r>
          <w:r>
            <w:rPr>
              <w:rStyle w:val="10"/>
              <w:rFonts w:hint="default" w:ascii="Times New Roman Regular" w:hAnsi="Times New Roman Regular" w:cs="Times New Roman Regular"/>
              <w:sz w:val="24"/>
              <w:szCs w:val="24"/>
            </w:rPr>
            <w:t>4.4 Collaborating with Partners and Stakeholders</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2</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t>1</w:t>
          </w:r>
        </w:p>
        <w:p>
          <w:pPr>
            <w:pStyle w:val="6"/>
            <w:tabs>
              <w:tab w:val="right" w:leader="dot" w:pos="9350"/>
            </w:tabs>
            <w:spacing w:line="60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"_Toc139699210" </w:instrText>
          </w:r>
          <w:r>
            <w:rPr>
              <w:rFonts w:hint="default" w:ascii="Times New Roman Regular" w:hAnsi="Times New Roman Regular" w:cs="Times New Roman Regular"/>
              <w:sz w:val="24"/>
              <w:szCs w:val="24"/>
            </w:rPr>
            <w:fldChar w:fldCharType="separate"/>
          </w:r>
          <w:r>
            <w:rPr>
              <w:rStyle w:val="10"/>
              <w:rFonts w:hint="default" w:ascii="Times New Roman Regular" w:hAnsi="Times New Roman Regular" w:cs="Times New Roman Regular"/>
              <w:sz w:val="24"/>
              <w:szCs w:val="24"/>
            </w:rPr>
            <w:t>5.0 Implications on Different Organizational Areas</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2</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t>2</w:t>
          </w:r>
        </w:p>
        <w:p>
          <w:pPr>
            <w:pStyle w:val="7"/>
            <w:tabs>
              <w:tab w:val="right" w:leader="dot" w:pos="9350"/>
            </w:tabs>
            <w:spacing w:line="60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"_Toc139699211" </w:instrText>
          </w:r>
          <w:r>
            <w:rPr>
              <w:rFonts w:hint="default" w:ascii="Times New Roman Regular" w:hAnsi="Times New Roman Regular" w:cs="Times New Roman Regular"/>
              <w:sz w:val="24"/>
              <w:szCs w:val="24"/>
            </w:rPr>
            <w:fldChar w:fldCharType="separate"/>
          </w:r>
          <w:r>
            <w:rPr>
              <w:rStyle w:val="10"/>
              <w:rFonts w:hint="default" w:ascii="Times New Roman Regular" w:hAnsi="Times New Roman Regular" w:cs="Times New Roman Regular"/>
              <w:sz w:val="24"/>
              <w:szCs w:val="24"/>
            </w:rPr>
            <w:t>5.1 Operations and Processes</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2</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t>2</w:t>
          </w:r>
        </w:p>
        <w:p>
          <w:pPr>
            <w:pStyle w:val="7"/>
            <w:tabs>
              <w:tab w:val="right" w:leader="dot" w:pos="9350"/>
            </w:tabs>
            <w:spacing w:line="60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"_Toc139699212" </w:instrText>
          </w:r>
          <w:r>
            <w:rPr>
              <w:rFonts w:hint="default" w:ascii="Times New Roman Regular" w:hAnsi="Times New Roman Regular" w:cs="Times New Roman Regular"/>
              <w:sz w:val="24"/>
              <w:szCs w:val="24"/>
            </w:rPr>
            <w:fldChar w:fldCharType="separate"/>
          </w:r>
          <w:r>
            <w:rPr>
              <w:rStyle w:val="10"/>
              <w:rFonts w:hint="default" w:ascii="Times New Roman Regular" w:hAnsi="Times New Roman Regular" w:cs="Times New Roman Regular"/>
              <w:sz w:val="24"/>
              <w:szCs w:val="24"/>
            </w:rPr>
            <w:t>5.2 Human Resources and Training</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2</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t>3</w:t>
          </w:r>
        </w:p>
        <w:p>
          <w:pPr>
            <w:pStyle w:val="7"/>
            <w:tabs>
              <w:tab w:val="right" w:leader="dot" w:pos="9350"/>
            </w:tabs>
            <w:spacing w:line="60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"_Toc139699213" </w:instrText>
          </w:r>
          <w:r>
            <w:rPr>
              <w:rFonts w:hint="default" w:ascii="Times New Roman Regular" w:hAnsi="Times New Roman Regular" w:cs="Times New Roman Regular"/>
              <w:sz w:val="24"/>
              <w:szCs w:val="24"/>
            </w:rPr>
            <w:fldChar w:fldCharType="separate"/>
          </w:r>
          <w:r>
            <w:rPr>
              <w:rStyle w:val="10"/>
              <w:rFonts w:hint="default" w:ascii="Times New Roman Regular" w:hAnsi="Times New Roman Regular" w:cs="Times New Roman Regular"/>
              <w:sz w:val="24"/>
              <w:szCs w:val="24"/>
            </w:rPr>
            <w:t>5.3 Technology and Infrastructure</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2</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t>3</w:t>
          </w:r>
        </w:p>
        <w:p>
          <w:pPr>
            <w:pStyle w:val="7"/>
            <w:tabs>
              <w:tab w:val="right" w:leader="dot" w:pos="9350"/>
            </w:tabs>
            <w:spacing w:line="60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"_Toc139699214" </w:instrText>
          </w:r>
          <w:r>
            <w:rPr>
              <w:rFonts w:hint="default" w:ascii="Times New Roman Regular" w:hAnsi="Times New Roman Regular" w:cs="Times New Roman Regular"/>
              <w:sz w:val="24"/>
              <w:szCs w:val="24"/>
            </w:rPr>
            <w:fldChar w:fldCharType="separate"/>
          </w:r>
          <w:r>
            <w:rPr>
              <w:rStyle w:val="10"/>
              <w:rFonts w:hint="default" w:ascii="Times New Roman Regular" w:hAnsi="Times New Roman Regular" w:cs="Times New Roman Regular"/>
              <w:sz w:val="24"/>
              <w:szCs w:val="24"/>
            </w:rPr>
            <w:t>5.5 Financial Considerations</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2</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t>4</w:t>
          </w:r>
        </w:p>
        <w:p>
          <w:pPr>
            <w:pStyle w:val="6"/>
            <w:tabs>
              <w:tab w:val="right" w:leader="dot" w:pos="9350"/>
            </w:tabs>
            <w:spacing w:line="60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"_Toc139699215" </w:instrText>
          </w:r>
          <w:r>
            <w:rPr>
              <w:rFonts w:hint="default" w:ascii="Times New Roman Regular" w:hAnsi="Times New Roman Regular" w:cs="Times New Roman Regular"/>
              <w:sz w:val="24"/>
              <w:szCs w:val="24"/>
            </w:rPr>
            <w:fldChar w:fldCharType="separate"/>
          </w:r>
          <w:r>
            <w:rPr>
              <w:rStyle w:val="10"/>
              <w:rFonts w:hint="default" w:ascii="Times New Roman Regular" w:hAnsi="Times New Roman Regular" w:cs="Times New Roman Regular"/>
              <w:sz w:val="24"/>
              <w:szCs w:val="24"/>
            </w:rPr>
            <w:t>6.0 Justification of Recommended Strategy</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2</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t>5</w:t>
          </w:r>
        </w:p>
        <w:p>
          <w:pPr>
            <w:pStyle w:val="7"/>
            <w:tabs>
              <w:tab w:val="right" w:leader="dot" w:pos="9350"/>
            </w:tabs>
            <w:spacing w:line="60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"_Toc139699216" </w:instrText>
          </w:r>
          <w:r>
            <w:rPr>
              <w:rFonts w:hint="default" w:ascii="Times New Roman Regular" w:hAnsi="Times New Roman Regular" w:cs="Times New Roman Regular"/>
              <w:sz w:val="24"/>
              <w:szCs w:val="24"/>
            </w:rPr>
            <w:fldChar w:fldCharType="separate"/>
          </w:r>
          <w:r>
            <w:rPr>
              <w:rStyle w:val="10"/>
              <w:rFonts w:hint="default" w:ascii="Times New Roman Regular" w:hAnsi="Times New Roman Regular" w:cs="Times New Roman Regular"/>
              <w:sz w:val="24"/>
              <w:szCs w:val="24"/>
            </w:rPr>
            <w:t>6.1 Customer-Centric Approach</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2</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t>5</w:t>
          </w:r>
        </w:p>
        <w:p>
          <w:pPr>
            <w:pStyle w:val="7"/>
            <w:tabs>
              <w:tab w:val="right" w:leader="dot" w:pos="9350"/>
            </w:tabs>
            <w:spacing w:line="60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"_Toc139699217" </w:instrText>
          </w:r>
          <w:r>
            <w:rPr>
              <w:rFonts w:hint="default" w:ascii="Times New Roman Regular" w:hAnsi="Times New Roman Regular" w:cs="Times New Roman Regular"/>
              <w:sz w:val="24"/>
              <w:szCs w:val="24"/>
            </w:rPr>
            <w:fldChar w:fldCharType="separate"/>
          </w:r>
          <w:r>
            <w:rPr>
              <w:rStyle w:val="10"/>
              <w:rFonts w:hint="default" w:ascii="Times New Roman Regular" w:hAnsi="Times New Roman Regular" w:cs="Times New Roman Regular"/>
              <w:sz w:val="24"/>
              <w:szCs w:val="24"/>
            </w:rPr>
            <w:t>6.2 Sustainable Competitive Advantage</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2</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t>6</w:t>
          </w:r>
        </w:p>
        <w:p>
          <w:pPr>
            <w:pStyle w:val="7"/>
            <w:tabs>
              <w:tab w:val="right" w:leader="dot" w:pos="9350"/>
            </w:tabs>
            <w:spacing w:line="60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"_Toc139699218" </w:instrText>
          </w:r>
          <w:r>
            <w:rPr>
              <w:rFonts w:hint="default" w:ascii="Times New Roman Regular" w:hAnsi="Times New Roman Regular" w:cs="Times New Roman Regular"/>
              <w:sz w:val="24"/>
              <w:szCs w:val="24"/>
            </w:rPr>
            <w:fldChar w:fldCharType="separate"/>
          </w:r>
          <w:r>
            <w:rPr>
              <w:rStyle w:val="10"/>
              <w:rFonts w:hint="default" w:ascii="Times New Roman Regular" w:hAnsi="Times New Roman Regular" w:cs="Times New Roman Regular"/>
              <w:sz w:val="24"/>
              <w:szCs w:val="24"/>
            </w:rPr>
            <w:t>6.3 Resilience in a Changing Environment</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2</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t>7</w:t>
          </w:r>
        </w:p>
        <w:p>
          <w:pPr>
            <w:pStyle w:val="7"/>
            <w:tabs>
              <w:tab w:val="right" w:leader="dot" w:pos="9350"/>
            </w:tabs>
            <w:spacing w:line="60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"_Toc139699219" </w:instrText>
          </w:r>
          <w:r>
            <w:rPr>
              <w:rFonts w:hint="default" w:ascii="Times New Roman Regular" w:hAnsi="Times New Roman Regular" w:cs="Times New Roman Regular"/>
              <w:sz w:val="24"/>
              <w:szCs w:val="24"/>
            </w:rPr>
            <w:fldChar w:fldCharType="separate"/>
          </w:r>
          <w:r>
            <w:rPr>
              <w:rStyle w:val="10"/>
              <w:rFonts w:hint="default" w:ascii="Times New Roman Regular" w:hAnsi="Times New Roman Regular" w:cs="Times New Roman Regular"/>
              <w:sz w:val="24"/>
              <w:szCs w:val="24"/>
            </w:rPr>
            <w:t>6.4 Alignment with Market Trends and Opportunities</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2</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t>8</w:t>
          </w:r>
        </w:p>
        <w:p>
          <w:pPr>
            <w:pStyle w:val="6"/>
            <w:tabs>
              <w:tab w:val="right" w:leader="dot" w:pos="9350"/>
            </w:tabs>
            <w:spacing w:line="60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"_Toc139699220" </w:instrText>
          </w:r>
          <w:r>
            <w:rPr>
              <w:rFonts w:hint="default" w:ascii="Times New Roman Regular" w:hAnsi="Times New Roman Regular" w:cs="Times New Roman Regular"/>
              <w:sz w:val="24"/>
              <w:szCs w:val="24"/>
            </w:rPr>
            <w:fldChar w:fldCharType="separate"/>
          </w:r>
          <w:r>
            <w:rPr>
              <w:rStyle w:val="10"/>
              <w:rFonts w:hint="default" w:ascii="Times New Roman Regular" w:hAnsi="Times New Roman Regular" w:cs="Times New Roman Regular"/>
              <w:sz w:val="24"/>
              <w:szCs w:val="24"/>
            </w:rPr>
            <w:t>7.0 Conclusion</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2</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t>8</w:t>
          </w:r>
        </w:p>
        <w:p>
          <w:pPr>
            <w:pStyle w:val="6"/>
            <w:tabs>
              <w:tab w:val="right" w:leader="dot" w:pos="9350"/>
            </w:tabs>
            <w:spacing w:line="60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"_Toc139699221" </w:instrText>
          </w:r>
          <w:r>
            <w:rPr>
              <w:rFonts w:hint="default" w:ascii="Times New Roman Regular" w:hAnsi="Times New Roman Regular" w:cs="Times New Roman Regular"/>
              <w:sz w:val="24"/>
              <w:szCs w:val="24"/>
            </w:rPr>
            <w:fldChar w:fldCharType="separate"/>
          </w:r>
          <w:r>
            <w:rPr>
              <w:rStyle w:val="10"/>
              <w:rFonts w:hint="default" w:ascii="Times New Roman Regular" w:hAnsi="Times New Roman Regular" w:cs="Times New Roman Regular"/>
              <w:sz w:val="24"/>
              <w:szCs w:val="24"/>
            </w:rPr>
            <w:t>References</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3</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t>0</w:t>
          </w:r>
        </w:p>
        <w:p>
          <w:pPr>
            <w:spacing w:line="60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b/>
              <w:bCs/>
              <w:sz w:val="24"/>
              <w:szCs w:val="24"/>
            </w:rPr>
            <w:fldChar w:fldCharType="end"/>
          </w:r>
        </w:p>
      </w:sdtContent>
    </w:sdt>
    <w:p>
      <w:pPr>
        <w:spacing w:line="600" w:lineRule="auto"/>
        <w:ind w:firstLine="0"/>
        <w:rPr>
          <w:rFonts w:hint="default" w:ascii="Times New Roman Regular" w:hAnsi="Times New Roman Regular" w:cs="Times New Roman Regular"/>
          <w:b/>
          <w:sz w:val="24"/>
          <w:szCs w:val="24"/>
        </w:rPr>
      </w:pPr>
    </w:p>
    <w:p>
      <w:pPr>
        <w:pStyle w:val="2"/>
        <w:spacing w:line="600" w:lineRule="auto"/>
        <w:rPr>
          <w:rFonts w:hint="default" w:ascii="Times New Roman Regular" w:hAnsi="Times New Roman Regular" w:cs="Times New Roman Regular"/>
          <w:sz w:val="24"/>
          <w:szCs w:val="24"/>
        </w:rPr>
        <w:sectPr>
          <w:pgSz w:w="12240" w:h="15840"/>
          <w:pgMar w:top="1440" w:right="1440" w:bottom="1440" w:left="1440" w:header="720" w:footer="720" w:gutter="0"/>
          <w:pgNumType w:fmt="decimal"/>
          <w:cols w:space="720" w:num="1"/>
          <w:docGrid w:linePitch="360" w:charSpace="0"/>
        </w:sectPr>
      </w:pPr>
      <w:bookmarkStart w:id="0" w:name="_Toc139699194"/>
    </w:p>
    <w:p>
      <w:pPr>
        <w:pStyle w:val="2"/>
        <w:spacing w:line="600" w:lineRule="auto"/>
        <w:rPr>
          <w:rFonts w:hint="default" w:ascii="Times New Roman Bold" w:hAnsi="Times New Roman Bold" w:cs="Times New Roman Bold"/>
          <w:b/>
          <w:bCs w:val="0"/>
          <w:sz w:val="24"/>
          <w:szCs w:val="24"/>
        </w:rPr>
      </w:pPr>
      <w:r>
        <w:rPr>
          <w:rFonts w:hint="default" w:ascii="Times New Roman Bold" w:hAnsi="Times New Roman Bold" w:cs="Times New Roman Bold"/>
          <w:b/>
          <w:bCs w:val="0"/>
          <w:sz w:val="24"/>
          <w:szCs w:val="24"/>
        </w:rPr>
        <w:t>Executive Summary</w:t>
      </w:r>
      <w:bookmarkEnd w:id="0"/>
      <w:r>
        <w:rPr>
          <w:rFonts w:hint="default" w:ascii="Times New Roman Bold" w:hAnsi="Times New Roman Bold" w:cs="Times New Roman Bold"/>
          <w:b/>
          <w:bCs w:val="0"/>
          <w:sz w:val="24"/>
          <w:szCs w:val="24"/>
        </w:rPr>
        <w:t xml:space="preserve"> </w:t>
      </w:r>
    </w:p>
    <w:p>
      <w:pPr>
        <w:spacing w:line="60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In order to establish long-term resilience and sustainable competitive advantage in the airline sector, the strategic study of Delta Air Lines was the main emphasis of this paper, along with the suggestion of a customer-centric strategy for individualized customer care. The report's introduction included a general summary of the organization's need to alter its strategic direction in reaction to the pandemic's impact on the environment (Laakkonen, 2023). The history of Delta Air Lines, its position in the market, and the goals and parameters of the report were highlighted in the background part. PESTLE analysis, which identifies the political, economic, social, technical, legal, and environmental aspects influencing the aviation industry, was used in the external analysis. Porter's Five Forces research examined the industry's competitive environment, including the suppliers' and customers' negotiating power and the threat of new entrants. The internal analysis concentrated on the SWOT analysis, resources, and capabilities of Delta Air Lines. The company's possibilities and threats, as well as its strengths and weaknesses, were assessed. The value chain analysis also shed light on how Delta Air Lines generates value for its clients and the company. The paper examined tactical alternatives for offering individualized customer service, highlighting the need to utilize digital technologies to improve client experiences and offer a smooth trip (Fornell, 2020). The importance of empowering frontline staff to provide excellent service and the advantages of working with partners and stakeholders to promote innovation and customer happiness were also covered. The report also covered the effects of the suggested strategy on the organization's operations, processes, human resources, training, branding, technology, infrastructure, financial considerations, adaptability in a changing environment, alignment with market trends and opportunities, and attainment of sustainable competitive advantage</w:t>
      </w:r>
      <w:bookmarkStart w:id="1" w:name="_Toc139699195"/>
    </w:p>
    <w:p>
      <w:pPr>
        <w:spacing w:line="600" w:lineRule="auto"/>
        <w:rPr>
          <w:rFonts w:hint="default" w:ascii="Times New Roman Regular" w:hAnsi="Times New Roman Regular" w:cs="Times New Roman Regular"/>
          <w:sz w:val="24"/>
          <w:szCs w:val="24"/>
        </w:rPr>
      </w:pPr>
    </w:p>
    <w:p>
      <w:pPr>
        <w:spacing w:line="600" w:lineRule="auto"/>
        <w:rPr>
          <w:rFonts w:hint="default" w:ascii="Times New Roman Regular" w:hAnsi="Times New Roman Regular" w:cs="Times New Roman Regular"/>
          <w:sz w:val="24"/>
          <w:szCs w:val="24"/>
        </w:rPr>
      </w:pPr>
    </w:p>
    <w:p>
      <w:pPr>
        <w:spacing w:line="600" w:lineRule="auto"/>
        <w:rPr>
          <w:rFonts w:hint="default" w:ascii="Times New Roman Regular" w:hAnsi="Times New Roman Regular" w:cs="Times New Roman Regular"/>
          <w:sz w:val="24"/>
          <w:szCs w:val="24"/>
        </w:rPr>
      </w:pPr>
    </w:p>
    <w:p>
      <w:pPr>
        <w:spacing w:line="600" w:lineRule="auto"/>
        <w:rPr>
          <w:rFonts w:hint="default" w:ascii="Times New Roman Regular" w:hAnsi="Times New Roman Regular" w:cs="Times New Roman Regular"/>
          <w:sz w:val="24"/>
          <w:szCs w:val="24"/>
        </w:rPr>
      </w:pPr>
    </w:p>
    <w:p>
      <w:pPr>
        <w:spacing w:line="600" w:lineRule="auto"/>
        <w:rPr>
          <w:rFonts w:hint="default" w:ascii="Times New Roman Regular" w:hAnsi="Times New Roman Regular" w:cs="Times New Roman Regular"/>
          <w:sz w:val="24"/>
          <w:szCs w:val="24"/>
        </w:rPr>
      </w:pPr>
    </w:p>
    <w:p>
      <w:pPr>
        <w:spacing w:line="600" w:lineRule="auto"/>
        <w:rPr>
          <w:rFonts w:hint="default" w:ascii="Times New Roman Regular" w:hAnsi="Times New Roman Regular" w:cs="Times New Roman Regular"/>
          <w:sz w:val="24"/>
          <w:szCs w:val="24"/>
        </w:rPr>
      </w:pPr>
    </w:p>
    <w:p>
      <w:pPr>
        <w:spacing w:line="600" w:lineRule="auto"/>
        <w:rPr>
          <w:rFonts w:hint="default" w:ascii="Times New Roman Regular" w:hAnsi="Times New Roman Regular" w:cs="Times New Roman Regular"/>
          <w:sz w:val="24"/>
          <w:szCs w:val="24"/>
        </w:rPr>
      </w:pPr>
    </w:p>
    <w:p>
      <w:pPr>
        <w:spacing w:line="600" w:lineRule="auto"/>
        <w:rPr>
          <w:rFonts w:hint="default" w:ascii="Times New Roman Regular" w:hAnsi="Times New Roman Regular" w:cs="Times New Roman Regular"/>
          <w:sz w:val="24"/>
          <w:szCs w:val="24"/>
        </w:rPr>
      </w:pPr>
    </w:p>
    <w:p>
      <w:pPr>
        <w:spacing w:line="600" w:lineRule="auto"/>
        <w:rPr>
          <w:rFonts w:hint="default" w:ascii="Times New Roman Regular" w:hAnsi="Times New Roman Regular" w:cs="Times New Roman Regular"/>
          <w:sz w:val="24"/>
          <w:szCs w:val="24"/>
        </w:rPr>
      </w:pPr>
    </w:p>
    <w:p>
      <w:pPr>
        <w:spacing w:line="600" w:lineRule="auto"/>
        <w:rPr>
          <w:rFonts w:hint="default" w:ascii="Times New Roman Regular" w:hAnsi="Times New Roman Regular" w:cs="Times New Roman Regular"/>
          <w:sz w:val="24"/>
          <w:szCs w:val="24"/>
        </w:rPr>
      </w:pPr>
    </w:p>
    <w:p>
      <w:pPr>
        <w:spacing w:line="600" w:lineRule="auto"/>
        <w:rPr>
          <w:rFonts w:hint="default" w:ascii="Times New Roman Regular" w:hAnsi="Times New Roman Regular" w:cs="Times New Roman Regular"/>
          <w:sz w:val="24"/>
          <w:szCs w:val="24"/>
        </w:rPr>
      </w:pPr>
    </w:p>
    <w:p>
      <w:pPr>
        <w:spacing w:line="600" w:lineRule="auto"/>
        <w:rPr>
          <w:rFonts w:hint="default" w:ascii="Times New Roman Regular" w:hAnsi="Times New Roman Regular" w:cs="Times New Roman Regular"/>
          <w:sz w:val="24"/>
          <w:szCs w:val="24"/>
        </w:rPr>
      </w:pPr>
    </w:p>
    <w:p>
      <w:pPr>
        <w:spacing w:line="600" w:lineRule="auto"/>
        <w:rPr>
          <w:rFonts w:hint="default" w:ascii="Times New Roman Regular" w:hAnsi="Times New Roman Regular" w:cs="Times New Roman Regular"/>
          <w:sz w:val="24"/>
          <w:szCs w:val="24"/>
        </w:rPr>
      </w:pPr>
    </w:p>
    <w:p>
      <w:pPr>
        <w:spacing w:line="600" w:lineRule="auto"/>
        <w:rPr>
          <w:rFonts w:hint="default" w:ascii="Times New Roman Regular" w:hAnsi="Times New Roman Regular" w:cs="Times New Roman Regular"/>
          <w:sz w:val="24"/>
          <w:szCs w:val="24"/>
        </w:rPr>
      </w:pPr>
    </w:p>
    <w:p>
      <w:pPr>
        <w:spacing w:line="600" w:lineRule="auto"/>
        <w:rPr>
          <w:rFonts w:hint="default" w:ascii="Times New Roman Regular" w:hAnsi="Times New Roman Regular" w:cs="Times New Roman Regular"/>
          <w:sz w:val="24"/>
          <w:szCs w:val="24"/>
        </w:rPr>
      </w:pPr>
    </w:p>
    <w:p>
      <w:pPr>
        <w:spacing w:line="600" w:lineRule="auto"/>
        <w:ind w:left="0" w:leftChars="0" w:firstLine="0" w:firstLineChars="0"/>
        <w:rPr>
          <w:rFonts w:hint="default" w:ascii="Times New Roman Bold" w:hAnsi="Times New Roman Bold" w:cs="Times New Roman Bold"/>
          <w:b/>
          <w:bCs/>
          <w:sz w:val="24"/>
          <w:szCs w:val="24"/>
        </w:rPr>
      </w:pPr>
      <w:r>
        <w:rPr>
          <w:rFonts w:hint="default" w:ascii="Times New Roman Bold" w:hAnsi="Times New Roman Bold" w:cs="Times New Roman Bold"/>
          <w:b/>
          <w:bCs/>
          <w:sz w:val="24"/>
          <w:szCs w:val="24"/>
        </w:rPr>
        <w:t>1.0 Introduction</w:t>
      </w:r>
      <w:bookmarkEnd w:id="1"/>
    </w:p>
    <w:p>
      <w:pPr>
        <w:spacing w:line="60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One of the top airlines in the world's aviation market, Delta Air Lines is well known for its dedication to providing outstanding customer service and operational excellence. In order to secure future resilience and preserve a sustainable competitive edge, Delta Air Lines understands the need to rethink its strategic orientation as the world begins to recover from the COVID-19 pandemic's problems. This paper intends to assess Delta Air Lines' current situation and suggest a new strategic approach concentrating on creative customer service. The COVID-19 pandemic significantly reduced demand for air travel, imposed travel restrictions, and disrupted business operations for the airline sector. However, the sector is beginning to revive as vaccination campaigns advance and travel restrictions gradually relax. Delta Air Lines may take advantage of this rebound by rethinking its strategic orientation in light of consumers' changing demands and expectations in the post-pandemic climate. Delta Air Lines must strategically transition toward innovative customer service to set itself apart from rivals, raise customer happiness, and establish a long-term competitive edge. Delta Air Lines can develop individualized experiences that connect with customers, forge lasting relationships, and encourage loyalty by adopting a customer-centric strategy. This report will draw on pertinent theories, methodologies, and concepts covered in the module to support the suggested strategic course for Delta Air Lines. The report will make extensive use of these frameworks to support the suggested strategy and link it with the goals and objectives of the company.</w:t>
      </w:r>
    </w:p>
    <w:p>
      <w:pPr>
        <w:pStyle w:val="3"/>
        <w:spacing w:line="600" w:lineRule="auto"/>
        <w:rPr>
          <w:rFonts w:hint="default" w:ascii="Times New Roman Regular" w:hAnsi="Times New Roman Regular" w:cs="Times New Roman Regular"/>
          <w:sz w:val="24"/>
          <w:szCs w:val="24"/>
        </w:rPr>
      </w:pPr>
      <w:bookmarkStart w:id="2" w:name="_Toc139699196"/>
      <w:r>
        <w:rPr>
          <w:rFonts w:hint="default" w:ascii="Times New Roman Regular" w:hAnsi="Times New Roman Regular" w:cs="Times New Roman Regular"/>
          <w:sz w:val="24"/>
          <w:szCs w:val="24"/>
        </w:rPr>
        <w:t>1.1 Background</w:t>
      </w:r>
      <w:bookmarkEnd w:id="2"/>
    </w:p>
    <w:p>
      <w:pPr>
        <w:pStyle w:val="11"/>
        <w:spacing w:line="600" w:lineRule="auto"/>
        <w:ind w:left="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Featuring its headquarters in Atlanta, Georgia, Delta Air Lines is one of the biggest airlines operating in the United States and around the globe. Delta has become a powerful force in the aviation industry with a wide range of regional and worldwide places since its founding in 1924. To meet the desires of both holidaymakers and executive travelers, the airline runs a broad fleet of aircraft. It also gives a vast range of services. Delta Air Lines has built a strong reputation over a long period for its commitment to offering top-notch customer service and operational effectiveness. The business has consistently concentrated on ensuring a fantastic travel adventure by offering a range of facilities, services, and innovative technology. However, it's essential to note that customer satisfaction is our top priority (McKenna, 2018). Delta has won numerous awards and appreciation for its customer-centered approach. It has been named the airline with the highest admiration globally by Fortune magazine. However, the COVID-19 epidemic presented unprecedented challenges to the airline industry—including Delta Air Lines. The pandemic mandated airlines to cancel flights, implement strict health and safety measures, and face a significant decrease in passenger demand. The global travel restrictions, lesser passenger requirements, and operational interruptions had a negative impact on the company's operations and financial performance. However, the company is actively implementing budget-trimming actions and exploring new business opportunities to mitigate the effects of these challenges. Delta Air Lines had to adjust to the challenging circumstances immediately. They implemented safety protocols, changed flight schedules, and enforced expense-reducing measures.</w:t>
      </w:r>
    </w:p>
    <w:p>
      <w:pPr>
        <w:pStyle w:val="3"/>
        <w:spacing w:line="600" w:lineRule="auto"/>
        <w:rPr>
          <w:rFonts w:hint="default" w:ascii="Times New Roman Regular" w:hAnsi="Times New Roman Regular" w:cs="Times New Roman Regular"/>
          <w:sz w:val="24"/>
          <w:szCs w:val="24"/>
        </w:rPr>
      </w:pPr>
      <w:bookmarkStart w:id="3" w:name="_Toc139699197"/>
    </w:p>
    <w:p>
      <w:pPr>
        <w:pStyle w:val="3"/>
        <w:spacing w:line="60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1.2 Purpose and Scope</w:t>
      </w:r>
      <w:bookmarkEnd w:id="3"/>
    </w:p>
    <w:p>
      <w:pPr>
        <w:spacing w:line="60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The paper examines ways Delta can improve its customer service activities to ensure its long-term sustainability and competitive advantage. This report's scope includes evaluations of Delta Air Lines from the company's internal and external perspectives. The macro environmental elements that influence the industry landscape, such as political, legal, economic, sociocultural, and technological aspects, will be evaluated by external analysis. Industry analysis will also shed light on the competitive dynamics and crucial success criteria that exist within the aviation sector. To find possible areas of competitive advantage, the research will internally examine Delta Air Lines' resources, capacities, and core competencies. A SWOT analysis will be performed to assess the company's strengths, weaknesses, opportunities, and threats. These analyses will guide the discovery and assessment of strategic choices for individualized customer care. The study will critically assess alternative strategic options, considering their advantages, disadvantages, and ramifications for various organizational domains. The purpose is to suggest a course of action that promotes long-term competitiveness and resilience, is in line with the values and objectives of Delta Air Lines, and guarantees a distinctive customer experience. It is significant to highlight that the strategic analysis and suggestions relevant to Delta Air Lines' customer service activities are the only ones included in this report. The emphasis is still on redefining the strategic direction of customer service within the firm, even though the wider effects of the COVID-19 epidemic and industry dynamics will be taken into consideration.</w:t>
      </w:r>
    </w:p>
    <w:p>
      <w:pPr>
        <w:pStyle w:val="2"/>
        <w:spacing w:line="600" w:lineRule="auto"/>
        <w:rPr>
          <w:rFonts w:hint="default" w:ascii="Times New Roman Regular" w:hAnsi="Times New Roman Regular" w:cs="Times New Roman Regular"/>
          <w:sz w:val="24"/>
          <w:szCs w:val="24"/>
        </w:rPr>
      </w:pPr>
      <w:bookmarkStart w:id="4" w:name="_Toc139699198"/>
      <w:r>
        <w:rPr>
          <w:rFonts w:hint="default" w:ascii="Times New Roman Regular" w:hAnsi="Times New Roman Regular" w:cs="Times New Roman Regular"/>
          <w:sz w:val="24"/>
          <w:szCs w:val="24"/>
        </w:rPr>
        <w:t>2.0 External Analysis</w:t>
      </w:r>
      <w:bookmarkEnd w:id="4"/>
    </w:p>
    <w:p>
      <w:pPr>
        <w:pStyle w:val="3"/>
        <w:spacing w:line="600" w:lineRule="auto"/>
        <w:rPr>
          <w:rFonts w:hint="default" w:ascii="Times New Roman Regular" w:hAnsi="Times New Roman Regular" w:cs="Times New Roman Regular"/>
          <w:sz w:val="24"/>
          <w:szCs w:val="24"/>
        </w:rPr>
      </w:pPr>
      <w:bookmarkStart w:id="5" w:name="_Toc139699199"/>
      <w:r>
        <w:rPr>
          <w:rFonts w:hint="default" w:ascii="Times New Roman Regular" w:hAnsi="Times New Roman Regular" w:cs="Times New Roman Regular"/>
          <w:sz w:val="24"/>
          <w:szCs w:val="24"/>
        </w:rPr>
        <w:t>2.1 PESTEL Analysis</w:t>
      </w:r>
      <w:bookmarkEnd w:id="5"/>
    </w:p>
    <w:p>
      <w:pPr>
        <w:spacing w:line="600" w:lineRule="auto"/>
        <w:ind w:firstLine="0"/>
        <w:rPr>
          <w:rFonts w:hint="default" w:ascii="Times New Roman Regular" w:hAnsi="Times New Roman Regular" w:cs="Times New Roman Regular"/>
          <w:b/>
          <w:sz w:val="24"/>
          <w:szCs w:val="24"/>
        </w:rPr>
      </w:pPr>
      <w:r>
        <w:rPr>
          <w:rFonts w:hint="default" w:ascii="Times New Roman Regular" w:hAnsi="Times New Roman Regular" w:cs="Times New Roman Regular"/>
          <w:b/>
          <w:sz w:val="24"/>
          <w:szCs w:val="24"/>
        </w:rPr>
        <w:t xml:space="preserve">Political Factors </w:t>
      </w:r>
    </w:p>
    <w:p>
      <w:pPr>
        <w:spacing w:line="60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The political environment has a big impact on the aviation sector. Government rules, bilateral agreements, and political stability are just a few variables that could affect Delta Air Lines (Ortega et al., 2019)). The operations and itineraries of the airline, for instance, may be impacted by changes to aviation regulations, visa requirements, and international commercial connections. In order to handle potential obstacles, Delta must stay current on political events and uphold solid ties with governmental bodies.</w:t>
      </w:r>
    </w:p>
    <w:p>
      <w:pPr>
        <w:spacing w:line="600" w:lineRule="auto"/>
        <w:rPr>
          <w:rFonts w:hint="default" w:ascii="Times New Roman Regular" w:hAnsi="Times New Roman Regular" w:cs="Times New Roman Regular"/>
          <w:sz w:val="24"/>
          <w:szCs w:val="24"/>
        </w:rPr>
      </w:pPr>
    </w:p>
    <w:p>
      <w:pPr>
        <w:spacing w:line="600" w:lineRule="auto"/>
        <w:rPr>
          <w:rFonts w:hint="default" w:ascii="Times New Roman Regular" w:hAnsi="Times New Roman Regular" w:cs="Times New Roman Regular"/>
          <w:sz w:val="24"/>
          <w:szCs w:val="24"/>
        </w:rPr>
      </w:pPr>
    </w:p>
    <w:p>
      <w:pPr>
        <w:spacing w:line="600" w:lineRule="auto"/>
        <w:ind w:firstLine="0"/>
        <w:rPr>
          <w:rFonts w:hint="default" w:ascii="Times New Roman Regular" w:hAnsi="Times New Roman Regular" w:cs="Times New Roman Regular"/>
          <w:b/>
          <w:sz w:val="24"/>
          <w:szCs w:val="24"/>
        </w:rPr>
      </w:pPr>
      <w:r>
        <w:rPr>
          <w:rFonts w:hint="default" w:ascii="Times New Roman Regular" w:hAnsi="Times New Roman Regular" w:cs="Times New Roman Regular"/>
          <w:b/>
          <w:sz w:val="24"/>
          <w:szCs w:val="24"/>
        </w:rPr>
        <w:t xml:space="preserve">Economic Factors </w:t>
      </w:r>
    </w:p>
    <w:p>
      <w:pPr>
        <w:spacing w:line="600" w:lineRule="auto"/>
        <w:ind w:firstLine="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The economic climate significantly influences the demand for air travel. Variables like GDP growth, inflation rates, currency rates, and disposable income levels influence customer purchasing power and travel preferences. The economic recovery following the epidemic and modifications in consumer purchasing habits will influence Delta's clientele and the need for air travel (Ortega et al., 2019). The profitability and operational effectiveness of the airline sector are also significantly impacted by fuel costs and labor expenditures.</w:t>
      </w:r>
    </w:p>
    <w:p>
      <w:pPr>
        <w:spacing w:line="600" w:lineRule="auto"/>
        <w:ind w:firstLine="0"/>
        <w:rPr>
          <w:rFonts w:hint="default" w:ascii="Times New Roman Regular" w:hAnsi="Times New Roman Regular" w:cs="Times New Roman Regular"/>
          <w:b/>
          <w:sz w:val="24"/>
          <w:szCs w:val="24"/>
        </w:rPr>
      </w:pPr>
      <w:r>
        <w:rPr>
          <w:rFonts w:hint="default" w:ascii="Times New Roman Regular" w:hAnsi="Times New Roman Regular" w:cs="Times New Roman Regular"/>
          <w:b/>
          <w:sz w:val="24"/>
          <w:szCs w:val="24"/>
        </w:rPr>
        <w:t xml:space="preserve">Social-Cultural Factors </w:t>
      </w:r>
    </w:p>
    <w:p>
      <w:pPr>
        <w:spacing w:line="600" w:lineRule="auto"/>
        <w:ind w:firstLine="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Social attitudes, demographics, and cultural preferences are all socio-cultural influences. Consumer expectations and preferences always change, calling for individualized and practical travel experiences. Customer service techniques at Delta Air Lines are influenced by things like evolving travel habits, environmental awareness, and cultural diversity. Customer happiness and loyalty can be increased by being sensitive to cultural quirks and meeting the different needs of travelers.</w:t>
      </w:r>
    </w:p>
    <w:p>
      <w:pPr>
        <w:spacing w:line="600" w:lineRule="auto"/>
        <w:ind w:firstLine="0"/>
        <w:rPr>
          <w:rFonts w:hint="default" w:ascii="Times New Roman Regular" w:hAnsi="Times New Roman Regular" w:cs="Times New Roman Regular"/>
          <w:b/>
          <w:sz w:val="24"/>
          <w:szCs w:val="24"/>
        </w:rPr>
      </w:pPr>
      <w:r>
        <w:rPr>
          <w:rFonts w:hint="default" w:ascii="Times New Roman Regular" w:hAnsi="Times New Roman Regular" w:cs="Times New Roman Regular"/>
          <w:b/>
          <w:sz w:val="24"/>
          <w:szCs w:val="24"/>
        </w:rPr>
        <w:t xml:space="preserve">Technological Factors </w:t>
      </w:r>
    </w:p>
    <w:p>
      <w:pPr>
        <w:spacing w:line="600" w:lineRule="auto"/>
        <w:ind w:firstLine="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Technological breakthroughs have significantly impacted the aviation sector. To improve customer service and operational effectiveness, Delta must make use of developing technologies. The use of digital platforms, artificial intelligence, data analytics, and automation in industries like ticketing, baggage handling, and personalized services are important technological elements. The client experience can be improved, and internal procedures can be strengthened, by incorporating cutting-edge technologies into Delta's operations.</w:t>
      </w:r>
    </w:p>
    <w:p>
      <w:pPr>
        <w:spacing w:line="600" w:lineRule="auto"/>
        <w:ind w:firstLine="0"/>
        <w:rPr>
          <w:rFonts w:hint="default" w:ascii="Times New Roman Regular" w:hAnsi="Times New Roman Regular" w:cs="Times New Roman Regular"/>
          <w:sz w:val="24"/>
          <w:szCs w:val="24"/>
        </w:rPr>
      </w:pPr>
    </w:p>
    <w:p>
      <w:pPr>
        <w:spacing w:line="600" w:lineRule="auto"/>
        <w:ind w:firstLine="0"/>
        <w:rPr>
          <w:rFonts w:hint="default" w:ascii="Times New Roman Regular" w:hAnsi="Times New Roman Regular" w:cs="Times New Roman Regular"/>
          <w:sz w:val="24"/>
          <w:szCs w:val="24"/>
        </w:rPr>
      </w:pPr>
    </w:p>
    <w:p>
      <w:pPr>
        <w:spacing w:line="600" w:lineRule="auto"/>
        <w:ind w:firstLine="0"/>
        <w:rPr>
          <w:rFonts w:hint="default" w:ascii="Times New Roman Regular" w:hAnsi="Times New Roman Regular" w:cs="Times New Roman Regular"/>
          <w:b/>
          <w:sz w:val="24"/>
          <w:szCs w:val="24"/>
        </w:rPr>
      </w:pPr>
      <w:r>
        <w:rPr>
          <w:rFonts w:hint="default" w:ascii="Times New Roman Regular" w:hAnsi="Times New Roman Regular" w:cs="Times New Roman Regular"/>
          <w:b/>
          <w:sz w:val="24"/>
          <w:szCs w:val="24"/>
        </w:rPr>
        <w:t xml:space="preserve">Legal Factors </w:t>
      </w:r>
    </w:p>
    <w:p>
      <w:pPr>
        <w:spacing w:line="600" w:lineRule="auto"/>
        <w:ind w:firstLine="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The legal framework that oversees the aviation business comprises several laws and guidelines, such as safety standards, labor rules, and environmental legislation. Compliance with these laws is essential to guarantee operational integrity and uphold the airline's reputation. Moreover, while implementing individualized customer service initiatives, regulatory considerations, including data protection and privacy laws, must be complied with.</w:t>
      </w:r>
    </w:p>
    <w:p>
      <w:pPr>
        <w:spacing w:line="600" w:lineRule="auto"/>
        <w:ind w:firstLine="0"/>
        <w:rPr>
          <w:rFonts w:hint="default" w:ascii="Times New Roman Regular" w:hAnsi="Times New Roman Regular" w:cs="Times New Roman Regular"/>
          <w:b/>
          <w:sz w:val="24"/>
          <w:szCs w:val="24"/>
        </w:rPr>
      </w:pPr>
      <w:r>
        <w:rPr>
          <w:rFonts w:hint="default" w:ascii="Times New Roman Regular" w:hAnsi="Times New Roman Regular" w:cs="Times New Roman Regular"/>
          <w:b/>
          <w:sz w:val="24"/>
          <w:szCs w:val="24"/>
        </w:rPr>
        <w:t xml:space="preserve">Environmental Factors </w:t>
      </w:r>
    </w:p>
    <w:p>
      <w:pPr>
        <w:spacing w:line="600" w:lineRule="auto"/>
        <w:ind w:firstLine="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In the aviation sector, environmental sustainability has gained importance. Environmental factors include regulations related to climate change, carbon emissions, and the creation of sustainable fuel alternatives. In order to lessen its carbon footprint, Delta Air Lines must prioritize environmental responsibility by purchasing fuel-efficient aircraft, adopting sustainable business practices, and implementing eco-friendly initiatives.</w:t>
      </w:r>
    </w:p>
    <w:p>
      <w:pPr>
        <w:pStyle w:val="3"/>
        <w:spacing w:line="600" w:lineRule="auto"/>
        <w:rPr>
          <w:rFonts w:hint="default" w:ascii="Times New Roman Regular" w:hAnsi="Times New Roman Regular" w:cs="Times New Roman Regular"/>
          <w:sz w:val="24"/>
          <w:szCs w:val="24"/>
        </w:rPr>
      </w:pPr>
      <w:bookmarkStart w:id="6" w:name="_Toc139699200"/>
    </w:p>
    <w:p>
      <w:pPr>
        <w:pStyle w:val="3"/>
        <w:spacing w:line="60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2.2 Porter's Five Forces Analysis</w:t>
      </w:r>
      <w:bookmarkEnd w:id="6"/>
    </w:p>
    <w:p>
      <w:pPr>
        <w:spacing w:line="600" w:lineRule="auto"/>
        <w:ind w:firstLine="0"/>
        <w:rPr>
          <w:rFonts w:hint="default" w:ascii="Times New Roman Regular" w:hAnsi="Times New Roman Regular" w:cs="Times New Roman Regular"/>
          <w:b/>
          <w:sz w:val="24"/>
          <w:szCs w:val="24"/>
        </w:rPr>
      </w:pPr>
      <w:r>
        <w:rPr>
          <w:rFonts w:hint="default" w:ascii="Times New Roman Regular" w:hAnsi="Times New Roman Regular" w:cs="Times New Roman Regular"/>
          <w:b/>
          <w:sz w:val="24"/>
          <w:szCs w:val="24"/>
        </w:rPr>
        <w:t xml:space="preserve">Threat of New Entrants </w:t>
      </w:r>
    </w:p>
    <w:p>
      <w:pPr>
        <w:spacing w:line="600" w:lineRule="auto"/>
        <w:ind w:firstLine="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Significant entry barriers exist in the aviation business, including high capital needs, bureaucratic obstacles, and well-established brand reputations. It is important for Delta to devise strategies to differentiate its product to minimize the impact of new entrants. Notably, the new entrants will likely introduce low-cost products, which could threaten Delta (Baugh et al., 2022). To combat this impact, the company must ensure quality services and excellent customer service to attract customers.</w:t>
      </w:r>
    </w:p>
    <w:p>
      <w:pPr>
        <w:spacing w:line="600" w:lineRule="auto"/>
        <w:ind w:firstLine="0"/>
        <w:rPr>
          <w:rFonts w:hint="default" w:ascii="Times New Roman Regular" w:hAnsi="Times New Roman Regular" w:cs="Times New Roman Regular"/>
          <w:b/>
          <w:sz w:val="24"/>
          <w:szCs w:val="24"/>
        </w:rPr>
      </w:pPr>
      <w:r>
        <w:rPr>
          <w:rFonts w:hint="default" w:ascii="Times New Roman Regular" w:hAnsi="Times New Roman Regular" w:cs="Times New Roman Regular"/>
          <w:b/>
          <w:sz w:val="24"/>
          <w:szCs w:val="24"/>
        </w:rPr>
        <w:t>Bargaining Power of Buyers</w:t>
      </w:r>
    </w:p>
    <w:p>
      <w:pPr>
        <w:spacing w:line="600" w:lineRule="auto"/>
        <w:ind w:firstLine="240" w:firstLineChars="10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Due to the availability of numerous airlines and online travel agencies, consumers have limited bargaining power. However, Delta Air Lines can retain consumers and lower their negotiating power with the support of customer loyalty programs, individualized services, and a strong brand reputation (Isabelle et al., 2020). The relationship between the airline and its customers can be further strengthened by improving customer service activities, improving loyalty and decreasing price sensitivity.</w:t>
      </w:r>
    </w:p>
    <w:p>
      <w:pPr>
        <w:spacing w:line="600" w:lineRule="auto"/>
        <w:ind w:firstLine="0"/>
        <w:rPr>
          <w:rFonts w:hint="default" w:ascii="Times New Roman Regular" w:hAnsi="Times New Roman Regular" w:cs="Times New Roman Regular"/>
          <w:b/>
          <w:sz w:val="24"/>
          <w:szCs w:val="24"/>
        </w:rPr>
      </w:pPr>
      <w:r>
        <w:rPr>
          <w:rFonts w:hint="default" w:ascii="Times New Roman Regular" w:hAnsi="Times New Roman Regular" w:cs="Times New Roman Regular"/>
          <w:b/>
          <w:sz w:val="24"/>
          <w:szCs w:val="24"/>
        </w:rPr>
        <w:t xml:space="preserve">Bargaining Power of Suppliers </w:t>
      </w:r>
    </w:p>
    <w:p>
      <w:pPr>
        <w:spacing w:line="600" w:lineRule="auto"/>
        <w:ind w:firstLine="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Manufacturers of aircraft, fuel suppliers, and labor unions are examples of suppliers in the aviation sector. The bargaining strength of its suppliers can significantly impact an airline's operations and profitability. Long-standing connections Delta Air Lines has with fuel suppliers and aircraft manufacturers may provide it with some negotiating power. However, in order to minimize any potential disruptions or cost increases, the airline must closely watch changes in fuel prices and labor union dynamics.</w:t>
      </w:r>
    </w:p>
    <w:p>
      <w:pPr>
        <w:spacing w:line="600" w:lineRule="auto"/>
        <w:ind w:firstLine="0"/>
        <w:rPr>
          <w:rFonts w:hint="default" w:ascii="Times New Roman Regular" w:hAnsi="Times New Roman Regular" w:cs="Times New Roman Regular"/>
          <w:b/>
          <w:sz w:val="24"/>
          <w:szCs w:val="24"/>
        </w:rPr>
      </w:pPr>
      <w:r>
        <w:rPr>
          <w:rFonts w:hint="default" w:ascii="Times New Roman Regular" w:hAnsi="Times New Roman Regular" w:cs="Times New Roman Regular"/>
          <w:b/>
          <w:sz w:val="24"/>
          <w:szCs w:val="24"/>
        </w:rPr>
        <w:t xml:space="preserve">Threat of Substitute </w:t>
      </w:r>
    </w:p>
    <w:p>
      <w:pPr>
        <w:spacing w:line="600" w:lineRule="auto"/>
        <w:ind w:firstLine="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Alternative goods and services could be dangerous for the airline sector. Short-haul flight demand may be reduced, for instance, by improvements in high-speed rail or technical breakthroughs permitting virtual meetings. In order to counteract this danger, Delta Air Lines can concentrate on providing distinctive customer experiences while utilizing its network and global presence to give value that alternatives find difficult to match.</w:t>
      </w:r>
    </w:p>
    <w:p>
      <w:pPr>
        <w:spacing w:line="600" w:lineRule="auto"/>
        <w:ind w:firstLine="0"/>
        <w:rPr>
          <w:rFonts w:hint="default" w:ascii="Times New Roman Regular" w:hAnsi="Times New Roman Regular" w:cs="Times New Roman Regular"/>
          <w:b/>
          <w:sz w:val="24"/>
          <w:szCs w:val="24"/>
        </w:rPr>
      </w:pPr>
      <w:r>
        <w:rPr>
          <w:rFonts w:hint="default" w:ascii="Times New Roman Regular" w:hAnsi="Times New Roman Regular" w:cs="Times New Roman Regular"/>
          <w:b/>
          <w:sz w:val="24"/>
          <w:szCs w:val="24"/>
        </w:rPr>
        <w:t xml:space="preserve">Competitive Rivalry </w:t>
      </w:r>
    </w:p>
    <w:p>
      <w:pPr>
        <w:spacing w:line="600" w:lineRule="auto"/>
        <w:ind w:firstLine="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The airline sector is extremely competitive with multiple national, international, and regional businesses striving for market share. The fierce competition frequently causes pricing wars and cost pressures. Delta Air Lines may use cutting-edge customer service, technology to improve the travel experience, and client loyalty to set itself apart from the competition. Strategic partnerships and alliances can also assist the airline to improve its position in the market and broaden its network.</w:t>
      </w:r>
    </w:p>
    <w:p>
      <w:pPr>
        <w:pStyle w:val="3"/>
        <w:spacing w:line="600" w:lineRule="auto"/>
        <w:rPr>
          <w:rFonts w:hint="default" w:ascii="Times New Roman Regular" w:hAnsi="Times New Roman Regular" w:cs="Times New Roman Regular"/>
          <w:sz w:val="24"/>
          <w:szCs w:val="24"/>
        </w:rPr>
      </w:pPr>
      <w:bookmarkStart w:id="7" w:name="_Toc139699201"/>
    </w:p>
    <w:p>
      <w:pPr>
        <w:pStyle w:val="3"/>
        <w:spacing w:line="60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2.3 Industry Trends and Competitive Landscape</w:t>
      </w:r>
      <w:bookmarkEnd w:id="7"/>
    </w:p>
    <w:p>
      <w:pPr>
        <w:spacing w:line="60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For Delta Air Lines to stay ahead of the curve and make wise strategic decisions, it is essential to understand industry trends and the competitive landscape. One of the trends in the industry is digital transformation. The epidemic has sped up the airline industry's digital transformation. Technology is critical in improving the passenger experience, from touchless check-in and self-service kiosks to smartphone boarding passes and contactless purchases (Schumacher, 2022). Delta Air Lines should embrace digital advances to increase client relations, streamline operations, and provide individualized services. Another trend is sustainability and environmental responsibility. In the aviation sector, environmental sustainability has become more important. The use of sustainable aviation fuels, more fuel-efficient aircraft, and carbon emission reduction are all becoming increasingly important to airlines.</w:t>
      </w:r>
    </w:p>
    <w:p>
      <w:pPr>
        <w:spacing w:line="600" w:lineRule="auto"/>
        <w:ind w:firstLine="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 xml:space="preserve">On the competitive landscape, a major issue is the presence of low-cost carriers. Low-cost carriers like Southwest Airlines and JetBlue Airways threaten Delta Air Lines. These airlines prioritize financial efficiency and provide affordable fares. Delta Air Lines should highlight its distinctive value proposition, including excellent customer service, premium services, and a strong global network, to compete with this industry. Also, there are new entrants and disruptive players. There are occasionally disruptive business models or new players entering the aviation industry. Low-cost long-distance carriers or creative start-ups that use technology to provide distinctive client experiences can be examples of these (Marterre et al., 2022). </w:t>
      </w:r>
      <w:bookmarkStart w:id="8" w:name="_Toc139699202"/>
    </w:p>
    <w:p>
      <w:pPr>
        <w:spacing w:line="600" w:lineRule="auto"/>
        <w:ind w:firstLine="0"/>
        <w:rPr>
          <w:rFonts w:hint="default" w:ascii="Times New Roman Regular" w:hAnsi="Times New Roman Regular" w:cs="Times New Roman Regular"/>
          <w:sz w:val="24"/>
          <w:szCs w:val="24"/>
        </w:rPr>
      </w:pPr>
    </w:p>
    <w:p>
      <w:pPr>
        <w:spacing w:line="600" w:lineRule="auto"/>
        <w:ind w:firstLine="0"/>
        <w:rPr>
          <w:rFonts w:hint="default" w:ascii="Times New Roman Bold" w:hAnsi="Times New Roman Bold" w:cs="Times New Roman Bold"/>
          <w:b/>
          <w:bCs/>
          <w:sz w:val="24"/>
          <w:szCs w:val="24"/>
        </w:rPr>
      </w:pPr>
      <w:r>
        <w:rPr>
          <w:rFonts w:hint="default" w:ascii="Times New Roman Bold" w:hAnsi="Times New Roman Bold" w:cs="Times New Roman Bold"/>
          <w:b/>
          <w:bCs/>
          <w:sz w:val="24"/>
          <w:szCs w:val="24"/>
        </w:rPr>
        <w:t>3.0 Internal Analysis</w:t>
      </w:r>
      <w:bookmarkEnd w:id="8"/>
    </w:p>
    <w:p>
      <w:pPr>
        <w:pStyle w:val="3"/>
        <w:spacing w:line="600" w:lineRule="auto"/>
        <w:rPr>
          <w:rFonts w:hint="default" w:ascii="Times New Roman Regular" w:hAnsi="Times New Roman Regular" w:cs="Times New Roman Regular"/>
          <w:sz w:val="24"/>
          <w:szCs w:val="24"/>
        </w:rPr>
      </w:pPr>
      <w:bookmarkStart w:id="9" w:name="_Toc139699203"/>
      <w:r>
        <w:rPr>
          <w:rFonts w:hint="default" w:ascii="Times New Roman Regular" w:hAnsi="Times New Roman Regular" w:cs="Times New Roman Regular"/>
          <w:sz w:val="24"/>
          <w:szCs w:val="24"/>
        </w:rPr>
        <w:t>3.1 SWOT Analysis</w:t>
      </w:r>
      <w:bookmarkEnd w:id="9"/>
    </w:p>
    <w:p>
      <w:pPr>
        <w:spacing w:line="600" w:lineRule="auto"/>
        <w:ind w:firstLine="0"/>
        <w:rPr>
          <w:rFonts w:hint="default" w:ascii="Times New Roman Regular" w:hAnsi="Times New Roman Regular" w:cs="Times New Roman Regular"/>
          <w:b/>
          <w:sz w:val="24"/>
          <w:szCs w:val="24"/>
        </w:rPr>
      </w:pPr>
      <w:r>
        <w:rPr>
          <w:rFonts w:hint="default" w:ascii="Times New Roman Regular" w:hAnsi="Times New Roman Regular" w:cs="Times New Roman Regular"/>
          <w:b/>
          <w:sz w:val="24"/>
          <w:szCs w:val="24"/>
        </w:rPr>
        <w:t xml:space="preserve">Strengths </w:t>
      </w:r>
    </w:p>
    <w:p>
      <w:pPr>
        <w:spacing w:line="600" w:lineRule="auto"/>
        <w:ind w:firstLine="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One of the strengths for Delta Air Lines is that it has a strong brand reputation. This appealing company image encourages patron loyalty and draws in new customers. Additionally, it runs a vast network that connects worldwide metropolises (Abdeldayem &amp; Aldulaimi, 2020). This extensive coverage gives them a competitive edge by giving passengers practical travel options and making business collaborations easier. Thirdly, Delta Air Lines prioritizes operational efficiency, which leads to punctual departures, minimal delays, and efficient baggage handling. The increased customer satisfaction and cost savings from this operational excellence (Berstad et al., 2022). Lastly the business has established long-lasting relationships with clients by providing customized services and successful loyalty initiatives. These initiatives promote client retention, repeat business, and higher earnings.</w:t>
      </w:r>
    </w:p>
    <w:p>
      <w:pPr>
        <w:spacing w:line="600" w:lineRule="auto"/>
        <w:ind w:firstLine="0"/>
        <w:rPr>
          <w:rFonts w:hint="default" w:ascii="Times New Roman Regular" w:hAnsi="Times New Roman Regular" w:cs="Times New Roman Regular"/>
          <w:b/>
          <w:sz w:val="24"/>
          <w:szCs w:val="24"/>
        </w:rPr>
      </w:pPr>
      <w:r>
        <w:rPr>
          <w:rFonts w:hint="default" w:ascii="Times New Roman Regular" w:hAnsi="Times New Roman Regular" w:cs="Times New Roman Regular"/>
          <w:b/>
          <w:sz w:val="24"/>
          <w:szCs w:val="24"/>
        </w:rPr>
        <w:t>Weaknesses</w:t>
      </w:r>
    </w:p>
    <w:p>
      <w:pPr>
        <w:spacing w:line="600" w:lineRule="auto"/>
        <w:ind w:firstLine="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As a commercial airline, Delta Air Lines is heavily reliant on volatile fuel prices. Fuel price fluctuations can have an effect on revenue and financial performance (El Khatib et al., 2020). Additionally, low-cost carriers are more affordable than traditional carriers like Delta Air Lines. Particularly on short-haul routes, this cost disparity may affect pricing competitiveness.</w:t>
      </w:r>
    </w:p>
    <w:p>
      <w:pPr>
        <w:spacing w:line="600" w:lineRule="auto"/>
        <w:ind w:firstLine="0"/>
        <w:rPr>
          <w:rFonts w:hint="default" w:ascii="Times New Roman Regular" w:hAnsi="Times New Roman Regular" w:cs="Times New Roman Regular"/>
          <w:b/>
          <w:sz w:val="24"/>
          <w:szCs w:val="24"/>
        </w:rPr>
      </w:pPr>
      <w:r>
        <w:rPr>
          <w:rFonts w:hint="default" w:ascii="Times New Roman Regular" w:hAnsi="Times New Roman Regular" w:cs="Times New Roman Regular"/>
          <w:b/>
          <w:sz w:val="24"/>
          <w:szCs w:val="24"/>
        </w:rPr>
        <w:t xml:space="preserve">Opportunities </w:t>
      </w:r>
    </w:p>
    <w:p>
      <w:pPr>
        <w:spacing w:line="600" w:lineRule="auto"/>
        <w:ind w:firstLine="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The demand among travelers for tailored travel experiences is rising. By providing specialized services, innovative customer care programs, and personalized offers, Delta Air Lines may profit from this trend (Ali et al., 2022). Additionally, technological developments offer Delta Air Lines the chance to increase customer service, operational effectiveness, and data analytics. Using cutting-edge technology can provide you a competitive advantage and increase client satisfaction.</w:t>
      </w:r>
    </w:p>
    <w:p>
      <w:pPr>
        <w:spacing w:line="600" w:lineRule="auto"/>
        <w:ind w:firstLine="0"/>
        <w:rPr>
          <w:rFonts w:hint="default" w:ascii="Times New Roman Regular" w:hAnsi="Times New Roman Regular" w:cs="Times New Roman Regular"/>
          <w:b/>
          <w:sz w:val="24"/>
          <w:szCs w:val="24"/>
        </w:rPr>
      </w:pPr>
      <w:r>
        <w:rPr>
          <w:rFonts w:hint="default" w:ascii="Times New Roman Regular" w:hAnsi="Times New Roman Regular" w:cs="Times New Roman Regular"/>
          <w:b/>
          <w:sz w:val="24"/>
          <w:szCs w:val="24"/>
        </w:rPr>
        <w:t xml:space="preserve">Threats </w:t>
      </w:r>
    </w:p>
    <w:p>
      <w:pPr>
        <w:spacing w:line="600" w:lineRule="auto"/>
        <w:ind w:firstLine="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Legacy carriers, low-cost carriers, and foreign rivals are striving for market share in the fiercely competitive aviation business. Pricing, market share, and profitability can all be impacted by fierce rivalry. Another threat is economic uncertainty. Reductions in travel demand brought on by economic upheaval and recessions may have an effect on the income and profitability of the airline sector (Satterthwaite et al., 2020). Recessions and other global upheavals pose a danger to Delta Air Lines' ability to generate revenue.</w:t>
      </w:r>
    </w:p>
    <w:p>
      <w:pPr>
        <w:pStyle w:val="3"/>
        <w:spacing w:line="600" w:lineRule="auto"/>
        <w:rPr>
          <w:rFonts w:hint="default" w:ascii="Times New Roman Regular" w:hAnsi="Times New Roman Regular" w:cs="Times New Roman Regular"/>
          <w:sz w:val="24"/>
          <w:szCs w:val="24"/>
        </w:rPr>
      </w:pPr>
      <w:bookmarkStart w:id="10" w:name="_Toc139699204"/>
    </w:p>
    <w:p>
      <w:pPr>
        <w:pStyle w:val="3"/>
        <w:spacing w:line="60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3.2 Value Chain Analysis</w:t>
      </w:r>
      <w:bookmarkEnd w:id="10"/>
    </w:p>
    <w:p>
      <w:pPr>
        <w:spacing w:line="60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A “value chain analysis” framework is used to examine a company's core and auxiliary functions that jointly add value for clients and strengthen the organization's competitive advantage (Messier et al., 2019). The Value Chain Analysis can help Delta Air Lines find areas where it can save costs, streamline processes, and differentiate its operations.</w:t>
      </w:r>
    </w:p>
    <w:p>
      <w:pPr>
        <w:spacing w:line="600" w:lineRule="auto"/>
        <w:ind w:firstLine="0"/>
        <w:rPr>
          <w:rFonts w:hint="default" w:ascii="Times New Roman Regular" w:hAnsi="Times New Roman Regular" w:cs="Times New Roman Regular"/>
          <w:b/>
          <w:sz w:val="24"/>
          <w:szCs w:val="24"/>
        </w:rPr>
      </w:pPr>
      <w:r>
        <w:rPr>
          <w:rFonts w:hint="default" w:ascii="Times New Roman Regular" w:hAnsi="Times New Roman Regular" w:cs="Times New Roman Regular"/>
          <w:b/>
          <w:sz w:val="24"/>
          <w:szCs w:val="24"/>
        </w:rPr>
        <w:t xml:space="preserve">Inbound Logistics </w:t>
      </w:r>
    </w:p>
    <w:p>
      <w:pPr>
        <w:spacing w:line="60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Inbound logistics activities include receiving, storing, and distributing inputs like aviation fuel, spare parts, and in-flight amenities. Delta Air Lines may enhance its incoming logistics by building trusting relationships with suppliers, putting in place effective inventory management systems, and negotiating advantageous procurement terms (Fröhlich et al., 2022). Inbound logistics can be made more efficient to cut costs and guarantee the timely delivery of vital resources.</w:t>
      </w:r>
    </w:p>
    <w:p>
      <w:pPr>
        <w:spacing w:line="600" w:lineRule="auto"/>
        <w:ind w:left="0" w:leftChars="0" w:firstLine="0" w:firstLineChars="0"/>
        <w:rPr>
          <w:rFonts w:hint="default" w:ascii="Times New Roman Regular" w:hAnsi="Times New Roman Regular" w:cs="Times New Roman Regular"/>
          <w:b/>
          <w:sz w:val="24"/>
          <w:szCs w:val="24"/>
        </w:rPr>
      </w:pPr>
      <w:r>
        <w:rPr>
          <w:rFonts w:hint="default" w:ascii="Times New Roman Regular" w:hAnsi="Times New Roman Regular" w:cs="Times New Roman Regular"/>
          <w:b/>
          <w:sz w:val="24"/>
          <w:szCs w:val="24"/>
        </w:rPr>
        <w:t xml:space="preserve">Operations </w:t>
      </w:r>
    </w:p>
    <w:p>
      <w:pPr>
        <w:spacing w:line="600" w:lineRule="auto"/>
        <w:ind w:firstLine="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Operations cover a wide range of tasks, such as flight operations, passenger management, and aircraft maintenance. Through the use of cutting-edge technologies, automation, and efficient resource management, Delta Air Lines can concentrate on enhancing operational efficiency (Viñals et al., 2023). The airline can offer its passengers a smooth and dependable travel experience by regularly assessing and improving operational operations.</w:t>
      </w:r>
    </w:p>
    <w:p>
      <w:pPr>
        <w:spacing w:line="600" w:lineRule="auto"/>
        <w:ind w:firstLine="0"/>
        <w:rPr>
          <w:rFonts w:hint="default" w:ascii="Times New Roman Regular" w:hAnsi="Times New Roman Regular" w:cs="Times New Roman Regular"/>
          <w:b/>
          <w:sz w:val="24"/>
          <w:szCs w:val="24"/>
        </w:rPr>
      </w:pPr>
      <w:r>
        <w:rPr>
          <w:rFonts w:hint="default" w:ascii="Times New Roman Regular" w:hAnsi="Times New Roman Regular" w:cs="Times New Roman Regular"/>
          <w:b/>
          <w:sz w:val="24"/>
          <w:szCs w:val="24"/>
        </w:rPr>
        <w:t xml:space="preserve">Outbound Logistics </w:t>
      </w:r>
    </w:p>
    <w:p>
      <w:pPr>
        <w:spacing w:line="600" w:lineRule="auto"/>
        <w:ind w:firstLine="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Baggage handling, ground transportation, and ticketing services are examples of activities that fall under the category of outbound logistics. Delta Air Lines can enhance outbound operations by introducing effective baggage tracking technologies, expanding customer contact channels, and ensuring seamless connections between aircraft (Kim &amp; Kim, 2022). This may increase client loyalty and satisfaction.</w:t>
      </w:r>
    </w:p>
    <w:p>
      <w:pPr>
        <w:spacing w:line="600" w:lineRule="auto"/>
        <w:ind w:firstLine="0"/>
        <w:rPr>
          <w:rFonts w:hint="default" w:ascii="Times New Roman Regular" w:hAnsi="Times New Roman Regular" w:cs="Times New Roman Regular"/>
          <w:b/>
          <w:sz w:val="24"/>
          <w:szCs w:val="24"/>
        </w:rPr>
      </w:pPr>
      <w:r>
        <w:rPr>
          <w:rFonts w:hint="default" w:ascii="Times New Roman Regular" w:hAnsi="Times New Roman Regular" w:cs="Times New Roman Regular"/>
          <w:b/>
          <w:sz w:val="24"/>
          <w:szCs w:val="24"/>
        </w:rPr>
        <w:t xml:space="preserve">Marketing and Sales </w:t>
      </w:r>
    </w:p>
    <w:p>
      <w:pPr>
        <w:spacing w:line="600" w:lineRule="auto"/>
        <w:ind w:firstLine="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Activities in marketing and sales include methods for luring in, keeping, and involving customers. Delta Air Lines may target particular client categories, personalize marketing campaigns, and offer tailored promotions by utilizing data analytics and customer insights (Roggeveen &amp; Roggeveen, 2022). Utilizing social media platforms and digital marketing channels can also increase customer involvement and brand awareness.</w:t>
      </w:r>
    </w:p>
    <w:p>
      <w:pPr>
        <w:spacing w:line="600" w:lineRule="auto"/>
        <w:ind w:firstLine="0"/>
        <w:rPr>
          <w:rFonts w:hint="default" w:ascii="Times New Roman Regular" w:hAnsi="Times New Roman Regular" w:cs="Times New Roman Regular"/>
          <w:b/>
          <w:sz w:val="24"/>
          <w:szCs w:val="24"/>
        </w:rPr>
      </w:pPr>
      <w:r>
        <w:rPr>
          <w:rFonts w:hint="default" w:ascii="Times New Roman Regular" w:hAnsi="Times New Roman Regular" w:cs="Times New Roman Regular"/>
          <w:b/>
          <w:sz w:val="24"/>
          <w:szCs w:val="24"/>
        </w:rPr>
        <w:t>Customer Service</w:t>
      </w:r>
    </w:p>
    <w:p>
      <w:pPr>
        <w:spacing w:line="600" w:lineRule="auto"/>
        <w:ind w:firstLine="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Assistance and support for travelers are provided as part of customer service activities. By investing in well-trained and sympathetic customer care people, implementing self-service options, and providing individualized support during disruptions, Delta Air Lines can emphasize customer pleasure (Vuong &amp; Hieu, 2023). The total travel experience can be improved with good customer service, which can also increase repeat business.</w:t>
      </w:r>
    </w:p>
    <w:p>
      <w:pPr>
        <w:spacing w:line="600" w:lineRule="auto"/>
        <w:ind w:firstLine="0"/>
        <w:rPr>
          <w:rFonts w:hint="default" w:ascii="Times New Roman Regular" w:hAnsi="Times New Roman Regular" w:cs="Times New Roman Regular"/>
          <w:b/>
          <w:sz w:val="24"/>
          <w:szCs w:val="24"/>
        </w:rPr>
      </w:pPr>
      <w:r>
        <w:rPr>
          <w:rFonts w:hint="default" w:ascii="Times New Roman Regular" w:hAnsi="Times New Roman Regular" w:cs="Times New Roman Regular"/>
          <w:b/>
          <w:sz w:val="24"/>
          <w:szCs w:val="24"/>
        </w:rPr>
        <w:t xml:space="preserve">Procurement </w:t>
      </w:r>
    </w:p>
    <w:p>
      <w:pPr>
        <w:spacing w:line="600" w:lineRule="auto"/>
        <w:ind w:firstLine="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Activities related to procurement include finding and acquiring the supplies and services required for airline operations. Delta Air Lines can concentrate on strategic procurement techniques such supplier selection, contract management, and negotiation (Weng et al., 2023). The airline is able to save costs and guarantee the availability of top-notch resources by making the most of its purchasing power and establishing solid connections with its suppliers.</w:t>
      </w:r>
      <w:bookmarkStart w:id="11" w:name="_Toc139699205"/>
    </w:p>
    <w:p>
      <w:pPr>
        <w:spacing w:line="600" w:lineRule="auto"/>
        <w:ind w:firstLine="0"/>
        <w:rPr>
          <w:rFonts w:hint="default" w:ascii="Times New Roman Bold" w:hAnsi="Times New Roman Bold" w:cs="Times New Roman Bold"/>
          <w:b/>
          <w:bCs/>
          <w:sz w:val="24"/>
          <w:szCs w:val="24"/>
        </w:rPr>
      </w:pPr>
    </w:p>
    <w:p>
      <w:pPr>
        <w:spacing w:line="600" w:lineRule="auto"/>
        <w:ind w:firstLine="0"/>
        <w:rPr>
          <w:rFonts w:hint="default" w:ascii="Times New Roman Bold" w:hAnsi="Times New Roman Bold" w:cs="Times New Roman Bold"/>
          <w:b/>
          <w:bCs/>
          <w:sz w:val="24"/>
          <w:szCs w:val="24"/>
        </w:rPr>
      </w:pPr>
      <w:r>
        <w:rPr>
          <w:rFonts w:hint="default" w:ascii="Times New Roman Bold" w:hAnsi="Times New Roman Bold" w:cs="Times New Roman Bold"/>
          <w:b/>
          <w:bCs/>
          <w:sz w:val="24"/>
          <w:szCs w:val="24"/>
        </w:rPr>
        <w:t>4.0 Strategic Options for Personalized Customer Care</w:t>
      </w:r>
      <w:bookmarkEnd w:id="11"/>
    </w:p>
    <w:p>
      <w:pPr>
        <w:pStyle w:val="3"/>
        <w:spacing w:line="600" w:lineRule="auto"/>
        <w:rPr>
          <w:rFonts w:hint="default" w:ascii="Times New Roman Regular" w:hAnsi="Times New Roman Regular" w:cs="Times New Roman Regular"/>
          <w:sz w:val="24"/>
          <w:szCs w:val="24"/>
        </w:rPr>
      </w:pPr>
      <w:bookmarkStart w:id="12" w:name="_Toc139699206"/>
      <w:r>
        <w:rPr>
          <w:rFonts w:hint="default" w:ascii="Times New Roman Regular" w:hAnsi="Times New Roman Regular" w:cs="Times New Roman Regular"/>
          <w:sz w:val="24"/>
          <w:szCs w:val="24"/>
        </w:rPr>
        <w:t>4.1 Leveraging Digital Technologies</w:t>
      </w:r>
      <w:bookmarkEnd w:id="12"/>
    </w:p>
    <w:p>
      <w:pPr>
        <w:spacing w:line="600" w:lineRule="auto"/>
        <w:ind w:firstLine="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Digital technologies have the capacity to alter operations, improve customer experiences, and provide airlines like Delta Air Lines a competitive edge. The airline can streamline operations, boost productivity, and offer customized services to its customers by embracing digital innovation. The world of consumer interactions and experiences is one important area where digital technology may make a huge difference (Andrews et al., 2022). Digital technologies can also help with cost optimization and operational efficiency. Operational processes may be streamlined, errors can be decreased, and productivity can be increased by integrating automation and robotics into baggage handling, aircraft maintenance, and other operational processes. Delta Air Lines can track and monitor assets using Internet of Things (IoT) technologies, enabling preventive maintenance, and enhancing operational dependability.</w:t>
      </w:r>
    </w:p>
    <w:p>
      <w:pPr>
        <w:pStyle w:val="3"/>
        <w:spacing w:line="600" w:lineRule="auto"/>
        <w:rPr>
          <w:rFonts w:hint="default" w:ascii="Times New Roman Regular" w:hAnsi="Times New Roman Regular" w:cs="Times New Roman Regular"/>
          <w:sz w:val="24"/>
          <w:szCs w:val="24"/>
        </w:rPr>
      </w:pPr>
      <w:bookmarkStart w:id="13" w:name="_Toc139699207"/>
    </w:p>
    <w:p>
      <w:pPr>
        <w:pStyle w:val="3"/>
        <w:spacing w:line="60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4.2 Enhancing Customer Experience throughout the Journey</w:t>
      </w:r>
      <w:bookmarkEnd w:id="13"/>
    </w:p>
    <w:p>
      <w:pPr>
        <w:spacing w:line="600" w:lineRule="auto"/>
        <w:ind w:firstLine="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In order to ensure that passengers have a smooth and enjoyable travel experience from beginning to end, Delta Air Lines may prioritize improving the customer experience at every touchpoint along the journey. The airline can provide its consumers with a comprehensive and personalized experience by concentrating on important phases like pre-flight, airport experience, in-flight service, and post-flight interaction (Jessin et al., 2023).</w:t>
      </w:r>
    </w:p>
    <w:p>
      <w:pPr>
        <w:spacing w:line="60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Delta Air Lines can make use of digital platforms and technology during the pre-flight phase to give consumers pertinent and individualized information (kim et al., 2022). This can be realized by considering previous travel experiences of repeat customers and therefore suggest auxiliary services that they may like, the seat choices, as well as the specific flight. </w:t>
      </w:r>
    </w:p>
    <w:p>
      <w:pPr>
        <w:pStyle w:val="3"/>
        <w:spacing w:line="600" w:lineRule="auto"/>
        <w:rPr>
          <w:rFonts w:hint="default" w:ascii="Times New Roman Regular" w:hAnsi="Times New Roman Regular" w:cs="Times New Roman Regular"/>
          <w:sz w:val="24"/>
          <w:szCs w:val="24"/>
        </w:rPr>
      </w:pPr>
      <w:bookmarkStart w:id="14" w:name="_Toc139699208"/>
      <w:r>
        <w:rPr>
          <w:rFonts w:hint="default" w:ascii="Times New Roman Regular" w:hAnsi="Times New Roman Regular" w:cs="Times New Roman Regular"/>
          <w:sz w:val="24"/>
          <w:szCs w:val="24"/>
        </w:rPr>
        <w:t>4.3 Empowering Frontline Employees</w:t>
      </w:r>
      <w:bookmarkEnd w:id="14"/>
    </w:p>
    <w:p>
      <w:pPr>
        <w:spacing w:line="600" w:lineRule="auto"/>
        <w:ind w:firstLine="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Frontline employees are the face of the company and therefore play a crucial role. The airline's front-line staff, which includes flight attendants, gate agents, and customer service personnel, serves as its public face and deals directly with passengers (Khan et al., 2022). Delta Air Lines can promote a customer-centric culture by giving these staff members the necessary resources and authority to go above and beyond for customers.</w:t>
      </w:r>
    </w:p>
    <w:p>
      <w:pPr>
        <w:spacing w:line="60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Offering thorough training and development programs to frontline staff members is one method to give them more authority. Delta Air Lines can spend money on regular training programs that give staff members the tools they need to effectively handle a range of customer situations (Cui et al., 2022). Along with technical skills, this training ought to include soft skills like empathy, problem-solving, and communication. Employees who have received the appropriate training can confidently respond to customer requests and handle problems pro-actively and effectively.</w:t>
      </w:r>
    </w:p>
    <w:p>
      <w:pPr>
        <w:spacing w:line="60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Giving decision-making authority to frontline staff members is another component of empowering them. Within certain bounds, Delta Air Lines may grant staff decision-making authority. As a result, they can make decisions quickly and provide consumers with customized solutions without needless red tape (Kumar, 2022). The airline gives frontline staff the freedom to make decisions, encouraging them to take responsibility for customer interactions and develop a sense of accountability.</w:t>
      </w:r>
    </w:p>
    <w:p>
      <w:pPr>
        <w:pStyle w:val="3"/>
        <w:spacing w:line="600" w:lineRule="auto"/>
        <w:rPr>
          <w:rFonts w:hint="default" w:ascii="Times New Roman Regular" w:hAnsi="Times New Roman Regular" w:cs="Times New Roman Regular"/>
          <w:sz w:val="24"/>
          <w:szCs w:val="24"/>
        </w:rPr>
      </w:pPr>
      <w:bookmarkStart w:id="15" w:name="_Toc139699209"/>
      <w:r>
        <w:rPr>
          <w:rFonts w:hint="default" w:ascii="Times New Roman Regular" w:hAnsi="Times New Roman Regular" w:cs="Times New Roman Regular"/>
          <w:sz w:val="24"/>
          <w:szCs w:val="24"/>
        </w:rPr>
        <w:t>4.4 Collaborating with Partners and Stakeholders</w:t>
      </w:r>
      <w:bookmarkEnd w:id="15"/>
    </w:p>
    <w:p>
      <w:pPr>
        <w:spacing w:line="600" w:lineRule="auto"/>
        <w:ind w:firstLine="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Collaboration with partners and stakeholders is crucial for Delta Air Lines to improve its customer service activities, spur innovation, and provide customers with a smooth travel experience. The airline can use collective experience, resources, and networks to create value-added services and beyond customer expectations by forming strategic alliances and interacting with stakeholders (Osman et al., 2023).</w:t>
      </w:r>
    </w:p>
    <w:p>
      <w:pPr>
        <w:spacing w:line="60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Making alliances with other airlines and industry stakeholders is one facet of working with partners. To increase its route network, provide seamless connections, and provide consumers more travel options, Delta Air Lines can form alliances with other airlines that complement its own. Strategic alliances make it possible to share best practices, collaborate on marketing campaigns, and coordinate services, all of which improve customer satisfaction and loyalty (Jaeger, 2022). For Delta Air Lines, working with technology vendors is essential. The airline may take use of new technologies to improve its digital capabilities and provide individualized customer care by collaborating with creative technology companies.</w:t>
      </w:r>
    </w:p>
    <w:p>
      <w:pPr>
        <w:pStyle w:val="2"/>
        <w:spacing w:line="600" w:lineRule="auto"/>
        <w:rPr>
          <w:rFonts w:hint="default" w:ascii="Times New Roman Regular" w:hAnsi="Times New Roman Regular" w:cs="Times New Roman Regular"/>
          <w:sz w:val="24"/>
          <w:szCs w:val="24"/>
        </w:rPr>
      </w:pPr>
      <w:bookmarkStart w:id="16" w:name="_Toc139699210"/>
      <w:r>
        <w:rPr>
          <w:rFonts w:hint="default" w:ascii="Times New Roman Regular" w:hAnsi="Times New Roman Regular" w:cs="Times New Roman Regular"/>
          <w:sz w:val="24"/>
          <w:szCs w:val="24"/>
        </w:rPr>
        <w:t>5.0 Implications on Different Organizational Areas</w:t>
      </w:r>
      <w:bookmarkEnd w:id="16"/>
    </w:p>
    <w:p>
      <w:pPr>
        <w:pStyle w:val="3"/>
        <w:spacing w:line="600" w:lineRule="auto"/>
        <w:rPr>
          <w:rFonts w:hint="default" w:ascii="Times New Roman Regular" w:hAnsi="Times New Roman Regular" w:cs="Times New Roman Regular"/>
          <w:sz w:val="24"/>
          <w:szCs w:val="24"/>
        </w:rPr>
      </w:pPr>
      <w:bookmarkStart w:id="17" w:name="_Toc139699211"/>
      <w:r>
        <w:rPr>
          <w:rFonts w:hint="default" w:ascii="Times New Roman Regular" w:hAnsi="Times New Roman Regular" w:cs="Times New Roman Regular"/>
          <w:sz w:val="24"/>
          <w:szCs w:val="24"/>
        </w:rPr>
        <w:t>5.1 Operations and Processes</w:t>
      </w:r>
      <w:bookmarkEnd w:id="17"/>
    </w:p>
    <w:p>
      <w:pPr>
        <w:spacing w:line="600" w:lineRule="auto"/>
        <w:ind w:firstLine="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Personalizing services and improving customer care initiatives have a big impact on a lot of organizational areas, such operations and processes. Delta Air Lines must take into account how these initiatives affect its labor dynamics, internal procedures, and operational efficiency.</w:t>
      </w:r>
    </w:p>
    <w:p>
      <w:pPr>
        <w:spacing w:line="60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Reevaluating operational procedures is necessary in order to suit unique client preferences and needs while implementing personalized customer service. In order to easily integrate personalized services, Delta Air Lines should review and modify its operating processes (Toan, 2023). For instance, to successfully deliver customized experiences, ticketing, baggage handling, and in-flight services may need to be changed. Workflows may need to be redesigned, staff members may need to be trained on new procedures, and technology may need to be incorporated to assist customization efforts.</w:t>
      </w:r>
    </w:p>
    <w:p>
      <w:pPr>
        <w:spacing w:line="60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The implementation of programs for individualized customer care may affect worker dynamics as well. To effectively deliver tailored experiences, employees in operational and customer-facing jobs need to be provided with the proper training and tools (Debono &amp; Fiorini, 2023). The customer service, communication, and adaptability of staff are all things that Delta Air Lines should invest in through training programs (Ngoc &amp; Tien, 2023). Employees that are given the information and resources to conduct individualized services are better able to satisfy customers and adjust to shifting client expectations.</w:t>
      </w:r>
    </w:p>
    <w:p>
      <w:pPr>
        <w:pStyle w:val="3"/>
        <w:spacing w:line="600" w:lineRule="auto"/>
        <w:rPr>
          <w:rFonts w:hint="default" w:ascii="Times New Roman Regular" w:hAnsi="Times New Roman Regular" w:cs="Times New Roman Regular"/>
          <w:sz w:val="24"/>
          <w:szCs w:val="24"/>
        </w:rPr>
      </w:pPr>
      <w:bookmarkStart w:id="18" w:name="_Toc139699212"/>
      <w:r>
        <w:rPr>
          <w:rFonts w:hint="default" w:ascii="Times New Roman Regular" w:hAnsi="Times New Roman Regular" w:cs="Times New Roman Regular"/>
          <w:sz w:val="24"/>
          <w:szCs w:val="24"/>
        </w:rPr>
        <w:t>5.2 Human Resources and Training</w:t>
      </w:r>
      <w:bookmarkEnd w:id="18"/>
    </w:p>
    <w:p>
      <w:pPr>
        <w:spacing w:line="600" w:lineRule="auto"/>
        <w:ind w:firstLine="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Within Delta Air Lines, attention must be paid to human resources and training in order to implement individualized customer care programs. Delivering excellent customer experiences successfully depends on having a talented and motivated workforce with the knowledge, abilities, and resources required to provide tailored services.</w:t>
      </w:r>
    </w:p>
    <w:p>
      <w:pPr>
        <w:spacing w:line="60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The comprehensive training programs that equip staff to offer individualized customer care should be funded by Delta Air Lines. Training should cover both hard and soft skills, like problem-solving, communication, and empathy (Ibelegbu &amp; Abanyam, 2022). By developing the interpersonal skills of Delta company, they will be able to communicate effectively and understand the demands of customers hence give them an excellent customer experience. </w:t>
      </w:r>
    </w:p>
    <w:p>
      <w:pPr>
        <w:pStyle w:val="3"/>
        <w:spacing w:line="600" w:lineRule="auto"/>
        <w:rPr>
          <w:rFonts w:hint="default" w:ascii="Times New Roman Regular" w:hAnsi="Times New Roman Regular" w:cs="Times New Roman Regular"/>
          <w:sz w:val="24"/>
          <w:szCs w:val="24"/>
        </w:rPr>
      </w:pPr>
      <w:bookmarkStart w:id="19" w:name="_Toc139699213"/>
    </w:p>
    <w:p>
      <w:pPr>
        <w:pStyle w:val="3"/>
        <w:spacing w:line="60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5.3 Technology and Infrastructure</w:t>
      </w:r>
      <w:bookmarkEnd w:id="19"/>
    </w:p>
    <w:p>
      <w:pPr>
        <w:spacing w:line="600" w:lineRule="auto"/>
        <w:ind w:firstLine="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Delta Air Lines must put a lot of effort into its technology and infrastructure in order to implement individualized customer care efforts. The airline may collect and analyze client data, provide individualized services, and improve operational efficiency with the correct IT infrastructure (Algarni et al., 2023).</w:t>
      </w:r>
    </w:p>
    <w:p>
      <w:pPr>
        <w:spacing w:line="60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Advanced technology that support individualized customer care should be purchased by Delta Airlines. This entails putting in place reliable customer relationship management (CRM) systems that consolidate customer data and offer a thorough perspective of each traveler (Sharma, 2023). Delta Air Lines is able to provide its customers with personalized recommendations, offers, and experiences by combining data from numerous touchpoints, such as booking details, flight history, and customer preferences.</w:t>
      </w:r>
    </w:p>
    <w:p>
      <w:pPr>
        <w:spacing w:line="60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In order to extract insights from customer data, the airline should also make use of data analytics and artificial intelligence (AI) technologies. Delta Air Lines can spot trends, foresee consumer demands, and proactively handle problems by examining customer behavior, travel patterns, and feedback (Zulfikar et al., 2022). Virtual assistants and chatbots with AI capabilities can also be used to offer clients real-time assistance and tailored recommendations.</w:t>
      </w:r>
    </w:p>
    <w:p>
      <w:pPr>
        <w:pStyle w:val="3"/>
        <w:spacing w:line="600" w:lineRule="auto"/>
        <w:rPr>
          <w:rFonts w:hint="default" w:ascii="Times New Roman Regular" w:hAnsi="Times New Roman Regular" w:cs="Times New Roman Regular"/>
          <w:sz w:val="24"/>
          <w:szCs w:val="24"/>
        </w:rPr>
      </w:pPr>
      <w:bookmarkStart w:id="20" w:name="_Toc139699214"/>
    </w:p>
    <w:p>
      <w:pPr>
        <w:pStyle w:val="3"/>
        <w:spacing w:line="60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5.5 Financial Considerations</w:t>
      </w:r>
      <w:bookmarkEnd w:id="20"/>
    </w:p>
    <w:p>
      <w:pPr>
        <w:spacing w:line="600" w:lineRule="auto"/>
        <w:ind w:firstLine="0"/>
        <w:rPr>
          <w:rFonts w:hint="default" w:ascii="Times New Roman Regular" w:hAnsi="Times New Roman Regular" w:cs="Times New Roman Regular"/>
          <w:sz w:val="24"/>
          <w:szCs w:val="24"/>
        </w:rPr>
      </w:pPr>
      <w:r>
        <w:rPr>
          <w:rFonts w:hint="default" w:ascii="Times New Roman Regular" w:hAnsi="Times New Roman Regular" w:cs="Times New Roman Regular"/>
          <w:b/>
          <w:sz w:val="24"/>
          <w:szCs w:val="24"/>
        </w:rPr>
        <w:tab/>
      </w:r>
      <w:r>
        <w:rPr>
          <w:rFonts w:hint="default" w:ascii="Times New Roman Regular" w:hAnsi="Times New Roman Regular" w:cs="Times New Roman Regular"/>
          <w:sz w:val="24"/>
          <w:szCs w:val="24"/>
        </w:rPr>
        <w:t>By performing rigorous cost-benefit evaluations, Delta Air Lines should determine whether it is financially feasible to pursue efforts for individualized customer care (Astuti, 203). This entails weighing the expenses of employee training, process reform, and technology investments against the potential improvements in customer happiness, brand loyalty, and revenue generation (Malarvizhi et al., 2022). The airline can allocate resources wisely and make educated judgments by being aware of the financial repercussions.</w:t>
      </w:r>
    </w:p>
    <w:p>
      <w:pPr>
        <w:spacing w:line="60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Striking a balance between providing individualized experiences and controlling operating expenses is crucial for Delta Air Lines. To counteract the costs associated with personalization, the airline should look for ways to save costs in other aspects of its operations (Pratono et al., 2019). This can entail streamlining operating procedures, renegotiating supplier agreements, or putting in place productivity-enhancing efficiency measures.</w:t>
      </w:r>
    </w:p>
    <w:p>
      <w:pPr>
        <w:pStyle w:val="2"/>
        <w:spacing w:line="600" w:lineRule="auto"/>
        <w:rPr>
          <w:rFonts w:hint="default" w:ascii="Times New Roman Regular" w:hAnsi="Times New Roman Regular" w:cs="Times New Roman Regular"/>
          <w:sz w:val="24"/>
          <w:szCs w:val="24"/>
        </w:rPr>
      </w:pPr>
      <w:bookmarkStart w:id="21" w:name="_Toc139699215"/>
      <w:r>
        <w:rPr>
          <w:rFonts w:hint="default" w:ascii="Times New Roman Regular" w:hAnsi="Times New Roman Regular" w:cs="Times New Roman Regular"/>
          <w:sz w:val="24"/>
          <w:szCs w:val="24"/>
        </w:rPr>
        <w:t>6.0 Justification of Recommended Strategy</w:t>
      </w:r>
      <w:bookmarkEnd w:id="21"/>
    </w:p>
    <w:p>
      <w:pPr>
        <w:pStyle w:val="3"/>
        <w:spacing w:line="600" w:lineRule="auto"/>
        <w:rPr>
          <w:rFonts w:hint="default" w:ascii="Times New Roman Regular" w:hAnsi="Times New Roman Regular" w:cs="Times New Roman Regular"/>
          <w:sz w:val="24"/>
          <w:szCs w:val="24"/>
        </w:rPr>
      </w:pPr>
      <w:bookmarkStart w:id="22" w:name="_Toc139699216"/>
      <w:r>
        <w:rPr>
          <w:rFonts w:hint="default" w:ascii="Times New Roman Regular" w:hAnsi="Times New Roman Regular" w:cs="Times New Roman Regular"/>
          <w:sz w:val="24"/>
          <w:szCs w:val="24"/>
        </w:rPr>
        <w:t>6.1 Customer-Centric Approach</w:t>
      </w:r>
      <w:bookmarkEnd w:id="22"/>
    </w:p>
    <w:p>
      <w:pPr>
        <w:spacing w:line="600" w:lineRule="auto"/>
        <w:ind w:firstLine="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Adopting a customer-centric approach is a great way to win customers’ trust. Customers expect businesses to recognize their unique requirements and preferences as they want more personalized experiences. Delta Air Lines can meet these demands and set itself apart from rival airlines by emphasizing personalized customer service (Haudi et al., 2022). This strategy promotes loyalty, encourages strong customer connections, and creates favorable word-of-mouth, which ultimately leads to increased customer satisfaction and sustained profitability.</w:t>
      </w:r>
    </w:p>
    <w:p>
      <w:pPr>
        <w:spacing w:line="60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Second, a customer-centric strategy may result in a higher client retention rate and repeat business. Customers are more likely to choose Delta Air Lines for future travel requirements when the airline provides great tailored experiences that stand out to them (Arsawan et al., 2022). Additionally, personalization enables the airline to comprehend and cater to each individual customer's wants, increasing happiness and loyalty.</w:t>
      </w:r>
      <w:bookmarkStart w:id="23" w:name="_Toc139699217"/>
    </w:p>
    <w:p>
      <w:pPr>
        <w:spacing w:line="600" w:lineRule="auto"/>
        <w:rPr>
          <w:rFonts w:hint="default" w:ascii="Times New Roman Regular" w:hAnsi="Times New Roman Regular" w:cs="Times New Roman Regular"/>
          <w:sz w:val="24"/>
          <w:szCs w:val="24"/>
        </w:rPr>
      </w:pPr>
    </w:p>
    <w:p>
      <w:pPr>
        <w:spacing w:line="600" w:lineRule="auto"/>
        <w:rPr>
          <w:rFonts w:hint="default" w:ascii="Times New Roman Regular" w:hAnsi="Times New Roman Regular" w:cs="Times New Roman Regular"/>
          <w:sz w:val="24"/>
          <w:szCs w:val="24"/>
        </w:rPr>
      </w:pPr>
    </w:p>
    <w:p>
      <w:pPr>
        <w:spacing w:line="600" w:lineRule="auto"/>
        <w:rPr>
          <w:rFonts w:hint="default" w:ascii="Times New Roman Regular" w:hAnsi="Times New Roman Regular" w:cs="Times New Roman Regular"/>
          <w:sz w:val="24"/>
          <w:szCs w:val="24"/>
        </w:rPr>
      </w:pPr>
    </w:p>
    <w:p>
      <w:pPr>
        <w:spacing w:line="600" w:lineRule="auto"/>
        <w:ind w:left="0" w:leftChars="0" w:firstLine="0" w:firstLineChars="0"/>
        <w:rPr>
          <w:rFonts w:hint="default" w:ascii="Times New Roman Bold" w:hAnsi="Times New Roman Bold" w:cs="Times New Roman Bold"/>
          <w:b/>
          <w:bCs/>
          <w:sz w:val="24"/>
          <w:szCs w:val="24"/>
        </w:rPr>
      </w:pPr>
      <w:r>
        <w:rPr>
          <w:rFonts w:hint="default" w:ascii="Times New Roman Bold" w:hAnsi="Times New Roman Bold" w:cs="Times New Roman Bold"/>
          <w:b/>
          <w:bCs/>
          <w:sz w:val="24"/>
          <w:szCs w:val="24"/>
        </w:rPr>
        <w:t>6.2 Sustainable Competitive Advantage</w:t>
      </w:r>
      <w:bookmarkEnd w:id="23"/>
    </w:p>
    <w:p>
      <w:pPr>
        <w:spacing w:line="600" w:lineRule="auto"/>
        <w:ind w:firstLine="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 customer-centric strategy for providing individualized customer care may help Delta Air Lines maintain a competitive edge over other airlines in the long run. A corporation may regularly outperform its rivals when it has a lasting competitive advantage (Hui et al., 2022). Delta Air Lines may accomplish several things that support its sustained competitive advantage by strongly emphasizing personalized customer care.</w:t>
      </w:r>
    </w:p>
    <w:p>
      <w:pPr>
        <w:spacing w:line="60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First, providing personalized customer service can increase repeat business. Delivering customized experiences enables Delta Air Lines to forge close bonds with its clients, promote a sense of loyalty, and lessen the likelihood that clients may migrate to rivals (Ghazy et al., 2022). This consistent revenue stream from its devoted clientele gives the airline an advantage over rivals who might find it difficult to match the degree of individualized service.</w:t>
      </w:r>
    </w:p>
    <w:p>
      <w:pPr>
        <w:spacing w:line="60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Second, individualized customer service can promote brand loyalty and favorable word-of-mouth. Customers are more likely to recommend Delta Air Lines to others both offline and online when they receive outstanding personalized service (Haseeb et al., 2019). This natural advertising boosts the airline's reputation, draws in new clients, and solidifies its place in the market. The brand's favorable reputation and support help sustain Delta's competitive edge.</w:t>
      </w:r>
      <w:bookmarkStart w:id="24" w:name="_Toc139699218"/>
    </w:p>
    <w:p>
      <w:pPr>
        <w:spacing w:line="600" w:lineRule="auto"/>
        <w:rPr>
          <w:rFonts w:hint="default" w:ascii="Times New Roman Regular" w:hAnsi="Times New Roman Regular" w:cs="Times New Roman Regular"/>
          <w:sz w:val="24"/>
          <w:szCs w:val="24"/>
        </w:rPr>
      </w:pPr>
    </w:p>
    <w:p>
      <w:pPr>
        <w:spacing w:line="600" w:lineRule="auto"/>
        <w:rPr>
          <w:rFonts w:hint="default" w:ascii="Times New Roman Regular" w:hAnsi="Times New Roman Regular" w:cs="Times New Roman Regular"/>
          <w:sz w:val="24"/>
          <w:szCs w:val="24"/>
        </w:rPr>
      </w:pPr>
    </w:p>
    <w:p>
      <w:pPr>
        <w:spacing w:line="600" w:lineRule="auto"/>
        <w:rPr>
          <w:rFonts w:hint="default" w:ascii="Times New Roman Regular" w:hAnsi="Times New Roman Regular" w:cs="Times New Roman Regular"/>
          <w:sz w:val="24"/>
          <w:szCs w:val="24"/>
        </w:rPr>
      </w:pPr>
    </w:p>
    <w:p>
      <w:pPr>
        <w:spacing w:line="600" w:lineRule="auto"/>
        <w:ind w:left="0" w:leftChars="0" w:firstLine="0" w:firstLineChars="0"/>
        <w:rPr>
          <w:rFonts w:hint="default" w:ascii="Times New Roman Bold" w:hAnsi="Times New Roman Bold" w:cs="Times New Roman Bold"/>
          <w:b/>
          <w:bCs/>
          <w:sz w:val="24"/>
          <w:szCs w:val="24"/>
        </w:rPr>
      </w:pPr>
      <w:r>
        <w:rPr>
          <w:rFonts w:hint="default" w:ascii="Times New Roman Bold" w:hAnsi="Times New Roman Bold" w:cs="Times New Roman Bold"/>
          <w:b/>
          <w:bCs/>
          <w:sz w:val="24"/>
          <w:szCs w:val="24"/>
        </w:rPr>
        <w:t>6.3 Resilience in a Changing Environment</w:t>
      </w:r>
      <w:bookmarkEnd w:id="24"/>
    </w:p>
    <w:p>
      <w:pPr>
        <w:spacing w:line="600" w:lineRule="auto"/>
        <w:ind w:firstLine="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Implementing a customer-centric strategy by Delta Air Lines to provide individualized customer care strengthens its adaptability in a changing environment. The ability of an organization to adjust to, withstand, and recover from disturbances while preserving its competitive position is known as resilience (Argyroudis et al., 2022). The customer-centric strategy plays a variety of roles in strengthening Delta's resilience.</w:t>
      </w:r>
    </w:p>
    <w:p>
      <w:pPr>
        <w:spacing w:line="60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First, Delta Air Lines exhibits a client-focused mentality by prioritizing individualized customer care, enabling it to adjust to changing customer preferences and needs. As customer expectations change, the airline can modify its tactics and offers to satisfy these evolving needs (Liu et al., 2022). Because of its adaptability, Delta is able to withstand changing market circumstances and maintain its relevance.</w:t>
      </w:r>
    </w:p>
    <w:p>
      <w:pPr>
        <w:spacing w:line="60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Furthermore, individualized customer service aids Delta Air Lines in cultivating long-lasting client relationships and loyalty. Loyal clients are more inclined to persist with the airline and continue utilizing its services during periods of market instability or economic unpredictability (Rajagopal, 2020). Delta builds customer trust and loyalty by providing great tailored experiences, establishing a foundation of resilience even in trying circumstances.</w:t>
      </w:r>
      <w:bookmarkStart w:id="25" w:name="_Toc139699219"/>
    </w:p>
    <w:p>
      <w:pPr>
        <w:spacing w:line="600" w:lineRule="auto"/>
        <w:rPr>
          <w:rFonts w:hint="default" w:ascii="Times New Roman Regular" w:hAnsi="Times New Roman Regular" w:cs="Times New Roman Regular"/>
          <w:sz w:val="24"/>
          <w:szCs w:val="24"/>
        </w:rPr>
      </w:pPr>
    </w:p>
    <w:p>
      <w:pPr>
        <w:spacing w:line="600" w:lineRule="auto"/>
        <w:rPr>
          <w:rFonts w:hint="default" w:ascii="Times New Roman Regular" w:hAnsi="Times New Roman Regular" w:cs="Times New Roman Regular"/>
          <w:sz w:val="24"/>
          <w:szCs w:val="24"/>
        </w:rPr>
      </w:pPr>
    </w:p>
    <w:p>
      <w:pPr>
        <w:spacing w:line="600" w:lineRule="auto"/>
        <w:rPr>
          <w:rFonts w:hint="default" w:ascii="Times New Roman Regular" w:hAnsi="Times New Roman Regular" w:cs="Times New Roman Regular"/>
          <w:sz w:val="24"/>
          <w:szCs w:val="24"/>
        </w:rPr>
      </w:pPr>
    </w:p>
    <w:p>
      <w:pPr>
        <w:spacing w:line="600" w:lineRule="auto"/>
        <w:ind w:left="0" w:leftChars="0" w:firstLine="0" w:firstLineChars="0"/>
        <w:rPr>
          <w:rFonts w:hint="default" w:ascii="Times New Roman Bold" w:hAnsi="Times New Roman Bold" w:cs="Times New Roman Bold"/>
          <w:b/>
          <w:bCs/>
          <w:sz w:val="24"/>
          <w:szCs w:val="24"/>
        </w:rPr>
      </w:pPr>
      <w:r>
        <w:rPr>
          <w:rFonts w:hint="default" w:ascii="Times New Roman Bold" w:hAnsi="Times New Roman Bold" w:cs="Times New Roman Bold"/>
          <w:b/>
          <w:bCs/>
          <w:sz w:val="24"/>
          <w:szCs w:val="24"/>
        </w:rPr>
        <w:t>6.4 Alignment with Market Trends and Opportunities</w:t>
      </w:r>
      <w:bookmarkEnd w:id="25"/>
    </w:p>
    <w:p>
      <w:pPr>
        <w:spacing w:line="600" w:lineRule="auto"/>
        <w:ind w:firstLine="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Delta Air Lines' implementation of a customer-centric strategy for individualized customer care is in line with current market trends and presents chances for the airline to seize new opportunities (Naim, 2022). Due to this alignment, Delta is able to stay ahead of the curve and take advantage of market trends. The growing desire for individualized experiences is one market trend that the customer-centric strategy supports. Customers now demand that businesses recognize their unique tastes and offer customized solutions in the digital age (Jena, 2023). In order to capitalize on this trend and present itself as a customer-focused airline that caters to the desire for distinctive and memorable travel experiences, Delta Air Lines prioritizes individualized customer care.</w:t>
      </w:r>
      <w:bookmarkStart w:id="26" w:name="_Toc139699220"/>
    </w:p>
    <w:p>
      <w:pPr>
        <w:spacing w:line="600" w:lineRule="auto"/>
        <w:ind w:firstLine="0"/>
        <w:rPr>
          <w:rFonts w:hint="default" w:ascii="Times New Roman Regular" w:hAnsi="Times New Roman Regular" w:cs="Times New Roman Regular"/>
          <w:sz w:val="24"/>
          <w:szCs w:val="24"/>
        </w:rPr>
      </w:pPr>
    </w:p>
    <w:p>
      <w:pPr>
        <w:spacing w:line="600" w:lineRule="auto"/>
        <w:ind w:firstLine="0"/>
        <w:rPr>
          <w:rFonts w:hint="default" w:ascii="Times New Roman Bold" w:hAnsi="Times New Roman Bold" w:cs="Times New Roman Bold"/>
          <w:b/>
          <w:bCs/>
          <w:sz w:val="24"/>
          <w:szCs w:val="24"/>
        </w:rPr>
      </w:pPr>
      <w:r>
        <w:rPr>
          <w:rFonts w:hint="default" w:ascii="Times New Roman Bold" w:hAnsi="Times New Roman Bold" w:cs="Times New Roman Bold"/>
          <w:b/>
          <w:bCs/>
          <w:sz w:val="24"/>
          <w:szCs w:val="24"/>
        </w:rPr>
        <w:t>7.0 Conclusion</w:t>
      </w:r>
      <w:bookmarkEnd w:id="26"/>
    </w:p>
    <w:p>
      <w:pPr>
        <w:spacing w:line="600" w:lineRule="auto"/>
        <w:ind w:firstLine="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In conclusion, Delta Air Lines' future performance and resiliency in the airline sector depend on implementing a customer-centric strategy for individualized customer care. In order to stand out from rivals, cultivate client loyalty, and promote sustainable growth, Delta must prioritize delivering excellent customer experiences and catering services to individual tastes.</w:t>
      </w:r>
    </w:p>
    <w:p>
      <w:pPr>
        <w:spacing w:line="600" w:lineRule="auto"/>
        <w:ind w:firstLine="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 The strategic analysis undertaken for this research emphasized the significance of comprehending both internal resources and competencies as well as external issues, including market trends and competitive dynamics. The foundation for the advised customer-centric strategy was set by this analysis, which is in line with shifting consumer expectations, market trends, and prospects. Delta Air Lines can develop a durable competitive edge through utilizing digital technology, empowering frontline staff, working with partners, and following market trends. This strategy ultimately drives long-term profitability, which raises customer happiness, cultivates loyalty, and produces positive word-of-mouth. The effects of the suggested strategy on other organizational functions, including as operations, human resources, marketing, technology, finance, resilience, and market trends, further emphasize the importance of this client-centered strategy.  Delta Air Lines may establish itself as a leader in providing great individualized customer care by implementing the suggested plan. This will support its long-term success and sustainable expansion and ensure its adaptability and competitiveness in a changing environment.</w:t>
      </w:r>
    </w:p>
    <w:p>
      <w:pPr>
        <w:spacing w:line="60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br w:type="page"/>
      </w:r>
    </w:p>
    <w:p>
      <w:pPr>
        <w:pStyle w:val="2"/>
        <w:spacing w:line="600" w:lineRule="auto"/>
        <w:jc w:val="center"/>
        <w:rPr>
          <w:rFonts w:hint="default" w:ascii="Times New Roman Regular" w:hAnsi="Times New Roman Regular" w:cs="Times New Roman Regular"/>
          <w:sz w:val="24"/>
          <w:szCs w:val="24"/>
        </w:rPr>
      </w:pPr>
      <w:bookmarkStart w:id="27" w:name="_Toc139699221"/>
      <w:r>
        <w:rPr>
          <w:rFonts w:hint="default" w:ascii="Times New Roman Regular" w:hAnsi="Times New Roman Regular" w:cs="Times New Roman Regular"/>
          <w:sz w:val="24"/>
          <w:szCs w:val="24"/>
        </w:rPr>
        <w:t>References</w:t>
      </w:r>
      <w:bookmarkEnd w:id="27"/>
    </w:p>
    <w:p>
      <w:pPr>
        <w:spacing w:line="600" w:lineRule="auto"/>
        <w:ind w:left="720" w:hanging="72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Abdeldayem, M. M., &amp; Aldulaimi, S. H. (2020). Trends and opportunities of artificial intelligence in human resource management: Aspirations for public sector in Bahrain. International Journal of Scientific and Technology Research, 9(1), 3867-3871.</w:t>
      </w:r>
    </w:p>
    <w:p>
      <w:pPr>
        <w:spacing w:line="600" w:lineRule="auto"/>
        <w:ind w:left="720" w:hanging="72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Algarni, M. A., Ali, M., Leal-Rodríguez, A. L., &amp; Albort-Morant, G. (2023). The differential effects of potential and realized absorptive capacity on imitation and innovation strategies, and its impact on sustained competitive advantage. Journal of Business Research, 158, 113674.</w:t>
      </w:r>
    </w:p>
    <w:p>
      <w:pPr>
        <w:spacing w:line="600" w:lineRule="auto"/>
        <w:ind w:left="720" w:hanging="72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Ali, I., Arslan, A., Chowdhury, M., Khan, Z., &amp; Tarba, S. Y. (2022). Reimagining global food value chains through effective resilience to COVID-19 shocks and similar future events: A dynamic capability perspective. Journal of Business Research, 141, 1-12.</w:t>
      </w:r>
    </w:p>
    <w:p>
      <w:pPr>
        <w:spacing w:line="600" w:lineRule="auto"/>
        <w:ind w:left="720" w:hanging="72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Andrews, S. M., Porter, K. A., Bailey, D. B., &amp; Peay, H. L. (2022). Preparing newborn screening for the future: A collaborative stakeholder engagement exploring challenges and opportunities to modernizing the newborn screening system. BMC pediatrics, 22(1), 1-13.</w:t>
      </w:r>
    </w:p>
    <w:p>
      <w:pPr>
        <w:spacing w:line="600" w:lineRule="auto"/>
        <w:ind w:left="720" w:hanging="72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Argyroudis, S. A., Mitoulis, S. A., Chatzi, E., Baker, J. W., Brilakis, I., Gkoumas, K., ... &amp; Linkov, I. (2022). Digital technologies can enhance climate resilience of critical infrastructure. Climate Risk Management, 35, 100387.</w:t>
      </w:r>
    </w:p>
    <w:p>
      <w:pPr>
        <w:spacing w:line="600" w:lineRule="auto"/>
        <w:ind w:left="720" w:hanging="72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Arsawan, I. W. E., Koval, V., Rajiani, I., Rustiarini, N. W., Supartha, W. G., &amp; Suryantini, N. P. S. (2022). Leveraging knowledge sharing and innovation culture into SMEs sustainable competitive advantage. International journal of productivity and performance management, 71(2), 405-428.</w:t>
      </w:r>
    </w:p>
    <w:p>
      <w:pPr>
        <w:spacing w:line="600" w:lineRule="auto"/>
        <w:ind w:left="720" w:hanging="72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Astuti, P. D., Datrini, L. K., &amp; Chariri, A. (2023). Understanding the antecedents and consequences of sustainable competitive advantage: testing intellectual capital and organizational performance. Economies, 11(4), 120.</w:t>
      </w:r>
    </w:p>
    <w:p>
      <w:pPr>
        <w:spacing w:line="600" w:lineRule="auto"/>
        <w:ind w:left="720" w:hanging="72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Baboolal-Frank, R. (2021). Analysis of amazon: Customer centric approach.</w:t>
      </w:r>
    </w:p>
    <w:p>
      <w:pPr>
        <w:spacing w:line="600" w:lineRule="auto"/>
        <w:ind w:left="720" w:hanging="72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Baugh, C. W., Dorner, S. C., Levine, D. M., Handley, N. R., &amp; Mooney, K. H. (2022). Acute home-based care for patients with cancer to avoid, substitute, and follow emergency department visits: a conceptual framework using Porter’s Five Forces. Emergency Cancer Care, 1(1), 1-10.</w:t>
      </w:r>
    </w:p>
    <w:p>
      <w:pPr>
        <w:spacing w:line="600" w:lineRule="auto"/>
        <w:ind w:left="720" w:hanging="72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Berstad, D., Gardarsdottir, S., Roussanaly, S., Voldsund, M., Ishimoto, Y., &amp; Nekså, P. (2022). Liquid hydrogen as prospective energy carrier: A brief review and discussion of underlying assumptions applied in value chain analysis. Renewable and Sustainable Energy Reviews, 154, 111772.</w:t>
      </w:r>
    </w:p>
    <w:p>
      <w:pPr>
        <w:spacing w:line="600" w:lineRule="auto"/>
        <w:ind w:left="720" w:hanging="72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Cheney, A. Marketing and Admissions Alignment at Public Universities in the US.</w:t>
      </w:r>
    </w:p>
    <w:p>
      <w:pPr>
        <w:spacing w:line="600" w:lineRule="auto"/>
        <w:ind w:left="720" w:hanging="72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Cui, L., Yang, K., Lei, Z., Lim, M. K., &amp; Hou, Y. (2022). Exploring stakeholder collaboration based on the sustainability factors affecting the sharing economy. Sustainable Production and Consumption, 30, 218-232.</w:t>
      </w:r>
    </w:p>
    <w:p>
      <w:pPr>
        <w:spacing w:line="600" w:lineRule="auto"/>
        <w:ind w:left="720" w:hanging="72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Debono, M., &amp; Fiorini, L. A. (2023). Malta: Trade union resilience in a changing environment. Trade unions in the European Union, 763.</w:t>
      </w:r>
    </w:p>
    <w:p>
      <w:pPr>
        <w:spacing w:line="600" w:lineRule="auto"/>
        <w:ind w:left="720" w:hanging="72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El Khatib, M., Alabdooli, K., AlKaabi, A., &amp; Al Harmoodi, S. (2020). Sustainable Project Management: Trends and Alignment. Theoretical Economics Letters, 10(06), 1276.</w:t>
      </w:r>
    </w:p>
    <w:p>
      <w:pPr>
        <w:spacing w:line="600" w:lineRule="auto"/>
        <w:ind w:left="720" w:hanging="72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Fornell, C., Morgeson III, F. V., Hult, G. T. M., &amp; VanAmburg, D. (2020). The Reign of the Customer: Customer-Centric Approaches to Improving Satisfaction. Springer Nature.</w:t>
      </w:r>
    </w:p>
    <w:p>
      <w:pPr>
        <w:spacing w:line="600" w:lineRule="auto"/>
        <w:ind w:left="720" w:hanging="72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Fröhlich, H., Bontridder, N., Petrovska-Delacréta, D., Glaab, E., Kluge, F., Yacoubi, M. E., ... &amp; Klucken, J. (2022). Leveraging the potential of digital technology for better individualized treatment of Parkinson's disease. Frontiers in neurology, 13, 788427.</w:t>
      </w:r>
    </w:p>
    <w:p>
      <w:pPr>
        <w:spacing w:line="600" w:lineRule="auto"/>
        <w:ind w:left="720" w:hanging="72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Ghazy, S., Tang, Y. H., Mugumya, K. L., Wong, J. Y., &amp; Chan, A. (2022). Future-proofing Klang Valley’s veins with REBET: A framework for directing transportation technologies towards infrastructure resilience. Technological Forecasting and Social Change, 180, 121666.</w:t>
      </w:r>
    </w:p>
    <w:p>
      <w:pPr>
        <w:spacing w:line="600" w:lineRule="auto"/>
        <w:ind w:left="720" w:hanging="72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Haseeb, M., Hussain, H. I., Kot, S., Androniceanu, A., &amp; Jermsittiparsert, K. (2019). Role of social and technological challenges in achieving a sustainable competitive advantage and sustainable business performance. Sustainability, 11(14), 3811.</w:t>
      </w:r>
    </w:p>
    <w:p>
      <w:pPr>
        <w:spacing w:line="600" w:lineRule="auto"/>
        <w:ind w:left="720" w:hanging="72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Haudi, H., Handayani, W., Musnaini, M., Suyoto, Y., Prasetio, T., Pitaloka, E., ... &amp; Cahyon, Y. (2022). The effect of social media marketing on brand trust, brand equity and brand loyalty. International Journal of Data and Network Science, 6(3), 961-972.</w:t>
      </w:r>
    </w:p>
    <w:p>
      <w:pPr>
        <w:spacing w:line="600" w:lineRule="auto"/>
        <w:ind w:left="720" w:hanging="72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Hui, C. Y., Abdulla, A., Ahmed, Z., Goel, H., Monsur Habib, G. M., Hock, T. T., ... &amp; Pinnock, H. (2022). Mapping national information and communication technology (ICT) infrastructure to the requirements of potential digital health interventions in low-and middle-income countries. Journal of global health.</w:t>
      </w:r>
    </w:p>
    <w:p>
      <w:pPr>
        <w:spacing w:line="600" w:lineRule="auto"/>
        <w:ind w:left="720" w:hanging="72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Ibelegbu, A. N., &amp; Abanyam, F. E. (2022). Human Resource Management: Impact of Employees Relations and Training Practices of Listed Deposit Money Banks LDMB Performance in Adamawa State, Nigeria. Journal of Business Strategy Finance and Management, 4(1), 159.</w:t>
      </w:r>
    </w:p>
    <w:p>
      <w:pPr>
        <w:spacing w:line="600" w:lineRule="auto"/>
        <w:ind w:left="720" w:hanging="72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Isabelle, D., Horak, K., McKinnon, S., &amp; Palumbo, C. (2020). Is Porter's Five Forces Framework Still Relevant? A study of the capital/labour intensity continuum via mining and IT industries. Technology Innovation Management Review, 10(6).</w:t>
      </w:r>
    </w:p>
    <w:p>
      <w:pPr>
        <w:spacing w:line="600" w:lineRule="auto"/>
        <w:ind w:left="720" w:hanging="72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Jaeger, T. (2022). Operating system security. Springer Nature.</w:t>
      </w:r>
    </w:p>
    <w:p>
      <w:pPr>
        <w:spacing w:line="600" w:lineRule="auto"/>
        <w:ind w:left="720" w:hanging="72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Jeffries, P. (2022). Clinical simulations in nursing education: Advanced concepts, trends, and opportunities. Lippincott Williams &amp; Wilkins.</w:t>
      </w:r>
    </w:p>
    <w:p>
      <w:pPr>
        <w:spacing w:line="600" w:lineRule="auto"/>
        <w:ind w:left="720" w:hanging="72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Jena, S. K. (2023). Impact of customer-centric approach and customer dissatisfying cost on supply chain profit under price competition. Journal of Business &amp; Industrial Marketing.</w:t>
      </w:r>
    </w:p>
    <w:p>
      <w:pPr>
        <w:spacing w:line="600" w:lineRule="auto"/>
        <w:ind w:left="720" w:hanging="72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Jessin, J., Heinzlef, C., Long, N., &amp; Serre, D. (2023). A Systematic Review of UAVs for Island Coastal Environment and Risk Monitoring: Towards a Resilience Assessment. Drones, 7(3), 206.</w:t>
      </w:r>
    </w:p>
    <w:p>
      <w:pPr>
        <w:spacing w:line="600" w:lineRule="auto"/>
        <w:ind w:left="720" w:hanging="72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Khan, I. S., Kauppila, O., Fatima, N., &amp; Majava, J. (2022). Stakeholder interdependencies in a collaborative innovation project. Journal of Innovation and Entrepreneurship, 11(1), 38.</w:t>
      </w:r>
    </w:p>
    <w:p>
      <w:pPr>
        <w:spacing w:line="600" w:lineRule="auto"/>
        <w:ind w:left="720" w:hanging="72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Kim, Y. J., &amp; Kim, H. S. (2022). The impact of hotel customer experience on customer satisfaction through online reviews. Sustainability, 14(2), 848.</w:t>
      </w:r>
    </w:p>
    <w:p>
      <w:pPr>
        <w:spacing w:line="600" w:lineRule="auto"/>
        <w:ind w:left="720" w:hanging="72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Kim, Y., Kim, H., Murphy, R., Lee, S., &amp; Ahn, C. R. (2022). Delegation or collaboration: Understanding different construction stakeholders’ perceptions of robotization. Journal of Management in Engineering, 38(1), 04021084.</w:t>
      </w:r>
    </w:p>
    <w:p>
      <w:pPr>
        <w:spacing w:line="600" w:lineRule="auto"/>
        <w:ind w:left="720" w:hanging="72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Kumar, R. (2022). Operations management. Jyothis Publishers.</w:t>
      </w:r>
    </w:p>
    <w:p>
      <w:pPr>
        <w:spacing w:line="600" w:lineRule="auto"/>
        <w:ind w:left="720" w:hanging="72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Laakkonen, A. (2023). Selling the value of data with a customer-centric approach: case Vaisala.</w:t>
      </w:r>
    </w:p>
    <w:p>
      <w:pPr>
        <w:spacing w:line="600" w:lineRule="auto"/>
        <w:ind w:left="720" w:hanging="72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Liu, Z., Vu, T. L., Phan, T. T. H., Ngo, T. Q., Anh, N. H. V., &amp; Putra, A. R. S. (2022). Financial inclusion and green economic performance for energy efficiency finance. Economic Change and Restructuring, 55(4), 2359-2389.</w:t>
      </w:r>
    </w:p>
    <w:p>
      <w:pPr>
        <w:spacing w:line="600" w:lineRule="auto"/>
        <w:ind w:left="720" w:hanging="72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Malarvizhi, C. A., Al Mamun, A., Jayashree, S., Naznen, F., &amp; Abir, T. (2022). Modelling the significance of social media marketing activities, brand equity and loyalty to predict consumers’ willingness to pay premium price for portable tech gadgets. Heliyon, 8(8).</w:t>
      </w:r>
    </w:p>
    <w:p>
      <w:pPr>
        <w:spacing w:line="600" w:lineRule="auto"/>
        <w:ind w:left="720" w:hanging="72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Marterre, B., Kopecky, K., &amp; Miller, P. (2022). Primary palliative care for surgeons: a narrative review and synthesis of core competencies. Ann Palliat Med, 11(2), 885-906.</w:t>
      </w:r>
    </w:p>
    <w:p>
      <w:pPr>
        <w:spacing w:line="600" w:lineRule="auto"/>
        <w:ind w:left="720" w:hanging="72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McKenna, E. (2018). Delta Airlines: A Strategic Analysis.</w:t>
      </w:r>
    </w:p>
    <w:p>
      <w:pPr>
        <w:spacing w:line="600" w:lineRule="auto"/>
        <w:ind w:left="720" w:hanging="72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Messier, C., Bauhus, J., Doyon, F., Maure, F., Sousa-Silva, R., Nolet, P., ... &amp; Puettmann, K. (2019). The functional complex network approach to foster forest resilience to global changes. Forest Ecosystems, 6(1), 1-16.</w:t>
      </w:r>
    </w:p>
    <w:p>
      <w:pPr>
        <w:spacing w:line="600" w:lineRule="auto"/>
        <w:ind w:left="720" w:hanging="72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Naim, A. (2022). Understanding the customer centric approach to add value to social ecrm (SECRM). American Journal of Technology and Applied Sciences, 3, 17-31.</w:t>
      </w:r>
    </w:p>
    <w:p>
      <w:pPr>
        <w:spacing w:line="600" w:lineRule="auto"/>
        <w:ind w:left="720" w:hanging="72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Ngoc, N. M., &amp; Tien, N. H. (2023). Solutions for Development of High-Quality Human Resource in Binh Duong Industrial Province of Vietnam. International journal of business and globalisation.</w:t>
      </w:r>
    </w:p>
    <w:p>
      <w:pPr>
        <w:spacing w:line="600" w:lineRule="auto"/>
        <w:ind w:left="720" w:hanging="72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Ortega, R. G., Rodríguez, M. D. O., Vázquez, M. L., Ricardo, J. E., Figueiredo, J. A. S., &amp; Smarandache, F. (2019). Pestel analysis based on neutrosophic cognitive maps and neutrosophic numbers for the sinos river basin management. Infinite Study.</w:t>
      </w:r>
    </w:p>
    <w:p>
      <w:pPr>
        <w:spacing w:line="600" w:lineRule="auto"/>
        <w:ind w:left="720" w:hanging="72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Osman, A. I., Chen, L., Yang, M., Msigwa, G., Farghali, M., Fawzy, S., ... &amp; Yap, P. S. (2023). Cost, environmental impact, and resilience of renewable energy under a changing climate: a review. Environmental Chemistry Letters, 21(2), 741-764.</w:t>
      </w:r>
    </w:p>
    <w:p>
      <w:pPr>
        <w:spacing w:line="600" w:lineRule="auto"/>
        <w:ind w:left="720" w:hanging="72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Pratono, A. H., Darmasetiawan, N. K., Yudiarso, A., &amp; Jeong, B. G. (2019). Achieving sustainable competitive advantage through green entrepreneurial orientation and market orientation: The role of inter-organizational learning. The Bottom Line, 32(1), 2-15.</w:t>
      </w:r>
    </w:p>
    <w:p>
      <w:pPr>
        <w:spacing w:line="600" w:lineRule="auto"/>
        <w:ind w:left="720" w:hanging="72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Rajagopal, A. (2020). Transforming entrepreneurial business design: Converging leadership and customer-centric approach. Journal of Transnational Management, 25(2), 128-153.</w:t>
      </w:r>
    </w:p>
    <w:p>
      <w:pPr>
        <w:spacing w:line="600" w:lineRule="auto"/>
        <w:ind w:left="720" w:hanging="72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Roggeveen, A. L., &amp; Rosengren, S. (2022). From customer experience to human experience: Uses of systematized and non-systematized knowledge. Journal of Retailing and Consumer Services, 67, 102967.</w:t>
      </w:r>
    </w:p>
    <w:p>
      <w:pPr>
        <w:spacing w:line="600" w:lineRule="auto"/>
        <w:ind w:left="720" w:hanging="72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Satterthwaite, D., Archer, D., Colenbrander, S., Dodman, D., Hardoy, J., Mitlin, D., &amp; Patel, S. (2020). Building resilience to climate change in informal settlements. One Earth, 2(2), 143-156.</w:t>
      </w:r>
    </w:p>
    <w:p>
      <w:pPr>
        <w:spacing w:line="600" w:lineRule="auto"/>
        <w:ind w:left="720" w:hanging="72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Schumacher, P. (2022). The metaverse as opportunity for architecture and society: design drivers, core competencies. Architectural Intelligence, 1(1), 11.</w:t>
      </w:r>
    </w:p>
    <w:p>
      <w:pPr>
        <w:spacing w:line="600" w:lineRule="auto"/>
        <w:ind w:left="720" w:hanging="72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Sharma, F. C. (2023). Human resource management. SBPD Publications.</w:t>
      </w:r>
    </w:p>
    <w:p>
      <w:pPr>
        <w:spacing w:line="600" w:lineRule="auto"/>
        <w:ind w:left="720" w:hanging="72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Toan, T. T. (2023). Opportunities and challenges for quality of human resource in public sector of Vietnam’s logistics industry. International journal of public sector performance management.</w:t>
      </w:r>
    </w:p>
    <w:p>
      <w:pPr>
        <w:spacing w:line="600" w:lineRule="auto"/>
        <w:ind w:left="720" w:hanging="72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Viñals, E., Maneja, R., Rufí-Salís, M., Martí, M., &amp; Puy, N. (2023). Reviewing social-ecological resilience for agroforestry systems under climate change conditions. Science of the total environment, 869, 161763.</w:t>
      </w:r>
    </w:p>
    <w:p>
      <w:pPr>
        <w:spacing w:line="600" w:lineRule="auto"/>
        <w:ind w:left="720" w:hanging="72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Vuong, B. N., &amp; Hieu, V. T. (2023). The effect of empowering leadership on job performance among frontline employees: does power distance orientation matter?. Journal of Organizational Effectiveness: People and Performance, (ahead-of-print).</w:t>
      </w:r>
    </w:p>
    <w:p>
      <w:pPr>
        <w:spacing w:line="600" w:lineRule="auto"/>
        <w:ind w:left="720" w:hanging="72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Wen, J., Huang, S. S., &amp; Teo, S. (2023). Effect of empowering leadership on work engagement via psychological empowerment: Moderation of cultural orientation. Journal of Hospitality and Tourism Management, 54, 88-97.</w:t>
      </w:r>
    </w:p>
    <w:p>
      <w:pPr>
        <w:spacing w:line="600" w:lineRule="auto"/>
        <w:ind w:left="720" w:hanging="72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Zulfikar, T., Aprianti, I., &amp; Rachmawati, E. (2022). Digital Marketing and Brand Image To Increase Consumer Purchase Interest. Jurnal Manajemen Industri dan Logistik (JMIL), 6(1), 21-29.</w:t>
      </w:r>
    </w:p>
    <w:sectPr>
      <w:headerReference r:id="rId6" w:type="default"/>
      <w:footerReference r:id="rId7" w:type="default"/>
      <w:pgSz w:w="12240" w:h="15840"/>
      <w:pgMar w:top="1440" w:right="1440" w:bottom="1440" w:left="1440" w:header="720" w:footer="720" w:gutter="0"/>
      <w:pgNumType w:fmt="decimal"/>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00000000" w:usb1="00000000" w:usb2="00000000" w:usb3="00000000" w:csb0="00000000" w:csb1="00000000"/>
  </w:font>
  <w:font w:name="宋体">
    <w:altName w:val="汉仪书宋二KW"/>
    <w:panose1 w:val="00000000000000000000"/>
    <w:charset w:val="86"/>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00000000" w:csb1="00000000"/>
  </w:font>
  <w:font w:name="Arial">
    <w:panose1 w:val="020B0604020202020204"/>
    <w:charset w:val="01"/>
    <w:family w:val="swiss"/>
    <w:pitch w:val="default"/>
    <w:sig w:usb0="00000000" w:usb1="00000000" w:usb2="00000000" w:usb3="00000000" w:csb0="00000000" w:csb1="00000000"/>
  </w:font>
  <w:font w:name="黑体">
    <w:altName w:val="汉仪中黑KW"/>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00000000" w:usb1="00000000" w:usb2="00000000" w:usb3="00000000" w:csb0="00000000" w:csb1="0000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汉仪书宋二KW">
    <w:panose1 w:val="00020600040101010101"/>
    <w:charset w:val="86"/>
    <w:family w:val="auto"/>
    <w:pitch w:val="default"/>
    <w:sig w:usb0="00000000" w:usb1="00000000" w:usb2="00000000" w:usb3="00000000" w:csb0="00160000" w:csb1="00000000"/>
  </w:font>
  <w:font w:name="等线">
    <w:altName w:val="汉仪中等线KW"/>
    <w:panose1 w:val="02010600030101010101"/>
    <w:charset w:val="86"/>
    <w:family w:val="auto"/>
    <w:pitch w:val="default"/>
    <w:sig w:usb0="00000000" w:usb1="00000000" w:usb2="00000016" w:usb3="00000000" w:csb0="0004000F" w:csb1="00000000"/>
  </w:font>
  <w:font w:name="汉仪中等线KW">
    <w:panose1 w:val="01010104010101010101"/>
    <w:charset w:val="86"/>
    <w:family w:val="auto"/>
    <w:pitch w:val="default"/>
    <w:sig w:usb0="00000000" w:usb1="00000000" w:usb2="00000000" w:usb3="00000000" w:csb0="00160000" w:csb1="00000000"/>
  </w:font>
  <w:font w:name="等线 Light">
    <w:altName w:val="汉仪中等线KW"/>
    <w:panose1 w:val="02010600030101010101"/>
    <w:charset w:val="86"/>
    <w:family w:val="auto"/>
    <w:pitch w:val="default"/>
    <w:sig w:usb0="00000000" w:usb1="00000000" w:usb2="00000016" w:usb3="00000000" w:csb0="0004000F" w:csb1="00000000"/>
  </w:font>
  <w:font w:name="Calibri Light">
    <w:altName w:val="Helvetica Neue"/>
    <w:panose1 w:val="020F0302020204030204"/>
    <w:charset w:val="00"/>
    <w:family w:val="swiss"/>
    <w:pitch w:val="default"/>
    <w:sig w:usb0="00000000" w:usb1="00000000" w:usb2="00000009" w:usb3="00000000" w:csb0="000001FF" w:csb1="00000000"/>
  </w:font>
  <w:font w:name="Times New Roman Regular">
    <w:panose1 w:val="02020603050405020304"/>
    <w:charset w:val="00"/>
    <w:family w:val="auto"/>
    <w:pitch w:val="default"/>
    <w:sig w:usb0="00000000" w:usb1="00000000" w:usb2="00000000" w:usb3="00000000" w:csb0="00000000" w:csb1="00000000"/>
  </w:font>
  <w:font w:name="Times New Roman Bold">
    <w:panose1 w:val="02020603050405020304"/>
    <w:charset w:val="00"/>
    <w:family w:val="auto"/>
    <w:pitch w:val="default"/>
    <w:sig w:usb0="00000000" w:usb1="00000000" w:usb2="00000000" w:usb3="00000000" w:csb0="00000000" w:csb1="00000000"/>
  </w:font>
  <w:font w:name="冬青黑体简体中文">
    <w:panose1 w:val="020B0300000000000000"/>
    <w:charset w:val="86"/>
    <w:family w:val="auto"/>
    <w:pitch w:val="default"/>
    <w:sig w:usb0="00000000" w:usb1="00000000" w:usb2="00000000" w:usb3="00000000" w:csb0="00160000" w:csb1="00000000"/>
  </w:font>
  <w:font w:name="PingFang SC">
    <w:panose1 w:val="020B0400000000000000"/>
    <w:charset w:val="86"/>
    <w:family w:val="auto"/>
    <w:pitch w:val="default"/>
    <w:sig w:usb0="00000000" w:usb1="00000000" w:usb2="00000000" w:usb3="00000000" w:csb0="00160000" w:csb1="00000000"/>
  </w:font>
  <w:font w:name="Tahoma">
    <w:panose1 w:val="020B0604030504040204"/>
    <w:charset w:val="00"/>
    <w:family w:val="auto"/>
    <w:pitch w:val="default"/>
    <w:sig w:usb0="00000000" w:usb1="00000000" w:usb2="00000000" w:usb3="00000000" w:csb0="00000000" w:csb1="00000000"/>
  </w:font>
  <w:font w:name="汉仪中黑KW">
    <w:panose1 w:val="00020600040101010101"/>
    <w:charset w:val="86"/>
    <w:family w:val="auto"/>
    <w:pitch w:val="default"/>
    <w:sig w:usb0="00000000" w:usb1="00000000" w:usb2="00000000" w:usb3="00000000" w:csb0="00160000" w:csb1="00000000"/>
  </w:font>
  <w:font w:name="Kingsoft Sign">
    <w:panose1 w:val="05050102010706020507"/>
    <w:charset w:val="00"/>
    <w:family w:val="auto"/>
    <w:pitch w:val="default"/>
    <w:sig w:usb0="00000000" w:usb1="00000000" w:usb2="00000000" w:usb3="00000000" w:csb0="00000000" w:csb1="00000000"/>
  </w:font>
  <w:font w:name="等线 Light">
    <w:altName w:val="汉仪中等线KW"/>
    <w:panose1 w:val="00000000000000000000"/>
    <w:charset w:val="00"/>
    <w:family w:val="auto"/>
    <w:pitch w:val="default"/>
    <w:sig w:usb0="00000000" w:usb1="00000000" w:usb2="00000000" w:usb3="00000000" w:csb0="00000000" w:csb1="00000000"/>
  </w:font>
  <w:font w:name="等线">
    <w:altName w:val="汉仪中等线KW"/>
    <w:panose1 w:val="00000000000000000000"/>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r>
      <w:rPr>
        <w:sz w:val="18"/>
      </w:rPr>
      <mc:AlternateContent>
        <mc:Choice Requires="wps">
          <w:drawing>
            <wp:anchor distT="0" distB="0" distL="114300" distR="114300" simplePos="0" relativeHeight="251661312" behindDoc="0" locked="0" layoutInCell="1" allowOverlap="1">
              <wp:simplePos x="0" y="0"/>
              <wp:positionH relativeFrom="margin">
                <wp:align>center</wp:align>
              </wp:positionH>
              <wp:positionV relativeFrom="paragraph">
                <wp:posOffset>0</wp:posOffset>
              </wp:positionV>
              <wp:extent cx="1828800" cy="1828800"/>
              <wp:effectExtent l="0" t="0" r="0" b="0"/>
              <wp:wrapNone/>
              <wp:docPr id="4" name="文本框 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4"/>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1312;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">
              <v:fill on="f" focussize="0,0"/>
              <v:stroke on="f" weight="0.5pt"/>
              <v:imagedata o:title=""/>
              <o:lock v:ext="edit" aspectratio="f"/>
              <v:textbox inset="0mm,0mm,0mm,0mm" style="mso-fit-shape-to-text:t;">
                <w:txbxContent>
                  <w:p>
                    <w:pPr>
                      <w:pStyle w:val="4"/>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r>
      <w:rPr>
        <w:sz w:val="18"/>
      </w:rP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paragraph">
                <wp:posOffset>0</wp:posOffset>
              </wp:positionV>
              <wp:extent cx="1828800" cy="1828800"/>
              <wp:effectExtent l="0" t="0" r="0" b="0"/>
              <wp:wrapNone/>
              <wp:docPr id="3" name="文本框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4"/>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0288;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">
              <v:fill on="f" focussize="0,0"/>
              <v:stroke on="f" weight="0.5pt"/>
              <v:imagedata o:title=""/>
              <o:lock v:ext="edit" aspectratio="f"/>
              <v:textbox inset="0mm,0mm,0mm,0mm" style="mso-fit-shape-to-text:t;">
                <w:txbxContent>
                  <w:p>
                    <w:pPr>
                      <w:pStyle w:val="4"/>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480" w:lineRule="auto"/>
      </w:pPr>
      <w:r>
        <w:separator/>
      </w:r>
    </w:p>
  </w:footnote>
  <w:footnote w:type="continuationSeparator" w:id="1">
    <w:p>
      <w:pPr>
        <w:spacing w:line="48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ind w:left="0" w:leftChars="0" w:firstLine="0" w:firstLineChars="0"/>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5"/>
                          </w:pPr>
                          <w:r>
                            <w:fldChar w:fldCharType="begin"/>
                          </w:r>
                          <w:r>
                            <w:instrText xml:space="preserve"> PAGE  \* MERGEFORMAT </w:instrText>
                          </w:r>
                          <w:r>
                            <w:fldChar w:fldCharType="separate"/>
                          </w:r>
                          <w:r>
                            <w:t>4</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">
              <v:fill on="f" focussize="0,0"/>
              <v:stroke on="f" weight="0.5pt"/>
              <v:imagedata o:title=""/>
              <o:lock v:ext="edit" aspectratio="f"/>
              <v:textbox inset="0mm,0mm,0mm,0mm" style="mso-fit-shape-to-text:t;">
                <w:txbxContent>
                  <w:p>
                    <w:pPr>
                      <w:pStyle w:val="5"/>
                    </w:pPr>
                    <w:r>
                      <w:fldChar w:fldCharType="begin"/>
                    </w:r>
                    <w:r>
                      <w:instrText xml:space="preserve"> PAGE  \* MERGEFORMAT </w:instrText>
                    </w:r>
                    <w:r>
                      <w:fldChar w:fldCharType="separate"/>
                    </w:r>
                    <w:r>
                      <w:t>4</w:t>
                    </w:r>
                    <w:r>
                      <w:fldChar w:fldCharType="end"/>
                    </w:r>
                  </w:p>
                </w:txbxContent>
              </v:textbox>
            </v:shape>
          </w:pict>
        </mc:Fallback>
      </mc:AlternateConten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55"/>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5047E"/>
    <w:rsid w:val="0008534C"/>
    <w:rsid w:val="000C3298"/>
    <w:rsid w:val="0015047E"/>
    <w:rsid w:val="00314756"/>
    <w:rsid w:val="005D34E9"/>
    <w:rsid w:val="00610E84"/>
    <w:rsid w:val="00786E17"/>
    <w:rsid w:val="007C5DE2"/>
    <w:rsid w:val="007F2D4B"/>
    <w:rsid w:val="008A2254"/>
    <w:rsid w:val="008C2A4C"/>
    <w:rsid w:val="00982F62"/>
    <w:rsid w:val="009C2CAE"/>
    <w:rsid w:val="00A37FEC"/>
    <w:rsid w:val="00A56140"/>
    <w:rsid w:val="00B305DE"/>
    <w:rsid w:val="00B54984"/>
    <w:rsid w:val="00BD2B5B"/>
    <w:rsid w:val="00C536E9"/>
    <w:rsid w:val="00CA0DED"/>
    <w:rsid w:val="00E055F5"/>
    <w:rsid w:val="00FA3DB5"/>
    <w:rsid w:val="00FC71DD"/>
    <w:rsid w:val="3DFF9FDC"/>
    <w:rsid w:val="5FFF61F6"/>
    <w:rsid w:val="CFBC7CAF"/>
    <w:rsid w:val="FCFFC31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480" w:lineRule="auto"/>
      <w:ind w:firstLine="720"/>
      <w:jc w:val="both"/>
    </w:pPr>
    <w:rPr>
      <w:rFonts w:ascii="Times New Roman" w:hAnsi="Times New Roman" w:eastAsiaTheme="minorEastAsia" w:cstheme="minorBidi"/>
      <w:sz w:val="24"/>
      <w:szCs w:val="22"/>
      <w:lang w:val="en-US" w:eastAsia="en-US" w:bidi="ar-SA"/>
    </w:rPr>
  </w:style>
  <w:style w:type="paragraph" w:styleId="2">
    <w:name w:val="heading 1"/>
    <w:basedOn w:val="1"/>
    <w:next w:val="1"/>
    <w:link w:val="12"/>
    <w:qFormat/>
    <w:uiPriority w:val="9"/>
    <w:pPr>
      <w:keepNext/>
      <w:keepLines/>
      <w:spacing w:before="240"/>
      <w:ind w:firstLine="0"/>
      <w:outlineLvl w:val="0"/>
    </w:pPr>
    <w:rPr>
      <w:rFonts w:eastAsiaTheme="majorEastAsia" w:cstheme="majorBidi"/>
      <w:b/>
      <w:sz w:val="28"/>
      <w:szCs w:val="32"/>
    </w:rPr>
  </w:style>
  <w:style w:type="paragraph" w:styleId="3">
    <w:name w:val="heading 2"/>
    <w:basedOn w:val="1"/>
    <w:next w:val="1"/>
    <w:link w:val="13"/>
    <w:unhideWhenUsed/>
    <w:qFormat/>
    <w:uiPriority w:val="9"/>
    <w:pPr>
      <w:keepNext/>
      <w:keepLines/>
      <w:spacing w:before="40"/>
      <w:ind w:firstLine="0"/>
      <w:outlineLvl w:val="1"/>
    </w:pPr>
    <w:rPr>
      <w:rFonts w:eastAsiaTheme="majorEastAsia" w:cstheme="majorBidi"/>
      <w:b/>
      <w:sz w:val="28"/>
      <w:szCs w:val="26"/>
    </w:rPr>
  </w:style>
  <w:style w:type="character" w:default="1" w:styleId="9">
    <w:name w:val="Default Paragraph Font"/>
    <w:semiHidden/>
    <w:unhideWhenUsed/>
    <w:uiPriority w:val="1"/>
  </w:style>
  <w:style w:type="table" w:default="1" w:styleId="8">
    <w:name w:val="Normal Table"/>
    <w:semiHidden/>
    <w:unhideWhenUsed/>
    <w:uiPriority w:val="99"/>
    <w:tblPr>
      <w:tblCellMar>
        <w:top w:w="0" w:type="dxa"/>
        <w:left w:w="108" w:type="dxa"/>
        <w:bottom w:w="0" w:type="dxa"/>
        <w:right w:w="108" w:type="dxa"/>
      </w:tblCellMar>
    </w:tblPr>
  </w:style>
  <w:style w:type="paragraph" w:styleId="4">
    <w:name w:val="footer"/>
    <w:basedOn w:val="1"/>
    <w:semiHidden/>
    <w:unhideWhenUsed/>
    <w:uiPriority w:val="99"/>
    <w:pPr>
      <w:tabs>
        <w:tab w:val="center" w:pos="4153"/>
        <w:tab w:val="right" w:pos="8306"/>
      </w:tabs>
      <w:snapToGrid w:val="0"/>
      <w:jc w:val="left"/>
    </w:pPr>
    <w:rPr>
      <w:sz w:val="18"/>
    </w:rPr>
  </w:style>
  <w:style w:type="paragraph" w:styleId="5">
    <w:name w:val="header"/>
    <w:basedOn w:val="1"/>
    <w:semiHidden/>
    <w:unhideWhenUsed/>
    <w:uiPriority w:val="99"/>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6">
    <w:name w:val="toc 1"/>
    <w:basedOn w:val="1"/>
    <w:next w:val="1"/>
    <w:unhideWhenUsed/>
    <w:uiPriority w:val="39"/>
    <w:pPr>
      <w:spacing w:after="100"/>
    </w:pPr>
  </w:style>
  <w:style w:type="paragraph" w:styleId="7">
    <w:name w:val="toc 2"/>
    <w:basedOn w:val="1"/>
    <w:next w:val="1"/>
    <w:unhideWhenUsed/>
    <w:uiPriority w:val="39"/>
    <w:pPr>
      <w:spacing w:after="100"/>
      <w:ind w:left="240"/>
    </w:pPr>
  </w:style>
  <w:style w:type="character" w:styleId="10">
    <w:name w:val="Hyperlink"/>
    <w:basedOn w:val="9"/>
    <w:unhideWhenUsed/>
    <w:uiPriority w:val="99"/>
    <w:rPr>
      <w:color w:val="0563C1" w:themeColor="hyperlink"/>
      <w:u w:val="single"/>
      <w14:textFill>
        <w14:solidFill>
          <w14:schemeClr w14:val="hlink"/>
        </w14:solidFill>
      </w14:textFill>
    </w:rPr>
  </w:style>
  <w:style w:type="paragraph" w:styleId="11">
    <w:name w:val="List Paragraph"/>
    <w:basedOn w:val="1"/>
    <w:qFormat/>
    <w:uiPriority w:val="34"/>
    <w:pPr>
      <w:ind w:left="720"/>
      <w:contextualSpacing/>
    </w:pPr>
  </w:style>
  <w:style w:type="character" w:customStyle="1" w:styleId="12">
    <w:name w:val="标题 1 字符"/>
    <w:basedOn w:val="9"/>
    <w:link w:val="2"/>
    <w:uiPriority w:val="9"/>
    <w:rPr>
      <w:rFonts w:eastAsiaTheme="majorEastAsia" w:cstheme="majorBidi"/>
      <w:b/>
      <w:sz w:val="28"/>
      <w:szCs w:val="32"/>
    </w:rPr>
  </w:style>
  <w:style w:type="character" w:customStyle="1" w:styleId="13">
    <w:name w:val="标题 2 字符"/>
    <w:basedOn w:val="9"/>
    <w:link w:val="3"/>
    <w:uiPriority w:val="9"/>
    <w:rPr>
      <w:rFonts w:eastAsiaTheme="majorEastAsia" w:cstheme="majorBidi"/>
      <w:b/>
      <w:sz w:val="28"/>
      <w:szCs w:val="26"/>
    </w:rPr>
  </w:style>
  <w:style w:type="paragraph" w:customStyle="1" w:styleId="14">
    <w:name w:val="TOC Heading"/>
    <w:basedOn w:val="2"/>
    <w:next w:val="1"/>
    <w:unhideWhenUsed/>
    <w:qFormat/>
    <w:uiPriority w:val="39"/>
    <w:pPr>
      <w:spacing w:line="259" w:lineRule="auto"/>
      <w:jc w:val="left"/>
      <w:outlineLvl w:val="9"/>
    </w:pPr>
  </w:style>
  <w:style w:type="paragraph" w:customStyle="1" w:styleId="15">
    <w:name w:val="TOC 标题1"/>
    <w:basedOn w:val="2"/>
    <w:next w:val="1"/>
    <w:unhideWhenUsed/>
    <w:qFormat/>
    <w:uiPriority w:val="39"/>
    <w:pPr>
      <w:spacing w:before="480" w:line="276" w:lineRule="auto"/>
      <w:outlineLvl w:val="9"/>
    </w:pPr>
    <w:rPr>
      <w:rFonts w:asciiTheme="majorHAnsi" w:hAnsiTheme="majorHAnsi" w:eastAsiaTheme="majorEastAsia" w:cstheme="majorBidi"/>
      <w:bCs/>
      <w:color w:val="2E75B6" w:themeColor="accent1" w:themeShade="BF"/>
      <w:lang w:val="en-US" w:eastAsia="ja-JP"/>
    </w:rPr>
  </w:style>
</w:styles>
</file>

<file path=word/_rels/document.xml.rels><?xml version="1.0" encoding="UTF-8" standalone="yes"?>
<Relationships xmlns="http://schemas.openxmlformats.org/package/2006/relationships"><Relationship Id="rId9" Type="http://schemas.openxmlformats.org/officeDocument/2006/relationships/image" Target="media/image1.png"/><Relationship Id="rId8" Type="http://schemas.openxmlformats.org/officeDocument/2006/relationships/theme" Target="theme/theme1.xml"/><Relationship Id="rId7" Type="http://schemas.openxmlformats.org/officeDocument/2006/relationships/footer" Target="footer2.xml"/><Relationship Id="rId6" Type="http://schemas.openxmlformats.org/officeDocument/2006/relationships/header" Target="header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customXml" Target="../customXml/item1.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29</Pages>
  <Words>7266</Words>
  <Characters>41421</Characters>
  <Lines>345</Lines>
  <Paragraphs>97</Paragraphs>
  <TotalTime>15</TotalTime>
  <ScaleCrop>false</ScaleCrop>
  <LinksUpToDate>false</LinksUpToDate>
  <CharactersWithSpaces>48590</CharactersWithSpaces>
  <Application>WPS Office_5.5.1.7991_F1E327BC-269C-435d-A152-05C5408002CA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2023-07-14T01:43:00Z</dcterms:created>
  <dc:creator>User</dc:creator>
  <cp:lastModifiedBy>kkw</cp:lastModifiedBy>
  <dcterms:modified xsi:type="dcterms:W3CDTF">2023-07-13T20:15:35Z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998b7050-d2f7-48ba-a366-71cbdf0c299f</vt:lpwstr>
  </property>
  <property fmtid="{D5CDD505-2E9C-101B-9397-08002B2CF9AE}" pid="3" name="KSOProductBuildVer">
    <vt:lpwstr>2052-5.5.1.7991</vt:lpwstr>
  </property>
  <property fmtid="{D5CDD505-2E9C-101B-9397-08002B2CF9AE}" pid="4" name="ICV">
    <vt:lpwstr>30535528B830993F45E2AF64BF116374_42</vt:lpwstr>
  </property>
</Properties>
</file>