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before="240" w:after="120"/>
        <w:jc w:val="center"/>
        <w:rPr>
          <w:rFonts w:ascii="Calibri" w:cs="Calibri" w:hAnsi="Calibri" w:eastAsia="Calibri"/>
          <w:b w:val="1"/>
          <w:bCs w:val="1"/>
          <w:outline w:val="0"/>
          <w:color w:val="000000"/>
          <w:sz w:val="32"/>
          <w:szCs w:val="32"/>
          <w:u w:color="000000"/>
          <w14:textFill>
            <w14:solidFill>
              <w14:srgbClr w14:val="000000"/>
            </w14:solidFill>
          </w14:textFill>
        </w:rPr>
      </w:pPr>
      <w:r>
        <w:rPr>
          <w:rFonts w:ascii="Calibri" w:hAnsi="Calibri"/>
          <w:b w:val="1"/>
          <w:bCs w:val="1"/>
          <w:outline w:val="0"/>
          <w:color w:val="000000"/>
          <w:sz w:val="32"/>
          <w:szCs w:val="32"/>
          <w:u w:color="000000"/>
          <w:rtl w:val="0"/>
          <w:lang w:val="en-US"/>
          <w14:textFill>
            <w14:solidFill>
              <w14:srgbClr w14:val="000000"/>
            </w14:solidFill>
          </w14:textFill>
        </w:rPr>
        <w:t>CIPD Level 5 Associate Diploma in People Management</w:t>
      </w:r>
    </w:p>
    <w:p>
      <w:pPr>
        <w:pStyle w:val="Body"/>
        <w:spacing w:before="240" w:after="120"/>
        <w:jc w:val="center"/>
        <w:rPr>
          <w:rFonts w:ascii="Calibri" w:cs="Calibri" w:hAnsi="Calibri" w:eastAsia="Calibri"/>
          <w:b w:val="1"/>
          <w:bCs w:val="1"/>
          <w:outline w:val="0"/>
          <w:color w:val="000000"/>
          <w:sz w:val="32"/>
          <w:szCs w:val="32"/>
          <w:u w:color="000000"/>
          <w14:textFill>
            <w14:solidFill>
              <w14:srgbClr w14:val="000000"/>
            </w14:solidFill>
          </w14:textFill>
        </w:rPr>
      </w:pPr>
      <w:r>
        <w:rPr>
          <w:rFonts w:ascii="Calibri" w:hAnsi="Calibri"/>
          <w:b w:val="1"/>
          <w:bCs w:val="1"/>
          <w:outline w:val="0"/>
          <w:color w:val="000000"/>
          <w:sz w:val="32"/>
          <w:szCs w:val="32"/>
          <w:u w:color="000000"/>
          <w:rtl w:val="0"/>
          <w:lang w:val="en-US"/>
          <w14:textFill>
            <w14:solidFill>
              <w14:srgbClr w14:val="000000"/>
            </w14:solidFill>
          </w14:textFill>
        </w:rPr>
        <w:t>Assignment Front Sheet</w:t>
      </w:r>
    </w:p>
    <w:p>
      <w:pPr>
        <w:pStyle w:val="Body"/>
        <w:spacing w:before="240" w:after="120"/>
        <w:jc w:val="center"/>
        <w:rPr>
          <w:rFonts w:ascii="Calibri" w:cs="Calibri" w:hAnsi="Calibri" w:eastAsia="Calibri"/>
          <w:sz w:val="28"/>
          <w:szCs w:val="28"/>
        </w:rPr>
      </w:pPr>
    </w:p>
    <w:tbl>
      <w:tblPr>
        <w:tblW w:w="9128"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1d7"/>
        <w:tblLayout w:type="fixed"/>
      </w:tblPr>
      <w:tblGrid>
        <w:gridCol w:w="3420"/>
        <w:gridCol w:w="5708"/>
      </w:tblGrid>
      <w:tr>
        <w:tblPrEx>
          <w:shd w:val="clear" w:color="auto" w:fill="cad1d7"/>
        </w:tblPrEx>
        <w:trPr>
          <w:trHeight w:val="313" w:hRule="atLeast"/>
        </w:trPr>
        <w:tc>
          <w:tcPr>
            <w:tcW w:type="dxa" w:w="342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240" w:after="120"/>
            </w:pPr>
            <w:r>
              <w:rPr>
                <w:rFonts w:ascii="Calibri" w:hAnsi="Calibri"/>
                <w:sz w:val="28"/>
                <w:szCs w:val="28"/>
                <w:shd w:val="nil" w:color="auto" w:fill="auto"/>
                <w:rtl w:val="0"/>
                <w:lang w:val="en-US"/>
              </w:rPr>
              <w:t>Name</w:t>
            </w:r>
          </w:p>
        </w:tc>
        <w:tc>
          <w:tcPr>
            <w:tcW w:type="dxa" w:w="5708"/>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240" w:after="240"/>
              <w:jc w:val="center"/>
            </w:pPr>
            <w:r>
              <w:rPr>
                <w:rFonts w:ascii="Calibri" w:hAnsi="Calibri"/>
                <w:sz w:val="28"/>
                <w:szCs w:val="28"/>
                <w:shd w:val="nil" w:color="auto" w:fill="auto"/>
                <w:rtl w:val="0"/>
                <w:lang w:val="en-US"/>
              </w:rPr>
              <w:t>Jane Lewis</w:t>
            </w:r>
          </w:p>
        </w:tc>
      </w:tr>
      <w:tr>
        <w:tblPrEx>
          <w:shd w:val="clear" w:color="auto" w:fill="cad1d7"/>
        </w:tblPrEx>
        <w:trPr>
          <w:trHeight w:val="313" w:hRule="atLeast"/>
        </w:trPr>
        <w:tc>
          <w:tcPr>
            <w:tcW w:type="dxa" w:w="342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0e4e7"/>
            <w:tcMar>
              <w:top w:type="dxa" w:w="80"/>
              <w:left w:type="dxa" w:w="80"/>
              <w:bottom w:type="dxa" w:w="80"/>
              <w:right w:type="dxa" w:w="80"/>
            </w:tcMar>
            <w:vAlign w:val="top"/>
          </w:tcPr>
          <w:p>
            <w:pPr>
              <w:pStyle w:val="Body"/>
              <w:spacing w:before="240" w:after="240"/>
            </w:pPr>
            <w:r>
              <w:rPr>
                <w:rFonts w:ascii="Calibri" w:hAnsi="Calibri"/>
                <w:sz w:val="28"/>
                <w:szCs w:val="28"/>
                <w:shd w:val="nil" w:color="auto" w:fill="auto"/>
                <w:rtl w:val="0"/>
                <w:lang w:val="en-US"/>
              </w:rPr>
              <w:t>CIPD Membership Number</w:t>
            </w:r>
          </w:p>
        </w:tc>
        <w:tc>
          <w:tcPr>
            <w:tcW w:type="dxa" w:w="5708"/>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0e4e7"/>
            <w:tcMar>
              <w:top w:type="dxa" w:w="80"/>
              <w:left w:type="dxa" w:w="80"/>
              <w:bottom w:type="dxa" w:w="80"/>
              <w:right w:type="dxa" w:w="80"/>
            </w:tcMar>
            <w:vAlign w:val="top"/>
          </w:tcPr>
          <w:p>
            <w:pPr>
              <w:pStyle w:val="Body"/>
              <w:spacing w:before="240" w:after="240"/>
              <w:jc w:val="center"/>
            </w:pPr>
            <w:r>
              <w:rPr>
                <w:rFonts w:ascii="Calibri" w:hAnsi="Calibri"/>
                <w:sz w:val="28"/>
                <w:szCs w:val="28"/>
                <w:shd w:val="nil" w:color="auto" w:fill="auto"/>
                <w:rtl w:val="0"/>
                <w:lang w:val="en-US"/>
              </w:rPr>
              <w:t>23296214</w:t>
            </w:r>
          </w:p>
        </w:tc>
      </w:tr>
      <w:tr>
        <w:tblPrEx>
          <w:shd w:val="clear" w:color="auto" w:fill="cad1d7"/>
        </w:tblPrEx>
        <w:trPr>
          <w:trHeight w:val="722" w:hRule="atLeast"/>
        </w:trPr>
        <w:tc>
          <w:tcPr>
            <w:tcW w:type="dxa" w:w="342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240" w:after="240"/>
            </w:pPr>
            <w:r>
              <w:rPr>
                <w:rFonts w:ascii="Calibri" w:hAnsi="Calibri"/>
                <w:sz w:val="28"/>
                <w:szCs w:val="28"/>
                <w:shd w:val="nil" w:color="auto" w:fill="auto"/>
                <w:rtl w:val="0"/>
                <w:lang w:val="en-US"/>
              </w:rPr>
              <w:t>CIPD Module Name</w:t>
            </w:r>
          </w:p>
        </w:tc>
        <w:tc>
          <w:tcPr>
            <w:tcW w:type="dxa" w:w="5708"/>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240" w:after="240"/>
              <w:jc w:val="center"/>
            </w:pPr>
            <w:r>
              <w:rPr>
                <w:rFonts w:ascii="Calibri" w:hAnsi="Calibri"/>
                <w:sz w:val="28"/>
                <w:szCs w:val="28"/>
                <w:shd w:val="nil" w:color="auto" w:fill="auto"/>
                <w:rtl w:val="0"/>
                <w:lang w:val="en-US"/>
              </w:rPr>
              <w:t>Organisational performance and culture in practice</w:t>
            </w:r>
          </w:p>
        </w:tc>
      </w:tr>
      <w:tr>
        <w:tblPrEx>
          <w:shd w:val="clear" w:color="auto" w:fill="cad1d7"/>
        </w:tblPrEx>
        <w:trPr>
          <w:trHeight w:val="313" w:hRule="atLeast"/>
        </w:trPr>
        <w:tc>
          <w:tcPr>
            <w:tcW w:type="dxa" w:w="342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0e4e7"/>
            <w:tcMar>
              <w:top w:type="dxa" w:w="80"/>
              <w:left w:type="dxa" w:w="80"/>
              <w:bottom w:type="dxa" w:w="80"/>
              <w:right w:type="dxa" w:w="80"/>
            </w:tcMar>
            <w:vAlign w:val="top"/>
          </w:tcPr>
          <w:p>
            <w:pPr>
              <w:pStyle w:val="Body"/>
              <w:spacing w:before="240" w:after="240"/>
            </w:pPr>
            <w:r>
              <w:rPr>
                <w:rFonts w:ascii="Calibri" w:hAnsi="Calibri"/>
                <w:sz w:val="28"/>
                <w:szCs w:val="28"/>
                <w:shd w:val="nil" w:color="auto" w:fill="auto"/>
                <w:rtl w:val="0"/>
                <w:lang w:val="en-US"/>
              </w:rPr>
              <w:t>CIPD Module Code</w:t>
            </w:r>
          </w:p>
        </w:tc>
        <w:tc>
          <w:tcPr>
            <w:tcW w:type="dxa" w:w="5708"/>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0e4e7"/>
            <w:tcMar>
              <w:top w:type="dxa" w:w="80"/>
              <w:left w:type="dxa" w:w="80"/>
              <w:bottom w:type="dxa" w:w="80"/>
              <w:right w:type="dxa" w:w="80"/>
            </w:tcMar>
            <w:vAlign w:val="top"/>
          </w:tcPr>
          <w:p>
            <w:pPr>
              <w:pStyle w:val="Body"/>
              <w:spacing w:before="240" w:after="240"/>
              <w:jc w:val="center"/>
            </w:pPr>
            <w:r>
              <w:rPr>
                <w:rFonts w:ascii="Calibri" w:hAnsi="Calibri"/>
                <w:sz w:val="28"/>
                <w:szCs w:val="28"/>
                <w:shd w:val="nil" w:color="auto" w:fill="auto"/>
                <w:rtl w:val="0"/>
                <w:lang w:val="en-US"/>
              </w:rPr>
              <w:t>5C001</w:t>
            </w:r>
          </w:p>
        </w:tc>
      </w:tr>
      <w:tr>
        <w:tblPrEx>
          <w:shd w:val="clear" w:color="auto" w:fill="cad1d7"/>
        </w:tblPrEx>
        <w:trPr>
          <w:trHeight w:val="313" w:hRule="atLeast"/>
        </w:trPr>
        <w:tc>
          <w:tcPr>
            <w:tcW w:type="dxa" w:w="342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240" w:after="240"/>
            </w:pPr>
            <w:r>
              <w:rPr>
                <w:rFonts w:ascii="Calibri" w:hAnsi="Calibri"/>
                <w:sz w:val="28"/>
                <w:szCs w:val="28"/>
                <w:shd w:val="nil" w:color="auto" w:fill="auto"/>
                <w:rtl w:val="0"/>
                <w:lang w:val="en-US"/>
              </w:rPr>
              <w:t>Word Count</w:t>
            </w:r>
          </w:p>
        </w:tc>
        <w:tc>
          <w:tcPr>
            <w:tcW w:type="dxa" w:w="5708"/>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240" w:after="240"/>
              <w:jc w:val="center"/>
            </w:pPr>
            <w:r>
              <w:rPr>
                <w:rFonts w:ascii="Calibri" w:hAnsi="Calibri"/>
                <w:sz w:val="28"/>
                <w:szCs w:val="28"/>
                <w:shd w:val="nil" w:color="auto" w:fill="auto"/>
                <w:rtl w:val="0"/>
                <w:lang w:val="en-US"/>
              </w:rPr>
              <w:t>4671</w:t>
            </w:r>
          </w:p>
        </w:tc>
      </w:tr>
    </w:tbl>
    <w:p>
      <w:pPr>
        <w:pStyle w:val="Body"/>
        <w:widowControl w:val="0"/>
        <w:spacing w:before="240" w:after="120" w:line="240" w:lineRule="auto"/>
        <w:jc w:val="center"/>
        <w:rPr>
          <w:rFonts w:ascii="Calibri" w:cs="Calibri" w:hAnsi="Calibri" w:eastAsia="Calibri"/>
          <w:sz w:val="28"/>
          <w:szCs w:val="28"/>
        </w:rPr>
      </w:pPr>
    </w:p>
    <w:p>
      <w:pPr>
        <w:pStyle w:val="Body"/>
        <w:spacing w:before="240" w:after="120"/>
        <w:jc w:val="center"/>
        <w:rPr>
          <w:rFonts w:ascii="Calibri" w:cs="Calibri" w:hAnsi="Calibri" w:eastAsia="Calibri"/>
        </w:rPr>
      </w:pPr>
    </w:p>
    <w:p>
      <w:pPr>
        <w:pStyle w:val="Body"/>
        <w:spacing w:before="240" w:after="120"/>
        <w:jc w:val="center"/>
        <w:rPr>
          <w:rFonts w:ascii="Calibri" w:cs="Calibri" w:hAnsi="Calibri" w:eastAsia="Calibri"/>
        </w:rPr>
      </w:pPr>
    </w:p>
    <w:p>
      <w:pPr>
        <w:pStyle w:val="Body"/>
        <w:spacing w:before="240" w:after="120" w:line="240" w:lineRule="auto"/>
        <w:jc w:val="center"/>
        <w:rPr>
          <w:rFonts w:ascii="Calibri" w:cs="Calibri" w:hAnsi="Calibri" w:eastAsia="Calibri"/>
        </w:rPr>
      </w:pPr>
    </w:p>
    <w:p>
      <w:pPr>
        <w:pStyle w:val="Body"/>
        <w:spacing w:before="240" w:after="120" w:line="240" w:lineRule="auto"/>
        <w:jc w:val="center"/>
        <w:rPr>
          <w:rFonts w:ascii="Calibri" w:cs="Calibri" w:hAnsi="Calibri" w:eastAsia="Calibri"/>
        </w:rPr>
      </w:pPr>
    </w:p>
    <w:p>
      <w:pPr>
        <w:pStyle w:val="Body"/>
        <w:spacing w:before="240" w:after="120" w:line="240" w:lineRule="auto"/>
        <w:jc w:val="center"/>
        <w:rPr>
          <w:rFonts w:ascii="Calibri" w:cs="Calibri" w:hAnsi="Calibri" w:eastAsia="Calibri"/>
        </w:rPr>
      </w:pPr>
    </w:p>
    <w:p>
      <w:pPr>
        <w:pStyle w:val="Body"/>
        <w:spacing w:before="240" w:after="120" w:line="240" w:lineRule="auto"/>
        <w:jc w:val="center"/>
        <w:rPr>
          <w:rFonts w:ascii="Calibri" w:cs="Calibri" w:hAnsi="Calibri" w:eastAsia="Calibri"/>
        </w:rPr>
      </w:pPr>
    </w:p>
    <w:p>
      <w:pPr>
        <w:pStyle w:val="Body"/>
        <w:spacing w:before="240" w:after="120" w:line="240" w:lineRule="auto"/>
        <w:jc w:val="center"/>
        <w:rPr>
          <w:rFonts w:ascii="Calibri" w:cs="Calibri" w:hAnsi="Calibri" w:eastAsia="Calibri"/>
        </w:rPr>
      </w:pPr>
    </w:p>
    <w:p>
      <w:pPr>
        <w:pStyle w:val="Body"/>
        <w:spacing w:before="240" w:after="120" w:line="240" w:lineRule="auto"/>
        <w:jc w:val="center"/>
        <w:rPr>
          <w:rFonts w:ascii="Calibri" w:cs="Calibri" w:hAnsi="Calibri" w:eastAsia="Calibri"/>
        </w:rPr>
      </w:pPr>
    </w:p>
    <w:p>
      <w:pPr>
        <w:pStyle w:val="Body"/>
        <w:spacing w:before="240" w:after="120" w:line="240" w:lineRule="auto"/>
        <w:jc w:val="center"/>
        <w:rPr>
          <w:rFonts w:ascii="Calibri" w:cs="Calibri" w:hAnsi="Calibri" w:eastAsia="Calibri"/>
        </w:rPr>
      </w:pPr>
    </w:p>
    <w:p>
      <w:pPr>
        <w:pStyle w:val="Body"/>
        <w:spacing w:before="240" w:after="120" w:line="240" w:lineRule="auto"/>
        <w:rPr>
          <w:rFonts w:ascii="Calibri" w:cs="Calibri" w:hAnsi="Calibri" w:eastAsia="Calibri"/>
        </w:rPr>
      </w:pPr>
    </w:p>
    <w:p>
      <w:pPr>
        <w:pStyle w:val="Body"/>
        <w:spacing w:before="240" w:after="120" w:line="240" w:lineRule="auto"/>
        <w:rPr>
          <w:rFonts w:ascii="Calibri" w:cs="Calibri" w:hAnsi="Calibri" w:eastAsia="Calibri"/>
        </w:rPr>
      </w:pPr>
    </w:p>
    <w:p>
      <w:pPr>
        <w:pStyle w:val="Body"/>
        <w:spacing w:before="240" w:after="120" w:line="240" w:lineRule="auto"/>
        <w:rPr>
          <w:rFonts w:ascii="Calibri" w:cs="Calibri" w:hAnsi="Calibri" w:eastAsia="Calibri"/>
          <w:b w:val="1"/>
          <w:bCs w:val="1"/>
          <w:outline w:val="0"/>
          <w:color w:val="000000"/>
          <w:u w:color="000000"/>
          <w:lang w:val="en-US"/>
          <w14:textFill>
            <w14:solidFill>
              <w14:srgbClr w14:val="000000"/>
            </w14:solidFill>
          </w14:textFill>
        </w:rPr>
      </w:pPr>
    </w:p>
    <w:p>
      <w:pPr>
        <w:pStyle w:val="Body"/>
        <w:spacing w:before="165" w:after="165" w:line="240" w:lineRule="auto"/>
        <w:rPr>
          <w:ins w:id="0" w:date="2026-09-18T19:14:02Z" w:author="Jane Lewis"/>
          <w:rFonts w:ascii="Calibri" w:cs="Calibri" w:hAnsi="Calibri" w:eastAsia="Calibri"/>
          <w:outline w:val="0"/>
          <w:color w:val="000000"/>
          <w:u w:color="000000"/>
          <w14:textFill>
            <w14:solidFill>
              <w14:srgbClr w14:val="000000"/>
            </w14:solidFill>
          </w14:textFill>
        </w:rPr>
      </w:pPr>
    </w:p>
    <w:p>
      <w:pPr>
        <w:pStyle w:val="Body"/>
        <w:spacing w:before="165" w:after="165" w:line="240" w:lineRule="auto"/>
        <w:rPr>
          <w:ins w:id="1" w:date="2026-09-18T19:14:02Z" w:author="Jane Lewis"/>
          <w:rFonts w:ascii="Calibri" w:cs="Calibri" w:hAnsi="Calibri" w:eastAsia="Calibri"/>
          <w:outline w:val="0"/>
          <w:color w:val="000000"/>
          <w:u w:color="000000"/>
          <w14:textFill>
            <w14:solidFill>
              <w14:srgbClr w14:val="000000"/>
            </w14:solidFill>
          </w14:textFill>
        </w:rPr>
      </w:pPr>
    </w:p>
    <w:p>
      <w:pPr>
        <w:pStyle w:val="Body"/>
        <w:spacing w:before="165" w:after="165" w:line="240" w:lineRule="auto"/>
        <w:rPr>
          <w:ins w:id="2" w:date="2026-09-18T19:14:02Z" w:author="Jane Lewis"/>
          <w:rFonts w:ascii="Calibri" w:cs="Calibri" w:hAnsi="Calibri" w:eastAsia="Calibri"/>
          <w:outline w:val="0"/>
          <w:color w:val="000000"/>
          <w:u w:color="000000"/>
          <w14:textFill>
            <w14:solidFill>
              <w14:srgbClr w14:val="000000"/>
            </w14:solidFill>
          </w14:textFill>
        </w:rPr>
      </w:pPr>
    </w:p>
    <w:p>
      <w:pPr>
        <w:pStyle w:val="Body"/>
        <w:spacing w:before="165" w:after="165" w:line="240" w:lineRule="auto"/>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lang w:val="en-US"/>
          <w14:textFill>
            <w14:solidFill>
              <w14:srgbClr w14:val="000000"/>
            </w14:solidFill>
          </w14:textFill>
        </w:rPr>
        <w:t>Question 1. Evaluate the advantages and disadvantages of a divisional structure and a matrix structure for Artiron Motors, given the nature and size of the organisation. (AC1.1)</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Kew and Stredwick</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 xml:space="preserve">s (2016) models of organisational structure emphasise that structural choice should reflect an organisation's circumstances, strategy, and operating environment. Artiron Motors' hybrid organisational structure uses both divisional and matrix structures, owing to its size, international operations, and strategic attention to sustainability alongside innovation. Both structures provide positives but also present difficulties that could affect the organisation's ability to achieve its Evolve strategy (CIPD, 2023).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A key advantage of the divisional structure is that it enables decision-making to be designed for different geographical locations and business functions. As Artiron Motors operates manufacturing sites across the UK, Europe and North America, divisional managers can respond quickly to local market conditions, employment legislation and operational issues. The flexibility this gives the organisation is important as it faces outside challenges including tariffs, rising energy costs and supply chain disruption. This type of structure will help provide greater autonomy to individual divisions, which will allow them to respond to the needs of their markets and still contribute to the organisation's overall objectives (Mullins and Rees, 2023). A divisional structure can also encourage silo working, where divisions focus not on organisational goals but on their own priorities. For Artiron Motors, this could reduce collaboration between manufacturing sites, limiting the sharing of best practice in sustainability or EV production. Duplication of resources and inconsistent approaches could also increase costs and slow progress towards the company's carbon net zero target.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The matrix structure can support cross-functional collaboration, helping Artiron Motors respond to technological developments in battery technology and changing customer expectations. This is consistent with Burnes' (2017) view that organisational structures and organisational change need to be considered in relation to the wider environment and organisational strategy. These benefits support the Evolve strategy by supporting knowledge sharing and innovation across the organisation. However, matrix structures can also create uncertainty because employees report to both managerial and project managers. Conflicting priorities may delay decisions and increase employee stress. </w:t>
      </w:r>
    </w:p>
    <w:p>
      <w:pPr>
        <w:pStyle w:val="Body"/>
        <w:spacing w:before="120" w:after="120" w:line="240" w:lineRule="auto"/>
        <w:rPr>
          <w:rFonts w:ascii="Calibri" w:cs="Calibri" w:hAnsi="Calibri" w:eastAsia="Calibri"/>
          <w:outline w:val="0"/>
          <w:color w:val="ff0000"/>
          <w:u w:color="ff0000"/>
          <w14:textFill>
            <w14:solidFill>
              <w14:srgbClr w14:val="FF0000"/>
            </w14:solidFill>
          </w14:textFill>
        </w:rPr>
      </w:pPr>
      <w:r>
        <w:rPr>
          <w:rFonts w:ascii="Calibri" w:hAnsi="Calibri"/>
          <w:outline w:val="0"/>
          <w:color w:val="000000"/>
          <w:u w:color="000000"/>
          <w:rtl w:val="0"/>
          <w:lang w:val="en-US"/>
          <w14:textFill>
            <w14:solidFill>
              <w14:srgbClr w14:val="000000"/>
            </w14:solidFill>
          </w14:textFill>
        </w:rPr>
        <w:t xml:space="preserve">The combination of divisional and matrix structures is appropriate for an organisation of Artiron Motors' size and complexity. Factors such as organisational size and geographical spread can influence the most appropriate structure, and CIPD guidance suggests that organisational structures should be influenced by the organisation's goals, vision and strategy (CIPD, 2024). The divisional structure provides the flexibility required to manage different international operations, while the matrix structure can support collaboration across functions for strategic projects. However, potential disadvantages of combining structures can be reduced through clear communication and clearly defined roles, responsibilities and accountabilities. This balanced approach is therefore potentially well suited to supporting Artiron Motors' long-term business objectives and its Evolve strategy. </w:t>
      </w:r>
    </w:p>
    <w:p>
      <w:pPr>
        <w:pStyle w:val="Body"/>
        <w:spacing w:before="120" w:after="120" w:line="240" w:lineRule="auto"/>
        <w:rPr>
          <w:rFonts w:ascii="Calibri" w:cs="Calibri" w:hAnsi="Calibri" w:eastAsia="Calibri"/>
        </w:rPr>
      </w:pPr>
    </w:p>
    <w:p>
      <w:pPr>
        <w:pStyle w:val="Body"/>
        <w:spacing w:before="120" w:after="120" w:line="240" w:lineRule="auto"/>
        <w:rPr>
          <w:ins w:id="3" w:date="2026-09-18T19:14:09Z" w:author="Jane Lewis"/>
          <w:rFonts w:ascii="Calibri" w:cs="Calibri" w:hAnsi="Calibri" w:eastAsia="Calibri"/>
        </w:rPr>
      </w:pPr>
    </w:p>
    <w:p>
      <w:pPr>
        <w:pStyle w:val="Body"/>
        <w:spacing w:before="120" w:after="120" w:line="240" w:lineRule="auto"/>
        <w:rPr>
          <w:rFonts w:ascii="Calibri" w:cs="Calibri" w:hAnsi="Calibri" w:eastAsia="Calibri"/>
          <w:b w:val="1"/>
          <w:bCs w:val="1"/>
          <w:sz w:val="28"/>
          <w:szCs w:val="28"/>
        </w:rPr>
      </w:pPr>
      <w:r>
        <w:rPr>
          <w:rFonts w:ascii="Calibri" w:hAnsi="Calibri"/>
          <w:b w:val="1"/>
          <w:bCs w:val="1"/>
          <w:sz w:val="28"/>
          <w:szCs w:val="28"/>
          <w:rtl w:val="0"/>
          <w:lang w:val="it-IT"/>
        </w:rPr>
        <w:t>Question 2.</w:t>
      </w:r>
      <w:r>
        <w:rPr>
          <w:rFonts w:ascii="Calibri" w:hAnsi="Calibri"/>
          <w:b w:val="1"/>
          <w:bCs w:val="1"/>
          <w:outline w:val="0"/>
          <w:color w:val="000000"/>
          <w:sz w:val="28"/>
          <w:szCs w:val="28"/>
          <w:u w:color="000000"/>
          <w:rtl w:val="0"/>
          <w14:textFill>
            <w14:solidFill>
              <w14:srgbClr w14:val="000000"/>
            </w14:solidFill>
          </w14:textFill>
        </w:rPr>
        <w:t xml:space="preserve"> </w:t>
      </w:r>
      <w:r>
        <w:rPr>
          <w:rFonts w:ascii="Calibri" w:hAnsi="Calibri"/>
          <w:b w:val="1"/>
          <w:bCs w:val="1"/>
          <w:outline w:val="0"/>
          <w:color w:val="000000"/>
          <w:sz w:val="28"/>
          <w:szCs w:val="28"/>
          <w:u w:color="000000"/>
          <w:rtl w:val="0"/>
          <w:lang w:val="en-US"/>
          <w14:textFill>
            <w14:solidFill>
              <w14:srgbClr w14:val="000000"/>
            </w14:solidFill>
          </w14:textFill>
        </w:rPr>
        <w:t>Analyse how two customer preferences for eco-friendly products could impact organisational strategy at Artiron Motors.</w:t>
      </w:r>
      <w:r>
        <w:rPr>
          <w:rFonts w:ascii="Calibri" w:hAnsi="Calibri"/>
          <w:b w:val="1"/>
          <w:bCs w:val="1"/>
          <w:sz w:val="28"/>
          <w:szCs w:val="28"/>
          <w:rtl w:val="0"/>
          <w:lang w:val="it-IT"/>
        </w:rPr>
        <w:t xml:space="preserve"> (AC1.2)</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Customer preferences are an important external influence on organisational strategy because changes in consumer expectations can affect product development, investment decisions, competitiveness and the skills required by the workforce. PESTLE and SWOT can be used together to analyse these influences. CIPD (2025a) identifies SWOT</w:t>
      </w:r>
      <w:r>
        <w:rPr>
          <w:rFonts w:ascii="Calibri" w:hAnsi="Calibri"/>
          <w:outline w:val="0"/>
          <w:color w:val="ff0000"/>
          <w:u w:color="ff0000"/>
          <w:rtl w:val="0"/>
          <w:lang w:val="en-US"/>
          <w14:textFill>
            <w14:solidFill>
              <w14:srgbClr w14:val="FF0000"/>
            </w14:solidFill>
          </w14:textFill>
        </w:rPr>
        <w:t xml:space="preserve"> </w:t>
      </w:r>
      <w:r>
        <w:rPr>
          <w:rFonts w:ascii="Calibri" w:hAnsi="Calibri"/>
          <w:outline w:val="0"/>
          <w:color w:val="000000"/>
          <w:u w:color="000000"/>
          <w:rtl w:val="0"/>
          <w:lang w:val="en-US"/>
          <w14:textFill>
            <w14:solidFill>
              <w14:srgbClr w14:val="000000"/>
            </w14:solidFill>
          </w14:textFill>
        </w:rPr>
        <w:t xml:space="preserve">as a framework for matching organisational capabilities with internal and external factors, while PESTLE helps organisations assess wider environmental influences on strategic decisions.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Electric and low-emission vehicles are in increasing demand by Artiron Motors customers. This is a technological and environmental PESTLE factor. Increasing demand for both eco-friendly and safer vehicles will influence Artiron Motors</w:t>
      </w:r>
      <w:r>
        <w:rPr>
          <w:rFonts w:ascii="Calibri" w:hAnsi="Calibri" w:hint="default"/>
          <w:outline w:val="0"/>
          <w:color w:val="000000"/>
          <w:u w:color="000000"/>
          <w:rtl w:val="0"/>
          <w:lang w:val="en-US"/>
          <w14:textFill>
            <w14:solidFill>
              <w14:srgbClr w14:val="000000"/>
            </w14:solidFill>
          </w14:textFill>
        </w:rPr>
        <w:t xml:space="preserve">’ </w:t>
      </w:r>
      <w:r>
        <w:rPr>
          <w:rFonts w:ascii="Calibri" w:hAnsi="Calibri"/>
          <w:outline w:val="0"/>
          <w:color w:val="000000"/>
          <w:u w:color="000000"/>
          <w:rtl w:val="0"/>
          <w:lang w:val="en-US"/>
          <w14:textFill>
            <w14:solidFill>
              <w14:srgbClr w14:val="000000"/>
            </w14:solidFill>
          </w14:textFill>
        </w:rPr>
        <w:t xml:space="preserve">product strategy, requiring greater investment in EV research, battery technology, and manufacturing facilities. The manufacturing plants will require upgrades for EV production, which could entail significant expense and changes to existing processes.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From a SWOT perspective, this creates an opportunity for Artiron Motors. Its financial strength, international presence, engineering expertise and established brand could support investment in EV development and help it compete in a growing market. However, it also creates a potential threat if the organisation fails to keep up with customer expectations or advances in battery technology. Continued investment in innovation will therefore be important to maintain competitiveness.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The transition to EVs will also have people implications. New skills will be required in areas such as battery technology, electrical engineering, software and data analytics. CIPD (2023a)</w:t>
      </w:r>
      <w:r>
        <w:rPr>
          <w:rFonts w:ascii="Calibri" w:hAnsi="Calibri"/>
          <w:outline w:val="0"/>
          <w:color w:val="ff0000"/>
          <w:u w:color="ff0000"/>
          <w:rtl w:val="0"/>
          <w:lang w:val="en-US"/>
          <w14:textFill>
            <w14:solidFill>
              <w14:srgbClr w14:val="FF0000"/>
            </w14:solidFill>
          </w14:textFill>
        </w:rPr>
        <w:t xml:space="preserve"> </w:t>
      </w:r>
      <w:r>
        <w:rPr>
          <w:rFonts w:ascii="Calibri" w:hAnsi="Calibri"/>
          <w:outline w:val="0"/>
          <w:color w:val="000000"/>
          <w:u w:color="000000"/>
          <w:rtl w:val="0"/>
          <w:lang w:val="en-US"/>
          <w14:textFill>
            <w14:solidFill>
              <w14:srgbClr w14:val="000000"/>
            </w14:solidFill>
          </w14:textFill>
        </w:rPr>
        <w:t>highlights the importance of workforce planning and skills development in supporting the organisation</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 xml:space="preserve">s transition towards net zero. Artiron Motors could therefore use its early careers programme and learning and development activities to build these skills internally.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The second preference is for vehicles manufactured using environmentally sustainable processes. This is an environmental PESTLE factor. Customers may increasingly expect manufacturers to reduce emissions from production and supply chains, rather than focusing only on vehicle emissions. This directly supports Artiron Motors</w:t>
      </w:r>
      <w:r>
        <w:rPr>
          <w:rFonts w:ascii="Calibri" w:hAnsi="Calibri" w:hint="default"/>
          <w:outline w:val="0"/>
          <w:color w:val="000000"/>
          <w:u w:color="000000"/>
          <w:rtl w:val="0"/>
          <w:lang w:val="en-US"/>
          <w14:textFill>
            <w14:solidFill>
              <w14:srgbClr w14:val="000000"/>
            </w14:solidFill>
          </w14:textFill>
        </w:rPr>
        <w:t xml:space="preserve">’ </w:t>
      </w:r>
      <w:r>
        <w:rPr>
          <w:rFonts w:ascii="Calibri" w:hAnsi="Calibri"/>
          <w:outline w:val="0"/>
          <w:color w:val="000000"/>
          <w:u w:color="000000"/>
          <w:rtl w:val="0"/>
          <w:lang w:val="en-US"/>
          <w14:textFill>
            <w14:solidFill>
              <w14:srgbClr w14:val="000000"/>
            </w14:solidFill>
          </w14:textFill>
        </w:rPr>
        <w:t xml:space="preserve">Evolve strategy and its ambition to achieve carbon net zero by 2036.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This creates a further SWOT opportunity to differentiate the organisation through sustainable manufacturing. Actions could include increasing renewable energy use, reducing waste, improving energy efficiency and sourcing materials sustainably. However, these changes may increase short-term costs, particularly amid rising energy prices and supply chain disruptions.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Overall,  Artiron Motors should integrate product innovation, environmental investment and workforce development into its strategy to convert changing customer expectations into a long-term competitive advantage.</w:t>
      </w:r>
      <w:r>
        <w:rPr>
          <w:rFonts w:ascii="Calibri" w:hAnsi="Calibri"/>
          <w:outline w:val="0"/>
          <w:color w:val="ff0000"/>
          <w:u w:color="ff0000"/>
          <w:rtl w:val="0"/>
          <w:lang w:val="en-US"/>
          <w14:textFill>
            <w14:solidFill>
              <w14:srgbClr w14:val="FF0000"/>
            </w14:solidFill>
          </w14:textFill>
        </w:rPr>
        <w:t xml:space="preserve"> </w:t>
      </w:r>
    </w:p>
    <w:p>
      <w:pPr>
        <w:pStyle w:val="Body"/>
        <w:spacing w:before="120" w:after="120" w:line="240" w:lineRule="auto"/>
        <w:rPr>
          <w:rFonts w:ascii="Calibri" w:cs="Calibri" w:hAnsi="Calibri" w:eastAsia="Calibri"/>
        </w:rPr>
      </w:pPr>
    </w:p>
    <w:p>
      <w:pPr>
        <w:pStyle w:val="Body"/>
        <w:spacing w:before="165" w:after="165" w:line="240" w:lineRule="auto"/>
        <w:rPr>
          <w:ins w:id="4" w:date="2026-09-18T19:14:12Z" w:author="Jane Lewis"/>
          <w:rFonts w:ascii="Calibri" w:cs="Calibri" w:hAnsi="Calibri" w:eastAsia="Calibri"/>
        </w:rPr>
      </w:pPr>
    </w:p>
    <w:p>
      <w:pPr>
        <w:pStyle w:val="Body"/>
        <w:spacing w:before="165" w:after="165" w:line="240" w:lineRule="auto"/>
        <w:rPr>
          <w:rFonts w:ascii="Calibri" w:cs="Calibri" w:hAnsi="Calibri" w:eastAsia="Calibri"/>
          <w:b w:val="1"/>
          <w:bCs w:val="1"/>
          <w:sz w:val="28"/>
          <w:szCs w:val="28"/>
        </w:rPr>
      </w:pPr>
      <w:r>
        <w:rPr>
          <w:rFonts w:ascii="Calibri" w:hAnsi="Calibri"/>
          <w:b w:val="1"/>
          <w:bCs w:val="1"/>
          <w:sz w:val="28"/>
          <w:szCs w:val="28"/>
          <w:rtl w:val="0"/>
          <w:lang w:val="it-IT"/>
        </w:rPr>
        <w:t xml:space="preserve">Question 3. </w:t>
      </w:r>
      <w:r>
        <w:rPr>
          <w:rFonts w:ascii="Calibri" w:hAnsi="Calibri"/>
          <w:b w:val="1"/>
          <w:bCs w:val="1"/>
          <w:outline w:val="0"/>
          <w:color w:val="000000"/>
          <w:sz w:val="28"/>
          <w:szCs w:val="28"/>
          <w:u w:color="000000"/>
          <w:rtl w:val="0"/>
          <w:lang w:val="en-US"/>
          <w14:textFill>
            <w14:solidFill>
              <w14:srgbClr w14:val="000000"/>
            </w14:solidFill>
          </w14:textFill>
        </w:rPr>
        <w:t xml:space="preserve">Analyse the impact of tariffs and supply chain disruption on Artiron Motors. </w:t>
      </w:r>
      <w:r>
        <w:rPr>
          <w:rFonts w:ascii="Calibri" w:hAnsi="Calibri"/>
          <w:b w:val="1"/>
          <w:bCs w:val="1"/>
          <w:outline w:val="0"/>
          <w:color w:val="000000"/>
          <w:sz w:val="28"/>
          <w:szCs w:val="28"/>
          <w:u w:color="000000"/>
          <w:rtl w:val="0"/>
          <w14:textFill>
            <w14:solidFill>
              <w14:srgbClr w14:val="000000"/>
            </w14:solidFill>
          </w14:textFill>
        </w:rPr>
        <w:t>(A</w:t>
      </w:r>
      <w:r>
        <w:rPr>
          <w:rFonts w:ascii="Calibri" w:hAnsi="Calibri"/>
          <w:b w:val="1"/>
          <w:bCs w:val="1"/>
          <w:sz w:val="28"/>
          <w:szCs w:val="28"/>
          <w:rtl w:val="0"/>
        </w:rPr>
        <w:t>C1.3)</w:t>
      </w:r>
    </w:p>
    <w:p>
      <w:pPr>
        <w:pStyle w:val="Body"/>
        <w:spacing w:before="120" w:after="120" w:line="240" w:lineRule="auto"/>
        <w:rPr>
          <w:rFonts w:ascii="Calibri" w:cs="Calibri" w:hAnsi="Calibri" w:eastAsia="Calibri"/>
          <w:outline w:val="0"/>
          <w:color w:val="ff0000"/>
          <w:u w:color="ff0000"/>
          <w14:textFill>
            <w14:solidFill>
              <w14:srgbClr w14:val="FF0000"/>
            </w14:solidFill>
          </w14:textFill>
        </w:rPr>
      </w:pPr>
      <w:r>
        <w:rPr>
          <w:rFonts w:ascii="Calibri" w:hAnsi="Calibri"/>
          <w:outline w:val="0"/>
          <w:color w:val="000000"/>
          <w:u w:color="000000"/>
          <w:rtl w:val="0"/>
          <w:lang w:val="en-US"/>
          <w14:textFill>
            <w14:solidFill>
              <w14:srgbClr w14:val="000000"/>
            </w14:solidFill>
          </w14:textFill>
        </w:rPr>
        <w:t>As Artiron Motors operates internationally and relies on global supply networks, tariffs and supply chain disruption are significant external pressures. A PESTLE analysis identifies political and economic factors, such as tariffs, trade restrictions, and rising costs, as issues that can influence organisational performance and strategy.</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Tariffs could increase Artiron</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 xml:space="preserve">s costs when importing vehicles, raw materials, batteries and components. If the organisation absorbs these costs, its </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2.1 billion pre-tax profit could fall. Passing costs to customers through higher vehicle prices could reduce demand and competitiveness. KPMG (2025) found that automotive companies are responding to tariff pressures by reviewing pricing, sourcing and supply-chain strategies, demonstrating how tariffs can influence both operational costs and strategic decision-making.</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Tariffs will also influence Artiron</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 xml:space="preserve">s sourcing and manufacturing strategy. As an alternative, the organisation should consider regional or domestic suppliers to reduce exposure to import duties. There would, however, be an increase in costs and quality or capacity risks with changes in suppliers. The OECD (2025) suggests that supply-chain resilience requires a balance between efficiency, adaptability and diversification rather than simply relocating production domestically. </w:t>
      </w:r>
    </w:p>
    <w:p>
      <w:pPr>
        <w:pStyle w:val="Heading 3"/>
        <w:spacing w:before="281" w:after="140" w:line="240" w:lineRule="auto"/>
        <w:rPr>
          <w:rFonts w:ascii="Calibri" w:cs="Calibri" w:hAnsi="Calibri" w:eastAsia="Calibri"/>
          <w:outline w:val="0"/>
          <w:color w:val="000000"/>
          <w:sz w:val="24"/>
          <w:szCs w:val="24"/>
          <w:u w:color="000000"/>
          <w14:textFill>
            <w14:solidFill>
              <w14:srgbClr w14:val="000000"/>
            </w14:solidFill>
          </w14:textFill>
        </w:rPr>
      </w:pPr>
      <w:r>
        <w:rPr>
          <w:rFonts w:ascii="Calibri" w:hAnsi="Calibri"/>
          <w:outline w:val="0"/>
          <w:color w:val="000000"/>
          <w:sz w:val="24"/>
          <w:szCs w:val="24"/>
          <w:u w:color="000000"/>
          <w:rtl w:val="0"/>
          <w:lang w:val="en-US"/>
          <w14:textFill>
            <w14:solidFill>
              <w14:srgbClr w14:val="000000"/>
            </w14:solidFill>
          </w14:textFill>
        </w:rPr>
        <w:t>Supply chain disruption could directly affect Artiron</w:t>
      </w:r>
      <w:r>
        <w:rPr>
          <w:rFonts w:ascii="Calibri" w:hAnsi="Calibri" w:hint="default"/>
          <w:outline w:val="0"/>
          <w:color w:val="000000"/>
          <w:sz w:val="24"/>
          <w:szCs w:val="24"/>
          <w:u w:color="000000"/>
          <w:rtl w:val="0"/>
          <w:lang w:val="en-US"/>
          <w14:textFill>
            <w14:solidFill>
              <w14:srgbClr w14:val="000000"/>
            </w14:solidFill>
          </w14:textFill>
        </w:rPr>
        <w:t>’</w:t>
      </w:r>
      <w:r>
        <w:rPr>
          <w:rFonts w:ascii="Calibri" w:hAnsi="Calibri"/>
          <w:outline w:val="0"/>
          <w:color w:val="000000"/>
          <w:sz w:val="24"/>
          <w:szCs w:val="24"/>
          <w:u w:color="000000"/>
          <w:rtl w:val="0"/>
          <w:lang w:val="en-US"/>
          <w14:textFill>
            <w14:solidFill>
              <w14:srgbClr w14:val="000000"/>
            </w14:solidFill>
          </w14:textFill>
        </w:rPr>
        <w:t xml:space="preserve">s robotics manufacturing operations, as they rely heavily on it for painting, welding, assembly, quality checking and material handling. A shortage of one critical component could therefore cause production delays or factory downtime, reducing output and revenue. Artiron may also need to use alternative suppliers, expedited transport or higher inventory levels, increasing costs.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The risk is particularly significant for the organisation</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s EV transition. The International Energy Agency (IEA, 2026) reports that battery production remains geographically concentrated, creating vulnerabilities in global EV supply chains. Disruption to batteries, specialist materials or electronic components will delay EV production and manufacturing upgrades. This in turn will affect Artiron</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 xml:space="preserve">s competitiveness and make its target of becoming carbon net zero by 2036 more difficult.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There are also people implications. Changes to production and sourcing may require new skills, training and workforce planning. Disruption could also increase pressure on employees, which is important given existing concerns about working hours and wellbeing. </w:t>
      </w:r>
    </w:p>
    <w:p>
      <w:pPr>
        <w:pStyle w:val="Body"/>
        <w:spacing w:before="120" w:after="120" w:line="240" w:lineRule="auto"/>
        <w:rPr>
          <w:rFonts w:ascii="Calibri" w:cs="Calibri" w:hAnsi="Calibri" w:eastAsia="Calibri"/>
          <w:outline w:val="0"/>
          <w:color w:val="ff0000"/>
          <w:u w:color="ff0000"/>
          <w14:textFill>
            <w14:solidFill>
              <w14:srgbClr w14:val="FF0000"/>
            </w14:solidFill>
          </w14:textFill>
        </w:rPr>
      </w:pPr>
      <w:r>
        <w:rPr>
          <w:rFonts w:ascii="Calibri" w:hAnsi="Calibri"/>
          <w:outline w:val="0"/>
          <w:color w:val="000000"/>
          <w:u w:color="000000"/>
          <w:rtl w:val="0"/>
          <w:lang w:val="en-US"/>
          <w14:textFill>
            <w14:solidFill>
              <w14:srgbClr w14:val="000000"/>
            </w14:solidFill>
          </w14:textFill>
        </w:rPr>
        <w:t>Overall, tariffs and supply chain disruption could increase costs, reduce profitability, delay production and threaten Artiron</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 xml:space="preserve">s EV and sustainability objectives. Artiron should therefore strengthen resilience through supplier diversification, regional sourcing and investment in employee skills. </w:t>
      </w:r>
    </w:p>
    <w:p>
      <w:pPr>
        <w:pStyle w:val="Body"/>
        <w:spacing w:before="120" w:after="120" w:line="240" w:lineRule="auto"/>
        <w:rPr>
          <w:rFonts w:ascii="Calibri" w:cs="Calibri" w:hAnsi="Calibri" w:eastAsia="Calibri"/>
          <w:b w:val="1"/>
          <w:bCs w:val="1"/>
        </w:rPr>
      </w:pPr>
    </w:p>
    <w:p>
      <w:pPr>
        <w:pStyle w:val="Body"/>
        <w:spacing w:before="120" w:after="120" w:line="240" w:lineRule="auto"/>
        <w:rPr>
          <w:ins w:id="5" w:date="2026-09-18T19:14:16Z" w:author="Jane Lewis"/>
          <w:rFonts w:ascii="Calibri" w:cs="Calibri" w:hAnsi="Calibri" w:eastAsia="Calibri"/>
        </w:rPr>
      </w:pPr>
    </w:p>
    <w:p>
      <w:pPr>
        <w:pStyle w:val="Body"/>
        <w:spacing w:before="120" w:after="120" w:line="240" w:lineRule="auto"/>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lang w:val="en-US"/>
          <w14:textFill>
            <w14:solidFill>
              <w14:srgbClr w14:val="000000"/>
            </w14:solidFill>
          </w14:textFill>
        </w:rPr>
        <w:t>Question 4. Assess the impact of robotics and cyberattacks on the car manufacturing industry and how this impacts work at Artiron Motors. (AC 1.4)</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Robotics and cyberattacks are increasingly important issues for the automotive manufacturing industry. Artiron already relies heavily on robotics and plans to introduce collaborative robots (cobots). While automation can improve productivity, quality and safety, increased reliance on technology also creates risks for jobs, skills and business continuity.</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Robotics are being used more to improve manufacturing performance. The International Federation of Robotics (IFR, 2025) identifies automotive manufacturing as the largest user of industrial robots; this accounts for 45% of global industrial robot installations. For Artiron, robotics will improve consistency, accuracy and production speed while reducing employees</w:t>
      </w:r>
      <w:r>
        <w:rPr>
          <w:rFonts w:ascii="Calibri" w:hAnsi="Calibri" w:hint="default"/>
          <w:outline w:val="0"/>
          <w:color w:val="000000"/>
          <w:u w:color="000000"/>
          <w:rtl w:val="0"/>
          <w:lang w:val="en-US"/>
          <w14:textFill>
            <w14:solidFill>
              <w14:srgbClr w14:val="000000"/>
            </w14:solidFill>
          </w14:textFill>
        </w:rPr>
        <w:t xml:space="preserve">’ </w:t>
      </w:r>
      <w:r>
        <w:rPr>
          <w:rFonts w:ascii="Calibri" w:hAnsi="Calibri"/>
          <w:outline w:val="0"/>
          <w:color w:val="000000"/>
          <w:u w:color="000000"/>
          <w:rtl w:val="0"/>
          <w:lang w:val="en-US"/>
          <w14:textFill>
            <w14:solidFill>
              <w14:srgbClr w14:val="000000"/>
            </w14:solidFill>
          </w14:textFill>
        </w:rPr>
        <w:t>exposure to hazardous or physically demanding activities. Cobots will also enable employees and machines to work together, which in turn will improve job quality by removing repetitive tasks. However, automation can change job roles and reduce demand for some routine activities. CIPD (2020) found that 50% of employees experiencing technological changes felt they needed more skills and knowledge, while 40% reported that their tasks had become more complex.</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This has important implications for Artiron</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s workforce. Employees may need training in robotics, digital systems, maintenance and problem-solving. The People Team will therefore need to undertake skills-gap analysis and workforce planning, using learning and development to reskill employees rather than allowing technological change to create avoidable job insecurity. This is particularly important because employee wellbeing is already an issue at Artiron.</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Cyberattacks create a significant risk because manufacturing is increasingly connected. The World Economic Forum (2025) reports that 54% of large organisations identified supply-chain challenges as their biggest barrier to cyber resilience. A cyberattack could interrupt Artiron</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s robotic production systems, compromise company or employee data, halt production, and disrupt suppliers. This could lead to financial losses, delays to customers and reputational damage. The risk is significant because Artiron is a well-known multinational manufacturer and therefore an attractive target.</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Cyberattacks may also affect employees</w:t>
      </w:r>
      <w:r>
        <w:rPr>
          <w:rFonts w:ascii="Calibri" w:hAnsi="Calibri" w:hint="default"/>
          <w:outline w:val="0"/>
          <w:color w:val="000000"/>
          <w:u w:color="000000"/>
          <w:rtl w:val="0"/>
          <w:lang w:val="en-US"/>
          <w14:textFill>
            <w14:solidFill>
              <w14:srgbClr w14:val="000000"/>
            </w14:solidFill>
          </w14:textFill>
        </w:rPr>
        <w:t xml:space="preserve">’ </w:t>
      </w:r>
      <w:r>
        <w:rPr>
          <w:rFonts w:ascii="Calibri" w:hAnsi="Calibri"/>
          <w:outline w:val="0"/>
          <w:color w:val="000000"/>
          <w:u w:color="000000"/>
          <w:rtl w:val="0"/>
          <w:lang w:val="en-US"/>
          <w14:textFill>
            <w14:solidFill>
              <w14:srgbClr w14:val="000000"/>
            </w14:solidFill>
          </w14:textFill>
        </w:rPr>
        <w:t>work and wellbeing. Production factories may be shut down while IT and operations teams restore the system, leaving production workers unable to work. This will lead to increased pressure to restore the systems and to increase security. Employees may also require greater cybersecurity awareness training. The World Economic Forum (2025) argues that cybersecurity should be embedded throughout manufacturing operations rather than treated solely as an IT responsibility.</w:t>
      </w:r>
    </w:p>
    <w:p>
      <w:pPr>
        <w:pStyle w:val="Body"/>
        <w:spacing w:before="120" w:after="120" w:line="240" w:lineRule="auto"/>
        <w:rPr>
          <w:rFonts w:ascii="Calibri" w:cs="Calibri" w:hAnsi="Calibri" w:eastAsia="Calibri"/>
          <w:outline w:val="0"/>
          <w:color w:val="ff0000"/>
          <w:u w:color="ff0000"/>
          <w14:textFill>
            <w14:solidFill>
              <w14:srgbClr w14:val="FF0000"/>
            </w14:solidFill>
          </w14:textFill>
        </w:rPr>
      </w:pPr>
      <w:r>
        <w:rPr>
          <w:rFonts w:ascii="Calibri" w:hAnsi="Calibri"/>
          <w:outline w:val="0"/>
          <w:color w:val="000000"/>
          <w:u w:color="000000"/>
          <w:rtl w:val="0"/>
          <w:lang w:val="en-US"/>
          <w14:textFill>
            <w14:solidFill>
              <w14:srgbClr w14:val="000000"/>
            </w14:solidFill>
          </w14:textFill>
        </w:rPr>
        <w:t xml:space="preserve">Overall, robotics offer Artiron opportunities to improve productivity, quality and employee safety, but require investment in reskilling and effective change management. Cyberattacks could undermine these benefits by disrupting highly automated operations. Artiron should therefore combine technological investment with workforce development, employee communication and strong cyber-resilience measures. </w:t>
      </w:r>
    </w:p>
    <w:p>
      <w:pPr>
        <w:pStyle w:val="Body"/>
        <w:spacing w:before="120" w:after="120" w:line="240" w:lineRule="auto"/>
        <w:rPr>
          <w:rFonts w:ascii="Calibri" w:cs="Calibri" w:hAnsi="Calibri" w:eastAsia="Calibri"/>
          <w:outline w:val="0"/>
          <w:color w:val="ff0000"/>
          <w:u w:color="ff0000"/>
          <w:lang w:val="en-US"/>
          <w14:textFill>
            <w14:solidFill>
              <w14:srgbClr w14:val="FF0000"/>
            </w14:solidFill>
          </w14:textFill>
        </w:rPr>
      </w:pPr>
    </w:p>
    <w:p>
      <w:pPr>
        <w:pStyle w:val="Body"/>
        <w:spacing w:before="120" w:after="120" w:line="240" w:lineRule="auto"/>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lang w:val="en-US"/>
          <w14:textFill>
            <w14:solidFill>
              <w14:srgbClr w14:val="000000"/>
            </w14:solidFill>
          </w14:textFill>
        </w:rPr>
        <w:t>Question 5. Explain how Schein</w:t>
      </w:r>
      <w:r>
        <w:rPr>
          <w:rFonts w:ascii="Calibri" w:hAnsi="Calibri" w:hint="default"/>
          <w:b w:val="1"/>
          <w:bCs w:val="1"/>
          <w:outline w:val="0"/>
          <w:color w:val="000000"/>
          <w:sz w:val="28"/>
          <w:szCs w:val="28"/>
          <w:u w:color="000000"/>
          <w:rtl w:val="0"/>
          <w:lang w:val="en-US"/>
          <w14:textFill>
            <w14:solidFill>
              <w14:srgbClr w14:val="000000"/>
            </w14:solidFill>
          </w14:textFill>
        </w:rPr>
        <w:t>’</w:t>
      </w:r>
      <w:r>
        <w:rPr>
          <w:rFonts w:ascii="Calibri" w:hAnsi="Calibri"/>
          <w:b w:val="1"/>
          <w:bCs w:val="1"/>
          <w:outline w:val="0"/>
          <w:color w:val="000000"/>
          <w:sz w:val="28"/>
          <w:szCs w:val="28"/>
          <w:u w:color="000000"/>
          <w:rtl w:val="0"/>
          <w:lang w:val="en-US"/>
          <w14:textFill>
            <w14:solidFill>
              <w14:srgbClr w14:val="000000"/>
            </w14:solidFill>
          </w14:textFill>
        </w:rPr>
        <w:t>s model of organisational culture could help Artiron Motors understand their organisational culture. (AC2.1)</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Schein</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s (1985) model of organisational culture explains that culture exists at three different levels: artefacts, espoused values, and basic underlying assumptions. Artefacts are the visible aspects of an organisation, such as its dress code, office environment, language and rituals. Espoused values are the organisation</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s stated beliefs, principles and values, such as teamwork, customer service or innovation. At the deepest level are basic underlying assumptions, which are the unconscious beliefs and perceptions that employees take for granted and which influence how they behave and make decisions. The model highlights that while visible aspects of culture can be observed, understanding the deeper values and assumptions is important for understanding how an organisation truly operates (Schein, 1985; CIPD, 2024b).</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Examining Artiron Mortor</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s culture at the artefact level shows that technology and flexibility are embedded into the organisation by the use of robotics within manufacturing, open-plan offices and hybrid working.  Senior staff wearing the same uniform as other staff members reinforces a culture of equality and approachability.  There does seem to be some employee dissatisfaction around PPE and long working hours.  This indicates that some of the everyday practices are inconsistent with the organisation's stated commitment to wellbeing.</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At the espoused values level the company could assess how its stated values of quality, innovation, sustainability and inclusiveness are reflected in employee experience.  Sustainability is strongly embedded through the Evolve strategy, investment in EV production and the ambition to reach net zero by 2036.  Employee involvement is valued, as extensive consultation was used to develop Evolve.  There is, however, some dissatisfaction with pay across the workforce and long working hours.  This may suggest a disconnect between the values communicated by senior leaders and how employees experience the organisation.</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With the level of underlying basic assumptions, senior staff members could look at the beliefs of employees and how they influence decisions and behaviours.  The organisation may believe that technological innovation and productivity are essential for remaining competitive.  This in turn would influence its investment in robotics.  There also may be an assumption that employees can adapt to significant changes in technology and EV manufacturing without concerns about job security and upskilling.</w:t>
      </w:r>
    </w:p>
    <w:p>
      <w:pPr>
        <w:pStyle w:val="Body"/>
        <w:spacing w:before="120" w:after="120" w:line="240" w:lineRule="auto"/>
        <w:rPr>
          <w:rFonts w:ascii="Calibri" w:cs="Calibri" w:hAnsi="Calibri" w:eastAsia="Calibri"/>
          <w:outline w:val="0"/>
          <w:color w:val="ff0000"/>
          <w:u w:color="ff0000"/>
          <w14:textFill>
            <w14:solidFill>
              <w14:srgbClr w14:val="FF0000"/>
            </w14:solidFill>
          </w14:textFill>
        </w:rPr>
      </w:pPr>
      <w:r>
        <w:rPr>
          <w:rFonts w:ascii="Calibri" w:hAnsi="Calibri"/>
          <w:outline w:val="0"/>
          <w:color w:val="000000"/>
          <w:u w:color="000000"/>
          <w:rtl w:val="0"/>
          <w:lang w:val="en-US"/>
          <w14:textFill>
            <w14:solidFill>
              <w14:srgbClr w14:val="000000"/>
            </w14:solidFill>
          </w14:textFill>
        </w:rPr>
        <w:t>Using Schein</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 xml:space="preserve">s model in this way would enable Artiron Motors to identify gaps between what the organisation says it values, what employees experience and the deeper beliefs influencing behaviour. This understanding could help the organisation address cultural barriers and develop a culture capable of supporting the Evolve strategy. </w:t>
      </w:r>
    </w:p>
    <w:p>
      <w:pPr>
        <w:pStyle w:val="Body"/>
        <w:spacing w:before="120" w:after="120" w:line="240" w:lineRule="auto"/>
        <w:rPr>
          <w:rFonts w:ascii="Calibri" w:cs="Calibri" w:hAnsi="Calibri" w:eastAsia="Calibri"/>
          <w:outline w:val="0"/>
          <w:color w:val="000000"/>
          <w:u w:color="000000"/>
          <w:lang w:val="en-US"/>
          <w14:textFill>
            <w14:solidFill>
              <w14:srgbClr w14:val="000000"/>
            </w14:solidFill>
          </w14:textFill>
        </w:rPr>
      </w:pPr>
    </w:p>
    <w:p>
      <w:pPr>
        <w:pStyle w:val="Body"/>
        <w:spacing w:before="120" w:after="120" w:line="240" w:lineRule="auto"/>
        <w:rPr>
          <w:ins w:id="6" w:date="2026-09-18T19:14:23Z" w:author="Jane Lewis"/>
          <w:rFonts w:ascii="Calibri" w:cs="Calibri" w:hAnsi="Calibri" w:eastAsia="Calibri"/>
          <w:outline w:val="0"/>
          <w:color w:val="000000"/>
          <w:u w:color="000000"/>
          <w14:textFill>
            <w14:solidFill>
              <w14:srgbClr w14:val="000000"/>
            </w14:solidFill>
          </w14:textFill>
        </w:rPr>
      </w:pPr>
    </w:p>
    <w:p>
      <w:pPr>
        <w:pStyle w:val="Body"/>
        <w:spacing w:before="120" w:after="120" w:line="240" w:lineRule="auto"/>
        <w:rPr>
          <w:ins w:id="7" w:date="2026-09-18T19:14:23Z" w:author="Jane Lewis"/>
          <w:rFonts w:ascii="Calibri" w:cs="Calibri" w:hAnsi="Calibri" w:eastAsia="Calibri"/>
          <w:outline w:val="0"/>
          <w:color w:val="000000"/>
          <w:u w:color="000000"/>
          <w14:textFill>
            <w14:solidFill>
              <w14:srgbClr w14:val="000000"/>
            </w14:solidFill>
          </w14:textFill>
        </w:rPr>
      </w:pPr>
    </w:p>
    <w:p>
      <w:pPr>
        <w:pStyle w:val="Body"/>
        <w:spacing w:before="120" w:after="120" w:line="240" w:lineRule="auto"/>
        <w:rPr>
          <w:ins w:id="8" w:date="2026-09-18T19:14:23Z" w:author="Jane Lewis"/>
          <w:rFonts w:ascii="Calibri" w:cs="Calibri" w:hAnsi="Calibri" w:eastAsia="Calibri"/>
          <w:outline w:val="0"/>
          <w:color w:val="000000"/>
          <w:u w:color="000000"/>
          <w14:textFill>
            <w14:solidFill>
              <w14:srgbClr w14:val="000000"/>
            </w14:solidFill>
          </w14:textFill>
        </w:rPr>
      </w:pPr>
    </w:p>
    <w:p>
      <w:pPr>
        <w:pStyle w:val="Body"/>
        <w:spacing w:before="120" w:after="120" w:line="240" w:lineRule="auto"/>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lang w:val="en-US"/>
          <w14:textFill>
            <w14:solidFill>
              <w14:srgbClr w14:val="000000"/>
            </w14:solidFill>
          </w14:textFill>
        </w:rPr>
        <w:t>Question 6. Assess how people practices could positively support an innovative and inclusive culture at Artiron Motors. (AC2.2)</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People practices can play an important role in developing an innovative and inclusive culture at Artiron Motors. This is particularly important because the organisation needs to respond to EV technology, cobots, sustainability requirements and its ambition to achieve net zero by 2036.</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Employee voice could support both innovation and inclusion. The employee relations sub-team has already consulted employees about the Evolve strategy and conducted an employee survey. They could build on this through any of the eight employee voice channels, such as employee forums, focus groups, suggestion schemes and team meetings. Employees working directly in manufacturing may identify practical improvements to EV production, robotics and safety. CIPD (2025b)</w:t>
      </w:r>
      <w:r>
        <w:rPr>
          <w:rFonts w:ascii="Calibri" w:hAnsi="Calibri"/>
          <w:outline w:val="0"/>
          <w:color w:val="ff0000"/>
          <w:u w:color="ff0000"/>
          <w:rtl w:val="0"/>
          <w:lang w:val="en-US"/>
          <w14:textFill>
            <w14:solidFill>
              <w14:srgbClr w14:val="FF0000"/>
            </w14:solidFill>
          </w14:textFill>
        </w:rPr>
        <w:t xml:space="preserve"> </w:t>
      </w:r>
      <w:r>
        <w:rPr>
          <w:rFonts w:ascii="Calibri" w:hAnsi="Calibri"/>
          <w:outline w:val="0"/>
          <w:color w:val="000000"/>
          <w:u w:color="000000"/>
          <w:rtl w:val="0"/>
          <w:lang w:val="en-US"/>
          <w14:textFill>
            <w14:solidFill>
              <w14:srgbClr w14:val="000000"/>
            </w14:solidFill>
          </w14:textFill>
        </w:rPr>
        <w:t>states that effective employee voice can create inclusive environments and harness creativity and innovation. However, Artiron Motors must act on feedback, particularly concerns about PPE, excessive working hours and pay; otherwise, employees may lose trust in the process.</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Learning and development (L&amp;D) need to create a culture in which employees are encouraged to learn, experiment, and adapt. Training in EV technology, digital skills, and data analytics, along with working alongside cobots, would help employees develop the capabilities required for the Evolve strategy. Inclusive access to development opportunities also helps ensure that employees from different functions and locations can contribute. CIPD (2020a) highlights that organisations need supportive learning environments to enable continuous learning and adaptation.</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Inclusive recruitment and leadership could increase diversity of thought. Artiron Motors could use structured recruitment, diverse selection panels and its early careers programme to attract talent from different backgrounds. Managers should also receive training in inclusive leadership and unconscious bias. CIPD (2022) recommends developing managers and ensuring leaders act as role models for inclusion. Diverse perspectives could improve creativity and problem-solving, which is valuable when developing new EV products.</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Wellbeing and reward should also be addressed within the organisation. Improving PPE, reviewing excessive working hours and ensuring fair and transparent pay could improve employee engagement and demonstrate that inclusion applies to both production and corporate employees. CIPD (2026a) identifies safe working conditions, reasonable workloads, fair reward and employee voice as important elements of workplace wellbeing.</w:t>
      </w:r>
    </w:p>
    <w:p>
      <w:pPr>
        <w:pStyle w:val="Body"/>
        <w:spacing w:before="240" w:after="240" w:line="240" w:lineRule="auto"/>
        <w:rPr>
          <w:rFonts w:ascii="Calibri" w:cs="Calibri" w:hAnsi="Calibri" w:eastAsia="Calibri"/>
          <w:outline w:val="0"/>
          <w:color w:val="ff0000"/>
          <w:u w:color="ff0000"/>
          <w14:textFill>
            <w14:solidFill>
              <w14:srgbClr w14:val="FF0000"/>
            </w14:solidFill>
          </w14:textFill>
        </w:rPr>
      </w:pPr>
      <w:r>
        <w:rPr>
          <w:rFonts w:ascii="Calibri" w:hAnsi="Calibri"/>
          <w:outline w:val="0"/>
          <w:color w:val="000000"/>
          <w:u w:color="000000"/>
          <w:rtl w:val="0"/>
          <w:lang w:val="en-US"/>
          <w14:textFill>
            <w14:solidFill>
              <w14:srgbClr w14:val="000000"/>
            </w14:solidFill>
          </w14:textFill>
        </w:rPr>
        <w:t xml:space="preserve">Overall, people practices can create the conditions for innovation by giving employees the skills, voice, motivation and psychological safety to contribute. However, these practices need to work together. Recruitment alone will not create inclusion if leadership behaviours, rewards, or working conditions remain unfair. </w:t>
      </w:r>
    </w:p>
    <w:p>
      <w:pPr>
        <w:pStyle w:val="Body"/>
        <w:spacing w:before="240" w:after="240" w:line="240" w:lineRule="auto"/>
        <w:rPr>
          <w:rFonts w:ascii="Calibri" w:cs="Calibri" w:hAnsi="Calibri" w:eastAsia="Calibri"/>
          <w:outline w:val="0"/>
          <w:color w:val="ff0000"/>
          <w:u w:color="ff0000"/>
          <w:lang w:val="en-US"/>
          <w14:textFill>
            <w14:solidFill>
              <w14:srgbClr w14:val="FF0000"/>
            </w14:solidFill>
          </w14:textFill>
        </w:rPr>
      </w:pPr>
    </w:p>
    <w:p>
      <w:pPr>
        <w:pStyle w:val="Body"/>
        <w:spacing w:before="240" w:after="240" w:line="240" w:lineRule="auto"/>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lang w:val="en-US"/>
          <w14:textFill>
            <w14:solidFill>
              <w14:srgbClr w14:val="000000"/>
            </w14:solidFill>
          </w14:textFill>
        </w:rPr>
        <w:t>Question 7. Referring to at least one model or theory of change management, explain how Artiron Motors can manage its transition towards carbon net zero. (AC2.3)</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Artiron Motors has set a target to become carbon net zero by 2036. Achieving this will require significant changes to manufacturing processes, technology, employee skills and organisational culture. Effective change management will therefore be essential to ensure that employees understand the reasons for change and can support the Evolve strategy. Lewin</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s three-stage model provides a framework for managing this transition.</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Stage one is </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unfreezing</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 which involves creating awareness of the need for change and challenging existing ways of working (Lewin, 1947). Artiron Motors should therefore communicate why achieving net zero is necessary, including the impact of rising energy costs, environmental expectations, advances in battery technology, and the increasing demand for EVs.  Senior leaders should continue the consultation used to develop Evolve and provide opportunities for employees to raise concerns and suggest solutions. This is important because employees may be concerned about changes such as the introduction of cobots and the upgrading of manufacturing facilities. The People Team could use employee forums, surveys and focus groups to build engagement and reduce resistance.</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Stage two is </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change</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 this is where new processes, behaviours and technologies are introduced. Artiron should invest in upgrading manufacturing plants for EV production and improving energy efficiency. Employees will require appropriate learning and development, including training in EV technologies, digital skills, sustainability and working safely alongside cobots. Reskilling and educating the employees could reduce fears about technology replacing jobs and help retain valuable organisational knowledge. Cross-functional teams involving engineering, manufacturing, product design and data specialists could also encourage innovation and knowledge sharing.</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The third stage is </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refreezing</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 where the new ways of working become embedded into organisational culture (Lewin, 1947). Artiron could incorporate sustainability objectives into performance management, leadership objectives and reward and recognition. Progress towards net zero should also be measured regularly and communicated to employees. Recognising employees who identify ways to reduce energy use, waste or emissions could reinforce sustainable behaviours.</w:t>
      </w:r>
    </w:p>
    <w:p>
      <w:pPr>
        <w:pStyle w:val="Body"/>
        <w:spacing w:before="120" w:after="120" w:line="240" w:lineRule="auto"/>
        <w:rPr>
          <w:rFonts w:ascii="Calibri" w:cs="Calibri" w:hAnsi="Calibri" w:eastAsia="Calibri"/>
          <w:outline w:val="0"/>
          <w:color w:val="ff0000"/>
          <w:u w:color="ff0000"/>
          <w14:textFill>
            <w14:solidFill>
              <w14:srgbClr w14:val="FF0000"/>
            </w14:solidFill>
          </w14:textFill>
        </w:rPr>
      </w:pPr>
      <w:r>
        <w:rPr>
          <w:rFonts w:ascii="Calibri" w:hAnsi="Calibri"/>
          <w:outline w:val="0"/>
          <w:color w:val="000000"/>
          <w:u w:color="000000"/>
          <w:rtl w:val="0"/>
          <w:lang w:val="en-US"/>
          <w14:textFill>
            <w14:solidFill>
              <w14:srgbClr w14:val="000000"/>
            </w14:solidFill>
          </w14:textFill>
        </w:rPr>
        <w:t>Overall, Lewin</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 xml:space="preserve">s model can help Artiron manage the people side of the net-zero transition by creating readiness, developing employee capability and embedding sustainable behaviours. Combining this approach with employee consultation, reskilling and continuous evaluation should increase the likelihood of achieving the 2036 target. </w:t>
      </w:r>
    </w:p>
    <w:p>
      <w:pPr>
        <w:pStyle w:val="Body"/>
        <w:spacing w:before="240" w:after="240" w:line="240" w:lineRule="auto"/>
        <w:rPr>
          <w:rFonts w:ascii="Calibri" w:cs="Calibri" w:hAnsi="Calibri" w:eastAsia="Calibri"/>
          <w:b w:val="1"/>
          <w:bCs w:val="1"/>
          <w:outline w:val="0"/>
          <w:color w:val="000000"/>
          <w:sz w:val="28"/>
          <w:szCs w:val="28"/>
          <w:u w:color="000000"/>
          <w:lang w:val="en-US"/>
          <w14:textFill>
            <w14:solidFill>
              <w14:srgbClr w14:val="000000"/>
            </w14:solidFill>
          </w14:textFill>
        </w:rPr>
      </w:pPr>
    </w:p>
    <w:p>
      <w:pPr>
        <w:pStyle w:val="Body"/>
        <w:spacing w:before="240" w:after="240" w:line="240" w:lineRule="auto"/>
        <w:rPr>
          <w:ins w:id="9" w:date="2026-09-18T19:14:34Z" w:author="Jane Lewis"/>
          <w:rFonts w:ascii="Calibri" w:cs="Calibri" w:hAnsi="Calibri" w:eastAsia="Calibri"/>
          <w:outline w:val="0"/>
          <w:color w:val="000000"/>
          <w:u w:color="000000"/>
          <w14:textFill>
            <w14:solidFill>
              <w14:srgbClr w14:val="000000"/>
            </w14:solidFill>
          </w14:textFill>
        </w:rPr>
      </w:pPr>
    </w:p>
    <w:p>
      <w:pPr>
        <w:pStyle w:val="Body"/>
        <w:spacing w:before="240" w:after="240" w:line="240" w:lineRule="auto"/>
        <w:rPr>
          <w:ins w:id="10" w:date="2026-09-18T19:14:34Z" w:author="Jane Lewis"/>
          <w:rFonts w:ascii="Calibri" w:cs="Calibri" w:hAnsi="Calibri" w:eastAsia="Calibri"/>
          <w:outline w:val="0"/>
          <w:color w:val="000000"/>
          <w:u w:color="000000"/>
          <w14:textFill>
            <w14:solidFill>
              <w14:srgbClr w14:val="000000"/>
            </w14:solidFill>
          </w14:textFill>
        </w:rPr>
      </w:pPr>
    </w:p>
    <w:p>
      <w:pPr>
        <w:pStyle w:val="Body"/>
        <w:spacing w:before="240" w:after="240" w:line="240" w:lineRule="auto"/>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lang w:val="en-US"/>
          <w14:textFill>
            <w14:solidFill>
              <w14:srgbClr w14:val="000000"/>
            </w14:solidFill>
          </w14:textFill>
        </w:rPr>
        <w:t>Question 8. Referring to one model of how change is experienced by employees, discuss how change could be experienced by employees at Artiron Motors during the change to introduce cobots. (AC2.4)</w:t>
      </w:r>
    </w:p>
    <w:p>
      <w:pPr>
        <w:pStyle w:val="Heading 3"/>
        <w:spacing w:before="140" w:after="140" w:line="240" w:lineRule="auto"/>
        <w:rPr>
          <w:rFonts w:ascii="Calibri" w:cs="Calibri" w:hAnsi="Calibri" w:eastAsia="Calibri"/>
          <w:outline w:val="0"/>
          <w:color w:val="000000"/>
          <w:sz w:val="24"/>
          <w:szCs w:val="24"/>
          <w:u w:color="000000"/>
          <w14:textFill>
            <w14:solidFill>
              <w14:srgbClr w14:val="000000"/>
            </w14:solidFill>
          </w14:textFill>
        </w:rPr>
      </w:pPr>
      <w:r>
        <w:rPr>
          <w:rFonts w:ascii="Calibri" w:hAnsi="Calibri"/>
          <w:outline w:val="0"/>
          <w:color w:val="000000"/>
          <w:sz w:val="24"/>
          <w:szCs w:val="24"/>
          <w:u w:color="000000"/>
          <w:rtl w:val="0"/>
          <w:lang w:val="en-US"/>
          <w14:textFill>
            <w14:solidFill>
              <w14:srgbClr w14:val="000000"/>
            </w14:solidFill>
          </w14:textFill>
        </w:rPr>
        <w:t xml:space="preserve">Before Artiron Motor introduces the cobot into the organisation, work needs to be done to prepare employees and equip them with the skills and knowledge to support the change. The ADKAR model, developed by Jeff Hiatt, focuses on how individuals experience and adopt organisational change through five elements: Awareness, Desire, Knowledge, Ability and Reinforcement (Prosci, 2025).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Awareness involves announcing the change and explaining why the change is necessary. Employees may initially be concerned that cobots could replace jobs or reduce the value of their existing skills. Artiron should communicate that cobots are intended to work alongside employees and explain how they support the Evolve strategy, productivity and future EV production. Employee consultation would be important, particularly as the organisation already uses employee surveys and consultation.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Desire gauges the employees' reaction and willingness to support the change. Some production operatives may resist cobots because of concerns about job security, increased monitoring or safety. Artiron could involve employees in implementation decisions, provide opportunities to test the technology and address concerns about PPE and working conditions. This could increase trust and encourage employees to support the change. ADKAR recognises that understanding the reason for change does not automatically create willingness to participate (Prosci, 2025).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Knowledge provides the training needed and understanding of how to change. Artiron should provide training on operating and working safely with cobots. Training should be accessible to employees with different levels of technical experience. This could also help reduce fears that employees lack the skills required for future manufacturing.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Ability supports practice runs, during which employees can apply their knowledge. Employees may initially feel frustrated or lack confidence as they adapt to new processes. Coaching, practical training and support from experienced colleagues could help employees develop confidence and competence. Managers should provide time for employees to learn rather than expecting immediate productivity.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Finally, Reinforcement ensures the change is monitored and sustained. Artiron could recognise employees who successfully adopt new ways of working, monitor safety and productivity, and provide refresher training where necessary. Employees could also become </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change champions</w:t>
      </w:r>
      <w:r>
        <w:rPr>
          <w:rFonts w:ascii="Calibri" w:hAnsi="Calibri" w:hint="default"/>
          <w:outline w:val="0"/>
          <w:color w:val="000000"/>
          <w:u w:color="000000"/>
          <w:rtl w:val="0"/>
          <w:lang w:val="en-US"/>
          <w14:textFill>
            <w14:solidFill>
              <w14:srgbClr w14:val="000000"/>
            </w14:solidFill>
          </w14:textFill>
        </w:rPr>
        <w:t xml:space="preserve">” </w:t>
      </w:r>
      <w:r>
        <w:rPr>
          <w:rFonts w:ascii="Calibri" w:hAnsi="Calibri"/>
          <w:outline w:val="0"/>
          <w:color w:val="000000"/>
          <w:u w:color="000000"/>
          <w:rtl w:val="0"/>
          <w:lang w:val="en-US"/>
          <w14:textFill>
            <w14:solidFill>
              <w14:srgbClr w14:val="000000"/>
            </w14:solidFill>
          </w14:textFill>
        </w:rPr>
        <w:t xml:space="preserve">who support colleagues. </w:t>
      </w:r>
    </w:p>
    <w:p>
      <w:pPr>
        <w:pStyle w:val="Body"/>
        <w:spacing w:before="120" w:after="120" w:line="240" w:lineRule="auto"/>
        <w:rPr>
          <w:rFonts w:ascii="Calibri" w:cs="Calibri" w:hAnsi="Calibri" w:eastAsia="Calibri"/>
          <w:outline w:val="0"/>
          <w:color w:val="ff0000"/>
          <w:u w:color="ff0000"/>
          <w14:textFill>
            <w14:solidFill>
              <w14:srgbClr w14:val="FF0000"/>
            </w14:solidFill>
          </w14:textFill>
        </w:rPr>
      </w:pPr>
      <w:r>
        <w:rPr>
          <w:rFonts w:ascii="Calibri" w:hAnsi="Calibri"/>
          <w:outline w:val="0"/>
          <w:color w:val="000000"/>
          <w:u w:color="000000"/>
          <w:rtl w:val="0"/>
          <w:lang w:val="en-US"/>
          <w14:textFill>
            <w14:solidFill>
              <w14:srgbClr w14:val="000000"/>
            </w14:solidFill>
          </w14:textFill>
        </w:rPr>
        <w:t>Overall, the ADKAR model provides a useful framework because it recognises that employees will experience the introduction of cobots differently. Artiron should combine communication, involvement, training and ongoing support. This is consistent with CIPD guidance that effective change management requires organisations to understand barriers and support employees throughout change</w:t>
      </w:r>
      <w:r>
        <w:rPr>
          <w:rFonts w:ascii="Calibri" w:hAnsi="Calibri"/>
          <w:outline w:val="0"/>
          <w:color w:val="ff0000"/>
          <w:u w:color="ff0000"/>
          <w:rtl w:val="0"/>
          <w:lang w:val="en-US"/>
          <w14:textFill>
            <w14:solidFill>
              <w14:srgbClr w14:val="FF0000"/>
            </w14:solidFill>
          </w14:textFill>
        </w:rPr>
        <w:t xml:space="preserve"> </w:t>
      </w:r>
      <w:r>
        <w:rPr>
          <w:rFonts w:ascii="Calibri" w:hAnsi="Calibri"/>
          <w:outline w:val="0"/>
          <w:color w:val="000000"/>
          <w:u w:color="000000"/>
          <w:rtl w:val="0"/>
          <w:lang w:val="en-US"/>
          <w14:textFill>
            <w14:solidFill>
              <w14:srgbClr w14:val="000000"/>
            </w14:solidFill>
          </w14:textFill>
        </w:rPr>
        <w:t xml:space="preserve">(CIPD, 2024). </w:t>
      </w:r>
    </w:p>
    <w:p>
      <w:pPr>
        <w:pStyle w:val="Body"/>
        <w:spacing w:before="120" w:after="120" w:line="240" w:lineRule="auto"/>
        <w:rPr>
          <w:rFonts w:ascii="Calibri" w:cs="Calibri" w:hAnsi="Calibri" w:eastAsia="Calibri"/>
          <w:outline w:val="0"/>
          <w:color w:val="ff0000"/>
          <w:u w:color="ff0000"/>
          <w:lang w:val="en-US"/>
          <w14:textFill>
            <w14:solidFill>
              <w14:srgbClr w14:val="FF0000"/>
            </w14:solidFill>
          </w14:textFill>
        </w:rPr>
      </w:pPr>
    </w:p>
    <w:p>
      <w:pPr>
        <w:pStyle w:val="Body"/>
        <w:spacing w:before="240" w:after="240" w:line="240" w:lineRule="auto"/>
        <w:rPr>
          <w:rFonts w:ascii="Calibri" w:cs="Calibri" w:hAnsi="Calibri" w:eastAsia="Calibri"/>
          <w:b w:val="1"/>
          <w:bCs w:val="1"/>
          <w:outline w:val="0"/>
          <w:color w:val="000000"/>
          <w:sz w:val="28"/>
          <w:szCs w:val="28"/>
          <w:u w:color="000000"/>
          <w:lang w:val="en-US"/>
          <w14:textFill>
            <w14:solidFill>
              <w14:srgbClr w14:val="000000"/>
            </w14:solidFill>
          </w14:textFill>
        </w:rPr>
      </w:pPr>
    </w:p>
    <w:p>
      <w:pPr>
        <w:pStyle w:val="Body"/>
        <w:spacing w:before="240" w:after="240" w:line="240" w:lineRule="auto"/>
        <w:rPr>
          <w:rFonts w:ascii="Calibri" w:cs="Calibri" w:hAnsi="Calibri" w:eastAsia="Calibri"/>
          <w:b w:val="1"/>
          <w:bCs w:val="1"/>
          <w:outline w:val="0"/>
          <w:color w:val="000000"/>
          <w:sz w:val="28"/>
          <w:szCs w:val="28"/>
          <w:u w:color="000000"/>
          <w:lang w:val="en-US"/>
          <w14:textFill>
            <w14:solidFill>
              <w14:srgbClr w14:val="000000"/>
            </w14:solidFill>
          </w14:textFill>
        </w:rPr>
      </w:pPr>
    </w:p>
    <w:p>
      <w:pPr>
        <w:pStyle w:val="Body"/>
        <w:spacing w:before="240" w:after="240" w:line="240" w:lineRule="auto"/>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lang w:val="en-US"/>
          <w14:textFill>
            <w14:solidFill>
              <w14:srgbClr w14:val="000000"/>
            </w14:solidFill>
          </w14:textFill>
        </w:rPr>
        <w:t>Question 9. Assess two factors that could impact employee wellbeing at Artiron Motors including why it is important that these factors are addressed. (AC2.5)</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One factor which could impact employee wellbeing is the long working hours identified in the employee survey. CIPD (2025d) found that high workload was a key factor negatively affecting employees</w:t>
      </w:r>
      <w:r>
        <w:rPr>
          <w:rFonts w:ascii="Calibri" w:hAnsi="Calibri" w:hint="default"/>
          <w:outline w:val="0"/>
          <w:color w:val="000000"/>
          <w:u w:color="000000"/>
          <w:rtl w:val="0"/>
          <w:lang w:val="en-US"/>
          <w14:textFill>
            <w14:solidFill>
              <w14:srgbClr w14:val="000000"/>
            </w14:solidFill>
          </w14:textFill>
        </w:rPr>
        <w:t xml:space="preserve">’ </w:t>
      </w:r>
      <w:r>
        <w:rPr>
          <w:rFonts w:ascii="Calibri" w:hAnsi="Calibri"/>
          <w:outline w:val="0"/>
          <w:color w:val="000000"/>
          <w:u w:color="000000"/>
          <w:rtl w:val="0"/>
          <w:lang w:val="en-US"/>
          <w14:textFill>
            <w14:solidFill>
              <w14:srgbClr w14:val="000000"/>
            </w14:solidFill>
          </w14:textFill>
        </w:rPr>
        <w:t xml:space="preserve">mental and physical health, and 21% of employees reported feeling under excessive pressure.  The company should review workload, including staffing levels and corporate functions.  Managers need to monitor working hours and encourage employees to take breaks and use annual leave. Hybrid working could also support wellbeing and work/life balance, although this should be managed fairly because manufacturing employees cannot necessarily work remotely.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Addressing excessive hours is important because poor wellbeing could increase sickness absence, reduce engagement and contribute to employee turnover. It could also undermine Artiron's ability to innovate and achieve its Evolve strategy. CIPD research indicates that employees whose work negatively affects their mental health are less likely to make innovative suggestions.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Another factor affecting employee wellbeing is dissatisfaction with the PPE.  This is a significant issue as it could create physical health and safety risks, as this is a manufacturing company involving robots, painting, welding, assembly and material handling. Artiron should consult production employees about PPE, ensure equipment is suitable and comfortable, provide regular safety training and undertake risk assessments when introducing cobots. (Suff, 2024) identifies physical safety, safe equipment and personal safety training as important elements of workplace wellbeing. </w:t>
      </w:r>
    </w:p>
    <w:p>
      <w:pPr>
        <w:pStyle w:val="Body"/>
        <w:spacing w:before="120" w:after="120" w:line="240" w:lineRule="auto"/>
        <w:rPr>
          <w:rFonts w:ascii="Calibri" w:cs="Calibri" w:hAnsi="Calibri" w:eastAsia="Calibri"/>
          <w:outline w:val="0"/>
          <w:color w:val="ff0000"/>
          <w:u w:color="ff0000"/>
          <w14:textFill>
            <w14:solidFill>
              <w14:srgbClr w14:val="FF0000"/>
            </w14:solidFill>
          </w14:textFill>
        </w:rPr>
      </w:pPr>
      <w:r>
        <w:rPr>
          <w:rFonts w:ascii="Calibri" w:hAnsi="Calibri"/>
          <w:outline w:val="0"/>
          <w:color w:val="000000"/>
          <w:u w:color="000000"/>
          <w:rtl w:val="0"/>
          <w:lang w:val="en-US"/>
          <w14:textFill>
            <w14:solidFill>
              <w14:srgbClr w14:val="000000"/>
            </w14:solidFill>
          </w14:textFill>
        </w:rPr>
        <w:t xml:space="preserve">Addressing PPE is important not only to protect employees from injury but also to show that Artiron values its workforce. Failure to address concerns could damage trust, engagement and morale, particularly when employees are already being asked to adapt to new technology. </w:t>
      </w:r>
    </w:p>
    <w:p>
      <w:pPr>
        <w:pStyle w:val="Body"/>
        <w:spacing w:before="120" w:after="120" w:line="240" w:lineRule="auto"/>
        <w:rPr>
          <w:rFonts w:ascii="Calibri" w:cs="Calibri" w:hAnsi="Calibri" w:eastAsia="Calibri"/>
        </w:rPr>
      </w:pPr>
    </w:p>
    <w:p>
      <w:pPr>
        <w:pStyle w:val="Body"/>
        <w:spacing w:before="165" w:after="165" w:line="240" w:lineRule="auto"/>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lang w:val="en-US"/>
          <w14:textFill>
            <w14:solidFill>
              <w14:srgbClr w14:val="000000"/>
            </w14:solidFill>
          </w14:textFill>
        </w:rPr>
        <w:t>Question 10. Discuss how different roles in the People Team at Artiron Motors could support employees on early careers programmes through any three stages of the employee lifecycle. (AC 3.1)</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Through Artiron</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 xml:space="preserve">s robust early careers programme, which includes apprenticeships, placement years, and a two-year graduate programme, the People Team can support different roles across the employee lifecycle. </w:t>
      </w:r>
    </w:p>
    <w:p>
      <w:pPr>
        <w:pStyle w:val="List Paragraph"/>
        <w:numPr>
          <w:ilvl w:val="0"/>
          <w:numId w:val="2"/>
        </w:numPr>
        <w:bidi w:val="0"/>
        <w:spacing w:before="120" w:after="120" w:line="240" w:lineRule="auto"/>
        <w:ind w:right="0"/>
        <w:jc w:val="left"/>
        <w:rPr>
          <w:rFonts w:ascii="Calibri" w:hAnsi="Calibri"/>
          <w:rtl w:val="0"/>
          <w:lang w:val="en-US"/>
        </w:rPr>
      </w:pPr>
      <w:r>
        <w:rPr>
          <w:rFonts w:ascii="Calibri" w:hAnsi="Calibri"/>
          <w:outline w:val="0"/>
          <w:color w:val="000000"/>
          <w:u w:color="000000"/>
          <w:rtl w:val="0"/>
          <w:lang w:val="en-US"/>
          <w14:textFill>
            <w14:solidFill>
              <w14:srgbClr w14:val="000000"/>
            </w14:solidFill>
          </w14:textFill>
        </w:rPr>
        <w:t xml:space="preserve">Recruitment and Onboarding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By using inclusive recruitment methods and clearly communicating the different opportunities available, the resourcing team can support the attraction and selection of early careers employees.  This is important because Artiron needs a strong, diverse talent pool to support the Evolve strategy and its future skills requirements.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The Learning and Development team can then support new employees through the corporate induction.  The induction should explain the company</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 xml:space="preserve">s mission, values and expectations around quality, innovation, sustainability and inclusion. A positive onboarding experience can help early-career employees understand the organisation and develop a sense of belonging. CIPD (2025c) identifies effective onboarding as an important way of helping new employees integrate and become productive. </w:t>
      </w:r>
    </w:p>
    <w:p>
      <w:pPr>
        <w:pStyle w:val="List Paragraph"/>
        <w:numPr>
          <w:ilvl w:val="0"/>
          <w:numId w:val="2"/>
        </w:numPr>
        <w:bidi w:val="0"/>
        <w:spacing w:before="120" w:after="120" w:line="240" w:lineRule="auto"/>
        <w:ind w:right="0"/>
        <w:jc w:val="left"/>
        <w:rPr>
          <w:rFonts w:ascii="Calibri" w:hAnsi="Calibri"/>
          <w:rtl w:val="0"/>
          <w:lang w:val="en-US"/>
        </w:rPr>
      </w:pPr>
      <w:r>
        <w:rPr>
          <w:rFonts w:ascii="Calibri" w:hAnsi="Calibri"/>
          <w:outline w:val="0"/>
          <w:color w:val="000000"/>
          <w:u w:color="000000"/>
          <w:rtl w:val="0"/>
          <w:lang w:val="en-US"/>
          <w14:textFill>
            <w14:solidFill>
              <w14:srgbClr w14:val="000000"/>
            </w14:solidFill>
          </w14:textFill>
        </w:rPr>
        <w:t xml:space="preserve">Learning and Development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By identifying new employees' skills, the L&amp;D and Talent Management teams can provide structured training and create development plans. This would support the future skills required in areas such as EV technology, data analytics, and engineering.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Apprentices and graduates could receive mentoring, coaching and opportunities to work on cross-functional projects. Regular career discussions help employees understand potential progression opportunities within Artiron. (Hayden, 2024) highlights that learning and development can support employee capability, engagement and organisational performance. This approach could also improve retention because early careers employees can see a future career within the organisation. </w:t>
      </w:r>
    </w:p>
    <w:p>
      <w:pPr>
        <w:pStyle w:val="List Paragraph"/>
        <w:numPr>
          <w:ilvl w:val="0"/>
          <w:numId w:val="2"/>
        </w:numPr>
        <w:bidi w:val="0"/>
        <w:spacing w:before="120" w:after="120" w:line="240" w:lineRule="auto"/>
        <w:ind w:right="0"/>
        <w:jc w:val="left"/>
        <w:rPr>
          <w:rFonts w:ascii="Calibri" w:hAnsi="Calibri"/>
          <w:rtl w:val="0"/>
          <w:lang w:val="en-US"/>
        </w:rPr>
      </w:pPr>
      <w:r>
        <w:rPr>
          <w:rFonts w:ascii="Calibri" w:hAnsi="Calibri"/>
          <w:outline w:val="0"/>
          <w:color w:val="000000"/>
          <w:u w:color="000000"/>
          <w:rtl w:val="0"/>
          <w:lang w:val="en-US"/>
          <w14:textFill>
            <w14:solidFill>
              <w14:srgbClr w14:val="000000"/>
            </w14:solidFill>
          </w14:textFill>
        </w:rPr>
        <w:t xml:space="preserve">Retention and progression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The Talent Management Team could identify high-potential early careers employees and provide career pathways, mentoring and succession opportunities. The Reward Team could ensure pay and benefits are fair and competitive, while the Employment Relations Team could advise when employees raise workplace concerns.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This is particularly relevant because Artiron</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 xml:space="preserve">s employee survey identified dissatisfaction with pay across all employees. Addressing reward concerns and providing clear progression opportunities will improve engagement and encourage talented early careers employees to remain with the organisation after their apprenticeship, placement or two-year contract. </w:t>
      </w:r>
    </w:p>
    <w:p>
      <w:pPr>
        <w:pStyle w:val="Body"/>
        <w:spacing w:before="120" w:after="120" w:line="240" w:lineRule="auto"/>
        <w:rPr>
          <w:rFonts w:ascii="Calibri" w:cs="Calibri" w:hAnsi="Calibri" w:eastAsia="Calibri"/>
          <w:outline w:val="0"/>
          <w:color w:val="ff0000"/>
          <w:u w:color="ff0000"/>
          <w14:textFill>
            <w14:solidFill>
              <w14:srgbClr w14:val="FF0000"/>
            </w14:solidFill>
          </w14:textFill>
        </w:rPr>
      </w:pPr>
      <w:r>
        <w:rPr>
          <w:rFonts w:ascii="Calibri" w:hAnsi="Calibri"/>
          <w:outline w:val="0"/>
          <w:color w:val="000000"/>
          <w:u w:color="000000"/>
          <w:rtl w:val="0"/>
          <w:lang w:val="en-US"/>
          <w14:textFill>
            <w14:solidFill>
              <w14:srgbClr w14:val="000000"/>
            </w14:solidFill>
          </w14:textFill>
        </w:rPr>
        <w:t>Overall, the different People Team specialisms should work collaboratively rather than operating in isolation. Resourcing can attract talent, L&amp;D can develop it, and Talent Management, Reward and Employment Relations can help retain it. This integrated approach could strengthen Artiron</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 xml:space="preserve">s early careers talent pipeline and provide the skills required to achieve its long-term Evolve strategy. </w:t>
      </w:r>
    </w:p>
    <w:p>
      <w:pPr>
        <w:pStyle w:val="Body"/>
        <w:spacing w:before="120" w:after="120" w:line="240" w:lineRule="auto"/>
        <w:rPr>
          <w:rFonts w:ascii="Calibri" w:cs="Calibri" w:hAnsi="Calibri" w:eastAsia="Calibri"/>
          <w:outline w:val="0"/>
          <w:color w:val="ff0000"/>
          <w:u w:color="ff0000"/>
          <w:lang w:val="en-US"/>
          <w14:textFill>
            <w14:solidFill>
              <w14:srgbClr w14:val="FF0000"/>
            </w14:solidFill>
          </w14:textFill>
        </w:rPr>
      </w:pPr>
    </w:p>
    <w:p>
      <w:pPr>
        <w:pStyle w:val="Body"/>
        <w:spacing w:before="165" w:after="165" w:line="240" w:lineRule="auto"/>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lang w:val="en-US"/>
          <w14:textFill>
            <w14:solidFill>
              <w14:srgbClr w14:val="000000"/>
            </w14:solidFill>
          </w14:textFill>
        </w:rPr>
        <w:t>Question 11. Analyse how people practices could help Artiron Motors achieve their goal to be carbon net zero by 2036. (AC 3.2)</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People practices can help ensure Artiron Motors employees have the skills, motivation and behaviours needed to deliver the organisation</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 xml:space="preserve">s </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Evolve</w:t>
      </w:r>
      <w:r>
        <w:rPr>
          <w:rFonts w:ascii="Calibri" w:hAnsi="Calibri" w:hint="default"/>
          <w:outline w:val="0"/>
          <w:color w:val="000000"/>
          <w:u w:color="000000"/>
          <w:rtl w:val="0"/>
          <w:lang w:val="en-US"/>
          <w14:textFill>
            <w14:solidFill>
              <w14:srgbClr w14:val="000000"/>
            </w14:solidFill>
          </w14:textFill>
        </w:rPr>
        <w:t xml:space="preserve">’ </w:t>
      </w:r>
      <w:r>
        <w:rPr>
          <w:rFonts w:ascii="Calibri" w:hAnsi="Calibri"/>
          <w:outline w:val="0"/>
          <w:color w:val="000000"/>
          <w:u w:color="000000"/>
          <w:rtl w:val="0"/>
          <w:lang w:val="en-US"/>
          <w14:textFill>
            <w14:solidFill>
              <w14:srgbClr w14:val="000000"/>
            </w14:solidFill>
          </w14:textFill>
        </w:rPr>
        <w:t>strategy. CIPD (2024c) identifies people professionals as having an important role in supporting organisations with climate action, workforce planning, skills development and organisational change.</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Learning and development (L&amp;D) could contribute by developing the skills required for the transition to EV production. The manufacturing plants will need upgrading, so employees may need training in EV technology, sustainable manufacturing, digital systems, and energy efficiency. The L&amp;D team could undertake a learning needs analysis to identify skills gaps and provide reskilling, apprenticeships, technical training and continuous professional development. The existing early careers programme could be used to develop future skills in engineering, manufacturing, data analytics and project management. This could create a sustainable internal talent pipeline and reduce future recruitment difficulties. CIPD (2025) highlights that effective L&amp;D helps organisations respond to changing skills requirements and improve organisational capability.</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Workforce planning and recruitment could further support the 2036 target, starting by identifying the future roles and capabilities required for net zero, including EV engineering, battery technology, sustainability, and data analysis. The Resourcing team could then look to recruit candidates with these skills while ensuring recruitment remains inclusive. Workforce planning would also allow Artiron to identify which existing employees could be retrained rather than replaced. This could reduce resistance to change and retain valuable organisational knowledge. CIPD (2023b) emphasises the importance of workforce planning and skills development in helping organisations prepare for the transition to net zero.</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Employee voice and engagement are also essential. Artiron has already demonstrated the value of consultation through the development of its </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Evolve</w:t>
      </w:r>
      <w:r>
        <w:rPr>
          <w:rFonts w:ascii="Calibri" w:hAnsi="Calibri" w:hint="default"/>
          <w:outline w:val="0"/>
          <w:color w:val="000000"/>
          <w:u w:color="000000"/>
          <w:rtl w:val="0"/>
          <w:lang w:val="en-US"/>
          <w14:textFill>
            <w14:solidFill>
              <w14:srgbClr w14:val="000000"/>
            </w14:solidFill>
          </w14:textFill>
        </w:rPr>
        <w:t xml:space="preserve">’ </w:t>
      </w:r>
      <w:r>
        <w:rPr>
          <w:rFonts w:ascii="Calibri" w:hAnsi="Calibri"/>
          <w:outline w:val="0"/>
          <w:color w:val="000000"/>
          <w:u w:color="000000"/>
          <w:rtl w:val="0"/>
          <w:lang w:val="en-US"/>
          <w14:textFill>
            <w14:solidFill>
              <w14:srgbClr w14:val="000000"/>
            </w14:solidFill>
          </w14:textFill>
        </w:rPr>
        <w:t>strategy. Employees could be encouraged to suggest ways to reduce waste, energy use, and emissions because production employees may have practical knowledge that senior leaders do not. Employee involvement could also reduce resistance when introducing cobots, particularly where employees are concerned about job security or safety.</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Finally, leadership and culture will determine whether these practices become embedded. Senior leaders should visibly champion the 2036 target and ensure sustainability is reflected in organisational values, leadership behaviours and decision-making. This is particularly important because Artiron operates across several countries and has a complex divisional and matrix structure. Managers will therefore need to communicate consistently how individual roles contribute to </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Evolve</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w:t>
      </w:r>
    </w:p>
    <w:p>
      <w:pPr>
        <w:pStyle w:val="Body"/>
        <w:spacing w:before="120" w:after="120" w:line="240" w:lineRule="auto"/>
        <w:rPr>
          <w:rFonts w:ascii="Calibri" w:cs="Calibri" w:hAnsi="Calibri" w:eastAsia="Calibri"/>
          <w:outline w:val="0"/>
          <w:color w:val="ff0000"/>
          <w:u w:color="ff0000"/>
          <w14:textFill>
            <w14:solidFill>
              <w14:srgbClr w14:val="FF0000"/>
            </w14:solidFill>
          </w14:textFill>
        </w:rPr>
      </w:pPr>
      <w:r>
        <w:rPr>
          <w:rFonts w:ascii="Calibri" w:hAnsi="Calibri"/>
          <w:outline w:val="0"/>
          <w:color w:val="000000"/>
          <w:u w:color="000000"/>
          <w:rtl w:val="0"/>
          <w:lang w:val="en-US"/>
          <w14:textFill>
            <w14:solidFill>
              <w14:srgbClr w14:val="000000"/>
            </w14:solidFill>
          </w14:textFill>
        </w:rPr>
        <w:t xml:space="preserve">Overall, people practices can provide the skills, workforce capability, engagement, behaviours and leadership required to make technological and operational changes successful. Integrating sustainability into L&amp;D, recruitment, employee voice, performance management and leadership would therefore increase the likelihood that Artiron can achieve and sustain its 2036 carbon net-zero ambition. </w:t>
      </w:r>
    </w:p>
    <w:p>
      <w:pPr>
        <w:pStyle w:val="Body"/>
        <w:spacing w:before="120" w:after="120" w:line="240" w:lineRule="auto"/>
        <w:rPr>
          <w:rFonts w:ascii="Calibri" w:cs="Calibri" w:hAnsi="Calibri" w:eastAsia="Calibri"/>
          <w:outline w:val="0"/>
          <w:color w:val="000000"/>
          <w:u w:color="000000"/>
          <w:lang w:val="en-US"/>
          <w14:textFill>
            <w14:solidFill>
              <w14:srgbClr w14:val="000000"/>
            </w14:solidFill>
          </w14:textFill>
        </w:rPr>
      </w:pPr>
    </w:p>
    <w:p>
      <w:pPr>
        <w:pStyle w:val="Body"/>
        <w:spacing w:before="120" w:after="120" w:line="240" w:lineRule="auto"/>
      </w:pPr>
      <w:r>
        <w:rPr>
          <w:rFonts w:ascii="Calibri" w:hAnsi="Calibri"/>
          <w:b w:val="1"/>
          <w:bCs w:val="1"/>
          <w:outline w:val="0"/>
          <w:color w:val="000000"/>
          <w:sz w:val="28"/>
          <w:szCs w:val="28"/>
          <w:u w:color="000000"/>
          <w:rtl w:val="0"/>
          <w:lang w:val="en-US"/>
          <w14:textFill>
            <w14:solidFill>
              <w14:srgbClr w14:val="000000"/>
            </w14:solidFill>
          </w14:textFill>
        </w:rPr>
        <w:t>Question 12. Discuss how Artiron Motors could consult and engage with employees to improve wellbeing. (AC3.3)</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The employment relations survey identified several wellbeing concerns, including insufficient PPE, long working hours among support-function employees and dissatisfaction with pay across the organisation. Effective consultation and employee engagement could help Artiron understand the causes of these issues and develop solutions that employees are more likely to support. CIPD (2025b) argues that effective employee voice can build trust and help organisations respond to employee concerns. </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Employee surveys and pulse surveys could provide Artiron with regular information about wellbeing across its different locations and employee groups. The existing employment relations survey could be developed into shorter, regular pulse surveys covering workload, working hours, physical safety, stress and work-life balance. Results could be analysed by department and employee group to identify specific issues. For example, excessive working hours may be more relevant to support functions, while PPE may be a greater concern for production operatives. However, surveys alone may not explain the reasons behind these issues, so they should be combined with other consultation methods.</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Focus groups and employee forums could provide employees with opportunities to discuss wellbeing concerns in greater depth and suggest practical solutions. Artiron could create wellbeing forums to include employees from production, support staff, early-career employees and managers. This would give employees greater influence rather than simply asking for their opinions. Xu, Xie and Yang (2021) found a positive relationship between employee voice and psychological wellbeing, suggesting that giving employees opportunities to express their views may itself contribute to improved wellbeing.</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Artiron should also foster psychological safety, so employees feel comfortable raising concerns. Edmondson (1999) defines psychological safety as a shared belief that a team is safe for interpersonal risk-taking. This is particularly relevant where employees need to challenge existing practices, such as inadequate PPE or excessive workloads. Managers should therefore be trained to listen without being defensive and to respond constructively to concerns. Without psychological safety, employees may remain silent, and Artiron could miss important wellbeing risks.</w:t>
      </w:r>
    </w:p>
    <w:p>
      <w:pPr>
        <w:pStyle w:val="Body"/>
        <w:spacing w:before="12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The People Team could use information from the surveys and forums to identify wider organisational problems and develop appropriate interventions. Artiron could also engage employees in designing wellbeing initiatives, such as reviewing flexible working, working-hour arrangements and mental health support. Consultation must result in visible action and feedback. Artiron should communicate survey findings, explain which changes it will make, and provide regular progress updates. This feedback loop can increase trust and encourage employees to continue participating.</w:t>
      </w:r>
    </w:p>
    <w:p>
      <w:pPr>
        <w:pStyle w:val="Body"/>
        <w:spacing w:before="120" w:after="120" w:line="240" w:lineRule="auto"/>
        <w:rPr>
          <w:rFonts w:ascii="Calibri" w:cs="Calibri" w:hAnsi="Calibri" w:eastAsia="Calibri"/>
          <w:outline w:val="0"/>
          <w:color w:val="ff0000"/>
          <w:u w:color="ff0000"/>
          <w14:textFill>
            <w14:solidFill>
              <w14:srgbClr w14:val="FF0000"/>
            </w14:solidFill>
          </w14:textFill>
        </w:rPr>
      </w:pPr>
      <w:r>
        <w:rPr>
          <w:rFonts w:ascii="Calibri" w:hAnsi="Calibri"/>
          <w:outline w:val="0"/>
          <w:color w:val="000000"/>
          <w:u w:color="000000"/>
          <w:rtl w:val="0"/>
          <w:lang w:val="en-US"/>
          <w14:textFill>
            <w14:solidFill>
              <w14:srgbClr w14:val="000000"/>
            </w14:solidFill>
          </w14:textFill>
        </w:rPr>
        <w:t xml:space="preserve">Overall, Artiron should use a combination of surveys, focus groups, and employee forums supported by psychologically safe management practices. This two-way approach would help Artiron identify genuine wellbeing issues while giving employees meaningful influence over solutions, potentially improving wellbeing, engagement and retention. </w:t>
      </w:r>
    </w:p>
    <w:p>
      <w:pPr>
        <w:pStyle w:val="Body"/>
        <w:spacing w:before="120" w:after="120" w:line="240" w:lineRule="auto"/>
        <w:rPr>
          <w:rFonts w:ascii="Calibri" w:cs="Calibri" w:hAnsi="Calibri" w:eastAsia="Calibri"/>
          <w:b w:val="1"/>
          <w:bCs w:val="1"/>
          <w:outline w:val="0"/>
          <w:color w:val="000000"/>
          <w:u w:color="000000"/>
          <w:lang w:val="en-US"/>
          <w14:textFill>
            <w14:solidFill>
              <w14:srgbClr w14:val="000000"/>
            </w14:solidFill>
          </w14:textFill>
        </w:rPr>
      </w:pPr>
    </w:p>
    <w:p>
      <w:pPr>
        <w:pStyle w:val="Body"/>
        <w:spacing w:before="120" w:after="120" w:line="240" w:lineRule="auto"/>
        <w:rPr>
          <w:rFonts w:ascii="Calibri" w:cs="Calibri" w:hAnsi="Calibri" w:eastAsia="Calibri"/>
          <w:outline w:val="0"/>
          <w:color w:val="ff0000"/>
          <w:u w:color="ff0000"/>
          <w:lang w:val="en-US"/>
          <w14:textFill>
            <w14:solidFill>
              <w14:srgbClr w14:val="FF0000"/>
            </w14:solidFill>
          </w14:textFill>
        </w:rPr>
      </w:pPr>
    </w:p>
    <w:p>
      <w:pPr>
        <w:pStyle w:val="Body"/>
        <w:spacing w:before="165" w:after="165" w:line="240" w:lineRule="auto"/>
        <w:rPr>
          <w:rFonts w:ascii="Calibri" w:cs="Calibri" w:hAnsi="Calibri" w:eastAsia="Calibri"/>
          <w:outline w:val="0"/>
          <w:color w:val="000000"/>
          <w:u w:color="000000"/>
          <w:lang w:val="en-US"/>
          <w14:textFill>
            <w14:solidFill>
              <w14:srgbClr w14:val="000000"/>
            </w14:solidFill>
          </w14:textFill>
        </w:rPr>
      </w:pPr>
    </w:p>
    <w:p>
      <w:pPr>
        <w:pStyle w:val="Body"/>
        <w:spacing w:before="165" w:after="165" w:line="240" w:lineRule="auto"/>
        <w:rPr>
          <w:rFonts w:ascii="Calibri" w:cs="Calibri" w:hAnsi="Calibri" w:eastAsia="Calibri"/>
          <w:b w:val="1"/>
          <w:bCs w:val="1"/>
        </w:rPr>
      </w:pPr>
      <w:r>
        <w:rPr>
          <w:rFonts w:ascii="Calibri" w:hAnsi="Calibri"/>
          <w:b w:val="1"/>
          <w:bCs w:val="1"/>
          <w:rtl w:val="0"/>
          <w:lang w:val="fr-FR"/>
        </w:rPr>
        <w:t>Bibliography</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ACAS. (2025). </w:t>
      </w:r>
      <w:r>
        <w:rPr>
          <w:rFonts w:ascii="Calibri" w:hAnsi="Calibri"/>
          <w:i w:val="1"/>
          <w:iCs w:val="1"/>
          <w:outline w:val="0"/>
          <w:color w:val="000000"/>
          <w:u w:color="000000"/>
          <w:rtl w:val="0"/>
          <w:lang w:val="en-US"/>
          <w14:textFill>
            <w14:solidFill>
              <w14:srgbClr w14:val="000000"/>
            </w14:solidFill>
          </w14:textFill>
        </w:rPr>
        <w:t>Making your workplace inclusive - Equality, diversity and inclusion - Acas</w:t>
      </w:r>
      <w:r>
        <w:rPr>
          <w:rFonts w:ascii="Calibri" w:hAnsi="Calibri"/>
          <w:outline w:val="0"/>
          <w:color w:val="000000"/>
          <w:u w:color="000000"/>
          <w:rtl w:val="0"/>
          <w:lang w:val="en-US"/>
          <w14:textFill>
            <w14:solidFill>
              <w14:srgbClr w14:val="000000"/>
            </w14:solidFill>
          </w14:textFill>
        </w:rPr>
        <w:t xml:space="preserve">. [online] Available at: </w:t>
      </w:r>
      <w:r>
        <w:rPr>
          <w:rStyle w:val="Hyperlink.0"/>
        </w:rPr>
        <w:fldChar w:fldCharType="begin" w:fldLock="0"/>
      </w:r>
      <w:r>
        <w:rPr>
          <w:rStyle w:val="Hyperlink.0"/>
        </w:rPr>
        <w:instrText xml:space="preserve"> HYPERLINK "https://www.acas.org.uk/improving-equality-diversity-and-inclusion/making-your-workplace-inclusive"</w:instrText>
      </w:r>
      <w:r>
        <w:rPr>
          <w:rStyle w:val="Hyperlink.0"/>
        </w:rPr>
        <w:fldChar w:fldCharType="separate" w:fldLock="0"/>
      </w:r>
      <w:r>
        <w:rPr>
          <w:rStyle w:val="Hyperlink.0"/>
          <w:rtl w:val="0"/>
          <w:lang w:val="en-US"/>
        </w:rPr>
        <w:t>https://www.acas.org.uk/improving-equality-diversity-and-inclusion/making-your-workplace-inclusive</w:t>
      </w:r>
      <w:r>
        <w:rPr/>
        <w:fldChar w:fldCharType="end" w:fldLock="0"/>
      </w:r>
      <w:r>
        <w:rPr>
          <w:rFonts w:ascii="Calibri" w:hAnsi="Calibri"/>
          <w:outline w:val="0"/>
          <w:color w:val="000000"/>
          <w:u w:color="000000"/>
          <w:rtl w:val="0"/>
          <w:lang w:val="en-US"/>
          <w14:textFill>
            <w14:solidFill>
              <w14:srgbClr w14:val="000000"/>
            </w14:solidFill>
          </w14:textFill>
        </w:rPr>
        <w:t xml:space="preserve"> [Accessed 5 Sept. 2026].</w:t>
      </w:r>
    </w:p>
    <w:p>
      <w:pPr>
        <w:pStyle w:val="Body"/>
        <w:spacing w:before="24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Appreciative inquiry sustainable improvement through building on what works sowing seeds AcademiWales #PublicServiceWales. (n.d.). [online] Available at: </w:t>
      </w:r>
      <w:r>
        <w:rPr>
          <w:rStyle w:val="Hyperlink.0"/>
        </w:rPr>
        <w:fldChar w:fldCharType="begin" w:fldLock="0"/>
      </w:r>
      <w:r>
        <w:rPr>
          <w:rStyle w:val="Hyperlink.0"/>
        </w:rPr>
        <w:instrText xml:space="preserve"> HYPERLINK "https://academiwales.gov.wales/api/storage/1198e7b5-3b9e-4707-9388d96c9264d449/35601_AW_SowingSeeds_AppreciativeInquiry_E_WEB.pdf"</w:instrText>
      </w:r>
      <w:r>
        <w:rPr>
          <w:rStyle w:val="Hyperlink.0"/>
        </w:rPr>
        <w:fldChar w:fldCharType="separate" w:fldLock="0"/>
      </w:r>
      <w:r>
        <w:rPr>
          <w:rStyle w:val="Hyperlink.0"/>
          <w:rtl w:val="0"/>
          <w:lang w:val="en-US"/>
        </w:rPr>
        <w:t>https://academiwales.gov.wales/api/storage/1198e7b5-3b9e-4707-9388d96c9264d449/35601_AW_SowingSeeds_AppreciativeInquiry_E_WEB.pdf</w:t>
      </w:r>
      <w:r>
        <w:rPr/>
        <w:fldChar w:fldCharType="end" w:fldLock="0"/>
      </w:r>
      <w:r>
        <w:rPr>
          <w:rFonts w:ascii="Calibri" w:hAnsi="Calibri"/>
          <w:outline w:val="0"/>
          <w:color w:val="000000"/>
          <w:u w:color="000000"/>
          <w:rtl w:val="0"/>
          <w:lang w:val="en-US"/>
          <w14:textFill>
            <w14:solidFill>
              <w14:srgbClr w14:val="000000"/>
            </w14:solidFill>
          </w14:textFill>
        </w:rPr>
        <w:t xml:space="preserve"> [Accessed 31 July 2026].</w:t>
      </w:r>
    </w:p>
    <w:p>
      <w:pPr>
        <w:pStyle w:val="Body"/>
        <w:spacing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Burnes, B. (2017) </w:t>
      </w:r>
      <w:r>
        <w:rPr>
          <w:rFonts w:ascii="Calibri" w:hAnsi="Calibri"/>
          <w:i w:val="1"/>
          <w:iCs w:val="1"/>
          <w:outline w:val="0"/>
          <w:color w:val="000000"/>
          <w:u w:color="000000"/>
          <w:rtl w:val="0"/>
          <w:lang w:val="en-US"/>
          <w14:textFill>
            <w14:solidFill>
              <w14:srgbClr w14:val="000000"/>
            </w14:solidFill>
          </w14:textFill>
        </w:rPr>
        <w:t>Managing Change</w:t>
      </w:r>
      <w:r>
        <w:rPr>
          <w:rFonts w:ascii="Calibri" w:hAnsi="Calibri"/>
          <w:outline w:val="0"/>
          <w:color w:val="000000"/>
          <w:u w:color="000000"/>
          <w:rtl w:val="0"/>
          <w:lang w:val="en-US"/>
          <w14:textFill>
            <w14:solidFill>
              <w14:srgbClr w14:val="000000"/>
            </w14:solidFill>
          </w14:textFill>
        </w:rPr>
        <w:t>. 7th edn. Harlow: Pearson.</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CIPD (2020a) </w:t>
      </w:r>
      <w:r>
        <w:rPr>
          <w:rFonts w:ascii="Calibri" w:hAnsi="Calibri"/>
          <w:i w:val="1"/>
          <w:iCs w:val="1"/>
          <w:outline w:val="0"/>
          <w:color w:val="000000"/>
          <w:u w:color="000000"/>
          <w:rtl w:val="0"/>
          <w:lang w:val="en-US"/>
          <w14:textFill>
            <w14:solidFill>
              <w14:srgbClr w14:val="000000"/>
            </w14:solidFill>
          </w14:textFill>
        </w:rPr>
        <w:t>Creating learning cultures: Assessing the evidence</w:t>
      </w:r>
      <w:r>
        <w:rPr>
          <w:rFonts w:ascii="Calibri" w:hAnsi="Calibri"/>
          <w:outline w:val="0"/>
          <w:color w:val="000000"/>
          <w:u w:color="000000"/>
          <w:rtl w:val="0"/>
          <w:lang w:val="en-US"/>
          <w14:textFill>
            <w14:solidFill>
              <w14:srgbClr w14:val="000000"/>
            </w14:solidFill>
          </w14:textFill>
        </w:rPr>
        <w:t xml:space="preserve">. London: Chartered Institute of Personnel and Development. Available at: </w:t>
      </w:r>
      <w:r>
        <w:rPr>
          <w:rStyle w:val="Hyperlink.0"/>
        </w:rPr>
        <w:fldChar w:fldCharType="begin" w:fldLock="0"/>
      </w:r>
      <w:r>
        <w:rPr>
          <w:rStyle w:val="Hyperlink.0"/>
        </w:rPr>
        <w:instrText xml:space="preserve"> HYPERLINK "https://www.cipd.org/uk/knowledge/evidence-reviews/learning-cultures-evidence/"</w:instrText>
      </w:r>
      <w:r>
        <w:rPr>
          <w:rStyle w:val="Hyperlink.0"/>
        </w:rPr>
        <w:fldChar w:fldCharType="separate" w:fldLock="0"/>
      </w:r>
      <w:r>
        <w:rPr>
          <w:rStyle w:val="Hyperlink.0"/>
          <w:rtl w:val="0"/>
          <w:lang w:val="en-US"/>
        </w:rPr>
        <w:t>https://www.cipd.org/uk/knowledge/evidence-reviews/learning-cultures-evidence/</w:t>
      </w:r>
      <w:r>
        <w:rPr/>
        <w:fldChar w:fldCharType="end" w:fldLock="0"/>
      </w:r>
      <w:r>
        <w:rPr>
          <w:rFonts w:ascii="Calibri" w:hAnsi="Calibri"/>
          <w:outline w:val="0"/>
          <w:color w:val="000000"/>
          <w:u w:color="000000"/>
          <w:rtl w:val="0"/>
          <w:lang w:val="en-US"/>
          <w14:textFill>
            <w14:solidFill>
              <w14:srgbClr w14:val="000000"/>
            </w14:solidFill>
          </w14:textFill>
        </w:rPr>
        <w:t xml:space="preserve"> (Accessed: 5 September 2026).</w:t>
      </w:r>
    </w:p>
    <w:p>
      <w:pPr>
        <w:pStyle w:val="Body"/>
        <w:spacing w:before="24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CIPD (2020). CIPD | people profession 2030 future trends. [online] CIPD. Available at: </w:t>
      </w:r>
      <w:r>
        <w:rPr>
          <w:rStyle w:val="Hyperlink.0"/>
        </w:rPr>
        <w:fldChar w:fldCharType="begin" w:fldLock="0"/>
      </w:r>
      <w:r>
        <w:rPr>
          <w:rStyle w:val="Hyperlink.0"/>
        </w:rPr>
        <w:instrText xml:space="preserve"> HYPERLINK "https://www.cipd.org/uk/knowledge/reports/people-profession-2030-future-trends/"</w:instrText>
      </w:r>
      <w:r>
        <w:rPr>
          <w:rStyle w:val="Hyperlink.0"/>
        </w:rPr>
        <w:fldChar w:fldCharType="separate" w:fldLock="0"/>
      </w:r>
      <w:r>
        <w:rPr>
          <w:rStyle w:val="Hyperlink.0"/>
          <w:rtl w:val="0"/>
          <w:lang w:val="en-US"/>
        </w:rPr>
        <w:t>https://www.cipd.org/uk/knowledge/reports/people-profession-2030-future-trends/</w:t>
      </w:r>
      <w:r>
        <w:rPr/>
        <w:fldChar w:fldCharType="end" w:fldLock="0"/>
      </w:r>
      <w:r>
        <w:rPr>
          <w:rFonts w:ascii="Calibri" w:hAnsi="Calibri"/>
          <w:outline w:val="0"/>
          <w:color w:val="000000"/>
          <w:u w:color="000000"/>
          <w:rtl w:val="0"/>
          <w:lang w:val="en-US"/>
          <w14:textFill>
            <w14:solidFill>
              <w14:srgbClr w14:val="000000"/>
            </w14:solidFill>
          </w14:textFill>
        </w:rPr>
        <w:t xml:space="preserve"> [Accessed 11 Aug. 2026].</w:t>
      </w:r>
    </w:p>
    <w:p>
      <w:pPr>
        <w:pStyle w:val="Body"/>
        <w:spacing w:before="240" w:after="240" w:line="240" w:lineRule="auto"/>
      </w:pPr>
      <w:r>
        <w:rPr>
          <w:rFonts w:ascii="Calibri" w:hAnsi="Calibri"/>
          <w:outline w:val="0"/>
          <w:color w:val="000000"/>
          <w:u w:color="000000"/>
          <w:rtl w:val="0"/>
          <w:lang w:val="en-US"/>
          <w14:textFill>
            <w14:solidFill>
              <w14:srgbClr w14:val="000000"/>
            </w14:solidFill>
          </w14:textFill>
        </w:rPr>
        <w:t xml:space="preserve">CIPD (2020). </w:t>
      </w:r>
      <w:r>
        <w:rPr>
          <w:rFonts w:ascii="Calibri" w:hAnsi="Calibri"/>
          <w:i w:val="1"/>
          <w:iCs w:val="1"/>
          <w:outline w:val="0"/>
          <w:color w:val="000000"/>
          <w:u w:color="000000"/>
          <w:rtl w:val="0"/>
          <w:lang w:val="en-US"/>
          <w14:textFill>
            <w14:solidFill>
              <w14:srgbClr w14:val="000000"/>
            </w14:solidFill>
          </w14:textFill>
        </w:rPr>
        <w:t>Workplace technology: The employee experience</w:t>
      </w:r>
      <w:r>
        <w:rPr>
          <w:rFonts w:ascii="Calibri" w:hAnsi="Calibri"/>
          <w:outline w:val="0"/>
          <w:color w:val="000000"/>
          <w:u w:color="000000"/>
          <w:rtl w:val="0"/>
          <w:lang w:val="en-US"/>
          <w14:textFill>
            <w14:solidFill>
              <w14:srgbClr w14:val="000000"/>
            </w14:solidFill>
          </w14:textFill>
        </w:rPr>
        <w:t xml:space="preserve">. [online] CIPD. Available at: </w:t>
      </w:r>
      <w:r>
        <w:rPr>
          <w:rStyle w:val="Hyperlink.0"/>
        </w:rPr>
        <w:fldChar w:fldCharType="begin" w:fldLock="0"/>
      </w:r>
      <w:r>
        <w:rPr>
          <w:rStyle w:val="Hyperlink.0"/>
        </w:rPr>
        <w:instrText xml:space="preserve"> HYPERLINK "https://www.cipd.org/uk/knowledge/reports/workplace-technology-employee/"</w:instrText>
      </w:r>
      <w:r>
        <w:rPr>
          <w:rStyle w:val="Hyperlink.0"/>
        </w:rPr>
        <w:fldChar w:fldCharType="separate" w:fldLock="0"/>
      </w:r>
      <w:r>
        <w:rPr>
          <w:rStyle w:val="Hyperlink.0"/>
          <w:rtl w:val="0"/>
          <w:lang w:val="en-US"/>
        </w:rPr>
        <w:t>https://www.cipd.org/uk/knowledge/reports/workplace-technology-employee/</w:t>
      </w:r>
      <w:r>
        <w:rPr/>
        <w:fldChar w:fldCharType="end" w:fldLock="0"/>
      </w:r>
      <w:r>
        <w:rPr>
          <w:rFonts w:ascii="Calibri" w:hAnsi="Calibri"/>
          <w:outline w:val="0"/>
          <w:color w:val="000000"/>
          <w:u w:color="000000"/>
          <w:rtl w:val="0"/>
          <w:lang w:val="en-US"/>
          <w14:textFill>
            <w14:solidFill>
              <w14:srgbClr w14:val="000000"/>
            </w14:solidFill>
          </w14:textFill>
        </w:rPr>
        <w:t xml:space="preserve"> [Accessed 22 Aug. 2026].</w:t>
      </w:r>
    </w:p>
    <w:p>
      <w:pPr>
        <w:pStyle w:val="Body"/>
        <w:spacing w:before="240" w:after="240" w:line="240" w:lineRule="auto"/>
      </w:pPr>
      <w:r>
        <w:rPr>
          <w:rFonts w:ascii="Calibri" w:hAnsi="Calibri"/>
          <w:outline w:val="0"/>
          <w:color w:val="000000"/>
          <w:u w:color="000000"/>
          <w:rtl w:val="0"/>
          <w:lang w:val="en-US"/>
          <w14:textFill>
            <w14:solidFill>
              <w14:srgbClr w14:val="000000"/>
            </w14:solidFill>
          </w14:textFill>
        </w:rPr>
        <w:t xml:space="preserve">CIPD (2022). </w:t>
      </w:r>
      <w:r>
        <w:rPr>
          <w:rFonts w:ascii="Calibri" w:hAnsi="Calibri"/>
          <w:i w:val="1"/>
          <w:iCs w:val="1"/>
          <w:outline w:val="0"/>
          <w:color w:val="000000"/>
          <w:u w:color="000000"/>
          <w:rtl w:val="0"/>
          <w:lang w:val="en-US"/>
          <w14:textFill>
            <w14:solidFill>
              <w14:srgbClr w14:val="000000"/>
            </w14:solidFill>
          </w14:textFill>
        </w:rPr>
        <w:t>CIPD | inclusion at work 2022</w:t>
      </w:r>
      <w:r>
        <w:rPr>
          <w:rFonts w:ascii="Calibri" w:hAnsi="Calibri"/>
          <w:outline w:val="0"/>
          <w:color w:val="000000"/>
          <w:u w:color="000000"/>
          <w:rtl w:val="0"/>
          <w:lang w:val="en-US"/>
          <w14:textFill>
            <w14:solidFill>
              <w14:srgbClr w14:val="000000"/>
            </w14:solidFill>
          </w14:textFill>
        </w:rPr>
        <w:t xml:space="preserve">. [online] CIPD. Available at: </w:t>
      </w:r>
      <w:r>
        <w:rPr>
          <w:rStyle w:val="Hyperlink.1"/>
        </w:rPr>
        <w:fldChar w:fldCharType="begin" w:fldLock="0"/>
      </w:r>
      <w:r>
        <w:rPr>
          <w:rStyle w:val="Hyperlink.1"/>
        </w:rPr>
        <w:instrText xml:space="preserve"> HYPERLINK "https://www.cipd.org/uk/knowledge/reports/inclusion-work/"</w:instrText>
      </w:r>
      <w:r>
        <w:rPr>
          <w:rStyle w:val="Hyperlink.1"/>
        </w:rPr>
        <w:fldChar w:fldCharType="separate" w:fldLock="0"/>
      </w:r>
      <w:r>
        <w:rPr>
          <w:rStyle w:val="Hyperlink.1"/>
          <w:rtl w:val="0"/>
          <w:lang w:val="en-US"/>
        </w:rPr>
        <w:t>https://www.cipd.org/uk/knowledge/reports/inclusion-work/</w:t>
      </w:r>
      <w:r>
        <w:rPr/>
        <w:fldChar w:fldCharType="end" w:fldLock="0"/>
      </w:r>
      <w:r>
        <w:rPr>
          <w:rFonts w:ascii="Calibri" w:hAnsi="Calibri"/>
          <w:outline w:val="0"/>
          <w:color w:val="000000"/>
          <w:u w:color="000000"/>
          <w:rtl w:val="0"/>
          <w:lang w:val="en-US"/>
          <w14:textFill>
            <w14:solidFill>
              <w14:srgbClr w14:val="000000"/>
            </w14:solidFill>
          </w14:textFill>
        </w:rPr>
        <w:t xml:space="preserve"> [Accessed 5 Sept. 2026].</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CIPD (2023a). </w:t>
      </w:r>
      <w:r>
        <w:rPr>
          <w:rFonts w:ascii="Calibri" w:hAnsi="Calibri"/>
          <w:i w:val="1"/>
          <w:iCs w:val="1"/>
          <w:outline w:val="0"/>
          <w:color w:val="000000"/>
          <w:u w:color="000000"/>
          <w:rtl w:val="0"/>
          <w:lang w:val="en-US"/>
          <w14:textFill>
            <w14:solidFill>
              <w14:srgbClr w14:val="000000"/>
            </w14:solidFill>
          </w14:textFill>
        </w:rPr>
        <w:t>Change</w:t>
      </w:r>
      <w:r>
        <w:rPr>
          <w:rFonts w:ascii="Calibri" w:hAnsi="Calibri"/>
          <w:outline w:val="0"/>
          <w:color w:val="000000"/>
          <w:u w:color="000000"/>
          <w:rtl w:val="0"/>
          <w:lang w:val="en-US"/>
          <w14:textFill>
            <w14:solidFill>
              <w14:srgbClr w14:val="000000"/>
            </w14:solidFill>
          </w14:textFill>
        </w:rPr>
        <w:t xml:space="preserve">. [online] CIPD. Available at: </w:t>
      </w:r>
      <w:r>
        <w:rPr>
          <w:rStyle w:val="Hyperlink.0"/>
        </w:rPr>
        <w:fldChar w:fldCharType="begin" w:fldLock="0"/>
      </w:r>
      <w:r>
        <w:rPr>
          <w:rStyle w:val="Hyperlink.0"/>
        </w:rPr>
        <w:instrText xml:space="preserve"> HYPERLINK "https://www.cipd.org/uk/the-people-profession/the-profession-map/explore-the-profession-map/core-knowledge/change/"</w:instrText>
      </w:r>
      <w:r>
        <w:rPr>
          <w:rStyle w:val="Hyperlink.0"/>
        </w:rPr>
        <w:fldChar w:fldCharType="separate" w:fldLock="0"/>
      </w:r>
      <w:r>
        <w:rPr>
          <w:rStyle w:val="Hyperlink.0"/>
          <w:rtl w:val="0"/>
          <w:lang w:val="en-US"/>
        </w:rPr>
        <w:t>https://www.cipd.org/uk/the-people-profession/the-profession-map/explore-the-profession-map/core-knowledge/change/</w:t>
      </w:r>
      <w:r>
        <w:rPr/>
        <w:fldChar w:fldCharType="end" w:fldLock="0"/>
      </w:r>
      <w:r>
        <w:rPr>
          <w:rFonts w:ascii="Calibri" w:hAnsi="Calibri"/>
          <w:outline w:val="0"/>
          <w:color w:val="000000"/>
          <w:u w:color="000000"/>
          <w:rtl w:val="0"/>
          <w:lang w:val="en-US"/>
          <w14:textFill>
            <w14:solidFill>
              <w14:srgbClr w14:val="000000"/>
            </w14:solidFill>
          </w14:textFill>
        </w:rPr>
        <w:t xml:space="preserve"> [Accessed 6 Sept. 2026].</w:t>
      </w:r>
    </w:p>
    <w:p>
      <w:pPr>
        <w:pStyle w:val="Body"/>
        <w:spacing w:before="24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CIPD (2023). CIPD | organisation design | factsheets. [online] CIPD. Available at: </w:t>
      </w:r>
      <w:r>
        <w:rPr>
          <w:rStyle w:val="Hyperlink.0"/>
        </w:rPr>
        <w:fldChar w:fldCharType="begin" w:fldLock="0"/>
      </w:r>
      <w:r>
        <w:rPr>
          <w:rStyle w:val="Hyperlink.0"/>
        </w:rPr>
        <w:instrText xml:space="preserve"> HYPERLINK "https://www.cipd.org/uk/knowledge/factsheets/organisational-development-design-factsheet/"</w:instrText>
      </w:r>
      <w:r>
        <w:rPr>
          <w:rStyle w:val="Hyperlink.0"/>
        </w:rPr>
        <w:fldChar w:fldCharType="separate" w:fldLock="0"/>
      </w:r>
      <w:r>
        <w:rPr>
          <w:rStyle w:val="Hyperlink.0"/>
          <w:rtl w:val="0"/>
          <w:lang w:val="en-US"/>
        </w:rPr>
        <w:t>https://www.cipd.org/uk/knowledge/factsheets/organisational-development-design-factsheet/</w:t>
      </w:r>
      <w:r>
        <w:rPr/>
        <w:fldChar w:fldCharType="end" w:fldLock="0"/>
      </w:r>
      <w:r>
        <w:rPr>
          <w:rFonts w:ascii="Calibri" w:hAnsi="Calibri"/>
          <w:outline w:val="0"/>
          <w:color w:val="000000"/>
          <w:u w:color="000000"/>
          <w:rtl w:val="0"/>
          <w:lang w:val="en-US"/>
          <w14:textFill>
            <w14:solidFill>
              <w14:srgbClr w14:val="000000"/>
            </w14:solidFill>
          </w14:textFill>
        </w:rPr>
        <w:t xml:space="preserve"> [Accessed 11 Aug. 2026].</w:t>
      </w:r>
    </w:p>
    <w:p>
      <w:pPr>
        <w:pStyle w:val="Body"/>
        <w:spacing w:before="240" w:after="240" w:line="240" w:lineRule="auto"/>
      </w:pPr>
      <w:r>
        <w:rPr>
          <w:rFonts w:ascii="Calibri" w:hAnsi="Calibri"/>
          <w:outline w:val="0"/>
          <w:color w:val="000000"/>
          <w:u w:color="000000"/>
          <w:rtl w:val="0"/>
          <w:lang w:val="en-US"/>
          <w14:textFill>
            <w14:solidFill>
              <w14:srgbClr w14:val="000000"/>
            </w14:solidFill>
          </w14:textFill>
        </w:rPr>
        <w:t xml:space="preserve">CIPD (2023b). </w:t>
      </w:r>
      <w:r>
        <w:rPr>
          <w:rFonts w:ascii="Calibri" w:hAnsi="Calibri"/>
          <w:i w:val="1"/>
          <w:iCs w:val="1"/>
          <w:outline w:val="0"/>
          <w:color w:val="000000"/>
          <w:u w:color="000000"/>
          <w:rtl w:val="0"/>
          <w:lang w:val="en-US"/>
          <w14:textFill>
            <w14:solidFill>
              <w14:srgbClr w14:val="000000"/>
            </w14:solidFill>
          </w14:textFill>
        </w:rPr>
        <w:t>Putting people professionals on the road to net zero</w:t>
      </w:r>
      <w:r>
        <w:rPr>
          <w:rFonts w:ascii="Calibri" w:hAnsi="Calibri"/>
          <w:outline w:val="0"/>
          <w:color w:val="000000"/>
          <w:u w:color="000000"/>
          <w:rtl w:val="0"/>
          <w:lang w:val="en-US"/>
          <w14:textFill>
            <w14:solidFill>
              <w14:srgbClr w14:val="000000"/>
            </w14:solidFill>
          </w14:textFill>
        </w:rPr>
        <w:t xml:space="preserve">. [online] CIPD. Available at: </w:t>
      </w:r>
      <w:r>
        <w:rPr>
          <w:rStyle w:val="Hyperlink.0"/>
        </w:rPr>
        <w:fldChar w:fldCharType="begin" w:fldLock="0"/>
      </w:r>
      <w:r>
        <w:rPr>
          <w:rStyle w:val="Hyperlink.0"/>
        </w:rPr>
        <w:instrText xml:space="preserve"> HYPERLINK "https://www.cipd.org/uk/knowledge/reports/people-professionals-net-zero/?utm_source=chatgpt.com"</w:instrText>
      </w:r>
      <w:r>
        <w:rPr>
          <w:rStyle w:val="Hyperlink.0"/>
        </w:rPr>
        <w:fldChar w:fldCharType="separate" w:fldLock="0"/>
      </w:r>
      <w:r>
        <w:rPr>
          <w:rStyle w:val="Hyperlink.0"/>
          <w:rtl w:val="0"/>
          <w:lang w:val="en-US"/>
        </w:rPr>
        <w:t>https://www.cipd.org/uk/knowledge/reports/people-professionals-net-zero/?utm_source=chatgpt.com</w:t>
      </w:r>
      <w:r>
        <w:rPr/>
        <w:fldChar w:fldCharType="end" w:fldLock="0"/>
      </w:r>
      <w:r>
        <w:rPr>
          <w:rFonts w:ascii="Calibri" w:hAnsi="Calibri"/>
          <w:outline w:val="0"/>
          <w:color w:val="000000"/>
          <w:u w:color="000000"/>
          <w:rtl w:val="0"/>
          <w:lang w:val="en-US"/>
          <w14:textFill>
            <w14:solidFill>
              <w14:srgbClr w14:val="000000"/>
            </w14:solidFill>
          </w14:textFill>
        </w:rPr>
        <w:t xml:space="preserve"> [Accessed 22 Aug. 2026].</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CIPD (2024). </w:t>
      </w:r>
      <w:r>
        <w:rPr>
          <w:rFonts w:ascii="Calibri" w:hAnsi="Calibri"/>
          <w:i w:val="1"/>
          <w:iCs w:val="1"/>
          <w:outline w:val="0"/>
          <w:color w:val="000000"/>
          <w:u w:color="000000"/>
          <w:rtl w:val="0"/>
          <w:lang w:val="en-US"/>
          <w14:textFill>
            <w14:solidFill>
              <w14:srgbClr w14:val="000000"/>
            </w14:solidFill>
          </w14:textFill>
        </w:rPr>
        <w:t>A guide to inclusive recruitment for employers</w:t>
      </w:r>
      <w:r>
        <w:rPr>
          <w:rFonts w:ascii="Calibri" w:hAnsi="Calibri"/>
          <w:outline w:val="0"/>
          <w:color w:val="000000"/>
          <w:u w:color="000000"/>
          <w:rtl w:val="0"/>
          <w:lang w:val="en-US"/>
          <w14:textFill>
            <w14:solidFill>
              <w14:srgbClr w14:val="000000"/>
            </w14:solidFill>
          </w14:textFill>
        </w:rPr>
        <w:t xml:space="preserve">. [online] CIPD. Available at: </w:t>
      </w:r>
      <w:r>
        <w:rPr>
          <w:rStyle w:val="Hyperlink.0"/>
        </w:rPr>
        <w:fldChar w:fldCharType="begin" w:fldLock="0"/>
      </w:r>
      <w:r>
        <w:rPr>
          <w:rStyle w:val="Hyperlink.0"/>
        </w:rPr>
        <w:instrText xml:space="preserve"> HYPERLINK "https://www.cipd.org/uk/knowledge/guides/inclusive-employers/"</w:instrText>
      </w:r>
      <w:r>
        <w:rPr>
          <w:rStyle w:val="Hyperlink.0"/>
        </w:rPr>
        <w:fldChar w:fldCharType="separate" w:fldLock="0"/>
      </w:r>
      <w:r>
        <w:rPr>
          <w:rStyle w:val="Hyperlink.0"/>
          <w:rtl w:val="0"/>
          <w:lang w:val="en-US"/>
        </w:rPr>
        <w:t>https://www.cipd.org/uk/knowledge/guides/inclusive-employers/</w:t>
      </w:r>
      <w:r>
        <w:rPr/>
        <w:fldChar w:fldCharType="end" w:fldLock="0"/>
      </w:r>
      <w:r>
        <w:rPr>
          <w:rFonts w:ascii="Calibri" w:hAnsi="Calibri"/>
          <w:outline w:val="0"/>
          <w:color w:val="000000"/>
          <w:u w:color="000000"/>
          <w:rtl w:val="0"/>
          <w:lang w:val="en-US"/>
          <w14:textFill>
            <w14:solidFill>
              <w14:srgbClr w14:val="000000"/>
            </w14:solidFill>
          </w14:textFill>
        </w:rPr>
        <w:t xml:space="preserve"> [Accessed 5 Sept. 2026].</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CIPD (2024) </w:t>
      </w:r>
      <w:r>
        <w:rPr>
          <w:rFonts w:ascii="Calibri" w:hAnsi="Calibri"/>
          <w:i w:val="1"/>
          <w:iCs w:val="1"/>
          <w:outline w:val="0"/>
          <w:color w:val="000000"/>
          <w:u w:color="000000"/>
          <w:rtl w:val="0"/>
          <w:lang w:val="en-US"/>
          <w14:textFill>
            <w14:solidFill>
              <w14:srgbClr w14:val="000000"/>
            </w14:solidFill>
          </w14:textFill>
        </w:rPr>
        <w:t>Change management: A guide for people professionals</w:t>
      </w:r>
      <w:r>
        <w:rPr>
          <w:rFonts w:ascii="Calibri" w:hAnsi="Calibri"/>
          <w:outline w:val="0"/>
          <w:color w:val="000000"/>
          <w:u w:color="000000"/>
          <w:rtl w:val="0"/>
          <w:lang w:val="en-US"/>
          <w14:textFill>
            <w14:solidFill>
              <w14:srgbClr w14:val="000000"/>
            </w14:solidFill>
          </w14:textFill>
        </w:rPr>
        <w:t xml:space="preserve">. London: Chartered Institute of Personnel and Development. Available at: </w:t>
      </w:r>
      <w:r>
        <w:rPr>
          <w:rStyle w:val="Hyperlink.2"/>
        </w:rPr>
        <w:fldChar w:fldCharType="begin" w:fldLock="0"/>
      </w:r>
      <w:r>
        <w:rPr>
          <w:rStyle w:val="Hyperlink.2"/>
        </w:rPr>
        <w:instrText xml:space="preserve"> HYPERLINK "https://www.cipd.org/uk/knowledge/guides/change-management/"</w:instrText>
      </w:r>
      <w:r>
        <w:rPr>
          <w:rStyle w:val="Hyperlink.2"/>
        </w:rPr>
        <w:fldChar w:fldCharType="separate" w:fldLock="0"/>
      </w:r>
      <w:r>
        <w:rPr>
          <w:rStyle w:val="Hyperlink.2"/>
          <w:rtl w:val="0"/>
          <w:lang w:val="en-US"/>
        </w:rPr>
        <w:t>CIPD Change Management Guide</w:t>
      </w:r>
      <w:r>
        <w:rPr/>
        <w:fldChar w:fldCharType="end" w:fldLock="0"/>
      </w:r>
      <w:r>
        <w:rPr>
          <w:rFonts w:ascii="Calibri" w:hAnsi="Calibri"/>
          <w:outline w:val="0"/>
          <w:color w:val="000000"/>
          <w:u w:color="000000"/>
          <w:rtl w:val="0"/>
          <w:lang w:val="en-US"/>
          <w14:textFill>
            <w14:solidFill>
              <w14:srgbClr w14:val="000000"/>
            </w14:solidFill>
          </w14:textFill>
        </w:rPr>
        <w:t xml:space="preserve"> (Accessed: 5 September 2026).</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CIPD (2024). </w:t>
      </w:r>
      <w:r>
        <w:rPr>
          <w:rFonts w:ascii="Calibri" w:hAnsi="Calibri"/>
          <w:i w:val="1"/>
          <w:iCs w:val="1"/>
          <w:outline w:val="0"/>
          <w:color w:val="000000"/>
          <w:u w:color="000000"/>
          <w:rtl w:val="0"/>
          <w:lang w:val="en-US"/>
          <w14:textFill>
            <w14:solidFill>
              <w14:srgbClr w14:val="000000"/>
            </w14:solidFill>
          </w14:textFill>
        </w:rPr>
        <w:t>CIPD | equality, diversity and inclusion in the workplace | factsheets</w:t>
      </w:r>
      <w:r>
        <w:rPr>
          <w:rFonts w:ascii="Calibri" w:hAnsi="Calibri"/>
          <w:outline w:val="0"/>
          <w:color w:val="000000"/>
          <w:u w:color="000000"/>
          <w:rtl w:val="0"/>
          <w:lang w:val="en-US"/>
          <w14:textFill>
            <w14:solidFill>
              <w14:srgbClr w14:val="000000"/>
            </w14:solidFill>
          </w14:textFill>
        </w:rPr>
        <w:t xml:space="preserve">. [online] CIPD. Available at: </w:t>
      </w:r>
      <w:r>
        <w:rPr>
          <w:rStyle w:val="Hyperlink.0"/>
        </w:rPr>
        <w:fldChar w:fldCharType="begin" w:fldLock="0"/>
      </w:r>
      <w:r>
        <w:rPr>
          <w:rStyle w:val="Hyperlink.0"/>
        </w:rPr>
        <w:instrText xml:space="preserve"> HYPERLINK "https://www.cipd.org/uk/knowledge/factsheets/diversity-factsheet/"</w:instrText>
      </w:r>
      <w:r>
        <w:rPr>
          <w:rStyle w:val="Hyperlink.0"/>
        </w:rPr>
        <w:fldChar w:fldCharType="separate" w:fldLock="0"/>
      </w:r>
      <w:r>
        <w:rPr>
          <w:rStyle w:val="Hyperlink.0"/>
          <w:rtl w:val="0"/>
          <w:lang w:val="en-US"/>
        </w:rPr>
        <w:t>https://www.cipd.org/uk/knowledge/factsheets/diversity-factsheet/</w:t>
      </w:r>
      <w:r>
        <w:rPr/>
        <w:fldChar w:fldCharType="end" w:fldLock="0"/>
      </w:r>
      <w:r>
        <w:rPr>
          <w:rFonts w:ascii="Calibri" w:hAnsi="Calibri"/>
          <w:outline w:val="0"/>
          <w:color w:val="000000"/>
          <w:u w:color="000000"/>
          <w:rtl w:val="0"/>
          <w:lang w:val="en-US"/>
          <w14:textFill>
            <w14:solidFill>
              <w14:srgbClr w14:val="000000"/>
            </w14:solidFill>
          </w14:textFill>
        </w:rPr>
        <w:t xml:space="preserve"> [Accessed 5 Sept. 2026].</w:t>
      </w:r>
    </w:p>
    <w:p>
      <w:pPr>
        <w:pStyle w:val="Body"/>
        <w:spacing w:before="240" w:after="120" w:line="240" w:lineRule="auto"/>
      </w:pPr>
      <w:r>
        <w:rPr>
          <w:rFonts w:ascii="Calibri" w:hAnsi="Calibri"/>
          <w:outline w:val="0"/>
          <w:color w:val="000000"/>
          <w:u w:color="000000"/>
          <w:rtl w:val="0"/>
          <w:lang w:val="en-US"/>
          <w14:textFill>
            <w14:solidFill>
              <w14:srgbClr w14:val="000000"/>
            </w14:solidFill>
          </w14:textFill>
        </w:rPr>
        <w:t xml:space="preserve">CIPD (2024) </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How are organisations transforming their HR operating models?</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 xml:space="preserve">. Available at: </w:t>
      </w:r>
      <w:r>
        <w:rPr>
          <w:rStyle w:val="Hyperlink.0"/>
        </w:rPr>
        <w:fldChar w:fldCharType="begin" w:fldLock="0"/>
      </w:r>
      <w:r>
        <w:rPr>
          <w:rStyle w:val="Hyperlink.0"/>
        </w:rPr>
        <w:instrText xml:space="preserve"> HYPERLINK "https://www.cipd.org/uk/views-and-insights/thought-leadership/insight/transforming-operating-models/"</w:instrText>
      </w:r>
      <w:r>
        <w:rPr>
          <w:rStyle w:val="Hyperlink.0"/>
        </w:rPr>
        <w:fldChar w:fldCharType="separate" w:fldLock="0"/>
      </w:r>
      <w:r>
        <w:rPr>
          <w:rStyle w:val="Hyperlink.0"/>
          <w:rtl w:val="0"/>
          <w:lang w:val="en-US"/>
        </w:rPr>
        <w:t>https://www.cipd.org/uk/views-and-insights/thought-leadership/insight/transforming-operating-models/</w:t>
      </w:r>
      <w:r>
        <w:rPr/>
        <w:fldChar w:fldCharType="end" w:fldLock="0"/>
      </w:r>
      <w:r>
        <w:rPr>
          <w:rFonts w:ascii="Calibri" w:hAnsi="Calibri"/>
          <w:outline w:val="0"/>
          <w:color w:val="000000"/>
          <w:u w:color="000000"/>
          <w:rtl w:val="0"/>
          <w:lang w:val="en-US"/>
          <w14:textFill>
            <w14:solidFill>
              <w14:srgbClr w14:val="000000"/>
            </w14:solidFill>
          </w14:textFill>
        </w:rPr>
        <w:t xml:space="preserve">  (Accessed: 12 August 2026).</w:t>
      </w:r>
    </w:p>
    <w:p>
      <w:pPr>
        <w:pStyle w:val="Body"/>
        <w:spacing w:before="240" w:after="240" w:line="240" w:lineRule="auto"/>
      </w:pPr>
      <w:r>
        <w:rPr>
          <w:rFonts w:ascii="Calibri" w:hAnsi="Calibri"/>
          <w:outline w:val="0"/>
          <w:color w:val="000000"/>
          <w:u w:color="000000"/>
          <w:rtl w:val="0"/>
          <w:lang w:val="en-US"/>
          <w14:textFill>
            <w14:solidFill>
              <w14:srgbClr w14:val="000000"/>
            </w14:solidFill>
          </w14:textFill>
        </w:rPr>
        <w:t xml:space="preserve">CIPD (2024c). </w:t>
      </w:r>
      <w:r>
        <w:rPr>
          <w:rFonts w:ascii="Calibri" w:hAnsi="Calibri"/>
          <w:i w:val="1"/>
          <w:iCs w:val="1"/>
          <w:outline w:val="0"/>
          <w:color w:val="000000"/>
          <w:u w:color="000000"/>
          <w:rtl w:val="0"/>
          <w:lang w:val="en-US"/>
          <w14:textFill>
            <w14:solidFill>
              <w14:srgbClr w14:val="000000"/>
            </w14:solidFill>
          </w14:textFill>
        </w:rPr>
        <w:t>CIPD | how organisations can help tackle the climate crisis</w:t>
      </w:r>
      <w:r>
        <w:rPr>
          <w:rFonts w:ascii="Calibri" w:hAnsi="Calibri"/>
          <w:outline w:val="0"/>
          <w:color w:val="000000"/>
          <w:u w:color="000000"/>
          <w:rtl w:val="0"/>
          <w:lang w:val="en-US"/>
          <w14:textFill>
            <w14:solidFill>
              <w14:srgbClr w14:val="000000"/>
            </w14:solidFill>
          </w14:textFill>
        </w:rPr>
        <w:t xml:space="preserve">. [online] CIPD. Available at: </w:t>
      </w:r>
      <w:r>
        <w:rPr>
          <w:rStyle w:val="Hyperlink.1"/>
        </w:rPr>
        <w:fldChar w:fldCharType="begin" w:fldLock="0"/>
      </w:r>
      <w:r>
        <w:rPr>
          <w:rStyle w:val="Hyperlink.1"/>
        </w:rPr>
        <w:instrText xml:space="preserve"> HYPERLINK "https://www.cipd.org/uk/knowledge/guides/sustainability-guide/"</w:instrText>
      </w:r>
      <w:r>
        <w:rPr>
          <w:rStyle w:val="Hyperlink.1"/>
        </w:rPr>
        <w:fldChar w:fldCharType="separate" w:fldLock="0"/>
      </w:r>
      <w:r>
        <w:rPr>
          <w:rStyle w:val="Hyperlink.1"/>
          <w:rtl w:val="0"/>
          <w:lang w:val="en-US"/>
        </w:rPr>
        <w:t>https://www.cipd.org/uk/knowledge/guides/sustainability-guide/</w:t>
      </w:r>
      <w:r>
        <w:rPr/>
        <w:fldChar w:fldCharType="end" w:fldLock="0"/>
      </w:r>
      <w:r>
        <w:rPr>
          <w:rFonts w:ascii="Calibri" w:hAnsi="Calibri"/>
          <w:outline w:val="0"/>
          <w:color w:val="000000"/>
          <w:u w:color="000000"/>
          <w:rtl w:val="0"/>
          <w:lang w:val="en-US"/>
          <w14:textFill>
            <w14:solidFill>
              <w14:srgbClr w14:val="000000"/>
            </w14:solidFill>
          </w14:textFill>
        </w:rPr>
        <w:t xml:space="preserve"> [Accessed 13 Sept. 2026].</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CIPD (2024b). </w:t>
      </w:r>
      <w:r>
        <w:rPr>
          <w:rFonts w:ascii="Calibri" w:hAnsi="Calibri"/>
          <w:i w:val="1"/>
          <w:iCs w:val="1"/>
          <w:outline w:val="0"/>
          <w:color w:val="000000"/>
          <w:u w:color="000000"/>
          <w:rtl w:val="0"/>
          <w:lang w:val="en-US"/>
          <w14:textFill>
            <w14:solidFill>
              <w14:srgbClr w14:val="000000"/>
            </w14:solidFill>
          </w14:textFill>
        </w:rPr>
        <w:t>Organisational Climate and Culture</w:t>
      </w:r>
      <w:r>
        <w:rPr>
          <w:rFonts w:ascii="Calibri" w:hAnsi="Calibri"/>
          <w:outline w:val="0"/>
          <w:color w:val="000000"/>
          <w:u w:color="000000"/>
          <w:rtl w:val="0"/>
          <w:lang w:val="en-US"/>
          <w14:textFill>
            <w14:solidFill>
              <w14:srgbClr w14:val="000000"/>
            </w14:solidFill>
          </w14:textFill>
        </w:rPr>
        <w:t xml:space="preserve">. [online] CIPD. Available at: </w:t>
      </w:r>
      <w:r>
        <w:rPr>
          <w:rStyle w:val="Hyperlink.0"/>
        </w:rPr>
        <w:fldChar w:fldCharType="begin" w:fldLock="0"/>
      </w:r>
      <w:r>
        <w:rPr>
          <w:rStyle w:val="Hyperlink.0"/>
        </w:rPr>
        <w:instrText xml:space="preserve"> HYPERLINK "https://www.cipd.org/uk/knowledge/factsheets/organisation-culture-change-factsheet/"</w:instrText>
      </w:r>
      <w:r>
        <w:rPr>
          <w:rStyle w:val="Hyperlink.0"/>
        </w:rPr>
        <w:fldChar w:fldCharType="separate" w:fldLock="0"/>
      </w:r>
      <w:r>
        <w:rPr>
          <w:rStyle w:val="Hyperlink.0"/>
          <w:rtl w:val="0"/>
          <w:lang w:val="en-US"/>
        </w:rPr>
        <w:t>https://www.cipd.org/uk/knowledge/factsheets/organisation-culture-change-factsheet/</w:t>
      </w:r>
      <w:r>
        <w:rPr/>
        <w:fldChar w:fldCharType="end" w:fldLock="0"/>
      </w:r>
      <w:r>
        <w:rPr>
          <w:rFonts w:ascii="Calibri" w:hAnsi="Calibri"/>
          <w:outline w:val="0"/>
          <w:color w:val="000000"/>
          <w:u w:color="000000"/>
          <w:rtl w:val="0"/>
          <w:lang w:val="en-US"/>
          <w14:textFill>
            <w14:solidFill>
              <w14:srgbClr w14:val="000000"/>
            </w14:solidFill>
          </w14:textFill>
        </w:rPr>
        <w:t xml:space="preserve"> [Accessed 31 Aug. 2026].</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CIPD (2024). </w:t>
      </w:r>
      <w:r>
        <w:rPr>
          <w:rFonts w:ascii="Calibri" w:hAnsi="Calibri"/>
          <w:i w:val="1"/>
          <w:iCs w:val="1"/>
          <w:outline w:val="0"/>
          <w:color w:val="000000"/>
          <w:u w:color="000000"/>
          <w:rtl w:val="0"/>
          <w:lang w:val="en-US"/>
          <w14:textFill>
            <w14:solidFill>
              <w14:srgbClr w14:val="000000"/>
            </w14:solidFill>
          </w14:textFill>
        </w:rPr>
        <w:t>CIPD | Organisation Development | factsheets</w:t>
      </w:r>
      <w:r>
        <w:rPr>
          <w:rFonts w:ascii="Calibri" w:hAnsi="Calibri"/>
          <w:outline w:val="0"/>
          <w:color w:val="000000"/>
          <w:u w:color="000000"/>
          <w:rtl w:val="0"/>
          <w:lang w:val="en-US"/>
          <w14:textFill>
            <w14:solidFill>
              <w14:srgbClr w14:val="000000"/>
            </w14:solidFill>
          </w14:textFill>
        </w:rPr>
        <w:t xml:space="preserve">. [online] CIPD. Available at: </w:t>
      </w:r>
      <w:r>
        <w:rPr>
          <w:rStyle w:val="Hyperlink.0"/>
        </w:rPr>
        <w:fldChar w:fldCharType="begin" w:fldLock="0"/>
      </w:r>
      <w:r>
        <w:rPr>
          <w:rStyle w:val="Hyperlink.0"/>
        </w:rPr>
        <w:instrText xml:space="preserve"> HYPERLINK "https://www.cipd.org/uk/knowledge/factsheets/organisational-development-factsheet/"</w:instrText>
      </w:r>
      <w:r>
        <w:rPr>
          <w:rStyle w:val="Hyperlink.0"/>
        </w:rPr>
        <w:fldChar w:fldCharType="separate" w:fldLock="0"/>
      </w:r>
      <w:r>
        <w:rPr>
          <w:rStyle w:val="Hyperlink.0"/>
          <w:rtl w:val="0"/>
          <w:lang w:val="en-US"/>
        </w:rPr>
        <w:t>https://www.cipd.org/uk/knowledge/factsheets/organisational-development-factsheet/</w:t>
      </w:r>
      <w:r>
        <w:rPr/>
        <w:fldChar w:fldCharType="end" w:fldLock="0"/>
      </w:r>
      <w:r>
        <w:rPr>
          <w:rFonts w:ascii="Calibri" w:hAnsi="Calibri"/>
          <w:outline w:val="0"/>
          <w:color w:val="000000"/>
          <w:u w:color="000000"/>
          <w:rtl w:val="0"/>
          <w:lang w:val="en-US"/>
          <w14:textFill>
            <w14:solidFill>
              <w14:srgbClr w14:val="000000"/>
            </w14:solidFill>
          </w14:textFill>
        </w:rPr>
        <w:t xml:space="preserve"> [Accessed 22 Aug. 2026].</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CIPD (2025). </w:t>
      </w:r>
      <w:r>
        <w:rPr>
          <w:rFonts w:ascii="Calibri" w:hAnsi="Calibri"/>
          <w:i w:val="1"/>
          <w:iCs w:val="1"/>
          <w:outline w:val="0"/>
          <w:color w:val="000000"/>
          <w:u w:color="000000"/>
          <w:rtl w:val="0"/>
          <w:lang w:val="en-US"/>
          <w14:textFill>
            <w14:solidFill>
              <w14:srgbClr w14:val="000000"/>
            </w14:solidFill>
          </w14:textFill>
        </w:rPr>
        <w:t>Change management</w:t>
      </w:r>
      <w:r>
        <w:rPr>
          <w:rFonts w:ascii="Calibri" w:hAnsi="Calibri"/>
          <w:outline w:val="0"/>
          <w:color w:val="000000"/>
          <w:u w:color="000000"/>
          <w:rtl w:val="0"/>
          <w:lang w:val="en-US"/>
          <w14:textFill>
            <w14:solidFill>
              <w14:srgbClr w14:val="000000"/>
            </w14:solidFill>
          </w14:textFill>
        </w:rPr>
        <w:t xml:space="preserve">. [online] CIPD. Available at: </w:t>
      </w:r>
      <w:r>
        <w:rPr>
          <w:rStyle w:val="Hyperlink.0"/>
        </w:rPr>
        <w:fldChar w:fldCharType="begin" w:fldLock="0"/>
      </w:r>
      <w:r>
        <w:rPr>
          <w:rStyle w:val="Hyperlink.0"/>
        </w:rPr>
        <w:instrText xml:space="preserve"> HYPERLINK "https://www.cipd.org/uk/knowledge/factsheets/change-management-factsheet/"</w:instrText>
      </w:r>
      <w:r>
        <w:rPr>
          <w:rStyle w:val="Hyperlink.0"/>
        </w:rPr>
        <w:fldChar w:fldCharType="separate" w:fldLock="0"/>
      </w:r>
      <w:r>
        <w:rPr>
          <w:rStyle w:val="Hyperlink.0"/>
          <w:rtl w:val="0"/>
          <w:lang w:val="en-US"/>
        </w:rPr>
        <w:t>https://www.cipd.org/uk/knowledge/factsheets/change-management-factsheet/</w:t>
      </w:r>
      <w:r>
        <w:rPr/>
        <w:fldChar w:fldCharType="end" w:fldLock="0"/>
      </w:r>
      <w:r>
        <w:rPr>
          <w:rFonts w:ascii="Calibri" w:hAnsi="Calibri"/>
          <w:outline w:val="0"/>
          <w:color w:val="000000"/>
          <w:u w:color="000000"/>
          <w:rtl w:val="0"/>
          <w:lang w:val="en-US"/>
          <w14:textFill>
            <w14:solidFill>
              <w14:srgbClr w14:val="000000"/>
            </w14:solidFill>
          </w14:textFill>
        </w:rPr>
        <w:t xml:space="preserve"> [Accessed 22 Aug. 2026].</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CIPD (2025). </w:t>
      </w:r>
      <w:r>
        <w:rPr>
          <w:rFonts w:ascii="Calibri" w:hAnsi="Calibri"/>
          <w:i w:val="1"/>
          <w:iCs w:val="1"/>
          <w:outline w:val="0"/>
          <w:color w:val="000000"/>
          <w:u w:color="000000"/>
          <w:rtl w:val="0"/>
          <w:lang w:val="en-US"/>
          <w14:textFill>
            <w14:solidFill>
              <w14:srgbClr w14:val="000000"/>
            </w14:solidFill>
          </w14:textFill>
        </w:rPr>
        <w:t>CIPD | the profession map / core knowledge / change</w:t>
      </w:r>
      <w:r>
        <w:rPr>
          <w:rFonts w:ascii="Calibri" w:hAnsi="Calibri"/>
          <w:outline w:val="0"/>
          <w:color w:val="000000"/>
          <w:u w:color="000000"/>
          <w:rtl w:val="0"/>
          <w:lang w:val="en-US"/>
          <w14:textFill>
            <w14:solidFill>
              <w14:srgbClr w14:val="000000"/>
            </w14:solidFill>
          </w14:textFill>
        </w:rPr>
        <w:t xml:space="preserve">. [online] CIPD. Available at: </w:t>
      </w:r>
      <w:r>
        <w:rPr>
          <w:rStyle w:val="Hyperlink.1"/>
        </w:rPr>
        <w:fldChar w:fldCharType="begin" w:fldLock="0"/>
      </w:r>
      <w:r>
        <w:rPr>
          <w:rStyle w:val="Hyperlink.1"/>
        </w:rPr>
        <w:instrText xml:space="preserve"> HYPERLINK "https://www.cipd.org/uk/the-people-profession/the-profession-map/explore-the-profession-map/core-knowledge/change/"</w:instrText>
      </w:r>
      <w:r>
        <w:rPr>
          <w:rStyle w:val="Hyperlink.1"/>
        </w:rPr>
        <w:fldChar w:fldCharType="separate" w:fldLock="0"/>
      </w:r>
      <w:r>
        <w:rPr>
          <w:rStyle w:val="Hyperlink.1"/>
          <w:rtl w:val="0"/>
          <w:lang w:val="en-US"/>
        </w:rPr>
        <w:t>https://www.cipd.org/uk/the-people-profession/the-profession-map/explore-the-profession-map/core-knowledge/change/</w:t>
      </w:r>
      <w:r>
        <w:rPr/>
        <w:fldChar w:fldCharType="end" w:fldLock="0"/>
      </w:r>
      <w:r>
        <w:rPr>
          <w:rFonts w:ascii="Calibri" w:hAnsi="Calibri"/>
          <w:outline w:val="0"/>
          <w:color w:val="000000"/>
          <w:u w:color="000000"/>
          <w:rtl w:val="0"/>
          <w:lang w:val="en-US"/>
          <w14:textFill>
            <w14:solidFill>
              <w14:srgbClr w14:val="000000"/>
            </w14:solidFill>
          </w14:textFill>
        </w:rPr>
        <w:t xml:space="preserve"> [Accessed 23 Aug. 2026].</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CIPD. (2025a). </w:t>
      </w:r>
      <w:r>
        <w:rPr>
          <w:rFonts w:ascii="Calibri" w:hAnsi="Calibri"/>
          <w:i w:val="1"/>
          <w:iCs w:val="1"/>
          <w:outline w:val="0"/>
          <w:color w:val="000000"/>
          <w:u w:color="000000"/>
          <w:rtl w:val="0"/>
          <w:lang w:val="en-US"/>
          <w14:textFill>
            <w14:solidFill>
              <w14:srgbClr w14:val="000000"/>
            </w14:solidFill>
          </w14:textFill>
        </w:rPr>
        <w:t>CIPD | SWOT analysis | factsheets</w:t>
      </w:r>
      <w:r>
        <w:rPr>
          <w:rFonts w:ascii="Calibri" w:hAnsi="Calibri"/>
          <w:outline w:val="0"/>
          <w:color w:val="000000"/>
          <w:u w:color="000000"/>
          <w:rtl w:val="0"/>
          <w:lang w:val="en-US"/>
          <w14:textFill>
            <w14:solidFill>
              <w14:srgbClr w14:val="000000"/>
            </w14:solidFill>
          </w14:textFill>
        </w:rPr>
        <w:t>. [online] Available at:</w:t>
      </w:r>
      <w:r>
        <w:rPr>
          <w:rStyle w:val="Hyperlink.0"/>
        </w:rPr>
        <w:fldChar w:fldCharType="begin" w:fldLock="0"/>
      </w:r>
      <w:r>
        <w:rPr>
          <w:rStyle w:val="Hyperlink.0"/>
        </w:rPr>
        <w:instrText xml:space="preserve"> HYPERLINK "https://www.cipd.org/uk/knowledge/factsheets/swot-analysis-factsheet/"</w:instrText>
      </w:r>
      <w:r>
        <w:rPr>
          <w:rStyle w:val="Hyperlink.0"/>
        </w:rPr>
        <w:fldChar w:fldCharType="separate" w:fldLock="0"/>
      </w:r>
      <w:r>
        <w:rPr>
          <w:rStyle w:val="Hyperlink.0"/>
          <w:rtl w:val="0"/>
          <w:lang w:val="en-US"/>
        </w:rPr>
        <w:t>https://www.cipd.org/uk/knowledge/factsheets/swot-analysis-factsheet/</w:t>
      </w:r>
      <w:r>
        <w:rPr/>
        <w:fldChar w:fldCharType="end" w:fldLock="0"/>
      </w:r>
      <w:r>
        <w:rPr>
          <w:rFonts w:ascii="Calibri" w:hAnsi="Calibri"/>
          <w:outline w:val="0"/>
          <w:color w:val="000000"/>
          <w:u w:color="000000"/>
          <w:rtl w:val="0"/>
          <w:lang w:val="en-US"/>
          <w14:textFill>
            <w14:solidFill>
              <w14:srgbClr w14:val="000000"/>
            </w14:solidFill>
          </w14:textFill>
        </w:rPr>
        <w:t xml:space="preserve">  [Accessed 23 Aug. 2026].</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CIPD (2025d). </w:t>
      </w:r>
      <w:r>
        <w:rPr>
          <w:rFonts w:ascii="Calibri" w:hAnsi="Calibri"/>
          <w:i w:val="1"/>
          <w:iCs w:val="1"/>
          <w:outline w:val="0"/>
          <w:color w:val="000000"/>
          <w:u w:color="000000"/>
          <w:rtl w:val="0"/>
          <w:lang w:val="en-US"/>
          <w14:textFill>
            <w14:solidFill>
              <w14:srgbClr w14:val="000000"/>
            </w14:solidFill>
          </w14:textFill>
        </w:rPr>
        <w:t>Employee voice</w:t>
      </w:r>
      <w:r>
        <w:rPr>
          <w:rFonts w:ascii="Calibri" w:hAnsi="Calibri"/>
          <w:outline w:val="0"/>
          <w:color w:val="000000"/>
          <w:u w:color="000000"/>
          <w:rtl w:val="0"/>
          <w:lang w:val="en-US"/>
          <w14:textFill>
            <w14:solidFill>
              <w14:srgbClr w14:val="000000"/>
            </w14:solidFill>
          </w14:textFill>
        </w:rPr>
        <w:t xml:space="preserve">. [online] CIPD. Available at: </w:t>
      </w:r>
      <w:r>
        <w:rPr>
          <w:rStyle w:val="Hyperlink.0"/>
        </w:rPr>
        <w:fldChar w:fldCharType="begin" w:fldLock="0"/>
      </w:r>
      <w:r>
        <w:rPr>
          <w:rStyle w:val="Hyperlink.0"/>
        </w:rPr>
        <w:instrText xml:space="preserve"> HYPERLINK "https://www.cipd.org/uk/knowledge/factsheets/voice-factsheet/"</w:instrText>
      </w:r>
      <w:r>
        <w:rPr>
          <w:rStyle w:val="Hyperlink.0"/>
        </w:rPr>
        <w:fldChar w:fldCharType="separate" w:fldLock="0"/>
      </w:r>
      <w:r>
        <w:rPr>
          <w:rStyle w:val="Hyperlink.0"/>
          <w:rtl w:val="0"/>
          <w:lang w:val="en-US"/>
        </w:rPr>
        <w:t>https://www.cipd.org/uk/knowledge/factsheets/voice-factsheet/</w:t>
      </w:r>
      <w:r>
        <w:rPr/>
        <w:fldChar w:fldCharType="end" w:fldLock="0"/>
      </w:r>
      <w:r>
        <w:rPr>
          <w:rFonts w:ascii="Calibri" w:hAnsi="Calibri"/>
          <w:outline w:val="0"/>
          <w:color w:val="000000"/>
          <w:u w:color="000000"/>
          <w:rtl w:val="0"/>
          <w:lang w:val="en-US"/>
          <w14:textFill>
            <w14:solidFill>
              <w14:srgbClr w14:val="000000"/>
            </w14:solidFill>
          </w14:textFill>
        </w:rPr>
        <w:t xml:space="preserve"> [Accessed 5 Sept. 2026].</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CIPD (2025b) </w:t>
      </w:r>
      <w:r>
        <w:rPr>
          <w:rFonts w:ascii="Calibri" w:hAnsi="Calibri"/>
          <w:i w:val="1"/>
          <w:iCs w:val="1"/>
          <w:outline w:val="0"/>
          <w:color w:val="000000"/>
          <w:u w:color="000000"/>
          <w:rtl w:val="0"/>
          <w:lang w:val="en-US"/>
          <w14:textFill>
            <w14:solidFill>
              <w14:srgbClr w14:val="000000"/>
            </w14:solidFill>
          </w14:textFill>
        </w:rPr>
        <w:t>Employee voice channels: Guide for people professionals</w:t>
      </w:r>
      <w:r>
        <w:rPr>
          <w:rFonts w:ascii="Calibri" w:hAnsi="Calibri"/>
          <w:outline w:val="0"/>
          <w:color w:val="000000"/>
          <w:u w:color="000000"/>
          <w:rtl w:val="0"/>
          <w:lang w:val="en-US"/>
          <w14:textFill>
            <w14:solidFill>
              <w14:srgbClr w14:val="000000"/>
            </w14:solidFill>
          </w14:textFill>
        </w:rPr>
        <w:t xml:space="preserve">. London: Chartered Institute of Personnel and Development. Available at: </w:t>
      </w:r>
      <w:r>
        <w:rPr>
          <w:rStyle w:val="Hyperlink.0"/>
        </w:rPr>
        <w:fldChar w:fldCharType="begin" w:fldLock="0"/>
      </w:r>
      <w:r>
        <w:rPr>
          <w:rStyle w:val="Hyperlink.0"/>
        </w:rPr>
        <w:instrText xml:space="preserve"> HYPERLINK "https://www.cipd.org/uk/knowledge/guides/employee-voice-channels-guide-for-people-professionals/"</w:instrText>
      </w:r>
      <w:r>
        <w:rPr>
          <w:rStyle w:val="Hyperlink.0"/>
        </w:rPr>
        <w:fldChar w:fldCharType="separate" w:fldLock="0"/>
      </w:r>
      <w:r>
        <w:rPr>
          <w:rStyle w:val="Hyperlink.0"/>
          <w:rtl w:val="0"/>
          <w:lang w:val="en-US"/>
        </w:rPr>
        <w:t>https://www.cipd.org/uk/knowledge/guides/employee-voice-channels-guide-for-people-professionals/</w:t>
      </w:r>
      <w:r>
        <w:rPr/>
        <w:fldChar w:fldCharType="end" w:fldLock="0"/>
      </w:r>
      <w:r>
        <w:rPr>
          <w:rFonts w:ascii="Calibri" w:hAnsi="Calibri"/>
          <w:outline w:val="0"/>
          <w:color w:val="000000"/>
          <w:u w:color="000000"/>
          <w:rtl w:val="0"/>
          <w:lang w:val="en-US"/>
          <w14:textFill>
            <w14:solidFill>
              <w14:srgbClr w14:val="000000"/>
            </w14:solidFill>
          </w14:textFill>
        </w:rPr>
        <w:t xml:space="preserve"> (Accessed: 5 September 2026).</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CIPD (2025c). </w:t>
      </w:r>
      <w:r>
        <w:rPr>
          <w:rFonts w:ascii="Calibri" w:hAnsi="Calibri"/>
          <w:i w:val="1"/>
          <w:iCs w:val="1"/>
          <w:outline w:val="0"/>
          <w:color w:val="000000"/>
          <w:u w:color="000000"/>
          <w:rtl w:val="0"/>
          <w:lang w:val="en-US"/>
          <w14:textFill>
            <w14:solidFill>
              <w14:srgbClr w14:val="000000"/>
            </w14:solidFill>
          </w14:textFill>
        </w:rPr>
        <w:t>Health and wellbeing at work</w:t>
      </w:r>
      <w:r>
        <w:rPr>
          <w:rFonts w:ascii="Calibri" w:hAnsi="Calibri"/>
          <w:outline w:val="0"/>
          <w:color w:val="000000"/>
          <w:u w:color="000000"/>
          <w:rtl w:val="0"/>
          <w:lang w:val="en-US"/>
          <w14:textFill>
            <w14:solidFill>
              <w14:srgbClr w14:val="000000"/>
            </w14:solidFill>
          </w14:textFill>
        </w:rPr>
        <w:t xml:space="preserve">. [online] CIPD. Available at: </w:t>
      </w:r>
      <w:r>
        <w:rPr>
          <w:rStyle w:val="Hyperlink.0"/>
        </w:rPr>
        <w:fldChar w:fldCharType="begin" w:fldLock="0"/>
      </w:r>
      <w:r>
        <w:rPr>
          <w:rStyle w:val="Hyperlink.0"/>
        </w:rPr>
        <w:instrText xml:space="preserve"> HYPERLINK "https://www.cipd.org/uk/knowledge/reports/health-well-being-work/"</w:instrText>
      </w:r>
      <w:r>
        <w:rPr>
          <w:rStyle w:val="Hyperlink.0"/>
        </w:rPr>
        <w:fldChar w:fldCharType="separate" w:fldLock="0"/>
      </w:r>
      <w:r>
        <w:rPr>
          <w:rStyle w:val="Hyperlink.0"/>
          <w:rtl w:val="0"/>
          <w:lang w:val="en-US"/>
        </w:rPr>
        <w:t>https://www.cipd.org/uk/knowledge/reports/health-well-being-work/</w:t>
      </w:r>
      <w:r>
        <w:rPr/>
        <w:fldChar w:fldCharType="end" w:fldLock="0"/>
      </w:r>
      <w:r>
        <w:rPr>
          <w:rFonts w:ascii="Calibri" w:hAnsi="Calibri"/>
          <w:outline w:val="0"/>
          <w:color w:val="000000"/>
          <w:u w:color="000000"/>
          <w:rtl w:val="0"/>
          <w:lang w:val="en-US"/>
          <w14:textFill>
            <w14:solidFill>
              <w14:srgbClr w14:val="000000"/>
            </w14:solidFill>
          </w14:textFill>
        </w:rPr>
        <w:t xml:space="preserve"> [Accessed 12 Sept. 2026].</w:t>
      </w:r>
    </w:p>
    <w:p>
      <w:pPr>
        <w:pStyle w:val="Body"/>
        <w:spacing w:line="240" w:lineRule="auto"/>
      </w:pPr>
      <w:r>
        <w:rPr>
          <w:rFonts w:ascii="Calibri" w:hAnsi="Calibri"/>
          <w:outline w:val="0"/>
          <w:color w:val="000000"/>
          <w:u w:color="000000"/>
          <w:rtl w:val="0"/>
          <w:lang w:val="en-US"/>
          <w14:textFill>
            <w14:solidFill>
              <w14:srgbClr w14:val="000000"/>
            </w14:solidFill>
          </w14:textFill>
        </w:rPr>
        <w:t xml:space="preserve">CIPD (2025) </w:t>
      </w:r>
      <w:r>
        <w:rPr>
          <w:rFonts w:ascii="Calibri" w:hAnsi="Calibri"/>
          <w:i w:val="1"/>
          <w:iCs w:val="1"/>
          <w:outline w:val="0"/>
          <w:color w:val="000000"/>
          <w:u w:color="000000"/>
          <w:rtl w:val="0"/>
          <w:lang w:val="en-US"/>
          <w14:textFill>
            <w14:solidFill>
              <w14:srgbClr w14:val="000000"/>
            </w14:solidFill>
          </w14:textFill>
        </w:rPr>
        <w:t>Onboarding</w:t>
      </w:r>
      <w:r>
        <w:rPr>
          <w:rFonts w:ascii="Calibri" w:hAnsi="Calibri"/>
          <w:outline w:val="0"/>
          <w:color w:val="000000"/>
          <w:u w:color="000000"/>
          <w:rtl w:val="0"/>
          <w:lang w:val="en-US"/>
          <w14:textFill>
            <w14:solidFill>
              <w14:srgbClr w14:val="000000"/>
            </w14:solidFill>
          </w14:textFill>
        </w:rPr>
        <w:t>. London: Chartered Institute of Personnel and Development.</w:t>
      </w:r>
      <w:r>
        <w:rPr>
          <w:rFonts w:ascii="Calibri" w:hAnsi="Calibri"/>
          <w:outline w:val="0"/>
          <w:color w:val="ff0000"/>
          <w:u w:color="ff0000"/>
          <w:rtl w:val="0"/>
          <w:lang w:val="en-US"/>
          <w14:textFill>
            <w14:solidFill>
              <w14:srgbClr w14:val="FF0000"/>
            </w14:solidFill>
          </w14:textFill>
        </w:rPr>
        <w:t xml:space="preserve"> </w:t>
      </w:r>
      <w:r>
        <w:rPr>
          <w:rFonts w:ascii="Calibri" w:hAnsi="Calibri"/>
          <w:outline w:val="0"/>
          <w:color w:val="000000"/>
          <w:u w:color="000000"/>
          <w:rtl w:val="0"/>
          <w:lang w:val="en-US"/>
          <w14:textFill>
            <w14:solidFill>
              <w14:srgbClr w14:val="000000"/>
            </w14:solidFill>
          </w14:textFill>
        </w:rPr>
        <w:t xml:space="preserve">Available at: </w:t>
      </w:r>
      <w:r>
        <w:rPr>
          <w:rStyle w:val="Hyperlink.1"/>
        </w:rPr>
        <w:fldChar w:fldCharType="begin" w:fldLock="0"/>
      </w:r>
      <w:r>
        <w:rPr>
          <w:rStyle w:val="Hyperlink.1"/>
        </w:rPr>
        <w:instrText xml:space="preserve"> HYPERLINK "https://www.cipd.org/uk/knowledge/bitesize-research/value-induction/"</w:instrText>
      </w:r>
      <w:r>
        <w:rPr>
          <w:rStyle w:val="Hyperlink.1"/>
        </w:rPr>
        <w:fldChar w:fldCharType="separate" w:fldLock="0"/>
      </w:r>
      <w:r>
        <w:rPr>
          <w:rStyle w:val="Hyperlink.1"/>
          <w:rtl w:val="0"/>
          <w:lang w:val="en-US"/>
        </w:rPr>
        <w:t>https://www.cipd.org/uk/knowledge/bitesize-research/value-induction/</w:t>
      </w:r>
      <w:r>
        <w:rPr/>
        <w:fldChar w:fldCharType="end" w:fldLock="0"/>
      </w:r>
    </w:p>
    <w:p>
      <w:pPr>
        <w:pStyle w:val="Body"/>
        <w:spacing w:before="240" w:after="240" w:line="240" w:lineRule="auto"/>
        <w:rPr>
          <w:rFonts w:ascii="Calibri" w:cs="Calibri" w:hAnsi="Calibri" w:eastAsia="Calibri"/>
          <w:outline w:val="0"/>
          <w:color w:val="ff0000"/>
          <w:u w:color="ff0000"/>
          <w14:textFill>
            <w14:solidFill>
              <w14:srgbClr w14:val="FF0000"/>
            </w14:solidFill>
          </w14:textFill>
        </w:rPr>
      </w:pPr>
      <w:r>
        <w:rPr>
          <w:rFonts w:ascii="Calibri" w:hAnsi="Calibri"/>
          <w:outline w:val="0"/>
          <w:color w:val="000000"/>
          <w:u w:color="000000"/>
          <w:rtl w:val="0"/>
          <w:lang w:val="en-US"/>
          <w14:textFill>
            <w14:solidFill>
              <w14:srgbClr w14:val="000000"/>
            </w14:solidFill>
          </w14:textFill>
        </w:rPr>
        <w:t>[Accessed: 12 September 2026].</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CIPD (2025) </w:t>
      </w:r>
      <w:r>
        <w:rPr>
          <w:rFonts w:ascii="Calibri" w:hAnsi="Calibri"/>
          <w:i w:val="1"/>
          <w:iCs w:val="1"/>
          <w:outline w:val="0"/>
          <w:color w:val="000000"/>
          <w:u w:color="000000"/>
          <w:rtl w:val="0"/>
          <w:lang w:val="en-US"/>
          <w14:textFill>
            <w14:solidFill>
              <w14:srgbClr w14:val="000000"/>
            </w14:solidFill>
          </w14:textFill>
        </w:rPr>
        <w:t>PESTLE analysis</w:t>
      </w:r>
      <w:r>
        <w:rPr>
          <w:rFonts w:ascii="Calibri" w:hAnsi="Calibri"/>
          <w:outline w:val="0"/>
          <w:color w:val="000000"/>
          <w:u w:color="000000"/>
          <w:rtl w:val="0"/>
          <w:lang w:val="en-US"/>
          <w14:textFill>
            <w14:solidFill>
              <w14:srgbClr w14:val="000000"/>
            </w14:solidFill>
          </w14:textFill>
        </w:rPr>
        <w:t xml:space="preserve">. 21 March. Available at: </w:t>
      </w:r>
      <w:r>
        <w:rPr>
          <w:rStyle w:val="Hyperlink.2"/>
        </w:rPr>
        <w:fldChar w:fldCharType="begin" w:fldLock="0"/>
      </w:r>
      <w:r>
        <w:rPr>
          <w:rStyle w:val="Hyperlink.2"/>
        </w:rPr>
        <w:instrText xml:space="preserve"> HYPERLINK "https://www.cipd.org/uk/knowledge/factsheets/pestle-analysis-factsheet/"</w:instrText>
      </w:r>
      <w:r>
        <w:rPr>
          <w:rStyle w:val="Hyperlink.2"/>
        </w:rPr>
        <w:fldChar w:fldCharType="separate" w:fldLock="0"/>
      </w:r>
      <w:r>
        <w:rPr>
          <w:rStyle w:val="Hyperlink.2"/>
          <w:rtl w:val="0"/>
          <w:lang w:val="en-US"/>
        </w:rPr>
        <w:t>https://www.cipd.org/uk/knowledge/factsheets/pestle-analysis-factsheet/</w:t>
      </w:r>
      <w:r>
        <w:rPr/>
        <w:fldChar w:fldCharType="end" w:fldLock="0"/>
      </w:r>
      <w:r>
        <w:rPr>
          <w:rFonts w:ascii="Calibri" w:hAnsi="Calibri"/>
          <w:outline w:val="0"/>
          <w:color w:val="000000"/>
          <w:u w:color="000000"/>
          <w:rtl w:val="0"/>
          <w:lang w:val="en-US"/>
          <w14:textFill>
            <w14:solidFill>
              <w14:srgbClr w14:val="000000"/>
            </w14:solidFill>
          </w14:textFill>
        </w:rPr>
        <w:t xml:space="preserve"> (Accessed: 28 August 2026).</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CIPD (2026a). </w:t>
      </w:r>
      <w:r>
        <w:rPr>
          <w:rFonts w:ascii="Calibri" w:hAnsi="Calibri"/>
          <w:i w:val="1"/>
          <w:iCs w:val="1"/>
          <w:outline w:val="0"/>
          <w:color w:val="000000"/>
          <w:u w:color="000000"/>
          <w:rtl w:val="0"/>
          <w:lang w:val="en-US"/>
          <w14:textFill>
            <w14:solidFill>
              <w14:srgbClr w14:val="000000"/>
            </w14:solidFill>
          </w14:textFill>
        </w:rPr>
        <w:t>Are you change ready? Five change management challenges people professionals are facing in 2026</w:t>
      </w:r>
      <w:r>
        <w:rPr>
          <w:rFonts w:ascii="Calibri" w:hAnsi="Calibri"/>
          <w:outline w:val="0"/>
          <w:color w:val="000000"/>
          <w:u w:color="000000"/>
          <w:rtl w:val="0"/>
          <w:lang w:val="en-US"/>
          <w14:textFill>
            <w14:solidFill>
              <w14:srgbClr w14:val="000000"/>
            </w14:solidFill>
          </w14:textFill>
        </w:rPr>
        <w:t xml:space="preserve">. [online] CIPD. Available at: </w:t>
      </w:r>
      <w:r>
        <w:rPr>
          <w:rStyle w:val="Hyperlink.0"/>
        </w:rPr>
        <w:fldChar w:fldCharType="begin" w:fldLock="0"/>
      </w:r>
      <w:r>
        <w:rPr>
          <w:rStyle w:val="Hyperlink.0"/>
        </w:rPr>
        <w:instrText xml:space="preserve"> HYPERLINK "https://www.cipd.org/uk/knowledge/tools/change-readiness-2026/"</w:instrText>
      </w:r>
      <w:r>
        <w:rPr>
          <w:rStyle w:val="Hyperlink.0"/>
        </w:rPr>
        <w:fldChar w:fldCharType="separate" w:fldLock="0"/>
      </w:r>
      <w:r>
        <w:rPr>
          <w:rStyle w:val="Hyperlink.0"/>
          <w:rtl w:val="0"/>
          <w:lang w:val="en-US"/>
        </w:rPr>
        <w:t>https://www.cipd.org/uk/knowledge/tools/change-readiness-2026/</w:t>
      </w:r>
      <w:r>
        <w:rPr/>
        <w:fldChar w:fldCharType="end" w:fldLock="0"/>
      </w:r>
      <w:r>
        <w:rPr>
          <w:rFonts w:ascii="Calibri" w:hAnsi="Calibri"/>
          <w:outline w:val="0"/>
          <w:color w:val="000000"/>
          <w:u w:color="000000"/>
          <w:rtl w:val="0"/>
          <w:lang w:val="en-US"/>
          <w14:textFill>
            <w14:solidFill>
              <w14:srgbClr w14:val="000000"/>
            </w14:solidFill>
          </w14:textFill>
        </w:rPr>
        <w:t xml:space="preserve">  [Accessed 6 Sept. 2026].</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CIPD. (2026). </w:t>
      </w:r>
      <w:r>
        <w:rPr>
          <w:rFonts w:ascii="Calibri" w:hAnsi="Calibri"/>
          <w:i w:val="1"/>
          <w:iCs w:val="1"/>
          <w:outline w:val="0"/>
          <w:color w:val="000000"/>
          <w:u w:color="000000"/>
          <w:rtl w:val="0"/>
          <w:lang w:val="en-US"/>
          <w14:textFill>
            <w14:solidFill>
              <w14:srgbClr w14:val="000000"/>
            </w14:solidFill>
          </w14:textFill>
        </w:rPr>
        <w:t>CIPD | AI and technology | factsheets</w:t>
      </w:r>
      <w:r>
        <w:rPr>
          <w:rFonts w:ascii="Calibri" w:hAnsi="Calibri"/>
          <w:outline w:val="0"/>
          <w:color w:val="000000"/>
          <w:u w:color="000000"/>
          <w:rtl w:val="0"/>
          <w:lang w:val="en-US"/>
          <w14:textFill>
            <w14:solidFill>
              <w14:srgbClr w14:val="000000"/>
            </w14:solidFill>
          </w14:textFill>
        </w:rPr>
        <w:t xml:space="preserve">. [online] Available at: </w:t>
      </w:r>
      <w:r>
        <w:rPr>
          <w:rStyle w:val="Hyperlink.0"/>
        </w:rPr>
        <w:fldChar w:fldCharType="begin" w:fldLock="0"/>
      </w:r>
      <w:r>
        <w:rPr>
          <w:rStyle w:val="Hyperlink.0"/>
        </w:rPr>
        <w:instrText xml:space="preserve"> HYPERLINK "https://www.cipd.org/uk/knowledge/factsheets/ai-technology/%23ai-and-technology-terms-defined"</w:instrText>
      </w:r>
      <w:r>
        <w:rPr>
          <w:rStyle w:val="Hyperlink.0"/>
        </w:rPr>
        <w:fldChar w:fldCharType="separate" w:fldLock="0"/>
      </w:r>
      <w:r>
        <w:rPr>
          <w:rStyle w:val="Hyperlink.0"/>
          <w:rtl w:val="0"/>
          <w:lang w:val="en-US"/>
        </w:rPr>
        <w:t>https://www.cipd.org/uk/knowledge/factsheets/ai-technology/#ai-and-technology-terms-defined</w:t>
      </w:r>
      <w:r>
        <w:rPr/>
        <w:fldChar w:fldCharType="end" w:fldLock="0"/>
      </w:r>
      <w:r>
        <w:rPr>
          <w:rFonts w:ascii="Calibri" w:hAnsi="Calibri"/>
          <w:outline w:val="0"/>
          <w:color w:val="000000"/>
          <w:u w:color="000000"/>
          <w:rtl w:val="0"/>
          <w:lang w:val="en-US"/>
          <w14:textFill>
            <w14:solidFill>
              <w14:srgbClr w14:val="000000"/>
            </w14:solidFill>
          </w14:textFill>
        </w:rPr>
        <w:t xml:space="preserve"> [Accessed 22 Aug. 2026].</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CIPD (2026a) </w:t>
      </w:r>
      <w:r>
        <w:rPr>
          <w:rFonts w:ascii="Calibri" w:hAnsi="Calibri"/>
          <w:i w:val="1"/>
          <w:iCs w:val="1"/>
          <w:outline w:val="0"/>
          <w:color w:val="000000"/>
          <w:u w:color="000000"/>
          <w:rtl w:val="0"/>
          <w:lang w:val="en-US"/>
          <w14:textFill>
            <w14:solidFill>
              <w14:srgbClr w14:val="000000"/>
            </w14:solidFill>
          </w14:textFill>
        </w:rPr>
        <w:t>Health and wellbeing at work</w:t>
      </w:r>
      <w:r>
        <w:rPr>
          <w:rFonts w:ascii="Calibri" w:hAnsi="Calibri"/>
          <w:outline w:val="0"/>
          <w:color w:val="000000"/>
          <w:u w:color="000000"/>
          <w:rtl w:val="0"/>
          <w:lang w:val="en-US"/>
          <w14:textFill>
            <w14:solidFill>
              <w14:srgbClr w14:val="000000"/>
            </w14:solidFill>
          </w14:textFill>
        </w:rPr>
        <w:t xml:space="preserve">. London: Chartered Institute of Personnel and Development. Available at: </w:t>
      </w:r>
      <w:r>
        <w:rPr>
          <w:rStyle w:val="Hyperlink.0"/>
        </w:rPr>
        <w:fldChar w:fldCharType="begin" w:fldLock="0"/>
      </w:r>
      <w:r>
        <w:rPr>
          <w:rStyle w:val="Hyperlink.0"/>
        </w:rPr>
        <w:instrText xml:space="preserve"> HYPERLINK "https://www.cipd.org/uk/knowledge/reports/health-well-being-work/"</w:instrText>
      </w:r>
      <w:r>
        <w:rPr>
          <w:rStyle w:val="Hyperlink.0"/>
        </w:rPr>
        <w:fldChar w:fldCharType="separate" w:fldLock="0"/>
      </w:r>
      <w:r>
        <w:rPr>
          <w:rStyle w:val="Hyperlink.0"/>
          <w:rtl w:val="0"/>
          <w:lang w:val="en-US"/>
        </w:rPr>
        <w:t>https://www.cipd.org/uk/knowledge/reports/health-well-being-work/</w:t>
      </w:r>
      <w:r>
        <w:rPr/>
        <w:fldChar w:fldCharType="end" w:fldLock="0"/>
      </w:r>
      <w:r>
        <w:rPr>
          <w:rFonts w:ascii="Calibri" w:hAnsi="Calibri"/>
          <w:outline w:val="0"/>
          <w:color w:val="000000"/>
          <w:u w:color="000000"/>
          <w:rtl w:val="0"/>
          <w:lang w:val="en-US"/>
          <w14:textFill>
            <w14:solidFill>
              <w14:srgbClr w14:val="000000"/>
            </w14:solidFill>
          </w14:textFill>
        </w:rPr>
        <w:t xml:space="preserve"> (Accessed: 5 September 2026).</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Clemo, F. (2026b). </w:t>
      </w:r>
      <w:r>
        <w:rPr>
          <w:rFonts w:ascii="Calibri" w:hAnsi="Calibri"/>
          <w:i w:val="1"/>
          <w:iCs w:val="1"/>
          <w:outline w:val="0"/>
          <w:color w:val="000000"/>
          <w:u w:color="000000"/>
          <w:rtl w:val="0"/>
          <w:lang w:val="en-US"/>
          <w14:textFill>
            <w14:solidFill>
              <w14:srgbClr w14:val="000000"/>
            </w14:solidFill>
          </w14:textFill>
        </w:rPr>
        <w:t xml:space="preserve">Remote work has </w:t>
      </w:r>
      <w:r>
        <w:rPr>
          <w:rFonts w:ascii="Calibri" w:hAnsi="Calibri" w:hint="default"/>
          <w:i w:val="1"/>
          <w:iCs w:val="1"/>
          <w:outline w:val="0"/>
          <w:color w:val="000000"/>
          <w:u w:color="000000"/>
          <w:rtl w:val="0"/>
          <w:lang w:val="en-US"/>
          <w14:textFill>
            <w14:solidFill>
              <w14:srgbClr w14:val="000000"/>
            </w14:solidFill>
          </w14:textFill>
        </w:rPr>
        <w:t>‘</w:t>
      </w:r>
      <w:r>
        <w:rPr>
          <w:rFonts w:ascii="Calibri" w:hAnsi="Calibri"/>
          <w:i w:val="1"/>
          <w:iCs w:val="1"/>
          <w:outline w:val="0"/>
          <w:color w:val="000000"/>
          <w:u w:color="000000"/>
          <w:rtl w:val="0"/>
          <w:lang w:val="en-US"/>
          <w14:textFill>
            <w14:solidFill>
              <w14:srgbClr w14:val="000000"/>
            </w14:solidFill>
          </w14:textFill>
        </w:rPr>
        <w:t>substantially</w:t>
      </w:r>
      <w:r>
        <w:rPr>
          <w:rFonts w:ascii="Calibri" w:hAnsi="Calibri" w:hint="default"/>
          <w:i w:val="1"/>
          <w:iCs w:val="1"/>
          <w:outline w:val="0"/>
          <w:color w:val="000000"/>
          <w:u w:color="000000"/>
          <w:rtl w:val="0"/>
          <w:lang w:val="en-US"/>
          <w14:textFill>
            <w14:solidFill>
              <w14:srgbClr w14:val="000000"/>
            </w14:solidFill>
          </w14:textFill>
        </w:rPr>
        <w:t xml:space="preserve">’ </w:t>
      </w:r>
      <w:r>
        <w:rPr>
          <w:rFonts w:ascii="Calibri" w:hAnsi="Calibri"/>
          <w:i w:val="1"/>
          <w:iCs w:val="1"/>
          <w:outline w:val="0"/>
          <w:color w:val="000000"/>
          <w:u w:color="000000"/>
          <w:rtl w:val="0"/>
          <w:lang w:val="en-US"/>
          <w14:textFill>
            <w14:solidFill>
              <w14:srgbClr w14:val="000000"/>
            </w14:solidFill>
          </w14:textFill>
        </w:rPr>
        <w:t>contributed to mental health crisis, study claims</w:t>
      </w:r>
      <w:r>
        <w:rPr>
          <w:rFonts w:ascii="Calibri" w:hAnsi="Calibri"/>
          <w:outline w:val="0"/>
          <w:color w:val="000000"/>
          <w:u w:color="000000"/>
          <w:rtl w:val="0"/>
          <w:lang w:val="en-US"/>
          <w14:textFill>
            <w14:solidFill>
              <w14:srgbClr w14:val="000000"/>
            </w14:solidFill>
          </w14:textFill>
        </w:rPr>
        <w:t xml:space="preserve">. [online] Peoplemanagement.co.uk. Available at: </w:t>
      </w:r>
      <w:r>
        <w:rPr>
          <w:rStyle w:val="Hyperlink.0"/>
        </w:rPr>
        <w:fldChar w:fldCharType="begin" w:fldLock="0"/>
      </w:r>
      <w:r>
        <w:rPr>
          <w:rStyle w:val="Hyperlink.0"/>
        </w:rPr>
        <w:instrText xml:space="preserve"> HYPERLINK "https://www.peoplemanagement.co.uk/article/1962662/remote-work-substantially-contributed-mental-health-crisis-study-claims"</w:instrText>
      </w:r>
      <w:r>
        <w:rPr>
          <w:rStyle w:val="Hyperlink.0"/>
        </w:rPr>
        <w:fldChar w:fldCharType="separate" w:fldLock="0"/>
      </w:r>
      <w:r>
        <w:rPr>
          <w:rStyle w:val="Hyperlink.0"/>
          <w:rtl w:val="0"/>
          <w:lang w:val="en-US"/>
        </w:rPr>
        <w:t>https://www.peoplemanagement.co.uk/article/1962662/remote-work-substantially-contributed-mental-health-crisis-study-claims</w:t>
      </w:r>
      <w:r>
        <w:rPr/>
        <w:fldChar w:fldCharType="end" w:fldLock="0"/>
      </w:r>
      <w:r>
        <w:rPr>
          <w:rFonts w:ascii="Calibri" w:hAnsi="Calibri"/>
          <w:outline w:val="0"/>
          <w:color w:val="000000"/>
          <w:u w:color="000000"/>
          <w:rtl w:val="0"/>
          <w:lang w:val="en-US"/>
          <w14:textFill>
            <w14:solidFill>
              <w14:srgbClr w14:val="000000"/>
            </w14:solidFill>
          </w14:textFill>
        </w:rPr>
        <w:t xml:space="preserve"> [Accessed 31 July 2026].</w:t>
      </w:r>
    </w:p>
    <w:p>
      <w:pPr>
        <w:pStyle w:val="Body"/>
        <w:spacing w:before="240" w:after="240" w:line="240" w:lineRule="auto"/>
      </w:pPr>
      <w:r>
        <w:rPr>
          <w:rFonts w:ascii="Calibri" w:hAnsi="Calibri"/>
          <w:outline w:val="0"/>
          <w:color w:val="000000"/>
          <w:u w:color="000000"/>
          <w:rtl w:val="0"/>
          <w:lang w:val="en-US"/>
          <w14:textFill>
            <w14:solidFill>
              <w14:srgbClr w14:val="000000"/>
            </w14:solidFill>
          </w14:textFill>
        </w:rPr>
        <w:t xml:space="preserve">Department for Transport (2026). </w:t>
      </w:r>
      <w:r>
        <w:rPr>
          <w:rFonts w:ascii="Calibri" w:hAnsi="Calibri"/>
          <w:i w:val="1"/>
          <w:iCs w:val="1"/>
          <w:outline w:val="0"/>
          <w:color w:val="000000"/>
          <w:u w:color="000000"/>
          <w:rtl w:val="0"/>
          <w:lang w:val="en-US"/>
          <w14:textFill>
            <w14:solidFill>
              <w14:srgbClr w14:val="000000"/>
            </w14:solidFill>
          </w14:textFill>
        </w:rPr>
        <w:t>Review launched to shape pathway to reach zero emission driving by 2035</w:t>
      </w:r>
      <w:r>
        <w:rPr>
          <w:rFonts w:ascii="Calibri" w:hAnsi="Calibri"/>
          <w:outline w:val="0"/>
          <w:color w:val="000000"/>
          <w:u w:color="000000"/>
          <w:rtl w:val="0"/>
          <w:lang w:val="en-US"/>
          <w14:textFill>
            <w14:solidFill>
              <w14:srgbClr w14:val="000000"/>
            </w14:solidFill>
          </w14:textFill>
        </w:rPr>
        <w:t xml:space="preserve">. [online] GOV.UK. Available at: </w:t>
      </w:r>
      <w:r>
        <w:rPr>
          <w:rStyle w:val="Hyperlink.0"/>
        </w:rPr>
        <w:fldChar w:fldCharType="begin" w:fldLock="0"/>
      </w:r>
      <w:r>
        <w:rPr>
          <w:rStyle w:val="Hyperlink.0"/>
        </w:rPr>
        <w:instrText xml:space="preserve"> HYPERLINK "https://www.gov.uk/government/news/review-launched-to-shape-pathway-to-reach-zero-emission-driving-by-2035"</w:instrText>
      </w:r>
      <w:r>
        <w:rPr>
          <w:rStyle w:val="Hyperlink.0"/>
        </w:rPr>
        <w:fldChar w:fldCharType="separate" w:fldLock="0"/>
      </w:r>
      <w:r>
        <w:rPr>
          <w:rStyle w:val="Hyperlink.0"/>
          <w:rtl w:val="0"/>
          <w:lang w:val="en-US"/>
        </w:rPr>
        <w:t>https://www.gov.uk/government/news/review-launched-to-shape-pathway-to-reach-zero-emission-driving-by-2035</w:t>
      </w:r>
      <w:r>
        <w:rPr/>
        <w:fldChar w:fldCharType="end" w:fldLock="0"/>
      </w:r>
      <w:r>
        <w:rPr>
          <w:rFonts w:ascii="Calibri" w:hAnsi="Calibri"/>
          <w:outline w:val="0"/>
          <w:color w:val="000000"/>
          <w:u w:color="000000"/>
          <w:rtl w:val="0"/>
          <w:lang w:val="en-US"/>
          <w14:textFill>
            <w14:solidFill>
              <w14:srgbClr w14:val="000000"/>
            </w14:solidFill>
          </w14:textFill>
        </w:rPr>
        <w:t xml:space="preserve"> [Accessed 22 Aug. 2026].</w:t>
      </w:r>
    </w:p>
    <w:p>
      <w:pPr>
        <w:pStyle w:val="Body"/>
        <w:spacing w:before="240" w:after="240" w:line="240" w:lineRule="auto"/>
      </w:pPr>
      <w:r>
        <w:rPr>
          <w:rFonts w:ascii="Calibri" w:hAnsi="Calibri"/>
          <w:outline w:val="0"/>
          <w:color w:val="000000"/>
          <w:u w:color="000000"/>
          <w:rtl w:val="0"/>
          <w:lang w:val="en-US"/>
          <w14:textFill>
            <w14:solidFill>
              <w14:srgbClr w14:val="000000"/>
            </w14:solidFill>
          </w14:textFill>
        </w:rPr>
        <w:t xml:space="preserve">Edmondson, A. (1999) </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Psychological safety and learning behavior in work teams</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 xml:space="preserve">, </w:t>
      </w:r>
      <w:r>
        <w:rPr>
          <w:rFonts w:ascii="Calibri" w:hAnsi="Calibri"/>
          <w:i w:val="1"/>
          <w:iCs w:val="1"/>
          <w:outline w:val="0"/>
          <w:color w:val="000000"/>
          <w:u w:color="000000"/>
          <w:rtl w:val="0"/>
          <w:lang w:val="en-US"/>
          <w14:textFill>
            <w14:solidFill>
              <w14:srgbClr w14:val="000000"/>
            </w14:solidFill>
          </w14:textFill>
        </w:rPr>
        <w:t>Administrative Science Quarterly</w:t>
      </w:r>
      <w:r>
        <w:rPr>
          <w:rFonts w:ascii="Calibri" w:hAnsi="Calibri"/>
          <w:outline w:val="0"/>
          <w:color w:val="000000"/>
          <w:u w:color="000000"/>
          <w:rtl w:val="0"/>
          <w:lang w:val="en-US"/>
          <w14:textFill>
            <w14:solidFill>
              <w14:srgbClr w14:val="000000"/>
            </w14:solidFill>
          </w14:textFill>
        </w:rPr>
        <w:t>, 44(2), pp. 350</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383.</w:t>
      </w:r>
    </w:p>
    <w:p>
      <w:pPr>
        <w:pStyle w:val="Body"/>
        <w:spacing w:before="24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Galbraith, J. (2002). The star modelTM. In: Star Model. [online] Available at: </w:t>
      </w:r>
      <w:r>
        <w:rPr>
          <w:rStyle w:val="Hyperlink.0"/>
        </w:rPr>
        <w:fldChar w:fldCharType="begin" w:fldLock="0"/>
      </w:r>
      <w:r>
        <w:rPr>
          <w:rStyle w:val="Hyperlink.0"/>
        </w:rPr>
        <w:instrText xml:space="preserve"> HYPERLINK "https://jaygalbraith.com/wp-content/uploads/2024/03/StarModel.pdf"</w:instrText>
      </w:r>
      <w:r>
        <w:rPr>
          <w:rStyle w:val="Hyperlink.0"/>
        </w:rPr>
        <w:fldChar w:fldCharType="separate" w:fldLock="0"/>
      </w:r>
      <w:r>
        <w:rPr>
          <w:rStyle w:val="Hyperlink.0"/>
          <w:rtl w:val="0"/>
          <w:lang w:val="en-US"/>
        </w:rPr>
        <w:t>https://jaygalbraith.com/wp-content/uploads/2024/03/StarModel.pdf</w:t>
      </w:r>
      <w:r>
        <w:rPr/>
        <w:fldChar w:fldCharType="end" w:fldLock="0"/>
      </w:r>
      <w:r>
        <w:rPr>
          <w:rFonts w:ascii="Calibri" w:hAnsi="Calibri"/>
          <w:outline w:val="0"/>
          <w:color w:val="000000"/>
          <w:u w:color="000000"/>
          <w:rtl w:val="0"/>
          <w:lang w:val="en-US"/>
          <w14:textFill>
            <w14:solidFill>
              <w14:srgbClr w14:val="000000"/>
            </w14:solidFill>
          </w14:textFill>
        </w:rPr>
        <w:t xml:space="preserve"> [Accessed 11 Aug. 2026].</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Hayden, D. (2024). </w:t>
      </w:r>
      <w:r>
        <w:rPr>
          <w:rFonts w:ascii="Calibri" w:hAnsi="Calibri"/>
          <w:i w:val="1"/>
          <w:iCs w:val="1"/>
          <w:outline w:val="0"/>
          <w:color w:val="000000"/>
          <w:u w:color="000000"/>
          <w:rtl w:val="0"/>
          <w:lang w:val="en-US"/>
          <w14:textFill>
            <w14:solidFill>
              <w14:srgbClr w14:val="000000"/>
            </w14:solidFill>
          </w14:textFill>
        </w:rPr>
        <w:t>Learning needs analysis</w:t>
      </w:r>
      <w:r>
        <w:rPr>
          <w:rFonts w:ascii="Calibri" w:hAnsi="Calibri"/>
          <w:outline w:val="0"/>
          <w:color w:val="000000"/>
          <w:u w:color="000000"/>
          <w:rtl w:val="0"/>
          <w:lang w:val="en-US"/>
          <w14:textFill>
            <w14:solidFill>
              <w14:srgbClr w14:val="000000"/>
            </w14:solidFill>
          </w14:textFill>
        </w:rPr>
        <w:t xml:space="preserve">. [online] CIPD. Available at: </w:t>
      </w:r>
      <w:r>
        <w:rPr>
          <w:rStyle w:val="Hyperlink.0"/>
        </w:rPr>
        <w:fldChar w:fldCharType="begin" w:fldLock="0"/>
      </w:r>
      <w:r>
        <w:rPr>
          <w:rStyle w:val="Hyperlink.0"/>
        </w:rPr>
        <w:instrText xml:space="preserve"> HYPERLINK "https://www.cipd.org/uk/knowledge/factsheets/learning-needs-factsheet/"</w:instrText>
      </w:r>
      <w:r>
        <w:rPr>
          <w:rStyle w:val="Hyperlink.0"/>
        </w:rPr>
        <w:fldChar w:fldCharType="separate" w:fldLock="0"/>
      </w:r>
      <w:r>
        <w:rPr>
          <w:rStyle w:val="Hyperlink.0"/>
          <w:rtl w:val="0"/>
          <w:lang w:val="en-US"/>
        </w:rPr>
        <w:t>https://www.cipd.org/uk/knowledge/factsheets/learning-needs-factsheet/</w:t>
      </w:r>
      <w:r>
        <w:rPr/>
        <w:fldChar w:fldCharType="end" w:fldLock="0"/>
      </w:r>
      <w:r>
        <w:rPr>
          <w:rFonts w:ascii="Calibri" w:hAnsi="Calibri"/>
          <w:outline w:val="0"/>
          <w:color w:val="000000"/>
          <w:u w:color="000000"/>
          <w:rtl w:val="0"/>
          <w:lang w:val="en-US"/>
          <w14:textFill>
            <w14:solidFill>
              <w14:srgbClr w14:val="000000"/>
            </w14:solidFill>
          </w14:textFill>
        </w:rPr>
        <w:t xml:space="preserve"> [Accessed 12 Sept. 2026].</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Hiatt, J. (2006) ADKAR: A Model for Change in Business, Government and Our Community. Loveland, CO: Prosci Research.</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IEA (2026) </w:t>
      </w:r>
      <w:r>
        <w:rPr>
          <w:rFonts w:ascii="Calibri" w:hAnsi="Calibri"/>
          <w:i w:val="1"/>
          <w:iCs w:val="1"/>
          <w:outline w:val="0"/>
          <w:color w:val="000000"/>
          <w:u w:color="000000"/>
          <w:rtl w:val="0"/>
          <w:lang w:val="en-US"/>
          <w14:textFill>
            <w14:solidFill>
              <w14:srgbClr w14:val="000000"/>
            </w14:solidFill>
          </w14:textFill>
        </w:rPr>
        <w:t>Global EV Outlook 2026: Manufacturing and trade</w:t>
      </w:r>
      <w:r>
        <w:rPr>
          <w:rFonts w:ascii="Calibri" w:hAnsi="Calibri"/>
          <w:outline w:val="0"/>
          <w:color w:val="000000"/>
          <w:u w:color="000000"/>
          <w:rtl w:val="0"/>
          <w:lang w:val="en-US"/>
          <w14:textFill>
            <w14:solidFill>
              <w14:srgbClr w14:val="000000"/>
            </w14:solidFill>
          </w14:textFill>
        </w:rPr>
        <w:t xml:space="preserve">. Paris: International Energy Agency. Available at: </w:t>
      </w:r>
      <w:r>
        <w:rPr>
          <w:rStyle w:val="Hyperlink.2"/>
        </w:rPr>
        <w:fldChar w:fldCharType="begin" w:fldLock="0"/>
      </w:r>
      <w:r>
        <w:rPr>
          <w:rStyle w:val="Hyperlink.2"/>
        </w:rPr>
        <w:instrText xml:space="preserve"> HYPERLINK "https://www.iea.org/reports/global-ev-outlook-2026/manufacturing-and-trade"</w:instrText>
      </w:r>
      <w:r>
        <w:rPr>
          <w:rStyle w:val="Hyperlink.2"/>
        </w:rPr>
        <w:fldChar w:fldCharType="separate" w:fldLock="0"/>
      </w:r>
      <w:r>
        <w:rPr>
          <w:rStyle w:val="Hyperlink.2"/>
          <w:rtl w:val="0"/>
          <w:lang w:val="en-US"/>
        </w:rPr>
        <w:t>https://www.iea.org/reports/global-ev-outlook-2026/manufacturing-and-trade</w:t>
      </w:r>
      <w:r>
        <w:rPr/>
        <w:fldChar w:fldCharType="end" w:fldLock="0"/>
      </w:r>
      <w:r>
        <w:rPr>
          <w:rFonts w:ascii="Calibri" w:hAnsi="Calibri"/>
          <w:outline w:val="0"/>
          <w:color w:val="000000"/>
          <w:u w:val="single" w:color="000000"/>
          <w:rtl w:val="0"/>
          <w:lang w:val="en-US"/>
          <w14:textFill>
            <w14:solidFill>
              <w14:srgbClr w14:val="000000"/>
            </w14:solidFill>
          </w14:textFill>
        </w:rPr>
        <w:t xml:space="preserve"> </w:t>
      </w:r>
      <w:r>
        <w:rPr>
          <w:rFonts w:ascii="Calibri" w:hAnsi="Calibri"/>
          <w:outline w:val="0"/>
          <w:color w:val="000000"/>
          <w:u w:color="000000"/>
          <w:rtl w:val="0"/>
          <w:lang w:val="en-US"/>
          <w14:textFill>
            <w14:solidFill>
              <w14:srgbClr w14:val="000000"/>
            </w14:solidFill>
          </w14:textFill>
        </w:rPr>
        <w:t>(Accessed: 28 August 2026).</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International Federation of Robotics (2025). </w:t>
      </w:r>
      <w:r>
        <w:rPr>
          <w:rFonts w:ascii="Calibri" w:hAnsi="Calibri"/>
          <w:i w:val="1"/>
          <w:iCs w:val="1"/>
          <w:outline w:val="0"/>
          <w:color w:val="000000"/>
          <w:u w:color="000000"/>
          <w:rtl w:val="0"/>
          <w:lang w:val="en-US"/>
          <w14:textFill>
            <w14:solidFill>
              <w14:srgbClr w14:val="000000"/>
            </w14:solidFill>
          </w14:textFill>
        </w:rPr>
        <w:t>International Federation of Robotics</w:t>
      </w:r>
      <w:r>
        <w:rPr>
          <w:rFonts w:ascii="Calibri" w:hAnsi="Calibri"/>
          <w:outline w:val="0"/>
          <w:color w:val="000000"/>
          <w:u w:color="000000"/>
          <w:rtl w:val="0"/>
          <w:lang w:val="en-US"/>
          <w14:textFill>
            <w14:solidFill>
              <w14:srgbClr w14:val="000000"/>
            </w14:solidFill>
          </w14:textFill>
        </w:rPr>
        <w:t xml:space="preserve">. [online] IFR International Federation of Robotics. Available at: </w:t>
      </w:r>
      <w:r>
        <w:rPr>
          <w:rStyle w:val="Hyperlink.0"/>
        </w:rPr>
        <w:fldChar w:fldCharType="begin" w:fldLock="0"/>
      </w:r>
      <w:r>
        <w:rPr>
          <w:rStyle w:val="Hyperlink.0"/>
        </w:rPr>
        <w:instrText xml:space="preserve"> HYPERLINK "https://ifr.org/worldrobotics/report-2025"</w:instrText>
      </w:r>
      <w:r>
        <w:rPr>
          <w:rStyle w:val="Hyperlink.0"/>
        </w:rPr>
        <w:fldChar w:fldCharType="separate" w:fldLock="0"/>
      </w:r>
      <w:r>
        <w:rPr>
          <w:rStyle w:val="Hyperlink.0"/>
          <w:rtl w:val="0"/>
          <w:lang w:val="en-US"/>
        </w:rPr>
        <w:t>https://ifr.org/worldrobotics/report-2025</w:t>
      </w:r>
      <w:r>
        <w:rPr/>
        <w:fldChar w:fldCharType="end" w:fldLock="0"/>
      </w:r>
      <w:r>
        <w:rPr>
          <w:rFonts w:ascii="Calibri" w:hAnsi="Calibri"/>
          <w:outline w:val="0"/>
          <w:color w:val="000000"/>
          <w:u w:color="000000"/>
          <w:rtl w:val="0"/>
          <w:lang w:val="en-US"/>
          <w14:textFill>
            <w14:solidFill>
              <w14:srgbClr w14:val="000000"/>
            </w14:solidFill>
          </w14:textFill>
        </w:rPr>
        <w:t xml:space="preserve"> [Accessed 28 Aug. 2026].</w:t>
      </w:r>
    </w:p>
    <w:p>
      <w:pPr>
        <w:pStyle w:val="Body"/>
        <w:spacing w:before="24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Kew, J. and Stredwick, J. (2016). Human resource management in a business context (3rd edition.). Chartered Institute of Personnel and Development.</w:t>
      </w:r>
    </w:p>
    <w:p>
      <w:pPr>
        <w:pStyle w:val="Body"/>
        <w:spacing w:before="24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KPMG (2025) </w:t>
      </w:r>
      <w:r>
        <w:rPr>
          <w:rFonts w:ascii="Calibri" w:hAnsi="Calibri"/>
          <w:i w:val="1"/>
          <w:iCs w:val="1"/>
          <w:outline w:val="0"/>
          <w:color w:val="000000"/>
          <w:u w:color="000000"/>
          <w:rtl w:val="0"/>
          <w:lang w:val="en-US"/>
          <w14:textFill>
            <w14:solidFill>
              <w14:srgbClr w14:val="000000"/>
            </w14:solidFill>
          </w14:textFill>
        </w:rPr>
        <w:t>The automotive industry</w:t>
      </w:r>
      <w:r>
        <w:rPr>
          <w:rFonts w:ascii="Calibri" w:hAnsi="Calibri" w:hint="default"/>
          <w:i w:val="1"/>
          <w:iCs w:val="1"/>
          <w:outline w:val="0"/>
          <w:color w:val="000000"/>
          <w:u w:color="000000"/>
          <w:rtl w:val="0"/>
          <w:lang w:val="en-US"/>
          <w14:textFill>
            <w14:solidFill>
              <w14:srgbClr w14:val="000000"/>
            </w14:solidFill>
          </w14:textFill>
        </w:rPr>
        <w:t>’</w:t>
      </w:r>
      <w:r>
        <w:rPr>
          <w:rFonts w:ascii="Calibri" w:hAnsi="Calibri"/>
          <w:i w:val="1"/>
          <w:iCs w:val="1"/>
          <w:outline w:val="0"/>
          <w:color w:val="000000"/>
          <w:u w:color="000000"/>
          <w:rtl w:val="0"/>
          <w:lang w:val="en-US"/>
          <w14:textFill>
            <w14:solidFill>
              <w14:srgbClr w14:val="000000"/>
            </w14:solidFill>
          </w14:textFill>
        </w:rPr>
        <w:t>s evolving responses to tariffs</w:t>
      </w:r>
      <w:r>
        <w:rPr>
          <w:rFonts w:ascii="Calibri" w:hAnsi="Calibri"/>
          <w:outline w:val="0"/>
          <w:color w:val="000000"/>
          <w:u w:color="000000"/>
          <w:rtl w:val="0"/>
          <w:lang w:val="en-US"/>
          <w14:textFill>
            <w14:solidFill>
              <w14:srgbClr w14:val="000000"/>
            </w14:solidFill>
          </w14:textFill>
        </w:rPr>
        <w:t xml:space="preserve">. Available at: </w:t>
      </w:r>
      <w:r>
        <w:rPr>
          <w:rStyle w:val="Hyperlink.0"/>
        </w:rPr>
        <w:fldChar w:fldCharType="begin" w:fldLock="0"/>
      </w:r>
      <w:r>
        <w:rPr>
          <w:rStyle w:val="Hyperlink.0"/>
        </w:rPr>
        <w:instrText xml:space="preserve"> HYPERLINK "https://kpmg.com/us/en/articles/2025/automotive-industrys-evolving-responses-tariffs.html"</w:instrText>
      </w:r>
      <w:r>
        <w:rPr>
          <w:rStyle w:val="Hyperlink.0"/>
        </w:rPr>
        <w:fldChar w:fldCharType="separate" w:fldLock="0"/>
      </w:r>
      <w:r>
        <w:rPr>
          <w:rStyle w:val="Hyperlink.0"/>
          <w:rtl w:val="0"/>
          <w:lang w:val="en-US"/>
        </w:rPr>
        <w:t>https://kpmg.com/us/en/articles/2025/automotive-industrys-evolving-responses-tariffs.html</w:t>
      </w:r>
      <w:r>
        <w:rPr/>
        <w:fldChar w:fldCharType="end" w:fldLock="0"/>
      </w:r>
      <w:r>
        <w:rPr>
          <w:rFonts w:ascii="Calibri" w:hAnsi="Calibri"/>
          <w:outline w:val="0"/>
          <w:color w:val="000000"/>
          <w:u w:color="000000"/>
          <w:rtl w:val="0"/>
          <w:lang w:val="en-US"/>
          <w14:textFill>
            <w14:solidFill>
              <w14:srgbClr w14:val="000000"/>
            </w14:solidFill>
          </w14:textFill>
        </w:rPr>
        <w:t xml:space="preserve"> (Accessed: 28 August 2026).</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Lewin, K. (1947). Frontiers in group dynamics: Concept, method and reality in social science; social equilibria and social change. </w:t>
      </w:r>
      <w:r>
        <w:rPr>
          <w:rFonts w:ascii="Calibri" w:hAnsi="Calibri"/>
          <w:i w:val="1"/>
          <w:iCs w:val="1"/>
          <w:outline w:val="0"/>
          <w:color w:val="000000"/>
          <w:u w:color="000000"/>
          <w:rtl w:val="0"/>
          <w:lang w:val="en-US"/>
          <w14:textFill>
            <w14:solidFill>
              <w14:srgbClr w14:val="000000"/>
            </w14:solidFill>
          </w14:textFill>
        </w:rPr>
        <w:t>Human Relations</w:t>
      </w:r>
      <w:r>
        <w:rPr>
          <w:rFonts w:ascii="Calibri" w:hAnsi="Calibri"/>
          <w:outline w:val="0"/>
          <w:color w:val="000000"/>
          <w:u w:color="000000"/>
          <w:rtl w:val="0"/>
          <w:lang w:val="en-US"/>
          <w14:textFill>
            <w14:solidFill>
              <w14:srgbClr w14:val="000000"/>
            </w14:solidFill>
          </w14:textFill>
        </w:rPr>
        <w:t>, [online] 1(1), pp.5</w:t>
      </w:r>
      <w:r>
        <w:rPr>
          <w:rFonts w:ascii="Calibri" w:hAnsi="Calibri" w:hint="default"/>
          <w:outline w:val="0"/>
          <w:color w:val="000000"/>
          <w:u w:color="000000"/>
          <w:rtl w:val="0"/>
          <w:lang w:val="en-US"/>
          <w14:textFill>
            <w14:solidFill>
              <w14:srgbClr w14:val="000000"/>
            </w14:solidFill>
          </w14:textFill>
        </w:rPr>
        <w:t>–</w:t>
      </w:r>
      <w:r>
        <w:rPr>
          <w:rFonts w:ascii="Calibri" w:hAnsi="Calibri"/>
          <w:outline w:val="0"/>
          <w:color w:val="000000"/>
          <w:u w:color="000000"/>
          <w:rtl w:val="0"/>
          <w:lang w:val="en-US"/>
          <w14:textFill>
            <w14:solidFill>
              <w14:srgbClr w14:val="000000"/>
            </w14:solidFill>
          </w14:textFill>
        </w:rPr>
        <w:t>41. doi:10.1177/001872674700100103.</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Mayne, M. (2026). </w:t>
      </w:r>
      <w:r>
        <w:rPr>
          <w:rFonts w:ascii="Calibri" w:hAnsi="Calibri"/>
          <w:i w:val="1"/>
          <w:iCs w:val="1"/>
          <w:outline w:val="0"/>
          <w:color w:val="000000"/>
          <w:u w:color="000000"/>
          <w:rtl w:val="0"/>
          <w:lang w:val="en-US"/>
          <w14:textFill>
            <w14:solidFill>
              <w14:srgbClr w14:val="000000"/>
            </w14:solidFill>
          </w14:textFill>
        </w:rPr>
        <w:t>Performance reviews leave third of workers feeling less motivated, research reveals</w:t>
      </w:r>
      <w:r>
        <w:rPr>
          <w:rFonts w:ascii="Calibri" w:hAnsi="Calibri"/>
          <w:outline w:val="0"/>
          <w:color w:val="000000"/>
          <w:u w:color="000000"/>
          <w:rtl w:val="0"/>
          <w:lang w:val="en-US"/>
          <w14:textFill>
            <w14:solidFill>
              <w14:srgbClr w14:val="000000"/>
            </w14:solidFill>
          </w14:textFill>
        </w:rPr>
        <w:t xml:space="preserve">. [online] Peoplemanagement.co.uk. Available at: </w:t>
      </w:r>
      <w:r>
        <w:rPr>
          <w:rStyle w:val="Hyperlink.1"/>
        </w:rPr>
        <w:fldChar w:fldCharType="begin" w:fldLock="0"/>
      </w:r>
      <w:r>
        <w:rPr>
          <w:rStyle w:val="Hyperlink.1"/>
        </w:rPr>
        <w:instrText xml:space="preserve"> HYPERLINK "https://www.peoplemanagement.co.uk/article/1962067/performance-reviews-leave-third-workers-feeling-less-motivated-research-reveals"</w:instrText>
      </w:r>
      <w:r>
        <w:rPr>
          <w:rStyle w:val="Hyperlink.1"/>
        </w:rPr>
        <w:fldChar w:fldCharType="separate" w:fldLock="0"/>
      </w:r>
      <w:r>
        <w:rPr>
          <w:rStyle w:val="Hyperlink.1"/>
          <w:rtl w:val="0"/>
          <w:lang w:val="en-US"/>
        </w:rPr>
        <w:t>https://www.peoplemanagement.co.uk/article/1962067/performance-reviews-leave-third-workers-feeling-less-motivated-research-reveals</w:t>
      </w:r>
      <w:r>
        <w:rPr/>
        <w:fldChar w:fldCharType="end" w:fldLock="0"/>
      </w:r>
      <w:r>
        <w:rPr>
          <w:rFonts w:ascii="Calibri" w:hAnsi="Calibri"/>
          <w:outline w:val="0"/>
          <w:color w:val="000000"/>
          <w:u w:color="000000"/>
          <w:rtl w:val="0"/>
          <w:lang w:val="en-US"/>
          <w14:textFill>
            <w14:solidFill>
              <w14:srgbClr w14:val="000000"/>
            </w14:solidFill>
          </w14:textFill>
        </w:rPr>
        <w:t xml:space="preserve"> Accessed 31 July 2026].</w:t>
      </w:r>
    </w:p>
    <w:p>
      <w:pPr>
        <w:pStyle w:val="Body"/>
        <w:spacing w:before="240" w:after="24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MBA Management Models (2026). </w:t>
      </w:r>
      <w:r>
        <w:rPr>
          <w:rFonts w:ascii="Calibri" w:hAnsi="Calibri"/>
          <w:i w:val="1"/>
          <w:iCs w:val="1"/>
          <w:outline w:val="0"/>
          <w:color w:val="000000"/>
          <w:u w:color="000000"/>
          <w:rtl w:val="0"/>
          <w:lang w:val="en-US"/>
          <w14:textFill>
            <w14:solidFill>
              <w14:srgbClr w14:val="000000"/>
            </w14:solidFill>
          </w14:textFill>
        </w:rPr>
        <w:t>Schein</w:t>
      </w:r>
      <w:r>
        <w:rPr>
          <w:rFonts w:ascii="Calibri" w:hAnsi="Calibri" w:hint="default"/>
          <w:i w:val="1"/>
          <w:iCs w:val="1"/>
          <w:outline w:val="0"/>
          <w:color w:val="000000"/>
          <w:u w:color="000000"/>
          <w:rtl w:val="0"/>
          <w:lang w:val="en-US"/>
          <w14:textFill>
            <w14:solidFill>
              <w14:srgbClr w14:val="000000"/>
            </w14:solidFill>
          </w14:textFill>
        </w:rPr>
        <w:t>’</w:t>
      </w:r>
      <w:r>
        <w:rPr>
          <w:rFonts w:ascii="Calibri" w:hAnsi="Calibri"/>
          <w:i w:val="1"/>
          <w:iCs w:val="1"/>
          <w:outline w:val="0"/>
          <w:color w:val="000000"/>
          <w:u w:color="000000"/>
          <w:rtl w:val="0"/>
          <w:lang w:val="en-US"/>
          <w14:textFill>
            <w14:solidFill>
              <w14:srgbClr w14:val="000000"/>
            </w14:solidFill>
          </w14:textFill>
        </w:rPr>
        <w:t>s model of organisational culture</w:t>
      </w:r>
      <w:r>
        <w:rPr>
          <w:rFonts w:ascii="Calibri" w:hAnsi="Calibri"/>
          <w:outline w:val="0"/>
          <w:color w:val="000000"/>
          <w:u w:color="000000"/>
          <w:rtl w:val="0"/>
          <w:lang w:val="en-US"/>
          <w14:textFill>
            <w14:solidFill>
              <w14:srgbClr w14:val="000000"/>
            </w14:solidFill>
          </w14:textFill>
        </w:rPr>
        <w:t xml:space="preserve">. [online] MBA Management Models. Available at: </w:t>
      </w:r>
      <w:r>
        <w:rPr>
          <w:rStyle w:val="Hyperlink.1"/>
        </w:rPr>
        <w:fldChar w:fldCharType="begin" w:fldLock="0"/>
      </w:r>
      <w:r>
        <w:rPr>
          <w:rStyle w:val="Hyperlink.1"/>
        </w:rPr>
        <w:instrText xml:space="preserve"> HYPERLINK "https://www.mbamanagementmodels.com/scheins-model-of-organisational-culture/"</w:instrText>
      </w:r>
      <w:r>
        <w:rPr>
          <w:rStyle w:val="Hyperlink.1"/>
        </w:rPr>
        <w:fldChar w:fldCharType="separate" w:fldLock="0"/>
      </w:r>
      <w:r>
        <w:rPr>
          <w:rStyle w:val="Hyperlink.1"/>
          <w:rtl w:val="0"/>
          <w:lang w:val="en-US"/>
        </w:rPr>
        <w:t>https://www.mbamanagementmodels.com/scheins-model-of-organisational-culture/</w:t>
      </w:r>
      <w:r>
        <w:rPr/>
        <w:fldChar w:fldCharType="end" w:fldLock="0"/>
      </w:r>
      <w:r>
        <w:rPr>
          <w:rFonts w:ascii="Calibri" w:hAnsi="Calibri"/>
          <w:outline w:val="0"/>
          <w:color w:val="000000"/>
          <w:u w:color="000000"/>
          <w:rtl w:val="0"/>
          <w:lang w:val="en-US"/>
          <w14:textFill>
            <w14:solidFill>
              <w14:srgbClr w14:val="000000"/>
            </w14:solidFill>
          </w14:textFill>
        </w:rPr>
        <w:t xml:space="preserve"> [Accessed 31 Aug. 2026].</w:t>
      </w:r>
    </w:p>
    <w:p>
      <w:pPr>
        <w:pStyle w:val="Body"/>
        <w:spacing w:before="24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McKinsey &amp; Company (2008). Enduring ideas: The 7-S framework. [online] McKinsey &amp; Company. Available at: </w:t>
      </w:r>
      <w:r>
        <w:rPr>
          <w:rStyle w:val="Hyperlink.0"/>
        </w:rPr>
        <w:fldChar w:fldCharType="begin" w:fldLock="0"/>
      </w:r>
      <w:r>
        <w:rPr>
          <w:rStyle w:val="Hyperlink.0"/>
        </w:rPr>
        <w:instrText xml:space="preserve"> HYPERLINK "https://www.mckinsey.com/capabilities/strategy-and-corporate-finance/our-insights/enduring-ideas-the-7-s-framework"</w:instrText>
      </w:r>
      <w:r>
        <w:rPr>
          <w:rStyle w:val="Hyperlink.0"/>
        </w:rPr>
        <w:fldChar w:fldCharType="separate" w:fldLock="0"/>
      </w:r>
      <w:r>
        <w:rPr>
          <w:rStyle w:val="Hyperlink.0"/>
          <w:rtl w:val="0"/>
          <w:lang w:val="en-US"/>
        </w:rPr>
        <w:t>https://www.mckinsey.com/capabilities/strategy-and-corporate-finance/our-insights/enduring-ideas-the-7-s-framework</w:t>
      </w:r>
      <w:r>
        <w:rPr/>
        <w:fldChar w:fldCharType="end" w:fldLock="0"/>
      </w:r>
      <w:r>
        <w:rPr>
          <w:rFonts w:ascii="Calibri" w:hAnsi="Calibri"/>
          <w:outline w:val="0"/>
          <w:color w:val="000000"/>
          <w:u w:color="000000"/>
          <w:rtl w:val="0"/>
          <w:lang w:val="en-US"/>
          <w14:textFill>
            <w14:solidFill>
              <w14:srgbClr w14:val="000000"/>
            </w14:solidFill>
          </w14:textFill>
        </w:rPr>
        <w:t xml:space="preserve"> [Accessed 11 Aug. 2026].</w:t>
      </w:r>
    </w:p>
    <w:p>
      <w:pPr>
        <w:pStyle w:val="Body"/>
        <w:spacing w:before="24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Mullins, L.J. and Rees, G. (2023) </w:t>
      </w:r>
      <w:r>
        <w:rPr>
          <w:rFonts w:ascii="Calibri" w:hAnsi="Calibri"/>
          <w:i w:val="1"/>
          <w:iCs w:val="1"/>
          <w:outline w:val="0"/>
          <w:color w:val="000000"/>
          <w:u w:color="000000"/>
          <w:rtl w:val="0"/>
          <w:lang w:val="en-US"/>
          <w14:textFill>
            <w14:solidFill>
              <w14:srgbClr w14:val="000000"/>
            </w14:solidFill>
          </w14:textFill>
        </w:rPr>
        <w:t>Management and Organisational Behaviour</w:t>
      </w:r>
      <w:r>
        <w:rPr>
          <w:rFonts w:ascii="Calibri" w:hAnsi="Calibri"/>
          <w:outline w:val="0"/>
          <w:color w:val="000000"/>
          <w:u w:color="000000"/>
          <w:rtl w:val="0"/>
          <w:lang w:val="en-US"/>
          <w14:textFill>
            <w14:solidFill>
              <w14:srgbClr w14:val="000000"/>
            </w14:solidFill>
          </w14:textFill>
        </w:rPr>
        <w:t>. 13th edn. Harlow: Pearson.</w:t>
      </w:r>
    </w:p>
    <w:p>
      <w:pPr>
        <w:pStyle w:val="Body"/>
        <w:spacing w:before="240" w:after="120" w:line="240" w:lineRule="auto"/>
        <w:rPr>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OA tool 6 : Burke Litwin Model. (n.d.). In: Organisational Assessment Tools. [online] Available at: </w:t>
      </w:r>
      <w:r>
        <w:rPr>
          <w:rStyle w:val="Hyperlink.0"/>
        </w:rPr>
        <w:fldChar w:fldCharType="begin" w:fldLock="0"/>
      </w:r>
      <w:r>
        <w:rPr>
          <w:rStyle w:val="Hyperlink.0"/>
        </w:rPr>
        <w:instrText xml:space="preserve"> HYPERLINK "https://www.crowe-associates.co.uk/wp-content/uploads/2013/07/Organisational-assessment-tools.pdf"</w:instrText>
      </w:r>
      <w:r>
        <w:rPr>
          <w:rStyle w:val="Hyperlink.0"/>
        </w:rPr>
        <w:fldChar w:fldCharType="separate" w:fldLock="0"/>
      </w:r>
      <w:r>
        <w:rPr>
          <w:rStyle w:val="Hyperlink.0"/>
          <w:rtl w:val="0"/>
          <w:lang w:val="en-US"/>
        </w:rPr>
        <w:t>https://www.crowe-associates.co.uk/wp-content/uploads/2013/07/Organisational-assessment-tools.pdf</w:t>
      </w:r>
      <w:r>
        <w:rPr/>
        <w:fldChar w:fldCharType="end" w:fldLock="0"/>
      </w:r>
      <w:r>
        <w:rPr>
          <w:rFonts w:ascii="Calibri" w:hAnsi="Calibri"/>
          <w:outline w:val="0"/>
          <w:color w:val="000000"/>
          <w:u w:color="000000"/>
          <w:rtl w:val="0"/>
          <w:lang w:val="en-US"/>
          <w14:textFill>
            <w14:solidFill>
              <w14:srgbClr w14:val="000000"/>
            </w14:solidFill>
          </w14:textFill>
        </w:rPr>
        <w:t xml:space="preserve"> [Accessed 11 Aug. 2026].</w:t>
      </w:r>
    </w:p>
    <w:p>
      <w:pPr>
        <w:pStyle w:val="Body"/>
        <w:spacing w:before="240" w:after="240" w:line="240" w:lineRule="auto"/>
        <w:rPr>
          <w:rStyle w:val="None"/>
          <w:rFonts w:ascii="Calibri" w:cs="Calibri" w:hAnsi="Calibri" w:eastAsia="Calibri"/>
          <w:outline w:val="0"/>
          <w:color w:val="000000"/>
          <w:u w:color="000000"/>
          <w14:textFill>
            <w14:solidFill>
              <w14:srgbClr w14:val="000000"/>
            </w14:solidFill>
          </w14:textFill>
        </w:rPr>
      </w:pPr>
      <w:r>
        <w:rPr>
          <w:rFonts w:ascii="Calibri" w:hAnsi="Calibri"/>
          <w:outline w:val="0"/>
          <w:color w:val="000000"/>
          <w:u w:color="000000"/>
          <w:rtl w:val="0"/>
          <w:lang w:val="en-US"/>
          <w14:textFill>
            <w14:solidFill>
              <w14:srgbClr w14:val="000000"/>
            </w14:solidFill>
          </w14:textFill>
        </w:rPr>
        <w:t xml:space="preserve">OECD (2025) OECD Supply Chain Resilience Review: Navigating Risks. Paris: OECD Publishing. Available at: </w:t>
      </w:r>
      <w:r>
        <w:rPr>
          <w:rStyle w:val="Hyperlink.3"/>
        </w:rPr>
        <w:fldChar w:fldCharType="begin" w:fldLock="0"/>
      </w:r>
      <w:r>
        <w:rPr>
          <w:rStyle w:val="Hyperlink.3"/>
        </w:rPr>
        <w:instrText xml:space="preserve"> HYPERLINK "https://doi.org/10.1787/94e3a8ea-en"</w:instrText>
      </w:r>
      <w:r>
        <w:rPr>
          <w:rStyle w:val="Hyperlink.3"/>
        </w:rPr>
        <w:fldChar w:fldCharType="separate" w:fldLock="0"/>
      </w:r>
      <w:r>
        <w:rPr>
          <w:rStyle w:val="Hyperlink.3"/>
          <w:rtl w:val="0"/>
          <w:lang w:val="en-US"/>
        </w:rPr>
        <w:t>https://doi.org/10.1787/94e3a8ea-en</w:t>
      </w:r>
      <w:r>
        <w:rPr/>
        <w:fldChar w:fldCharType="end" w:fldLock="0"/>
      </w:r>
      <w:r>
        <w:rPr>
          <w:rStyle w:val="Hyperlink.3"/>
          <w:rtl w:val="0"/>
          <w:lang w:val="en-US"/>
        </w:rPr>
        <w:t xml:space="preserve"> (Accessed: 28 August 2026).</w:t>
      </w:r>
    </w:p>
    <w:p>
      <w:pPr>
        <w:pStyle w:val="Body"/>
        <w:spacing w:before="240" w:after="240" w:line="240" w:lineRule="auto"/>
        <w:rPr>
          <w:rStyle w:val="None"/>
          <w:rFonts w:ascii="Calibri" w:cs="Calibri" w:hAnsi="Calibri" w:eastAsia="Calibri"/>
          <w:outline w:val="0"/>
          <w:color w:val="000000"/>
          <w:u w:color="000000"/>
          <w14:textFill>
            <w14:solidFill>
              <w14:srgbClr w14:val="000000"/>
            </w14:solidFill>
          </w14:textFill>
        </w:rPr>
      </w:pPr>
      <w:r>
        <w:rPr>
          <w:rStyle w:val="Hyperlink.3"/>
          <w:rtl w:val="0"/>
          <w:lang w:val="en-US"/>
        </w:rPr>
        <w:t xml:space="preserve">Prosci (2025). </w:t>
      </w:r>
      <w:r>
        <w:rPr>
          <w:rStyle w:val="None"/>
          <w:rFonts w:ascii="Calibri" w:hAnsi="Calibri"/>
          <w:i w:val="1"/>
          <w:iCs w:val="1"/>
          <w:outline w:val="0"/>
          <w:color w:val="000000"/>
          <w:u w:color="000000"/>
          <w:rtl w:val="0"/>
          <w:lang w:val="en-US"/>
          <w14:textFill>
            <w14:solidFill>
              <w14:srgbClr w14:val="000000"/>
            </w14:solidFill>
          </w14:textFill>
        </w:rPr>
        <w:t>The prosci ADKAR model</w:t>
      </w:r>
      <w:r>
        <w:rPr>
          <w:rStyle w:val="Hyperlink.3"/>
          <w:rtl w:val="0"/>
          <w:lang w:val="en-US"/>
        </w:rPr>
        <w:t xml:space="preserve">. [online] </w:t>
      </w:r>
      <w:r>
        <w:rPr>
          <w:rStyle w:val="Hyperlink.0"/>
        </w:rPr>
        <w:fldChar w:fldCharType="begin" w:fldLock="0"/>
      </w:r>
      <w:r>
        <w:rPr>
          <w:rStyle w:val="Hyperlink.0"/>
        </w:rPr>
        <w:instrText xml:space="preserve"> HYPERLINK "https://www.prosci.com"</w:instrText>
      </w:r>
      <w:r>
        <w:rPr>
          <w:rStyle w:val="Hyperlink.0"/>
        </w:rPr>
        <w:fldChar w:fldCharType="separate" w:fldLock="0"/>
      </w:r>
      <w:r>
        <w:rPr>
          <w:rStyle w:val="Hyperlink.0"/>
          <w:rtl w:val="0"/>
          <w:lang w:val="en-US"/>
        </w:rPr>
        <w:t>www.prosci.com</w:t>
      </w:r>
      <w:r>
        <w:rPr/>
        <w:fldChar w:fldCharType="end" w:fldLock="0"/>
      </w:r>
      <w:r>
        <w:rPr>
          <w:rStyle w:val="Hyperlink.3"/>
          <w:rtl w:val="0"/>
          <w:lang w:val="en-US"/>
        </w:rPr>
        <w:t xml:space="preserve">. Available at: </w:t>
      </w:r>
      <w:r>
        <w:rPr>
          <w:rStyle w:val="Hyperlink.0"/>
        </w:rPr>
        <w:fldChar w:fldCharType="begin" w:fldLock="0"/>
      </w:r>
      <w:r>
        <w:rPr>
          <w:rStyle w:val="Hyperlink.0"/>
        </w:rPr>
        <w:instrText xml:space="preserve"> HYPERLINK "https://www.prosci.com/methodology/adkar"</w:instrText>
      </w:r>
      <w:r>
        <w:rPr>
          <w:rStyle w:val="Hyperlink.0"/>
        </w:rPr>
        <w:fldChar w:fldCharType="separate" w:fldLock="0"/>
      </w:r>
      <w:r>
        <w:rPr>
          <w:rStyle w:val="Hyperlink.0"/>
          <w:rtl w:val="0"/>
          <w:lang w:val="en-US"/>
        </w:rPr>
        <w:t>https://www.prosci.com/methodology/adkar</w:t>
      </w:r>
      <w:r>
        <w:rPr/>
        <w:fldChar w:fldCharType="end" w:fldLock="0"/>
      </w:r>
      <w:r>
        <w:rPr>
          <w:rStyle w:val="Hyperlink.3"/>
          <w:rtl w:val="0"/>
          <w:lang w:val="en-US"/>
        </w:rPr>
        <w:t xml:space="preserve"> [Accessed 6 Sept. 2026].</w:t>
      </w:r>
    </w:p>
    <w:p>
      <w:pPr>
        <w:pStyle w:val="Body"/>
        <w:spacing w:line="240" w:lineRule="auto"/>
        <w:rPr>
          <w:rStyle w:val="None"/>
          <w:rFonts w:ascii="Calibri" w:cs="Calibri" w:hAnsi="Calibri" w:eastAsia="Calibri"/>
          <w:outline w:val="0"/>
          <w:color w:val="000000"/>
          <w:u w:color="000000"/>
          <w14:textFill>
            <w14:solidFill>
              <w14:srgbClr w14:val="000000"/>
            </w14:solidFill>
          </w14:textFill>
        </w:rPr>
      </w:pPr>
      <w:r>
        <w:rPr>
          <w:rStyle w:val="Hyperlink.3"/>
          <w:rtl w:val="0"/>
          <w:lang w:val="en-US"/>
        </w:rPr>
        <w:t>Schein, E.H. (1985) Organizational culture and leadership. San Francisco: Jossey-Bass.</w:t>
      </w:r>
    </w:p>
    <w:p>
      <w:pPr>
        <w:pStyle w:val="Body"/>
        <w:spacing w:before="240" w:after="240" w:line="240" w:lineRule="auto"/>
        <w:rPr>
          <w:rStyle w:val="None"/>
          <w:rFonts w:ascii="Calibri" w:cs="Calibri" w:hAnsi="Calibri" w:eastAsia="Calibri"/>
          <w:outline w:val="0"/>
          <w:color w:val="000000"/>
          <w:u w:color="000000"/>
          <w14:textFill>
            <w14:solidFill>
              <w14:srgbClr w14:val="000000"/>
            </w14:solidFill>
          </w14:textFill>
        </w:rPr>
      </w:pPr>
      <w:r>
        <w:rPr>
          <w:rStyle w:val="Hyperlink.3"/>
          <w:rtl w:val="0"/>
          <w:lang w:val="en-US"/>
        </w:rPr>
        <w:t xml:space="preserve">Schein, E.H. (2019). </w:t>
      </w:r>
      <w:r>
        <w:rPr>
          <w:rStyle w:val="None"/>
          <w:rFonts w:ascii="Calibri" w:hAnsi="Calibri"/>
          <w:i w:val="1"/>
          <w:iCs w:val="1"/>
          <w:outline w:val="0"/>
          <w:color w:val="000000"/>
          <w:u w:color="000000"/>
          <w:rtl w:val="0"/>
          <w:lang w:val="en-US"/>
          <w14:textFill>
            <w14:solidFill>
              <w14:srgbClr w14:val="000000"/>
            </w14:solidFill>
          </w14:textFill>
        </w:rPr>
        <w:t>A new era for culture, change, and leadership</w:t>
      </w:r>
      <w:r>
        <w:rPr>
          <w:rStyle w:val="Hyperlink.3"/>
          <w:rtl w:val="0"/>
          <w:lang w:val="en-US"/>
        </w:rPr>
        <w:t xml:space="preserve">. [online] MIT Sloan Management Review. Available at: </w:t>
      </w:r>
      <w:r>
        <w:rPr>
          <w:rStyle w:val="Hyperlink.0"/>
        </w:rPr>
        <w:fldChar w:fldCharType="begin" w:fldLock="0"/>
      </w:r>
      <w:r>
        <w:rPr>
          <w:rStyle w:val="Hyperlink.0"/>
        </w:rPr>
        <w:instrText xml:space="preserve"> HYPERLINK "https://sloanreview.mit.edu/article/a-new-era-for-culture-change-and-leadership/"</w:instrText>
      </w:r>
      <w:r>
        <w:rPr>
          <w:rStyle w:val="Hyperlink.0"/>
        </w:rPr>
        <w:fldChar w:fldCharType="separate" w:fldLock="0"/>
      </w:r>
      <w:r>
        <w:rPr>
          <w:rStyle w:val="Hyperlink.0"/>
          <w:rtl w:val="0"/>
          <w:lang w:val="en-US"/>
        </w:rPr>
        <w:t>https://sloanreview.mit.edu/article/a-new-era-for-culture-change-and-leadership/</w:t>
      </w:r>
      <w:r>
        <w:rPr/>
        <w:fldChar w:fldCharType="end" w:fldLock="0"/>
      </w:r>
      <w:r>
        <w:rPr>
          <w:rStyle w:val="Hyperlink.3"/>
          <w:rtl w:val="0"/>
          <w:lang w:val="en-US"/>
        </w:rPr>
        <w:t xml:space="preserve"> [Accessed 31 Aug. 2026].</w:t>
      </w:r>
    </w:p>
    <w:p>
      <w:pPr>
        <w:pStyle w:val="Body"/>
        <w:spacing w:before="240" w:after="240" w:line="240" w:lineRule="auto"/>
        <w:rPr>
          <w:rStyle w:val="None"/>
          <w:rFonts w:ascii="Calibri" w:cs="Calibri" w:hAnsi="Calibri" w:eastAsia="Calibri"/>
          <w:outline w:val="0"/>
          <w:color w:val="000000"/>
          <w:u w:color="000000"/>
          <w14:textFill>
            <w14:solidFill>
              <w14:srgbClr w14:val="000000"/>
            </w14:solidFill>
          </w14:textFill>
        </w:rPr>
      </w:pPr>
      <w:r>
        <w:rPr>
          <w:rStyle w:val="Hyperlink.3"/>
          <w:rtl w:val="0"/>
          <w:lang w:val="en-US"/>
        </w:rPr>
        <w:t xml:space="preserve">Suff, R. (2024). </w:t>
      </w:r>
      <w:r>
        <w:rPr>
          <w:rStyle w:val="None"/>
          <w:rFonts w:ascii="Calibri" w:hAnsi="Calibri"/>
          <w:i w:val="1"/>
          <w:iCs w:val="1"/>
          <w:outline w:val="0"/>
          <w:color w:val="000000"/>
          <w:u w:color="000000"/>
          <w:rtl w:val="0"/>
          <w:lang w:val="en-US"/>
          <w14:textFill>
            <w14:solidFill>
              <w14:srgbClr w14:val="000000"/>
            </w14:solidFill>
          </w14:textFill>
        </w:rPr>
        <w:t>Wellbeing at work</w:t>
      </w:r>
      <w:r>
        <w:rPr>
          <w:rStyle w:val="Hyperlink.3"/>
          <w:rtl w:val="0"/>
          <w:lang w:val="en-US"/>
        </w:rPr>
        <w:t xml:space="preserve">. [online] CIPD. Available at: </w:t>
      </w:r>
      <w:r>
        <w:rPr>
          <w:rStyle w:val="Hyperlink.0"/>
        </w:rPr>
        <w:fldChar w:fldCharType="begin" w:fldLock="0"/>
      </w:r>
      <w:r>
        <w:rPr>
          <w:rStyle w:val="Hyperlink.0"/>
        </w:rPr>
        <w:instrText xml:space="preserve"> HYPERLINK "https://www.cipd.org/uk/knowledge/factsheets/well-being-factsheet/"</w:instrText>
      </w:r>
      <w:r>
        <w:rPr>
          <w:rStyle w:val="Hyperlink.0"/>
        </w:rPr>
        <w:fldChar w:fldCharType="separate" w:fldLock="0"/>
      </w:r>
      <w:r>
        <w:rPr>
          <w:rStyle w:val="Hyperlink.0"/>
          <w:rtl w:val="0"/>
          <w:lang w:val="en-US"/>
        </w:rPr>
        <w:t>https://www.cipd.org/uk/knowledge/factsheets/well-being-factsheet/</w:t>
      </w:r>
      <w:r>
        <w:rPr/>
        <w:fldChar w:fldCharType="end" w:fldLock="0"/>
      </w:r>
      <w:r>
        <w:rPr>
          <w:rStyle w:val="Hyperlink.3"/>
          <w:rtl w:val="0"/>
          <w:lang w:val="en-US"/>
        </w:rPr>
        <w:t xml:space="preserve"> [Accessed 12 Sept. 2026].</w:t>
      </w:r>
    </w:p>
    <w:p>
      <w:pPr>
        <w:pStyle w:val="Body"/>
        <w:spacing w:before="240" w:after="240" w:line="240" w:lineRule="auto"/>
        <w:rPr>
          <w:rStyle w:val="None"/>
          <w:rFonts w:ascii="Calibri" w:cs="Calibri" w:hAnsi="Calibri" w:eastAsia="Calibri"/>
          <w:outline w:val="0"/>
          <w:color w:val="000000"/>
          <w:u w:color="000000"/>
          <w14:textFill>
            <w14:solidFill>
              <w14:srgbClr w14:val="000000"/>
            </w14:solidFill>
          </w14:textFill>
        </w:rPr>
      </w:pPr>
      <w:r>
        <w:rPr>
          <w:rStyle w:val="Hyperlink.3"/>
          <w:rtl w:val="0"/>
          <w:lang w:val="en-US"/>
        </w:rPr>
        <w:t>Taylor, S. and Woodhams, C. (2016). Studying human resource management. 2nd edn. London: CIPD.</w:t>
      </w:r>
    </w:p>
    <w:p>
      <w:pPr>
        <w:pStyle w:val="Body"/>
        <w:spacing w:before="240" w:after="240" w:line="240" w:lineRule="auto"/>
      </w:pPr>
      <w:r>
        <w:rPr>
          <w:rStyle w:val="Hyperlink.3"/>
          <w:rtl w:val="0"/>
          <w:lang w:val="en-US"/>
        </w:rPr>
        <w:t xml:space="preserve">World Economic Forum (2025). </w:t>
      </w:r>
      <w:r>
        <w:rPr>
          <w:rStyle w:val="None"/>
          <w:rFonts w:ascii="Calibri" w:hAnsi="Calibri"/>
          <w:i w:val="1"/>
          <w:iCs w:val="1"/>
          <w:outline w:val="0"/>
          <w:color w:val="000000"/>
          <w:u w:color="000000"/>
          <w:rtl w:val="0"/>
          <w:lang w:val="en-US"/>
          <w14:textFill>
            <w14:solidFill>
              <w14:srgbClr w14:val="000000"/>
            </w14:solidFill>
          </w14:textFill>
        </w:rPr>
        <w:t>Global cybersecurity outlook 2025</w:t>
      </w:r>
      <w:r>
        <w:rPr>
          <w:rStyle w:val="Hyperlink.3"/>
          <w:rtl w:val="0"/>
          <w:lang w:val="en-US"/>
        </w:rPr>
        <w:t xml:space="preserve">. [online] World Economic Forum. Available at: </w:t>
      </w:r>
      <w:r>
        <w:rPr>
          <w:rStyle w:val="Hyperlink.0"/>
        </w:rPr>
        <w:fldChar w:fldCharType="begin" w:fldLock="0"/>
      </w:r>
      <w:r>
        <w:rPr>
          <w:rStyle w:val="Hyperlink.0"/>
        </w:rPr>
        <w:instrText xml:space="preserve"> HYPERLINK "https://www.weforum.org/publications/global-cybersecurity-outlook-2025/"</w:instrText>
      </w:r>
      <w:r>
        <w:rPr>
          <w:rStyle w:val="Hyperlink.0"/>
        </w:rPr>
        <w:fldChar w:fldCharType="separate" w:fldLock="0"/>
      </w:r>
      <w:r>
        <w:rPr>
          <w:rStyle w:val="Hyperlink.0"/>
          <w:rtl w:val="0"/>
          <w:lang w:val="en-US"/>
        </w:rPr>
        <w:t>https://www.weforum.org/publications/global-cybersecurity-outlook-2025/</w:t>
      </w:r>
      <w:r>
        <w:rPr/>
        <w:fldChar w:fldCharType="end" w:fldLock="0"/>
      </w:r>
      <w:r>
        <w:rPr>
          <w:rStyle w:val="Hyperlink.3"/>
          <w:rtl w:val="0"/>
          <w:lang w:val="en-US"/>
        </w:rPr>
        <w:t xml:space="preserve"> [Accessed 28 Aug. 2026].</w:t>
      </w:r>
    </w:p>
    <w:p>
      <w:pPr>
        <w:pStyle w:val="Body"/>
        <w:spacing w:before="240" w:after="240" w:line="240" w:lineRule="auto"/>
      </w:pPr>
      <w:r>
        <w:rPr>
          <w:rStyle w:val="Hyperlink.3"/>
          <w:rtl w:val="0"/>
          <w:lang w:val="en-US"/>
        </w:rPr>
        <w:t xml:space="preserve">Xu, X., Xie, X. and Yang, Y. (2021) </w:t>
      </w:r>
      <w:r>
        <w:rPr>
          <w:rStyle w:val="Hyperlink.3"/>
          <w:rtl w:val="0"/>
          <w:lang w:val="en-US"/>
        </w:rPr>
        <w:t>‘</w:t>
      </w:r>
      <w:r>
        <w:rPr>
          <w:rStyle w:val="Hyperlink.3"/>
          <w:rtl w:val="0"/>
          <w:lang w:val="en-US"/>
        </w:rPr>
        <w:t>Voice More and Be Happier: How Employee Voice Influences Psychological Well-Being in the Workplace</w:t>
      </w:r>
      <w:r>
        <w:rPr>
          <w:rStyle w:val="Hyperlink.3"/>
          <w:rtl w:val="0"/>
          <w:lang w:val="en-US"/>
        </w:rPr>
        <w:t>’</w:t>
      </w:r>
      <w:r>
        <w:rPr>
          <w:rStyle w:val="Hyperlink.3"/>
          <w:rtl w:val="0"/>
          <w:lang w:val="en-US"/>
        </w:rPr>
        <w:t xml:space="preserve">, </w:t>
      </w:r>
      <w:r>
        <w:rPr>
          <w:rStyle w:val="None"/>
          <w:rFonts w:ascii="Calibri" w:hAnsi="Calibri"/>
          <w:i w:val="1"/>
          <w:iCs w:val="1"/>
          <w:outline w:val="0"/>
          <w:color w:val="000000"/>
          <w:u w:color="000000"/>
          <w:rtl w:val="0"/>
          <w:lang w:val="en-US"/>
          <w14:textFill>
            <w14:solidFill>
              <w14:srgbClr w14:val="000000"/>
            </w14:solidFill>
          </w14:textFill>
        </w:rPr>
        <w:t>International Journal of Mental Health Promotion</w:t>
      </w:r>
      <w:r>
        <w:rPr>
          <w:rStyle w:val="Hyperlink.3"/>
          <w:rtl w:val="0"/>
          <w:lang w:val="en-US"/>
        </w:rPr>
        <w:t>, 23(1), pp. 41</w:t>
      </w:r>
      <w:r>
        <w:rPr>
          <w:rStyle w:val="Hyperlink.3"/>
          <w:rtl w:val="0"/>
          <w:lang w:val="en-US"/>
        </w:rPr>
        <w:t>–</w:t>
      </w:r>
      <w:r>
        <w:rPr>
          <w:rStyle w:val="Hyperlink.3"/>
          <w:rtl w:val="0"/>
          <w:lang w:val="en-US"/>
        </w:rPr>
        <w:t>53.</w:t>
      </w:r>
    </w:p>
    <w:sectPr>
      <w:headerReference w:type="default" r:id="rId4"/>
      <w:footerReference w:type="default" r:id="rId5"/>
      <w:pgSz w:w="11900" w:h="16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ptos">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02"/>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02"/>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02"/>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trackRevisions/>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79"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Heading 3">
    <w:name w:val="Heading 3"/>
    <w:next w:val="Body"/>
    <w:pPr>
      <w:keepNext w:val="1"/>
      <w:keepLines w:val="1"/>
      <w:pageBreakBefore w:val="0"/>
      <w:widowControl w:val="1"/>
      <w:shd w:val="clear" w:color="auto" w:fill="auto"/>
      <w:suppressAutoHyphens w:val="0"/>
      <w:bidi w:val="0"/>
      <w:spacing w:before="160" w:after="80" w:line="279" w:lineRule="auto"/>
      <w:ind w:left="0" w:right="0" w:firstLine="0"/>
      <w:jc w:val="left"/>
      <w:outlineLvl w:val="1"/>
    </w:pPr>
    <w:rPr>
      <w:rFonts w:ascii="Aptos" w:cs="Aptos" w:hAnsi="Aptos" w:eastAsia="Aptos"/>
      <w:b w:val="0"/>
      <w:bCs w:val="0"/>
      <w:i w:val="0"/>
      <w:iCs w:val="0"/>
      <w:caps w:val="0"/>
      <w:smallCaps w:val="0"/>
      <w:strike w:val="0"/>
      <w:dstrike w:val="0"/>
      <w:outline w:val="0"/>
      <w:color w:val="0f4761"/>
      <w:spacing w:val="0"/>
      <w:kern w:val="0"/>
      <w:position w:val="0"/>
      <w:sz w:val="28"/>
      <w:szCs w:val="28"/>
      <w:u w:val="none" w:color="0f4761"/>
      <w:shd w:val="nil" w:color="auto" w:fill="auto"/>
      <w:vertAlign w:val="baseline"/>
      <w:lang w:val="en-US"/>
      <w14:textOutline>
        <w14:noFill/>
      </w14:textOutline>
      <w14:textFill>
        <w14:solidFill>
          <w14:srgbClr w14:val="0F4761"/>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79" w:lineRule="auto"/>
      <w:ind w:left="72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character" w:styleId="Link">
    <w:name w:val="Link"/>
    <w:rPr>
      <w:outline w:val="0"/>
      <w:color w:val="467886"/>
      <w:u w:val="single" w:color="467886"/>
      <w14:textFill>
        <w14:solidFill>
          <w14:srgbClr w14:val="467886"/>
        </w14:solidFill>
      </w14:textFill>
    </w:rPr>
  </w:style>
  <w:style w:type="character" w:styleId="Hyperlink.0">
    <w:name w:val="Hyperlink.0"/>
    <w:basedOn w:val="Link"/>
    <w:next w:val="Hyperlink.0"/>
    <w:rPr>
      <w:rFonts w:ascii="Calibri" w:cs="Calibri" w:hAnsi="Calibri" w:eastAsia="Calibri"/>
      <w:lang w:val="en-US"/>
    </w:rPr>
  </w:style>
  <w:style w:type="character" w:styleId="Hyperlink.1">
    <w:name w:val="Hyperlink.1"/>
    <w:basedOn w:val="Link"/>
    <w:next w:val="Hyperlink.1"/>
    <w:rPr>
      <w:lang w:val="en-US"/>
    </w:rPr>
  </w:style>
  <w:style w:type="character" w:styleId="Hyperlink.2">
    <w:name w:val="Hyperlink.2"/>
    <w:basedOn w:val="Link"/>
    <w:next w:val="Hyperlink.2"/>
    <w:rPr>
      <w:rFonts w:ascii="Calibri" w:cs="Calibri" w:hAnsi="Calibri" w:eastAsia="Calibri"/>
      <w:outline w:val="0"/>
      <w:color w:val="000000"/>
      <w:u w:color="000000"/>
      <w:lang w:val="en-US"/>
      <w14:textFill>
        <w14:solidFill>
          <w14:srgbClr w14:val="000000"/>
        </w14:solidFill>
      </w14:textFill>
    </w:rPr>
  </w:style>
  <w:style w:type="character" w:styleId="None">
    <w:name w:val="None"/>
  </w:style>
  <w:style w:type="character" w:styleId="Hyperlink.3">
    <w:name w:val="Hyperlink.3"/>
    <w:basedOn w:val="None"/>
    <w:next w:val="Hyperlink.3"/>
    <w:rPr>
      <w:rFonts w:ascii="Calibri" w:cs="Calibri" w:hAnsi="Calibri" w:eastAsia="Calibri"/>
      <w:outline w:val="0"/>
      <w:color w:val="000000"/>
      <w:u w:color="000000"/>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