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6D6" w:rsidRDefault="003F45B1" w:rsidP="003F45B1">
      <w:pPr>
        <w:spacing w:after="0" w:line="480" w:lineRule="auto"/>
        <w:jc w:val="center"/>
        <w:rPr>
          <w:rFonts w:ascii="Times New Roman" w:hAnsi="Times New Roman" w:cs="Times New Roman"/>
          <w:sz w:val="24"/>
          <w:lang w:val="en-CA"/>
        </w:rPr>
      </w:pPr>
      <w:r>
        <w:rPr>
          <w:rFonts w:ascii="Times New Roman" w:hAnsi="Times New Roman" w:cs="Times New Roman"/>
          <w:sz w:val="24"/>
          <w:lang w:val="en-CA"/>
        </w:rPr>
        <w:t>Four Great Questions to Rule Them All: And Four Answers to Answer These Questions</w:t>
      </w:r>
    </w:p>
    <w:p w:rsidR="007A6824" w:rsidRDefault="00E519B0" w:rsidP="001D7E39">
      <w:pPr>
        <w:spacing w:after="0" w:line="480" w:lineRule="auto"/>
        <w:ind w:firstLine="720"/>
        <w:rPr>
          <w:rFonts w:ascii="Times New Roman" w:hAnsi="Times New Roman" w:cs="Times New Roman"/>
          <w:sz w:val="24"/>
          <w:lang w:val="en-CA"/>
        </w:rPr>
      </w:pPr>
      <w:r>
        <w:rPr>
          <w:rFonts w:ascii="Times New Roman" w:hAnsi="Times New Roman" w:cs="Times New Roman"/>
          <w:sz w:val="24"/>
          <w:lang w:val="en-CA"/>
        </w:rPr>
        <w:t xml:space="preserve">The assignments in this part of the </w:t>
      </w:r>
      <w:r w:rsidR="00D16BE5">
        <w:rPr>
          <w:rFonts w:ascii="Times New Roman" w:hAnsi="Times New Roman" w:cs="Times New Roman"/>
          <w:sz w:val="24"/>
          <w:lang w:val="en-CA"/>
        </w:rPr>
        <w:t>course</w:t>
      </w:r>
      <w:r>
        <w:rPr>
          <w:rFonts w:ascii="Times New Roman" w:hAnsi="Times New Roman" w:cs="Times New Roman"/>
          <w:sz w:val="24"/>
          <w:lang w:val="en-CA"/>
        </w:rPr>
        <w:t xml:space="preserve"> were noteworthy for being of a considerably harder nature, given that in this case it was not we the students selecting the material or subject matter. Thus, the search for the articles needed, to answer each of the questions took considerable time. Especially, as the four questions were ones, that not everyone may specialise in, though thanks to the excellent archival sources as supplied by the university, they were near at hand. </w:t>
      </w:r>
      <w:r w:rsidR="007A6824">
        <w:rPr>
          <w:rFonts w:ascii="Times New Roman" w:hAnsi="Times New Roman" w:cs="Times New Roman"/>
          <w:sz w:val="24"/>
          <w:lang w:val="en-CA"/>
        </w:rPr>
        <w:t xml:space="preserve">With the most easily found, being that of </w:t>
      </w:r>
      <w:r w:rsidR="001D7E39">
        <w:rPr>
          <w:rFonts w:ascii="Times New Roman" w:hAnsi="Times New Roman" w:cs="Times New Roman"/>
          <w:sz w:val="24"/>
          <w:lang w:val="en-CA"/>
        </w:rPr>
        <w:t>Robert Ridel</w:t>
      </w:r>
      <w:r w:rsidR="007A6824">
        <w:rPr>
          <w:rFonts w:ascii="Times New Roman" w:hAnsi="Times New Roman" w:cs="Times New Roman"/>
          <w:sz w:val="24"/>
          <w:lang w:val="en-CA"/>
        </w:rPr>
        <w:t>.</w:t>
      </w:r>
    </w:p>
    <w:p w:rsidR="00B179A8" w:rsidRDefault="00B179A8" w:rsidP="001D7E39">
      <w:pPr>
        <w:spacing w:after="0" w:line="480" w:lineRule="auto"/>
        <w:ind w:firstLine="720"/>
        <w:rPr>
          <w:rFonts w:ascii="Times New Roman" w:hAnsi="Times New Roman" w:cs="Times New Roman"/>
          <w:sz w:val="24"/>
          <w:lang w:val="en-CA"/>
        </w:rPr>
      </w:pPr>
      <w:r>
        <w:rPr>
          <w:rFonts w:ascii="Times New Roman" w:hAnsi="Times New Roman" w:cs="Times New Roman"/>
          <w:sz w:val="24"/>
          <w:lang w:val="en-CA"/>
        </w:rPr>
        <w:t>The first of the four questions assigned, the one regarding Richard II, is a simple one to answer for anyone with a remote interest in the Hundred-Years Wars, or Shakespeare. As Richard’s reign is smack dab in the middle of those terrible wars, and thus it was a simple mathematical equation. The harder part was finding the archival evidence, that validated the fact that the court at pickering was held in 1385.</w:t>
      </w:r>
      <w:r w:rsidR="00F41167">
        <w:rPr>
          <w:rFonts w:ascii="Times New Roman" w:hAnsi="Times New Roman" w:cs="Times New Roman"/>
          <w:sz w:val="24"/>
          <w:lang w:val="en-CA"/>
        </w:rPr>
        <w:t xml:space="preserve"> </w:t>
      </w:r>
      <w:r w:rsidR="0032437C">
        <w:rPr>
          <w:rFonts w:ascii="Times New Roman" w:hAnsi="Times New Roman" w:cs="Times New Roman"/>
          <w:sz w:val="24"/>
          <w:lang w:val="en-CA"/>
        </w:rPr>
        <w:t xml:space="preserve">Though any sort of assumption of this sort, is invalid without checking to make certain that the sources back it (if they did not, it would require one to reject the prior assumption and go with the actual information). </w:t>
      </w:r>
      <w:r w:rsidR="00D16BE5">
        <w:rPr>
          <w:rFonts w:ascii="Times New Roman" w:hAnsi="Times New Roman" w:cs="Times New Roman"/>
          <w:sz w:val="24"/>
          <w:lang w:val="en-CA"/>
        </w:rPr>
        <w:t>Not that there was any source to find, given how the source did not exist though the proposed date took place in 1385 by virtue of the fact that Richard came to the throne in 1377 A.D. and that the 8</w:t>
      </w:r>
      <w:r w:rsidR="00D16BE5" w:rsidRPr="00D16BE5">
        <w:rPr>
          <w:rFonts w:ascii="Times New Roman" w:hAnsi="Times New Roman" w:cs="Times New Roman"/>
          <w:sz w:val="24"/>
          <w:vertAlign w:val="superscript"/>
          <w:lang w:val="en-CA"/>
        </w:rPr>
        <w:t>th</w:t>
      </w:r>
      <w:r w:rsidR="00D16BE5">
        <w:rPr>
          <w:rFonts w:ascii="Times New Roman" w:hAnsi="Times New Roman" w:cs="Times New Roman"/>
          <w:sz w:val="24"/>
          <w:lang w:val="en-CA"/>
        </w:rPr>
        <w:t xml:space="preserve"> year of his reign would mean ’85.</w:t>
      </w:r>
    </w:p>
    <w:p w:rsidR="00110073" w:rsidRDefault="00110073" w:rsidP="001D7E39">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The second great question of the </w:t>
      </w:r>
      <w:r w:rsidR="001D7E39">
        <w:rPr>
          <w:rFonts w:ascii="Times New Roman" w:hAnsi="Times New Roman" w:cs="Times New Roman"/>
          <w:sz w:val="24"/>
          <w:lang w:val="en-CA"/>
        </w:rPr>
        <w:t>assignment</w:t>
      </w:r>
      <w:r>
        <w:rPr>
          <w:rFonts w:ascii="Times New Roman" w:hAnsi="Times New Roman" w:cs="Times New Roman"/>
          <w:sz w:val="24"/>
          <w:lang w:val="en-CA"/>
        </w:rPr>
        <w:t xml:space="preserve"> is </w:t>
      </w:r>
      <w:r w:rsidR="003B4667">
        <w:rPr>
          <w:rFonts w:ascii="Times New Roman" w:hAnsi="Times New Roman" w:cs="Times New Roman"/>
          <w:sz w:val="24"/>
          <w:lang w:val="en-CA"/>
        </w:rPr>
        <w:t xml:space="preserve">the </w:t>
      </w:r>
      <w:r>
        <w:rPr>
          <w:rFonts w:ascii="Times New Roman" w:hAnsi="Times New Roman" w:cs="Times New Roman"/>
          <w:sz w:val="24"/>
          <w:lang w:val="en-CA"/>
        </w:rPr>
        <w:t xml:space="preserve">one that </w:t>
      </w:r>
      <w:r w:rsidR="003B4667">
        <w:rPr>
          <w:rFonts w:ascii="Times New Roman" w:hAnsi="Times New Roman" w:cs="Times New Roman"/>
          <w:sz w:val="24"/>
          <w:lang w:val="en-CA"/>
        </w:rPr>
        <w:t xml:space="preserve">was most difficult to find sources on, given that most databases have no such charter, as it is mentioned in the moodle. </w:t>
      </w:r>
      <w:r w:rsidR="00272E0E">
        <w:rPr>
          <w:rFonts w:ascii="Times New Roman" w:hAnsi="Times New Roman" w:cs="Times New Roman"/>
          <w:sz w:val="24"/>
          <w:lang w:val="en-CA"/>
        </w:rPr>
        <w:t>Therefore it took</w:t>
      </w:r>
      <w:r w:rsidR="001D7E39">
        <w:rPr>
          <w:rFonts w:ascii="Times New Roman" w:hAnsi="Times New Roman" w:cs="Times New Roman"/>
          <w:sz w:val="24"/>
          <w:lang w:val="en-CA"/>
        </w:rPr>
        <w:t xml:space="preserve"> considerable time before it was found to be nowhere online</w:t>
      </w:r>
      <w:r w:rsidR="00D16BE5">
        <w:rPr>
          <w:rFonts w:ascii="Times New Roman" w:hAnsi="Times New Roman" w:cs="Times New Roman"/>
          <w:sz w:val="24"/>
          <w:lang w:val="en-CA"/>
        </w:rPr>
        <w:t xml:space="preserve"> either, with the question thus a moot one.</w:t>
      </w:r>
    </w:p>
    <w:p w:rsidR="006D2F62" w:rsidRDefault="008F66D6" w:rsidP="001D7E39">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As to the third question the one marked as c), it is for one thing noted to take place in the fourth year of Edward’s reign, which left the question open. That is until one realises that given John Kettene’s </w:t>
      </w:r>
      <w:r w:rsidR="00D16BE5">
        <w:rPr>
          <w:rFonts w:ascii="Times New Roman" w:hAnsi="Times New Roman" w:cs="Times New Roman"/>
          <w:sz w:val="24"/>
          <w:lang w:val="en-CA"/>
        </w:rPr>
        <w:t>elevation</w:t>
      </w:r>
      <w:r>
        <w:rPr>
          <w:rFonts w:ascii="Times New Roman" w:hAnsi="Times New Roman" w:cs="Times New Roman"/>
          <w:sz w:val="24"/>
          <w:lang w:val="en-CA"/>
        </w:rPr>
        <w:t xml:space="preserve"> and that he was only raised up to the episcopate in the reign of Edward II. A </w:t>
      </w:r>
      <w:r>
        <w:rPr>
          <w:rFonts w:ascii="Times New Roman" w:hAnsi="Times New Roman" w:cs="Times New Roman"/>
          <w:sz w:val="24"/>
          <w:lang w:val="en-CA"/>
        </w:rPr>
        <w:lastRenderedPageBreak/>
        <w:t xml:space="preserve">lesser name if ever there was one, in the grander scheme of things, in the reign of the incompetent heir of Edward Longshanks. The source that gave away that it was Edward II’s man, was the </w:t>
      </w:r>
      <w:r w:rsidR="00042123">
        <w:rPr>
          <w:rFonts w:ascii="Times New Roman" w:hAnsi="Times New Roman" w:cs="Times New Roman"/>
          <w:sz w:val="24"/>
          <w:lang w:val="en-CA"/>
        </w:rPr>
        <w:t>secondary source by James Bentham (the elder).</w:t>
      </w:r>
      <w:r w:rsidR="00042123">
        <w:rPr>
          <w:rStyle w:val="EndnoteReference"/>
          <w:rFonts w:ascii="Times New Roman" w:hAnsi="Times New Roman" w:cs="Times New Roman"/>
          <w:sz w:val="24"/>
          <w:lang w:val="en-CA"/>
        </w:rPr>
        <w:endnoteReference w:id="2"/>
      </w:r>
      <w:r w:rsidR="006A49FA">
        <w:rPr>
          <w:rFonts w:ascii="Times New Roman" w:hAnsi="Times New Roman" w:cs="Times New Roman"/>
          <w:sz w:val="24"/>
          <w:lang w:val="en-CA"/>
        </w:rPr>
        <w:t xml:space="preserve"> With the date disclosed via the question itself, as well as in the records assembled by Bentham, as Ketton held his office from 1310 to 1316. And as Longshanks passed in 1306 this signifies that by pure reasoning, the king in question had to be Edward II</w:t>
      </w:r>
      <w:r w:rsidR="006C012F">
        <w:rPr>
          <w:rFonts w:ascii="Times New Roman" w:hAnsi="Times New Roman" w:cs="Times New Roman"/>
          <w:sz w:val="24"/>
          <w:lang w:val="en-CA"/>
        </w:rPr>
        <w:t xml:space="preserve"> and Edward II alone</w:t>
      </w:r>
      <w:r w:rsidR="006A49FA">
        <w:rPr>
          <w:rFonts w:ascii="Times New Roman" w:hAnsi="Times New Roman" w:cs="Times New Roman"/>
          <w:sz w:val="24"/>
          <w:lang w:val="en-CA"/>
        </w:rPr>
        <w:t>.</w:t>
      </w:r>
      <w:r w:rsidR="00D16BE5">
        <w:rPr>
          <w:rFonts w:ascii="Times New Roman" w:hAnsi="Times New Roman" w:cs="Times New Roman"/>
          <w:sz w:val="24"/>
          <w:lang w:val="en-CA"/>
        </w:rPr>
        <w:t xml:space="preserve"> With the date of elevation being 1310, by virtue of the simple mathematical equation of adding four to 1306, and therefore as Ketton was elevated in this fourth-year, finding the exact source relied upon the book </w:t>
      </w:r>
      <w:r w:rsidR="003F45B1">
        <w:rPr>
          <w:rFonts w:ascii="Times New Roman" w:hAnsi="Times New Roman" w:cs="Times New Roman"/>
          <w:sz w:val="24"/>
          <w:lang w:val="en-CA"/>
        </w:rPr>
        <w:t>.</w:t>
      </w:r>
      <w:r w:rsidR="003F45B1">
        <w:rPr>
          <w:rStyle w:val="EndnoteReference"/>
          <w:rFonts w:ascii="Times New Roman" w:hAnsi="Times New Roman" w:cs="Times New Roman"/>
          <w:sz w:val="24"/>
          <w:lang w:val="en-CA"/>
        </w:rPr>
        <w:endnoteReference w:id="3"/>
      </w:r>
    </w:p>
    <w:p w:rsidR="006D2F62" w:rsidRDefault="00C9211C" w:rsidP="001D7E39">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The first thing to do in </w:t>
      </w:r>
      <w:r w:rsidR="00D16BE5">
        <w:rPr>
          <w:rFonts w:ascii="Times New Roman" w:hAnsi="Times New Roman" w:cs="Times New Roman"/>
          <w:sz w:val="24"/>
          <w:lang w:val="en-CA"/>
        </w:rPr>
        <w:t>regard</w:t>
      </w:r>
      <w:r>
        <w:rPr>
          <w:rFonts w:ascii="Times New Roman" w:hAnsi="Times New Roman" w:cs="Times New Roman"/>
          <w:sz w:val="24"/>
          <w:lang w:val="en-CA"/>
        </w:rPr>
        <w:t xml:space="preserve"> to the last </w:t>
      </w:r>
      <w:r w:rsidR="00D16BE5">
        <w:rPr>
          <w:rFonts w:ascii="Times New Roman" w:hAnsi="Times New Roman" w:cs="Times New Roman"/>
          <w:sz w:val="24"/>
          <w:lang w:val="en-CA"/>
        </w:rPr>
        <w:t>question</w:t>
      </w:r>
      <w:r>
        <w:rPr>
          <w:rFonts w:ascii="Times New Roman" w:hAnsi="Times New Roman" w:cs="Times New Roman"/>
          <w:sz w:val="24"/>
          <w:lang w:val="en-CA"/>
        </w:rPr>
        <w:t xml:space="preserve"> was to figure out which King Henry it was. Given the great number of them that, England has had it was no easy feat, at least not at first glance. </w:t>
      </w:r>
      <w:r w:rsidR="00F23AEC">
        <w:rPr>
          <w:rFonts w:ascii="Times New Roman" w:hAnsi="Times New Roman" w:cs="Times New Roman"/>
          <w:sz w:val="24"/>
          <w:lang w:val="en-CA"/>
        </w:rPr>
        <w:t xml:space="preserve">The first major clue was Woodstock, as the principal king to have been known to favour the location, was Henry I, with Richard Basset and Ranulf, earl of Chester also dead give-aways. As both men, have fairly distinctive names, and looking up their names turned up Henry I as their principal liege-lord, before the Anarchy/Shipwreck. </w:t>
      </w:r>
      <w:r w:rsidR="00247C34">
        <w:rPr>
          <w:rFonts w:ascii="Times New Roman" w:hAnsi="Times New Roman" w:cs="Times New Roman"/>
          <w:sz w:val="24"/>
          <w:lang w:val="en-CA"/>
        </w:rPr>
        <w:t xml:space="preserve">With only Ranulf having lived, up to 1153, which could possibly have placed him in Henry II’s court, it was still unlikely. Given that Henry II did not come to the throne until 1154, a year later, and while Stephen lived, might not have been called ‘king’. </w:t>
      </w:r>
      <w:r w:rsidR="00B637B7">
        <w:rPr>
          <w:rFonts w:ascii="Times New Roman" w:hAnsi="Times New Roman" w:cs="Times New Roman"/>
          <w:sz w:val="24"/>
          <w:lang w:val="en-CA"/>
        </w:rPr>
        <w:t>Thus it had to be the first Henry, who was known to have preferred Woodstock, and issued a number of charters from there.</w:t>
      </w:r>
    </w:p>
    <w:p w:rsidR="005E0732" w:rsidRPr="008F66D6" w:rsidRDefault="00B637B7" w:rsidP="001D7E39">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It thus became a simple thing, to look up in the databases for the mentioned charter, only to then have to filter through them for the likely charter. </w:t>
      </w:r>
      <w:r w:rsidR="004D744B">
        <w:rPr>
          <w:rFonts w:ascii="Times New Roman" w:hAnsi="Times New Roman" w:cs="Times New Roman"/>
          <w:sz w:val="24"/>
          <w:lang w:val="en-CA"/>
        </w:rPr>
        <w:t xml:space="preserve">As well as to locate the one dated to the correct event </w:t>
      </w:r>
      <w:r w:rsidR="004A5575">
        <w:rPr>
          <w:rFonts w:ascii="Times New Roman" w:hAnsi="Times New Roman" w:cs="Times New Roman"/>
          <w:sz w:val="24"/>
          <w:lang w:val="en-CA"/>
        </w:rPr>
        <w:t xml:space="preserve">which involved the acknowledgement of Basset’s marriage to a daughter of Geoffroy Ridel and the granting of custody over lands until Ridel’s heir Robert Ridel comes of age and is properly knighted. An event that would likely at the </w:t>
      </w:r>
      <w:r w:rsidR="00D16BE5">
        <w:rPr>
          <w:rFonts w:ascii="Times New Roman" w:hAnsi="Times New Roman" w:cs="Times New Roman"/>
          <w:sz w:val="24"/>
          <w:lang w:val="en-CA"/>
        </w:rPr>
        <w:t>time</w:t>
      </w:r>
      <w:r w:rsidR="004A5575">
        <w:rPr>
          <w:rFonts w:ascii="Times New Roman" w:hAnsi="Times New Roman" w:cs="Times New Roman"/>
          <w:sz w:val="24"/>
          <w:lang w:val="en-CA"/>
        </w:rPr>
        <w:t xml:space="preserve"> be expected to be supervised by either Henry I or his heir (i.e. his grandson Henry II). Thus the charter is one of some importance, as it </w:t>
      </w:r>
      <w:r w:rsidR="004A5575">
        <w:rPr>
          <w:rFonts w:ascii="Times New Roman" w:hAnsi="Times New Roman" w:cs="Times New Roman"/>
          <w:sz w:val="24"/>
          <w:lang w:val="en-CA"/>
        </w:rPr>
        <w:lastRenderedPageBreak/>
        <w:t>helps to shape the politics and future regarding the lands of Ridel. With the added clause that Basset’s daughter via his marriage to Robert’s sister, would also have to be married to Robert, if he wishes to reclaim all of his lands. The principal source though, is from the Complete Peerage books, notably the 14</w:t>
      </w:r>
      <w:r w:rsidR="004A5575" w:rsidRPr="004A5575">
        <w:rPr>
          <w:rFonts w:ascii="Times New Roman" w:hAnsi="Times New Roman" w:cs="Times New Roman"/>
          <w:sz w:val="24"/>
          <w:vertAlign w:val="superscript"/>
          <w:lang w:val="en-CA"/>
        </w:rPr>
        <w:t>th</w:t>
      </w:r>
      <w:r w:rsidR="004A5575">
        <w:rPr>
          <w:rFonts w:ascii="Times New Roman" w:hAnsi="Times New Roman" w:cs="Times New Roman"/>
          <w:sz w:val="24"/>
          <w:lang w:val="en-CA"/>
        </w:rPr>
        <w:t xml:space="preserve"> volume.</w:t>
      </w:r>
      <w:r w:rsidR="004A5575">
        <w:rPr>
          <w:rStyle w:val="EndnoteReference"/>
          <w:rFonts w:ascii="Times New Roman" w:hAnsi="Times New Roman" w:cs="Times New Roman"/>
          <w:sz w:val="24"/>
          <w:lang w:val="en-CA"/>
        </w:rPr>
        <w:endnoteReference w:id="4"/>
      </w:r>
      <w:r w:rsidR="004A5575">
        <w:rPr>
          <w:rFonts w:ascii="Times New Roman" w:hAnsi="Times New Roman" w:cs="Times New Roman"/>
          <w:sz w:val="24"/>
          <w:lang w:val="en-CA"/>
        </w:rPr>
        <w:t xml:space="preserve"> An invaluable source for charters from the </w:t>
      </w:r>
      <w:r w:rsidR="002678FF">
        <w:rPr>
          <w:rFonts w:ascii="Times New Roman" w:hAnsi="Times New Roman" w:cs="Times New Roman"/>
          <w:sz w:val="24"/>
          <w:lang w:val="en-CA"/>
        </w:rPr>
        <w:t>medieval-era of England and Scotland with some from Irish history also, with there being a total of fourteen volumes.</w:t>
      </w:r>
      <w:r w:rsidR="00042123">
        <w:rPr>
          <w:rFonts w:ascii="Times New Roman" w:hAnsi="Times New Roman" w:cs="Times New Roman"/>
          <w:sz w:val="24"/>
          <w:lang w:val="en-CA"/>
        </w:rPr>
        <w:t xml:space="preserve"> With Matilda Ridel married </w:t>
      </w:r>
      <w:r w:rsidR="005B2D7F">
        <w:rPr>
          <w:rFonts w:ascii="Times New Roman" w:hAnsi="Times New Roman" w:cs="Times New Roman"/>
          <w:sz w:val="24"/>
          <w:lang w:val="en-CA"/>
        </w:rPr>
        <w:t xml:space="preserve">to Basset somewhere between 1120 and 1123, </w:t>
      </w:r>
      <w:r w:rsidR="00042123">
        <w:rPr>
          <w:rFonts w:ascii="Times New Roman" w:hAnsi="Times New Roman" w:cs="Times New Roman"/>
          <w:sz w:val="24"/>
          <w:lang w:val="en-CA"/>
        </w:rPr>
        <w:t>with this piece of information only retrievable in the records kept in the Complete Peerage of England.</w:t>
      </w:r>
      <w:r w:rsidR="00042123">
        <w:rPr>
          <w:rStyle w:val="EndnoteReference"/>
          <w:rFonts w:ascii="Times New Roman" w:hAnsi="Times New Roman" w:cs="Times New Roman"/>
          <w:sz w:val="24"/>
          <w:lang w:val="en-CA"/>
        </w:rPr>
        <w:endnoteReference w:id="5"/>
      </w:r>
    </w:p>
    <w:sectPr w:rsidR="005E0732" w:rsidRPr="008F66D6" w:rsidSect="00A318C7">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09CC" w:rsidRDefault="003A09CC" w:rsidP="004A5575">
      <w:pPr>
        <w:spacing w:after="0" w:line="240" w:lineRule="auto"/>
      </w:pPr>
      <w:r>
        <w:separator/>
      </w:r>
    </w:p>
  </w:endnote>
  <w:endnote w:type="continuationSeparator" w:id="1">
    <w:p w:rsidR="003A09CC" w:rsidRDefault="003A09CC" w:rsidP="004A5575">
      <w:pPr>
        <w:spacing w:after="0" w:line="240" w:lineRule="auto"/>
      </w:pPr>
      <w:r>
        <w:continuationSeparator/>
      </w:r>
    </w:p>
  </w:endnote>
  <w:endnote w:id="2">
    <w:p w:rsidR="00042123" w:rsidRPr="00042123" w:rsidRDefault="00042123">
      <w:pPr>
        <w:pStyle w:val="EndnoteText"/>
      </w:pPr>
      <w:r>
        <w:rPr>
          <w:rStyle w:val="EndnoteReference"/>
        </w:rPr>
        <w:endnoteRef/>
      </w:r>
      <w:r>
        <w:t xml:space="preserve"> Bentham, James, ‘</w:t>
      </w:r>
      <w:r w:rsidRPr="00042123">
        <w:t>The History and Antiquities of the Conventual and Cathedral Church of Ely: from the foundation of the monaste</w:t>
      </w:r>
      <w:r>
        <w:t xml:space="preserve">ry, A.D. 673, to the year 1771,’ </w:t>
      </w:r>
      <w:r w:rsidRPr="00042123">
        <w:t>Stevenson &amp; Company</w:t>
      </w:r>
      <w:r>
        <w:t>, 1812</w:t>
      </w:r>
      <w:r w:rsidR="0073214E">
        <w:t>, Pg 84</w:t>
      </w:r>
    </w:p>
  </w:endnote>
  <w:endnote w:id="3">
    <w:p w:rsidR="003F45B1" w:rsidRPr="003F45B1" w:rsidRDefault="003F45B1">
      <w:pPr>
        <w:pStyle w:val="EndnoteText"/>
      </w:pPr>
      <w:r>
        <w:rPr>
          <w:rStyle w:val="EndnoteReference"/>
        </w:rPr>
        <w:endnoteRef/>
      </w:r>
      <w:r>
        <w:t xml:space="preserve"> </w:t>
      </w:r>
      <w:r w:rsidR="0073214E">
        <w:t>Bentham, James, ‘</w:t>
      </w:r>
      <w:r w:rsidR="0073214E" w:rsidRPr="00042123">
        <w:t>The History and Antiquities of the Conventual and Cathedral Church of Ely: from the foundation of the monaste</w:t>
      </w:r>
      <w:r w:rsidR="0073214E">
        <w:t xml:space="preserve">ry, A.D. 673, to the year 1771,’ </w:t>
      </w:r>
      <w:r w:rsidR="0073214E" w:rsidRPr="00042123">
        <w:t>Stevenson &amp; Company</w:t>
      </w:r>
      <w:r w:rsidR="0073214E">
        <w:t>, 1812, Pg 84</w:t>
      </w:r>
    </w:p>
  </w:endnote>
  <w:endnote w:id="4">
    <w:p w:rsidR="004A5575" w:rsidRDefault="004A5575">
      <w:pPr>
        <w:pStyle w:val="EndnoteText"/>
      </w:pPr>
      <w:r>
        <w:rPr>
          <w:rStyle w:val="EndnoteReference"/>
        </w:rPr>
        <w:endnoteRef/>
      </w:r>
      <w:r>
        <w:t xml:space="preserve"> </w:t>
      </w:r>
      <w:r w:rsidRPr="004A5575">
        <w:t xml:space="preserve">G. E. Cokayne, </w:t>
      </w:r>
      <w:r w:rsidR="0073214E">
        <w:t>“</w:t>
      </w:r>
      <w:r w:rsidRPr="004A5575">
        <w:t>The Complete Peerage of England, Scotland, Ireland, Great Britain &amp; the United Kingdom, 2nd edition revised</w:t>
      </w:r>
      <w:r>
        <w:t xml:space="preserve">, </w:t>
      </w:r>
      <w:r w:rsidRPr="004A5575">
        <w:t>Vol. 14, The Complete Pee</w:t>
      </w:r>
      <w:r>
        <w:t>rage,</w:t>
      </w:r>
      <w:r w:rsidR="0073214E">
        <w:t>”</w:t>
      </w:r>
      <w:r>
        <w:t xml:space="preserve"> Addenda and Corrigenda</w:t>
      </w:r>
      <w:r w:rsidRPr="004A5575">
        <w:t xml:space="preserve"> published by Sutton Publishing Limited</w:t>
      </w:r>
      <w:r>
        <w:t>, 1998</w:t>
      </w:r>
      <w:r w:rsidR="0073214E">
        <w:t xml:space="preserve">, </w:t>
      </w:r>
      <w:hyperlink r:id="rId1" w:history="1">
        <w:r w:rsidR="0073214E" w:rsidRPr="0082217A">
          <w:rPr>
            <w:rStyle w:val="Hyperlink"/>
          </w:rPr>
          <w:t>http://cybergata.com/roots/1489.htm</w:t>
        </w:r>
      </w:hyperlink>
      <w:r w:rsidR="0073214E">
        <w:t xml:space="preserve"> </w:t>
      </w:r>
    </w:p>
    <w:p w:rsidR="0073214E" w:rsidRPr="004A5575" w:rsidRDefault="0073214E">
      <w:pPr>
        <w:pStyle w:val="EndnoteText"/>
        <w:rPr>
          <w:lang w:val="en-CA"/>
        </w:rPr>
      </w:pPr>
      <w:r w:rsidRPr="0073214E">
        <w:rPr>
          <w:lang w:val="en-CA"/>
        </w:rPr>
        <w:t>Keats-Rohan</w:t>
      </w:r>
      <w:r>
        <w:rPr>
          <w:lang w:val="en-CA"/>
        </w:rPr>
        <w:t xml:space="preserve"> K. S. B.,</w:t>
      </w:r>
      <w:r w:rsidRPr="0073214E">
        <w:rPr>
          <w:lang w:val="en-CA"/>
        </w:rPr>
        <w:t xml:space="preserve"> </w:t>
      </w:r>
      <w:r>
        <w:rPr>
          <w:lang w:val="en-CA"/>
        </w:rPr>
        <w:t>“</w:t>
      </w:r>
      <w:r w:rsidRPr="0073214E">
        <w:rPr>
          <w:lang w:val="en-CA"/>
        </w:rPr>
        <w:t>Domesday Descendants A Prosopography of Persons Occurring in English Documents 1066-1166 : II Pipe Rolls to Cartae Baronum</w:t>
      </w:r>
      <w:r>
        <w:rPr>
          <w:lang w:val="en-CA"/>
        </w:rPr>
        <w:t xml:space="preserve">,” </w:t>
      </w:r>
      <w:r w:rsidRPr="0073214E">
        <w:rPr>
          <w:lang w:val="en-CA"/>
        </w:rPr>
        <w:t>Boydell Press</w:t>
      </w:r>
      <w:r>
        <w:rPr>
          <w:lang w:val="en-CA"/>
        </w:rPr>
        <w:t>, 2002, Page 165</w:t>
      </w:r>
    </w:p>
  </w:endnote>
  <w:endnote w:id="5">
    <w:p w:rsidR="0073214E" w:rsidRDefault="00042123" w:rsidP="0073214E">
      <w:pPr>
        <w:pStyle w:val="EndnoteText"/>
      </w:pPr>
      <w:r>
        <w:rPr>
          <w:rStyle w:val="EndnoteReference"/>
        </w:rPr>
        <w:endnoteRef/>
      </w:r>
      <w:r>
        <w:t xml:space="preserve"> </w:t>
      </w:r>
      <w:r w:rsidR="0073214E" w:rsidRPr="004A5575">
        <w:t xml:space="preserve">G. E. Cokayne, </w:t>
      </w:r>
      <w:r w:rsidR="0073214E">
        <w:t>“</w:t>
      </w:r>
      <w:r w:rsidR="0073214E" w:rsidRPr="004A5575">
        <w:t>The Complete Peerage of England, Scotland, Ireland, Great Britain &amp; the United Kingdom, 2nd edition revised</w:t>
      </w:r>
      <w:r w:rsidR="0073214E">
        <w:t xml:space="preserve">, </w:t>
      </w:r>
      <w:r w:rsidR="0073214E" w:rsidRPr="004A5575">
        <w:t>Vol. 14, The Complete Pee</w:t>
      </w:r>
      <w:r w:rsidR="0073214E">
        <w:t>rage,” Addenda and Corrigenda</w:t>
      </w:r>
      <w:r w:rsidR="0073214E" w:rsidRPr="004A5575">
        <w:t xml:space="preserve"> published by Sutton Publishing Limited</w:t>
      </w:r>
      <w:r w:rsidR="0073214E">
        <w:t xml:space="preserve">, 1998, </w:t>
      </w:r>
      <w:hyperlink r:id="rId2" w:history="1">
        <w:r w:rsidR="0073214E" w:rsidRPr="0082217A">
          <w:rPr>
            <w:rStyle w:val="Hyperlink"/>
          </w:rPr>
          <w:t>http://cybergata.com/roots/1489.htm</w:t>
        </w:r>
      </w:hyperlink>
      <w:r w:rsidR="0073214E">
        <w:t xml:space="preserve"> </w:t>
      </w:r>
    </w:p>
    <w:p w:rsidR="00042123" w:rsidRPr="0073214E" w:rsidRDefault="00042123">
      <w:pPr>
        <w:pStyle w:val="EndnoteText"/>
      </w:pP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09CC" w:rsidRDefault="003A09CC" w:rsidP="004A5575">
      <w:pPr>
        <w:spacing w:after="0" w:line="240" w:lineRule="auto"/>
      </w:pPr>
      <w:r>
        <w:separator/>
      </w:r>
    </w:p>
  </w:footnote>
  <w:footnote w:type="continuationSeparator" w:id="1">
    <w:p w:rsidR="003A09CC" w:rsidRDefault="003A09CC" w:rsidP="004A557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F66D6"/>
    <w:rsid w:val="00035BB5"/>
    <w:rsid w:val="00042123"/>
    <w:rsid w:val="000B6047"/>
    <w:rsid w:val="00110073"/>
    <w:rsid w:val="001D7E39"/>
    <w:rsid w:val="00247C34"/>
    <w:rsid w:val="002678FF"/>
    <w:rsid w:val="00272E0E"/>
    <w:rsid w:val="002C265E"/>
    <w:rsid w:val="0032437C"/>
    <w:rsid w:val="00347EF4"/>
    <w:rsid w:val="003A09CC"/>
    <w:rsid w:val="003B4667"/>
    <w:rsid w:val="003F45B1"/>
    <w:rsid w:val="00425F4C"/>
    <w:rsid w:val="004A5575"/>
    <w:rsid w:val="004D744B"/>
    <w:rsid w:val="004E2BAA"/>
    <w:rsid w:val="004E336F"/>
    <w:rsid w:val="0055034B"/>
    <w:rsid w:val="00573D29"/>
    <w:rsid w:val="005B2D7F"/>
    <w:rsid w:val="005C58EF"/>
    <w:rsid w:val="005E0732"/>
    <w:rsid w:val="006A1FBE"/>
    <w:rsid w:val="006A49FA"/>
    <w:rsid w:val="006C012F"/>
    <w:rsid w:val="006D2F62"/>
    <w:rsid w:val="006E353B"/>
    <w:rsid w:val="006E4E99"/>
    <w:rsid w:val="0073214E"/>
    <w:rsid w:val="007642D1"/>
    <w:rsid w:val="007A6824"/>
    <w:rsid w:val="00845B37"/>
    <w:rsid w:val="008A0395"/>
    <w:rsid w:val="008F66D6"/>
    <w:rsid w:val="009B27CF"/>
    <w:rsid w:val="00A15DB6"/>
    <w:rsid w:val="00A318C7"/>
    <w:rsid w:val="00A875F6"/>
    <w:rsid w:val="00B179A8"/>
    <w:rsid w:val="00B637B7"/>
    <w:rsid w:val="00BA1895"/>
    <w:rsid w:val="00C01E0D"/>
    <w:rsid w:val="00C105F6"/>
    <w:rsid w:val="00C16724"/>
    <w:rsid w:val="00C9211C"/>
    <w:rsid w:val="00D16BE5"/>
    <w:rsid w:val="00E4070E"/>
    <w:rsid w:val="00E519B0"/>
    <w:rsid w:val="00E67D5E"/>
    <w:rsid w:val="00E76A15"/>
    <w:rsid w:val="00ED3850"/>
    <w:rsid w:val="00F23AEC"/>
    <w:rsid w:val="00F41167"/>
    <w:rsid w:val="00F472FD"/>
  </w:rsids>
  <m:mathPr>
    <m:mathFont m:val="Cambria Math"/>
    <m:brkBin m:val="before"/>
    <m:brkBinSub m:val="--"/>
    <m:smallFrac m:val="off"/>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8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4A557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5575"/>
    <w:rPr>
      <w:sz w:val="20"/>
      <w:szCs w:val="20"/>
    </w:rPr>
  </w:style>
  <w:style w:type="character" w:styleId="EndnoteReference">
    <w:name w:val="endnote reference"/>
    <w:basedOn w:val="DefaultParagraphFont"/>
    <w:uiPriority w:val="99"/>
    <w:semiHidden/>
    <w:unhideWhenUsed/>
    <w:rsid w:val="004A5575"/>
    <w:rPr>
      <w:vertAlign w:val="superscript"/>
    </w:rPr>
  </w:style>
  <w:style w:type="character" w:styleId="Hyperlink">
    <w:name w:val="Hyperlink"/>
    <w:basedOn w:val="DefaultParagraphFont"/>
    <w:uiPriority w:val="99"/>
    <w:unhideWhenUsed/>
    <w:rsid w:val="0073214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2" Type="http://schemas.openxmlformats.org/officeDocument/2006/relationships/hyperlink" Target="http://cybergata.com/roots/1489.htm" TargetMode="External"/><Relationship Id="rId1" Type="http://schemas.openxmlformats.org/officeDocument/2006/relationships/hyperlink" Target="http://cybergata.com/roots/148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E6B403-B12C-488C-B9E7-334FE6B30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3</Pages>
  <Words>741</Words>
  <Characters>4229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Chaput</dc:creator>
  <cp:lastModifiedBy>Joseph Chaput</cp:lastModifiedBy>
  <cp:revision>33</cp:revision>
  <dcterms:created xsi:type="dcterms:W3CDTF">2021-10-09T12:26:00Z</dcterms:created>
  <dcterms:modified xsi:type="dcterms:W3CDTF">2021-11-13T17:10:00Z</dcterms:modified>
</cp:coreProperties>
</file>