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CB30D9" w14:textId="495BEBC4" w:rsidR="0037787A" w:rsidRPr="0037787A" w:rsidRDefault="0037787A" w:rsidP="0037787A">
      <w:pPr>
        <w:spacing w:line="360" w:lineRule="auto"/>
        <w:jc w:val="both"/>
        <w:rPr>
          <w:b/>
          <w:bCs/>
          <w:u w:val="single"/>
        </w:rPr>
      </w:pPr>
      <w:r w:rsidRPr="0037787A">
        <w:rPr>
          <w:b/>
          <w:bCs/>
          <w:u w:val="single"/>
        </w:rPr>
        <w:t xml:space="preserve">I acknowledge the use of ChatGPT (https://chatgpt.com/) on </w:t>
      </w:r>
      <w:r>
        <w:rPr>
          <w:b/>
          <w:bCs/>
          <w:u w:val="single"/>
        </w:rPr>
        <w:t>19</w:t>
      </w:r>
      <w:r w:rsidRPr="0037787A">
        <w:rPr>
          <w:b/>
          <w:bCs/>
          <w:u w:val="single"/>
        </w:rPr>
        <w:t xml:space="preserve"> </w:t>
      </w:r>
      <w:r>
        <w:rPr>
          <w:b/>
          <w:bCs/>
          <w:u w:val="single"/>
        </w:rPr>
        <w:t>November</w:t>
      </w:r>
      <w:r w:rsidRPr="0037787A">
        <w:rPr>
          <w:b/>
          <w:bCs/>
          <w:u w:val="single"/>
        </w:rPr>
        <w:t xml:space="preserve"> 2025 to support my research and data analysis using the prompt(s): </w:t>
      </w:r>
    </w:p>
    <w:p w14:paraId="611DD856" w14:textId="5B172D66" w:rsidR="0037787A" w:rsidRPr="0037787A" w:rsidRDefault="0037787A" w:rsidP="0037787A">
      <w:pPr>
        <w:numPr>
          <w:ilvl w:val="0"/>
          <w:numId w:val="2"/>
        </w:numPr>
        <w:spacing w:line="360" w:lineRule="auto"/>
        <w:jc w:val="both"/>
        <w:rPr>
          <w:b/>
          <w:bCs/>
          <w:u w:val="single"/>
        </w:rPr>
      </w:pPr>
      <w:r w:rsidRPr="0037787A">
        <w:rPr>
          <w:b/>
          <w:bCs/>
          <w:u w:val="single"/>
        </w:rPr>
        <w:t xml:space="preserve">Please provide me with research papers on </w:t>
      </w:r>
      <w:r>
        <w:rPr>
          <w:b/>
          <w:bCs/>
          <w:u w:val="single"/>
        </w:rPr>
        <w:t xml:space="preserve">Alzheimer's, TMS, </w:t>
      </w:r>
      <w:proofErr w:type="spellStart"/>
      <w:r>
        <w:rPr>
          <w:b/>
          <w:bCs/>
          <w:u w:val="single"/>
        </w:rPr>
        <w:t>Precuenus</w:t>
      </w:r>
      <w:proofErr w:type="spellEnd"/>
      <w:r>
        <w:rPr>
          <w:b/>
          <w:bCs/>
          <w:u w:val="single"/>
        </w:rPr>
        <w:t>, Episodic Memory</w:t>
      </w:r>
    </w:p>
    <w:p w14:paraId="51013D79" w14:textId="77777777" w:rsidR="0037787A" w:rsidRPr="0037787A" w:rsidRDefault="0037787A" w:rsidP="0037787A">
      <w:pPr>
        <w:numPr>
          <w:ilvl w:val="0"/>
          <w:numId w:val="2"/>
        </w:numPr>
        <w:spacing w:line="360" w:lineRule="auto"/>
        <w:jc w:val="both"/>
        <w:rPr>
          <w:b/>
          <w:bCs/>
          <w:u w:val="single"/>
        </w:rPr>
      </w:pPr>
      <w:r w:rsidRPr="0037787A">
        <w:rPr>
          <w:b/>
          <w:bCs/>
          <w:u w:val="single"/>
        </w:rPr>
        <w:t>Summarise this paper.</w:t>
      </w:r>
    </w:p>
    <w:p w14:paraId="37A029D1" w14:textId="348278DF" w:rsidR="0037787A" w:rsidRPr="0037787A" w:rsidRDefault="0037787A" w:rsidP="0037787A">
      <w:pPr>
        <w:numPr>
          <w:ilvl w:val="0"/>
          <w:numId w:val="2"/>
        </w:numPr>
        <w:spacing w:line="360" w:lineRule="auto"/>
        <w:jc w:val="both"/>
        <w:rPr>
          <w:b/>
          <w:bCs/>
          <w:u w:val="single"/>
        </w:rPr>
      </w:pPr>
      <w:r w:rsidRPr="0037787A">
        <w:rPr>
          <w:b/>
          <w:bCs/>
          <w:u w:val="single"/>
        </w:rPr>
        <w:t>Provide critique</w:t>
      </w:r>
      <w:r>
        <w:rPr>
          <w:b/>
          <w:bCs/>
          <w:u w:val="single"/>
        </w:rPr>
        <w:t xml:space="preserve"> of TMS</w:t>
      </w:r>
    </w:p>
    <w:p w14:paraId="3FA956EC" w14:textId="16710F1F" w:rsidR="0037787A" w:rsidRDefault="0037787A" w:rsidP="0037787A">
      <w:pPr>
        <w:spacing w:line="360" w:lineRule="auto"/>
        <w:jc w:val="both"/>
        <w:rPr>
          <w:b/>
          <w:bCs/>
          <w:u w:val="single"/>
        </w:rPr>
      </w:pPr>
      <w:r w:rsidRPr="0037787A">
        <w:rPr>
          <w:b/>
          <w:bCs/>
          <w:u w:val="single"/>
        </w:rPr>
        <w:t xml:space="preserve"> I confirm that I have not presented any AI-generated text as my own work. I confirm I have copies of my drafts, notes, and other resources I used before, and after the use of AI tools, which I may be asked to provide in evidence.</w:t>
      </w:r>
    </w:p>
    <w:p w14:paraId="4D2C869E" w14:textId="77777777" w:rsidR="0037787A" w:rsidRDefault="0037787A">
      <w:pPr>
        <w:rPr>
          <w:b/>
          <w:bCs/>
          <w:u w:val="single"/>
        </w:rPr>
      </w:pPr>
      <w:r>
        <w:rPr>
          <w:b/>
          <w:bCs/>
          <w:u w:val="single"/>
        </w:rPr>
        <w:br w:type="page"/>
      </w:r>
    </w:p>
    <w:p w14:paraId="23165413" w14:textId="77777777" w:rsidR="0037787A" w:rsidRDefault="0037787A" w:rsidP="00E37B3F">
      <w:pPr>
        <w:spacing w:line="360" w:lineRule="auto"/>
        <w:jc w:val="both"/>
        <w:rPr>
          <w:b/>
          <w:bCs/>
          <w:u w:val="single"/>
        </w:rPr>
      </w:pPr>
    </w:p>
    <w:p w14:paraId="2EBAE5BD" w14:textId="6FB58E05" w:rsidR="0037787A" w:rsidRDefault="0037787A" w:rsidP="00E37B3F">
      <w:pPr>
        <w:spacing w:line="360" w:lineRule="auto"/>
        <w:jc w:val="both"/>
        <w:rPr>
          <w:b/>
          <w:bCs/>
          <w:u w:val="single"/>
        </w:rPr>
      </w:pPr>
      <w:hyperlink r:id="rId6" w:history="1">
        <w:r w:rsidRPr="0037787A">
          <w:rPr>
            <w:rStyle w:val="Hyperlink"/>
            <w:b/>
            <w:bCs/>
          </w:rPr>
          <w:t>Presentation slides - critical review of Koch et al, 2018.pptx</w:t>
        </w:r>
      </w:hyperlink>
    </w:p>
    <w:p w14:paraId="29E92177" w14:textId="77777777" w:rsidR="0037787A" w:rsidRDefault="0037787A" w:rsidP="00E37B3F">
      <w:pPr>
        <w:spacing w:line="360" w:lineRule="auto"/>
        <w:jc w:val="both"/>
        <w:rPr>
          <w:b/>
          <w:bCs/>
          <w:u w:val="single"/>
        </w:rPr>
      </w:pPr>
    </w:p>
    <w:p w14:paraId="492ED370" w14:textId="4CB74ABC" w:rsidR="004F57EB" w:rsidRPr="00E37B3F" w:rsidRDefault="004F57EB" w:rsidP="00E37B3F">
      <w:pPr>
        <w:spacing w:line="360" w:lineRule="auto"/>
        <w:jc w:val="both"/>
        <w:rPr>
          <w:b/>
          <w:bCs/>
          <w:u w:val="single"/>
        </w:rPr>
      </w:pPr>
      <w:r w:rsidRPr="00E37B3F">
        <w:rPr>
          <w:b/>
          <w:bCs/>
          <w:u w:val="single"/>
        </w:rPr>
        <w:t>Critical review of Ko</w:t>
      </w:r>
      <w:r w:rsidR="00A14368" w:rsidRPr="00E37B3F">
        <w:rPr>
          <w:b/>
          <w:bCs/>
          <w:u w:val="single"/>
        </w:rPr>
        <w:t xml:space="preserve">ch et al. (2018), ‘Transcranial magnetic stimulation of the </w:t>
      </w:r>
      <w:proofErr w:type="spellStart"/>
      <w:r w:rsidR="00A14368" w:rsidRPr="00E37B3F">
        <w:rPr>
          <w:b/>
          <w:bCs/>
          <w:u w:val="single"/>
        </w:rPr>
        <w:t>precuneus</w:t>
      </w:r>
      <w:proofErr w:type="spellEnd"/>
      <w:r w:rsidR="00A14368" w:rsidRPr="00E37B3F">
        <w:rPr>
          <w:b/>
          <w:bCs/>
          <w:u w:val="single"/>
        </w:rPr>
        <w:t xml:space="preserve"> enhances memory and neural activity in prodromal Alzheimer's disease’.</w:t>
      </w:r>
    </w:p>
    <w:p w14:paraId="2402136D" w14:textId="2A598D8F" w:rsidR="00A14368" w:rsidRPr="00E37B3F" w:rsidRDefault="00A14368" w:rsidP="00E37B3F">
      <w:pPr>
        <w:spacing w:line="360" w:lineRule="auto"/>
        <w:jc w:val="both"/>
        <w:rPr>
          <w:b/>
          <w:bCs/>
        </w:rPr>
      </w:pPr>
      <w:r w:rsidRPr="00E37B3F">
        <w:rPr>
          <w:b/>
          <w:bCs/>
        </w:rPr>
        <w:t xml:space="preserve">Introduction </w:t>
      </w:r>
    </w:p>
    <w:p w14:paraId="1C5E04E5" w14:textId="3990A6E9" w:rsidR="00A14368" w:rsidRDefault="00A14368" w:rsidP="00E37B3F">
      <w:pPr>
        <w:spacing w:line="360" w:lineRule="auto"/>
        <w:jc w:val="both"/>
      </w:pPr>
      <w:r>
        <w:t xml:space="preserve">This review critically evaluates </w:t>
      </w:r>
      <w:r w:rsidRPr="005147E1">
        <w:t xml:space="preserve">Koch et </w:t>
      </w:r>
      <w:proofErr w:type="spellStart"/>
      <w:r w:rsidRPr="005147E1">
        <w:t>al’s</w:t>
      </w:r>
      <w:proofErr w:type="spellEnd"/>
      <w:r w:rsidRPr="005147E1">
        <w:t xml:space="preserve"> (2018)</w:t>
      </w:r>
      <w:r>
        <w:t xml:space="preserve"> study - </w:t>
      </w:r>
      <w:r w:rsidRPr="00A14368">
        <w:t xml:space="preserve">Transcranial magnetic stimulation of the </w:t>
      </w:r>
      <w:proofErr w:type="spellStart"/>
      <w:r w:rsidRPr="00A14368">
        <w:t>precuneus</w:t>
      </w:r>
      <w:proofErr w:type="spellEnd"/>
      <w:r w:rsidRPr="00A14368">
        <w:t xml:space="preserve"> enhances memory and neural activity in prodromal Alzheimer's disease</w:t>
      </w:r>
      <w:r>
        <w:t>. Which investigates whether high-frequency repetitive transcranial magnetic stimulation (</w:t>
      </w:r>
      <w:proofErr w:type="spellStart"/>
      <w:r>
        <w:t>rTMS</w:t>
      </w:r>
      <w:proofErr w:type="spellEnd"/>
      <w:r>
        <w:t xml:space="preserve">) </w:t>
      </w:r>
      <w:r w:rsidR="00677123">
        <w:t xml:space="preserve">applied to the </w:t>
      </w:r>
      <w:proofErr w:type="spellStart"/>
      <w:r w:rsidR="00677123">
        <w:t>precuneus</w:t>
      </w:r>
      <w:proofErr w:type="spellEnd"/>
      <w:r w:rsidR="00677123">
        <w:t xml:space="preserve"> can modulate neural activity and improve episodic memory in individuals with early Alzheimer’s disease (AD). Episodic memory decline is a central and early feature of AD </w:t>
      </w:r>
      <w:r w:rsidR="00677123" w:rsidRPr="009E7DBF">
        <w:t>(Sharma et al., 2025),</w:t>
      </w:r>
      <w:r w:rsidR="00677123">
        <w:t xml:space="preserve"> and neuroimaging evidence indicates that the </w:t>
      </w:r>
      <w:proofErr w:type="spellStart"/>
      <w:r w:rsidR="00677123">
        <w:t>precuneus</w:t>
      </w:r>
      <w:proofErr w:type="spellEnd"/>
      <w:r w:rsidR="00677123">
        <w:t xml:space="preserve"> – a core hub of the default mode network (DMN) – is among the earliest regions to exhibit metabolic dysfunction and connectivity breakdown (</w:t>
      </w:r>
      <w:r w:rsidR="00677123" w:rsidRPr="00C20E52">
        <w:t>Fischer et al., 2025</w:t>
      </w:r>
      <w:r w:rsidR="00677123">
        <w:t xml:space="preserve">). Given the </w:t>
      </w:r>
      <w:proofErr w:type="spellStart"/>
      <w:r w:rsidR="00677123">
        <w:t>precuneus</w:t>
      </w:r>
      <w:proofErr w:type="spellEnd"/>
      <w:r w:rsidR="00677123">
        <w:t>’ established memory retrieval (</w:t>
      </w:r>
      <w:r w:rsidR="00677123" w:rsidRPr="00473639">
        <w:t>Flanagin et al., 2023</w:t>
      </w:r>
      <w:r w:rsidR="00677123">
        <w:t xml:space="preserve">), Koch et al. (2018) aimed to determine whether targeted neuromodulation of this vulnerable network node could enhance memory performance during the early stages of AD. </w:t>
      </w:r>
    </w:p>
    <w:p w14:paraId="42E3B611" w14:textId="75DBC6EB" w:rsidR="00677123" w:rsidRDefault="00677123" w:rsidP="00E37B3F">
      <w:pPr>
        <w:spacing w:line="360" w:lineRule="auto"/>
        <w:jc w:val="both"/>
      </w:pPr>
      <w:r>
        <w:t>There are currently no effective treatments that meaningfully improve episodic memory in Alzheimer’s disease (</w:t>
      </w:r>
      <w:proofErr w:type="spellStart"/>
      <w:r w:rsidRPr="001D12CB">
        <w:t>Yiannopoulou</w:t>
      </w:r>
      <w:proofErr w:type="spellEnd"/>
      <w:r w:rsidRPr="001D12CB">
        <w:t xml:space="preserve"> </w:t>
      </w:r>
      <w:r w:rsidR="001D12CB">
        <w:t xml:space="preserve">&amp; Papageorgiou, </w:t>
      </w:r>
      <w:r w:rsidRPr="001D12CB">
        <w:t>2020),</w:t>
      </w:r>
      <w:r>
        <w:t xml:space="preserve"> and pharmacological approaches targeting specific neurotransmitter systems offer only limited benefits for memory deficits</w:t>
      </w:r>
      <w:r w:rsidR="00E37B3F">
        <w:t xml:space="preserve"> (</w:t>
      </w:r>
      <w:r w:rsidR="00E37B3F" w:rsidRPr="00C860BA">
        <w:t>Hossain &amp; Hussain, 2025</w:t>
      </w:r>
      <w:r w:rsidR="00E37B3F">
        <w:t xml:space="preserve">). </w:t>
      </w:r>
      <w:r w:rsidR="00E37B3F" w:rsidRPr="00192D7D">
        <w:t>The Global Burden of Disease (2019</w:t>
      </w:r>
      <w:r w:rsidR="00E37B3F">
        <w:t xml:space="preserve">) study on Dementia estimated that approximately 57 million people were living with Dementia worldwide in 2019, a figure projected to rise to 153 million by 2050 </w:t>
      </w:r>
      <w:r w:rsidR="00E37B3F" w:rsidRPr="00473639">
        <w:t>(GBD, 2019; Dementia Forecasting Collaborators, 2022</w:t>
      </w:r>
      <w:r w:rsidR="00192D7D">
        <w:t xml:space="preserve">). </w:t>
      </w:r>
      <w:r w:rsidR="00E37B3F">
        <w:t>Alzheimer’s disease, the most common for</w:t>
      </w:r>
      <w:r w:rsidR="000D00C3">
        <w:t>m</w:t>
      </w:r>
      <w:r w:rsidR="00E37B3F">
        <w:t xml:space="preserve"> of Dementia, accounts for approximately 60-70% of cases and is therefore the primary driver of this projected increase </w:t>
      </w:r>
      <w:r w:rsidR="00E37B3F" w:rsidRPr="00192D7D">
        <w:t>(GBD, 2019; Dementia Forecasting Collaborators, 2022).</w:t>
      </w:r>
    </w:p>
    <w:p w14:paraId="6BB34354" w14:textId="64B358A9" w:rsidR="00E37B3F" w:rsidRDefault="00E37B3F" w:rsidP="00E37B3F">
      <w:pPr>
        <w:spacing w:line="360" w:lineRule="auto"/>
        <w:jc w:val="both"/>
      </w:pPr>
      <w:r>
        <w:t xml:space="preserve">Growing evidence suggests that early cognitive impairment in AD is driven not only by regional atrophy but also by disconnecting within large-scale brain networks, particularly </w:t>
      </w:r>
      <w:r>
        <w:lastRenderedPageBreak/>
        <w:t>the DMN (</w:t>
      </w:r>
      <w:r w:rsidR="009E7DBF" w:rsidRPr="009E7DBF">
        <w:t>Scherr</w:t>
      </w:r>
      <w:r w:rsidRPr="009E7DBF">
        <w:t xml:space="preserve"> et al., 202</w:t>
      </w:r>
      <w:r w:rsidR="009E7DBF" w:rsidRPr="009E7DBF">
        <w:t>1</w:t>
      </w:r>
      <w:r>
        <w:t xml:space="preserve">). </w:t>
      </w:r>
      <w:r w:rsidR="006B3270">
        <w:t xml:space="preserve">The </w:t>
      </w:r>
      <w:proofErr w:type="spellStart"/>
      <w:r w:rsidR="006B3270">
        <w:t>precuneus</w:t>
      </w:r>
      <w:proofErr w:type="spellEnd"/>
      <w:r w:rsidR="006B3270">
        <w:t xml:space="preserve"> shows early pathological changes, including amyloid deposition, reduced cortical thickness, and functional disconnection (</w:t>
      </w:r>
      <w:r w:rsidR="006B3270" w:rsidRPr="002C61AD">
        <w:t>Ali et al., 2022</w:t>
      </w:r>
      <w:r w:rsidR="006B3270">
        <w:t>) making it a compelling target for mechanistic and therapeutic investigation (</w:t>
      </w:r>
      <w:r w:rsidR="00C81E53" w:rsidRPr="00C81E53">
        <w:t xml:space="preserve">Millet </w:t>
      </w:r>
      <w:r w:rsidR="006B3270" w:rsidRPr="00C81E53">
        <w:t xml:space="preserve">et al., 2023; Licht et al., 2023). Meta-analytic evidence indicates that </w:t>
      </w:r>
      <w:proofErr w:type="spellStart"/>
      <w:r w:rsidR="006B3270" w:rsidRPr="00C81E53">
        <w:t>rTMS</w:t>
      </w:r>
      <w:proofErr w:type="spellEnd"/>
      <w:r w:rsidR="006B3270" w:rsidRPr="00C81E53">
        <w:t xml:space="preserve"> can improve</w:t>
      </w:r>
      <w:r w:rsidR="006B3270">
        <w:t xml:space="preserve"> cognitive performance across several domains, including memory-related functions (</w:t>
      </w:r>
      <w:r w:rsidR="006B3270" w:rsidRPr="001573A3">
        <w:t xml:space="preserve">Licht et al., 2023; </w:t>
      </w:r>
      <w:r w:rsidR="00E91C68" w:rsidRPr="00E91C68">
        <w:t>Zhang</w:t>
      </w:r>
      <w:r w:rsidR="006B3270" w:rsidRPr="00E91C68">
        <w:t xml:space="preserve"> et al., 2025)</w:t>
      </w:r>
      <w:r w:rsidR="00DB670C" w:rsidRPr="00E91C68">
        <w:t>.</w:t>
      </w:r>
      <w:r w:rsidR="00DB670C">
        <w:t xml:space="preserve"> Furthermore, stimulation of parietal DMN hubs has been </w:t>
      </w:r>
      <w:r w:rsidR="006B3270">
        <w:t>shown to enhance memory in healthy adults (</w:t>
      </w:r>
      <w:r w:rsidR="006B3270" w:rsidRPr="00DB670C">
        <w:t>Oberlin et al., 2022).</w:t>
      </w:r>
      <w:r w:rsidR="006B3270">
        <w:t xml:space="preserve"> Collectively, these findings motivate investigation of the </w:t>
      </w:r>
      <w:proofErr w:type="spellStart"/>
      <w:r w:rsidR="006B3270">
        <w:t>precuneus</w:t>
      </w:r>
      <w:proofErr w:type="spellEnd"/>
      <w:r w:rsidR="006B3270">
        <w:t xml:space="preserve"> as a novel and theoretically grounded intervention target in early Alzheimer’s disease (</w:t>
      </w:r>
      <w:r w:rsidR="006B3270" w:rsidRPr="00DB670C">
        <w:t xml:space="preserve">Koch et al., 2022; </w:t>
      </w:r>
      <w:r w:rsidR="00C81E53" w:rsidRPr="00C81E53">
        <w:t xml:space="preserve">Millet </w:t>
      </w:r>
      <w:r w:rsidR="006B3270" w:rsidRPr="00C81E53">
        <w:t>et al., 2023</w:t>
      </w:r>
      <w:r w:rsidR="006B3270">
        <w:t xml:space="preserve">). </w:t>
      </w:r>
    </w:p>
    <w:p w14:paraId="41478F09" w14:textId="31A8B675" w:rsidR="006B3270" w:rsidRDefault="006B3270" w:rsidP="00E37B3F">
      <w:pPr>
        <w:spacing w:line="360" w:lineRule="auto"/>
        <w:jc w:val="both"/>
        <w:rPr>
          <w:b/>
          <w:bCs/>
        </w:rPr>
      </w:pPr>
      <w:r>
        <w:rPr>
          <w:b/>
          <w:bCs/>
        </w:rPr>
        <w:t>Hypothesis</w:t>
      </w:r>
    </w:p>
    <w:p w14:paraId="66129113" w14:textId="02EBC2E9" w:rsidR="00680333" w:rsidRDefault="006B3270" w:rsidP="00E37B3F">
      <w:pPr>
        <w:spacing w:line="360" w:lineRule="auto"/>
        <w:jc w:val="both"/>
      </w:pPr>
      <w:r>
        <w:t>The authors did not explicitly state a clear, a priori hypothesis; however, a directional and operationalizable hypothesis can be inferred from the study rationale and methodological design. Specifically, the implied hypothesis was that high-frequency repetitive transcranial magnetic stimulation (</w:t>
      </w:r>
      <w:proofErr w:type="spellStart"/>
      <w:r>
        <w:t>rTMS</w:t>
      </w:r>
      <w:proofErr w:type="spellEnd"/>
      <w:r>
        <w:t xml:space="preserve">) applied to the </w:t>
      </w:r>
      <w:proofErr w:type="spellStart"/>
      <w:r>
        <w:t>precuneus</w:t>
      </w:r>
      <w:proofErr w:type="spellEnd"/>
      <w:r>
        <w:t xml:space="preserve"> would lead to improvements in episodic memory performance and induce changes in neural activity and functional connectivity within the default mode network (DMN), (</w:t>
      </w:r>
      <w:r w:rsidRPr="00DB670C">
        <w:t xml:space="preserve">Koch et al., </w:t>
      </w:r>
      <w:proofErr w:type="gramStart"/>
      <w:r w:rsidR="00DB670C" w:rsidRPr="00DB670C">
        <w:t>2018</w:t>
      </w:r>
      <w:r w:rsidR="00DB670C">
        <w:t>;</w:t>
      </w:r>
      <w:r w:rsidRPr="00DB670C">
        <w:t>Koch</w:t>
      </w:r>
      <w:proofErr w:type="gramEnd"/>
      <w:r w:rsidRPr="00DB670C">
        <w:t xml:space="preserve"> et al., 2022</w:t>
      </w:r>
      <w:r>
        <w:t xml:space="preserve">). </w:t>
      </w:r>
      <w:r w:rsidR="00680333">
        <w:t xml:space="preserve">This represents a directional hypothesis, as it predicts both the direction of behavioural change – namely, important in episodic memory – and specific neural outcomes involving increased activity and connectivity within the DMN. </w:t>
      </w:r>
    </w:p>
    <w:p w14:paraId="29B7F5B3" w14:textId="65AB7B52" w:rsidR="006B3270" w:rsidRDefault="00680333" w:rsidP="00E37B3F">
      <w:pPr>
        <w:spacing w:line="360" w:lineRule="auto"/>
        <w:jc w:val="both"/>
      </w:pPr>
      <w:r>
        <w:t xml:space="preserve">In this study, the independent variable (IV) was the stimulation condition, operationalised as active high-frequency </w:t>
      </w:r>
      <w:proofErr w:type="spellStart"/>
      <w:r>
        <w:t>fTMS</w:t>
      </w:r>
      <w:proofErr w:type="spellEnd"/>
      <w:r>
        <w:t xml:space="preserve"> of the </w:t>
      </w:r>
      <w:proofErr w:type="spellStart"/>
      <w:r>
        <w:t>precuneus</w:t>
      </w:r>
      <w:proofErr w:type="spellEnd"/>
      <w:r>
        <w:t xml:space="preserve"> versus sham stimulation </w:t>
      </w:r>
      <w:r w:rsidRPr="00DB670C">
        <w:t>(Koch et al., 2018). The primary dependent variable (DV) was episodic memory performance, operationalised as delayed recall performance on the Rey Auditory Verbal Learning Test (RAVLT), a component of the Alzheimer’s Disease Cooperative Study Preclinical Alzheimer Cognitive Composite (Donohue et al., 2014;</w:t>
      </w:r>
      <w:r w:rsidR="005147E1">
        <w:t xml:space="preserve"> </w:t>
      </w:r>
      <w:r w:rsidRPr="00DB670C">
        <w:t>Koch et al., 2018). Seconda</w:t>
      </w:r>
      <w:r>
        <w:t xml:space="preserve">ry dependent variables included neurophysiological measures of cortical excitability and connectivity, assessed via TMS-evoked potentials and oscillatory activity measured using TMS-EEG </w:t>
      </w:r>
      <w:r w:rsidRPr="00F952C8">
        <w:t>(</w:t>
      </w:r>
      <w:r w:rsidR="00F952C8" w:rsidRPr="00F952C8">
        <w:t>de Goede</w:t>
      </w:r>
      <w:r w:rsidRPr="00F952C8">
        <w:t xml:space="preserve"> et al., 2020; </w:t>
      </w:r>
      <w:r w:rsidR="00A9545B" w:rsidRPr="00A9545B">
        <w:t>Pei</w:t>
      </w:r>
      <w:r w:rsidRPr="00A9545B">
        <w:t xml:space="preserve"> et al., 202</w:t>
      </w:r>
      <w:r w:rsidR="00A9545B" w:rsidRPr="00A9545B">
        <w:t>2</w:t>
      </w:r>
      <w:r w:rsidRPr="00A9545B">
        <w:t xml:space="preserve">; </w:t>
      </w:r>
      <w:r w:rsidRPr="00DB670C">
        <w:t>Koch et al., 2018).</w:t>
      </w:r>
      <w:r>
        <w:t xml:space="preserve"> </w:t>
      </w:r>
    </w:p>
    <w:p w14:paraId="77195225" w14:textId="2FF3C2A9" w:rsidR="0050333F" w:rsidRDefault="0050333F" w:rsidP="00E37B3F">
      <w:pPr>
        <w:spacing w:line="360" w:lineRule="auto"/>
        <w:jc w:val="both"/>
      </w:pPr>
      <w:r>
        <w:lastRenderedPageBreak/>
        <w:t>While hypotheses in empirical research should be explicitly operationalised a priori to enable transparent and confirmatory hypothesis testing, the absence of a clearly articulated hypothesis in this study necessitates reliance on inferred predictions (</w:t>
      </w:r>
      <w:r w:rsidRPr="00192D7D">
        <w:t>Haucke et al., 2021).</w:t>
      </w:r>
      <w:r>
        <w:t xml:space="preserve"> This introduces a risk of post hoc interpretation, whereby observed effects may be retrospectively aligned with theoretical frameworks rather than tested against pre-specified predictions (</w:t>
      </w:r>
      <w:r w:rsidRPr="00192D7D">
        <w:t>Haucke et al., 2021).</w:t>
      </w:r>
      <w:r>
        <w:t xml:space="preserve"> Such risk could have been mitigated through the explicit pre-specification of a hypothesis, for example: “High-frequency </w:t>
      </w:r>
      <w:proofErr w:type="spellStart"/>
      <w:r>
        <w:t>rTMS</w:t>
      </w:r>
      <w:proofErr w:type="spellEnd"/>
      <w:r>
        <w:t xml:space="preserve"> of the </w:t>
      </w:r>
      <w:proofErr w:type="spellStart"/>
      <w:r>
        <w:t>precuneus</w:t>
      </w:r>
      <w:proofErr w:type="spellEnd"/>
      <w:r>
        <w:t xml:space="preserve"> will lead to greater improvements in delayed episodic memory performance than sham stimulation in patients with early Alzheimer’s disease, accompanied by increased </w:t>
      </w:r>
      <w:proofErr w:type="spellStart"/>
      <w:r>
        <w:t>precuneus</w:t>
      </w:r>
      <w:proofErr w:type="spellEnd"/>
      <w:r>
        <w:t>-centred DMN connectivity.”</w:t>
      </w:r>
    </w:p>
    <w:p w14:paraId="7A489C9C" w14:textId="1A8E1F6B" w:rsidR="0050333F" w:rsidRDefault="00325687" w:rsidP="00E37B3F">
      <w:pPr>
        <w:spacing w:line="360" w:lineRule="auto"/>
        <w:jc w:val="both"/>
      </w:pPr>
      <w:r>
        <w:t>Despite</w:t>
      </w:r>
      <w:r w:rsidR="0050333F">
        <w:t xml:space="preserve"> this limitation, the study was well operationalised. The authors clearly defined the stimulation parameters, including the target region (</w:t>
      </w:r>
      <w:proofErr w:type="spellStart"/>
      <w:r w:rsidR="0050333F">
        <w:t>precuneus</w:t>
      </w:r>
      <w:proofErr w:type="spellEnd"/>
      <w:r w:rsidR="0050333F">
        <w:t xml:space="preserve">), stimulation frequency (20Hz), intensity, and treatment duration, alongside clearly specified behavioural and neurophysiological </w:t>
      </w:r>
      <w:r>
        <w:t>outcome measures (</w:t>
      </w:r>
      <w:r w:rsidRPr="00DB670C">
        <w:t>Koch et al., 2018</w:t>
      </w:r>
      <w:r>
        <w:t xml:space="preserve">). The use of validated cognitive assessments, including the RAVLT, and objective neural markers derived </w:t>
      </w:r>
      <w:r w:rsidRPr="00F952C8">
        <w:t>from TMS-EEG support the reliability and replicability of the findings (</w:t>
      </w:r>
      <w:r w:rsidR="008C1AE7" w:rsidRPr="00F952C8">
        <w:t xml:space="preserve">Donohue </w:t>
      </w:r>
      <w:r w:rsidRPr="00F952C8">
        <w:t xml:space="preserve">et al., 2014; </w:t>
      </w:r>
      <w:r w:rsidR="00F952C8" w:rsidRPr="00F952C8">
        <w:t>de Goede</w:t>
      </w:r>
      <w:r w:rsidRPr="00F952C8">
        <w:t xml:space="preserve"> et al., 2020).</w:t>
      </w:r>
      <w:r>
        <w:t xml:space="preserve"> Such methodological specificity enhances internal validity and aligns with principles underpinning the cumulative and self-correcting nature of scientific research (</w:t>
      </w:r>
      <w:r w:rsidRPr="00192D7D">
        <w:t>Haucke et al., 2021).</w:t>
      </w:r>
      <w:r>
        <w:t xml:space="preserve"> </w:t>
      </w:r>
    </w:p>
    <w:p w14:paraId="424E9890" w14:textId="1F6F6D00" w:rsidR="00325687" w:rsidRDefault="00325687" w:rsidP="00E37B3F">
      <w:pPr>
        <w:spacing w:line="360" w:lineRule="auto"/>
        <w:jc w:val="both"/>
        <w:rPr>
          <w:b/>
          <w:bCs/>
        </w:rPr>
      </w:pPr>
      <w:r>
        <w:rPr>
          <w:b/>
          <w:bCs/>
        </w:rPr>
        <w:t>Study Design</w:t>
      </w:r>
    </w:p>
    <w:p w14:paraId="196891C9" w14:textId="0E219218" w:rsidR="00325687" w:rsidRDefault="00325687" w:rsidP="00E37B3F">
      <w:pPr>
        <w:spacing w:line="360" w:lineRule="auto"/>
        <w:jc w:val="both"/>
      </w:pPr>
      <w:r>
        <w:t xml:space="preserve">The study employed a double-blind, randomised, sham-controlled crossover design, representing a strong methodological approach for isolating causal effects of </w:t>
      </w:r>
      <w:proofErr w:type="spellStart"/>
      <w:r>
        <w:t>rTMS</w:t>
      </w:r>
      <w:proofErr w:type="spellEnd"/>
      <w:r>
        <w:t xml:space="preserve"> (</w:t>
      </w:r>
      <w:r w:rsidRPr="00084CA7">
        <w:t xml:space="preserve">Johnson &amp; Goebel, 2023; </w:t>
      </w:r>
      <w:r w:rsidRPr="00557356">
        <w:t>Capili &amp; Anastasi, 2025</w:t>
      </w:r>
      <w:r>
        <w:t xml:space="preserve">). Allowing each participant to serve as their own control reduces inter-individual variability and increases sensitivity to detect treatment-related effects, which is particularly advantageous in small, hard-to-recruit clinical populations such as individuals with early </w:t>
      </w:r>
      <w:r w:rsidR="00E44C72">
        <w:t>Alzheimer’s disease (</w:t>
      </w:r>
      <w:r w:rsidR="00E44C72" w:rsidRPr="00557356">
        <w:t>Capili &amp; Anastasi, 2025). Double blinding further strengthens internal validity by minimising expectancy effects and observer bias, while the inclusion of a washout period between active and sham conditions helps to reduce carryover effects (Capili &amp; Anastasi, 2025).</w:t>
      </w:r>
      <w:r w:rsidR="00E44C72">
        <w:t xml:space="preserve"> </w:t>
      </w:r>
    </w:p>
    <w:p w14:paraId="2A6AADF8" w14:textId="31D45A7F" w:rsidR="00E44C72" w:rsidRDefault="00AD5575" w:rsidP="00E37B3F">
      <w:pPr>
        <w:spacing w:line="360" w:lineRule="auto"/>
        <w:jc w:val="both"/>
      </w:pPr>
      <w:r>
        <w:lastRenderedPageBreak/>
        <w:t>Nevertheless, several design-related limitations warrant consideration. Crossover designs assume stability of the underlying condition across study phases; however, Alzheimer’s disease is progressive, and even subtle cognitive changes over time may confound treatment comparisons (</w:t>
      </w:r>
      <w:r w:rsidRPr="007E6662">
        <w:t>Tipton et al., 2017</w:t>
      </w:r>
      <w:r w:rsidRPr="00E91C68">
        <w:t xml:space="preserve">; </w:t>
      </w:r>
      <w:r w:rsidR="00E91C68" w:rsidRPr="00E91C68">
        <w:t xml:space="preserve">Schuster </w:t>
      </w:r>
      <w:r w:rsidRPr="00E91C68">
        <w:t xml:space="preserve">et al., 2021). Moreover, </w:t>
      </w:r>
      <w:proofErr w:type="spellStart"/>
      <w:r w:rsidRPr="00E91C68">
        <w:t>rTMS</w:t>
      </w:r>
      <w:proofErr w:type="spellEnd"/>
      <w:r w:rsidRPr="00E91C68">
        <w:t xml:space="preserve"> can induce lasting neuroplastic effects, raising the possibility that residual stimulation effects persist beyond the washout period and violate assumptions of treatment independence (</w:t>
      </w:r>
      <w:r w:rsidR="00E91C68" w:rsidRPr="00E91C68">
        <w:t>Zhang</w:t>
      </w:r>
      <w:r w:rsidRPr="00E91C68">
        <w:t xml:space="preserve"> et al., 2025). </w:t>
      </w:r>
      <w:r w:rsidR="00B930BF" w:rsidRPr="00E91C68">
        <w:t>Although counterbalancing of condition order mitigates order effects, it cannot fully eliminate learning effects associated with repeated cognitive testing or fatigue across sessions (Tipton et al., 2017;</w:t>
      </w:r>
      <w:r w:rsidR="00E91C68">
        <w:t xml:space="preserve"> </w:t>
      </w:r>
      <w:r w:rsidR="00E91C68" w:rsidRPr="00E91C68">
        <w:t>Schuster</w:t>
      </w:r>
      <w:r w:rsidR="00B930BF" w:rsidRPr="00E91C68">
        <w:t xml:space="preserve"> et al., 2021). Additionally, the extended duration and repeated assessments inherent to</w:t>
      </w:r>
      <w:r w:rsidR="00B930BF">
        <w:t xml:space="preserve"> crossover designs may increase participant burden in cognitively impaired populations (</w:t>
      </w:r>
      <w:r w:rsidR="00B930BF" w:rsidRPr="00557356">
        <w:t>Capili &amp; Anastasi, 2025).</w:t>
      </w:r>
      <w:r w:rsidR="00B930BF">
        <w:t xml:space="preserve"> </w:t>
      </w:r>
    </w:p>
    <w:p w14:paraId="35F31BF1" w14:textId="72B0989B" w:rsidR="00B930BF" w:rsidRDefault="00B930BF" w:rsidP="00E37B3F">
      <w:pPr>
        <w:spacing w:line="360" w:lineRule="auto"/>
        <w:jc w:val="both"/>
      </w:pPr>
      <w:r>
        <w:t xml:space="preserve">Several design-related strategies could have mitigated these limitations. Employing a parallel-group randomised controlled design would have reduced vulnerability to period effects and </w:t>
      </w:r>
      <w:r w:rsidR="008433C8">
        <w:t>to disease-related changes occurring independently of the intervention (</w:t>
      </w:r>
      <w:r w:rsidR="008433C8" w:rsidRPr="00557356">
        <w:t xml:space="preserve">Capili </w:t>
      </w:r>
      <w:r w:rsidRPr="00557356">
        <w:t>&amp; Anastasi, 2025).</w:t>
      </w:r>
      <w:r>
        <w:t xml:space="preserve"> If retaining a crossover framework, extending the washout period and incorporating objective neurophysiological criteria to confirm the dissipation of stimulation effects prior to crossover would have strengthened assumptions of treatment independence (</w:t>
      </w:r>
      <w:r w:rsidR="00F952C8" w:rsidRPr="00F952C8">
        <w:t>de Goede</w:t>
      </w:r>
      <w:r w:rsidRPr="00F952C8">
        <w:t xml:space="preserve"> et al., 2020; Capili</w:t>
      </w:r>
      <w:r w:rsidRPr="00557356">
        <w:t xml:space="preserve"> &amp; Anastasi, 2025</w:t>
      </w:r>
      <w:r>
        <w:t>). Furthermore, the use of alternate test forms and explicit modelling of order and period effects within statistical analyses would have allowed clearer separation of stimulation-related</w:t>
      </w:r>
      <w:r w:rsidR="008433C8">
        <w:t xml:space="preserve"> effects from design-related confounds (</w:t>
      </w:r>
      <w:r w:rsidR="008433C8" w:rsidRPr="007E6662">
        <w:t>Tipton et al., 2017</w:t>
      </w:r>
      <w:r w:rsidR="008433C8" w:rsidRPr="00E91C68">
        <w:t xml:space="preserve">; </w:t>
      </w:r>
      <w:r w:rsidR="00E91C68" w:rsidRPr="00E91C68">
        <w:t>Schuster</w:t>
      </w:r>
      <w:r w:rsidR="008433C8" w:rsidRPr="00E91C68">
        <w:t xml:space="preserve"> et al., 2021).</w:t>
      </w:r>
      <w:r w:rsidR="008433C8">
        <w:t xml:space="preserve"> Collectively, these refinements would have enhanced internal validity while retaining the methodological advantages of controlled experimental manipulation. </w:t>
      </w:r>
    </w:p>
    <w:p w14:paraId="7477D259" w14:textId="290E14E2" w:rsidR="008433C8" w:rsidRDefault="008433C8" w:rsidP="00E37B3F">
      <w:pPr>
        <w:spacing w:line="360" w:lineRule="auto"/>
        <w:jc w:val="both"/>
        <w:rPr>
          <w:b/>
          <w:bCs/>
        </w:rPr>
      </w:pPr>
      <w:r>
        <w:rPr>
          <w:b/>
          <w:bCs/>
        </w:rPr>
        <w:t>Sample</w:t>
      </w:r>
    </w:p>
    <w:p w14:paraId="0B2470CD" w14:textId="71C6784E" w:rsidR="008433C8" w:rsidRDefault="008433C8" w:rsidP="00E37B3F">
      <w:pPr>
        <w:spacing w:line="360" w:lineRule="auto"/>
        <w:jc w:val="both"/>
      </w:pPr>
      <w:r w:rsidRPr="008433C8">
        <w:t>The sampling procedures</w:t>
      </w:r>
      <w:r>
        <w:t xml:space="preserve"> themselves were rigorous: all participants met biomarker-confirmed diagnostic criteria for early-onset Alzheimer’s disease, supported by cerebrospinal fluid (CSF) profiles, MRI, and extensive neuropsychological assessment </w:t>
      </w:r>
      <w:r w:rsidRPr="00DB670C">
        <w:t>(Koch et al., 2018).</w:t>
      </w:r>
      <w:r>
        <w:t xml:space="preserve"> This enhances internal validity by ensuring a well-defined clinical cohort (</w:t>
      </w:r>
      <w:r w:rsidRPr="00A9545B">
        <w:t>Patino &amp; Ferreira, 2018),</w:t>
      </w:r>
      <w:r>
        <w:t xml:space="preserve"> minimising selection bias and reducing variability </w:t>
      </w:r>
      <w:r>
        <w:lastRenderedPageBreak/>
        <w:t>attributable to participant heterogeneity (</w:t>
      </w:r>
      <w:r w:rsidRPr="001573A3">
        <w:t xml:space="preserve">Dubois et al., 2024), thereby strengthening the </w:t>
      </w:r>
      <w:r w:rsidR="00436671" w:rsidRPr="001573A3">
        <w:t>reliability of the findings (</w:t>
      </w:r>
      <w:r w:rsidR="001573A3" w:rsidRPr="001573A3">
        <w:t>Liu</w:t>
      </w:r>
      <w:r w:rsidR="00436671" w:rsidRPr="001573A3">
        <w:t xml:space="preserve"> et al., 2025).</w:t>
      </w:r>
      <w:r w:rsidR="00436671">
        <w:t xml:space="preserve"> </w:t>
      </w:r>
    </w:p>
    <w:p w14:paraId="1638EF01" w14:textId="0CC9B042" w:rsidR="00436671" w:rsidRPr="007E6662" w:rsidRDefault="00436671" w:rsidP="00E37B3F">
      <w:pPr>
        <w:spacing w:line="360" w:lineRule="auto"/>
        <w:jc w:val="both"/>
      </w:pPr>
      <w:r>
        <w:t>However, this same rigorous screening results in a narrow and highly selective sample, which substantially limits external generalisability (</w:t>
      </w:r>
      <w:r w:rsidRPr="007E6662">
        <w:t>Tipton et al., 2017).</w:t>
      </w:r>
      <w:r>
        <w:t xml:space="preserve"> Restricting participation to biomarker-confirmed prodromal AD cases reduces clinical heterogeneity but limits the applicability of the findings to broader AD populations, including individuals at later disease stages or those without access to invasive diagnostic procedures (</w:t>
      </w:r>
      <w:r w:rsidRPr="007E6662">
        <w:t xml:space="preserve">Tipton et al., 2017; </w:t>
      </w:r>
      <w:r w:rsidR="005043C9" w:rsidRPr="007E6662">
        <w:t>Dubois</w:t>
      </w:r>
      <w:r w:rsidRPr="007E6662">
        <w:t xml:space="preserve"> et al., 2024). </w:t>
      </w:r>
    </w:p>
    <w:p w14:paraId="35E42A17" w14:textId="4B7E8E63" w:rsidR="00436671" w:rsidRDefault="00436671" w:rsidP="00E37B3F">
      <w:pPr>
        <w:spacing w:line="360" w:lineRule="auto"/>
        <w:jc w:val="both"/>
      </w:pPr>
      <w:r w:rsidRPr="007E6662">
        <w:t>In addition, the sample size of 14 participants is small, although consistent with early transcranial magnetic stimulation studies in AD (</w:t>
      </w:r>
      <w:proofErr w:type="spellStart"/>
      <w:r w:rsidRPr="007E6662">
        <w:t>Somaa</w:t>
      </w:r>
      <w:proofErr w:type="spellEnd"/>
      <w:r w:rsidRPr="007E6662">
        <w:t xml:space="preserve"> et al., 2022). Small samples are susceptible to inflated effect sizes and low statistical power (Tipton et al., 2017;</w:t>
      </w:r>
      <w:r>
        <w:t xml:space="preserve"> </w:t>
      </w:r>
      <w:r w:rsidR="00E91C68" w:rsidRPr="00E91C68">
        <w:t>Schuster</w:t>
      </w:r>
      <w:r w:rsidRPr="00E91C68">
        <w:t xml:space="preserve"> et al., 2021), increasing the likelihood of unreliable, exaggerated, or non-replicable</w:t>
      </w:r>
      <w:r>
        <w:t xml:space="preserve"> findings and limiting the strength of inferences that can be drawn regarding the effects of the </w:t>
      </w:r>
      <w:proofErr w:type="spellStart"/>
      <w:r>
        <w:t>rTMS</w:t>
      </w:r>
      <w:proofErr w:type="spellEnd"/>
      <w:r>
        <w:t xml:space="preserve"> intervention. Recruitment challenges in prodromal AD research, driven by relative rarity of the condition and the requirement for biomarker confirmation via CSF analysis or PET imaging, substantially constrain the pool of eligible participants (</w:t>
      </w:r>
      <w:proofErr w:type="spellStart"/>
      <w:r w:rsidR="00151D8C" w:rsidRPr="00151D8C">
        <w:t>Seghezzo</w:t>
      </w:r>
      <w:proofErr w:type="spellEnd"/>
      <w:r w:rsidRPr="00151D8C">
        <w:t xml:space="preserve"> et al., 202</w:t>
      </w:r>
      <w:r w:rsidR="00151D8C" w:rsidRPr="00151D8C">
        <w:t>1</w:t>
      </w:r>
      <w:r w:rsidRPr="00151D8C">
        <w:t xml:space="preserve">; </w:t>
      </w:r>
      <w:r w:rsidR="005043C9">
        <w:t>Dubois</w:t>
      </w:r>
      <w:r w:rsidRPr="005043C9">
        <w:t xml:space="preserve"> et al., 2024).</w:t>
      </w:r>
    </w:p>
    <w:p w14:paraId="57D8F08E" w14:textId="45E43580" w:rsidR="00FE68E3" w:rsidRDefault="00436671" w:rsidP="00E37B3F">
      <w:pPr>
        <w:spacing w:line="360" w:lineRule="auto"/>
        <w:jc w:val="both"/>
      </w:pPr>
      <w:r>
        <w:t>One potential strategy for mitigating low statistical power and effect size inflation is the adoption of a multicentre recruitment approach (</w:t>
      </w:r>
      <w:r w:rsidR="0080738F">
        <w:t>(</w:t>
      </w:r>
      <w:r w:rsidR="0080738F" w:rsidRPr="001573A3">
        <w:t>Liu et al., 2025).</w:t>
      </w:r>
      <w:r>
        <w:t xml:space="preserve"> However, many patients decline perceived invasive procedures, and ethical considerations limit the feasibility </w:t>
      </w:r>
      <w:r w:rsidR="00FE68E3">
        <w:t>of broadening inclusion criteria beyond established diagnostic standards (</w:t>
      </w:r>
      <w:r w:rsidR="005043C9" w:rsidRPr="005043C9">
        <w:t>Dubois</w:t>
      </w:r>
      <w:r w:rsidR="00FE68E3" w:rsidRPr="005043C9">
        <w:t xml:space="preserve"> et al., 2024</w:t>
      </w:r>
      <w:r w:rsidR="00FE68E3">
        <w:t xml:space="preserve">). Consequently, single-centre studies are often unable to achieve sufficiently large samples to generate stable effect estimates </w:t>
      </w:r>
      <w:r w:rsidR="00FE68E3" w:rsidRPr="007E6662">
        <w:t>(Tipton et al., 2017</w:t>
      </w:r>
      <w:r w:rsidR="00FE68E3">
        <w:t xml:space="preserve">; </w:t>
      </w:r>
      <w:r w:rsidR="00E91C68" w:rsidRPr="00E91C68">
        <w:t>Schuster</w:t>
      </w:r>
      <w:r w:rsidR="00FE68E3" w:rsidRPr="00E91C68">
        <w:t xml:space="preserve"> et al., 2021).</w:t>
      </w:r>
      <w:r w:rsidR="00FE68E3">
        <w:t xml:space="preserve"> Multicentre collaboration may therefore offer a practical means of increasing sample size and representativeness without compromising diagnostic rigour (</w:t>
      </w:r>
      <w:r w:rsidR="001573A3" w:rsidRPr="001573A3">
        <w:t>Liu</w:t>
      </w:r>
      <w:r w:rsidR="00FE68E3" w:rsidRPr="001573A3">
        <w:t xml:space="preserve"> et al., 2025).</w:t>
      </w:r>
      <w:r w:rsidR="00FE68E3">
        <w:t xml:space="preserve"> </w:t>
      </w:r>
    </w:p>
    <w:p w14:paraId="7B81ABB5" w14:textId="11AEDE8C" w:rsidR="00FE68E3" w:rsidRDefault="00FE68E3" w:rsidP="00E37B3F">
      <w:pPr>
        <w:spacing w:line="360" w:lineRule="auto"/>
        <w:jc w:val="both"/>
      </w:pPr>
      <w:r>
        <w:t xml:space="preserve">Nevertheless, multicentre recruitment introduces additional challenges, including increased methodological heterogeneity, site-related variability in diagnostic and testing procedures, greater logistical and financial demands, and difficulties in ensuring consistent </w:t>
      </w:r>
      <w:proofErr w:type="spellStart"/>
      <w:r>
        <w:t>rTMS</w:t>
      </w:r>
      <w:proofErr w:type="spellEnd"/>
      <w:r>
        <w:t xml:space="preserve"> delivery across centres </w:t>
      </w:r>
      <w:r w:rsidRPr="005043C9">
        <w:t>(</w:t>
      </w:r>
      <w:r w:rsidR="005043C9" w:rsidRPr="005043C9">
        <w:t>Jo</w:t>
      </w:r>
      <w:r w:rsidRPr="005043C9">
        <w:t>, 2020</w:t>
      </w:r>
      <w:r>
        <w:t xml:space="preserve">). These factors may reduce internal </w:t>
      </w:r>
      <w:r>
        <w:lastRenderedPageBreak/>
        <w:t xml:space="preserve">validity and complicate </w:t>
      </w:r>
      <w:r w:rsidR="009023A9">
        <w:t xml:space="preserve">the </w:t>
      </w:r>
      <w:r>
        <w:t>interpretation of treatment effects (</w:t>
      </w:r>
      <w:r w:rsidR="005043C9" w:rsidRPr="005043C9">
        <w:t>Jo</w:t>
      </w:r>
      <w:r w:rsidRPr="005043C9">
        <w:t xml:space="preserve">, </w:t>
      </w:r>
      <w:r w:rsidR="009023A9" w:rsidRPr="005043C9">
        <w:t>2020;</w:t>
      </w:r>
      <w:r w:rsidR="00E91C68">
        <w:t xml:space="preserve"> </w:t>
      </w:r>
      <w:r w:rsidR="00E91C68" w:rsidRPr="00E91C68">
        <w:t>Zhang</w:t>
      </w:r>
      <w:r w:rsidRPr="00E91C68">
        <w:t xml:space="preserve"> et al., 2025). Despite this, diagnostic consistency can be maintained through protocol</w:t>
      </w:r>
      <w:r>
        <w:t xml:space="preserve"> harmonisation, comprehensive staff training, and robust quality-assurance procedures implemented across sites (</w:t>
      </w:r>
      <w:r w:rsidRPr="00192D7D">
        <w:t>G</w:t>
      </w:r>
      <w:r w:rsidR="00192D7D" w:rsidRPr="00192D7D">
        <w:t>aba &amp; Bhatt</w:t>
      </w:r>
      <w:r w:rsidRPr="00192D7D">
        <w:t xml:space="preserve"> 202</w:t>
      </w:r>
      <w:r w:rsidR="00192D7D" w:rsidRPr="00192D7D">
        <w:t>1</w:t>
      </w:r>
      <w:r>
        <w:t xml:space="preserve">). </w:t>
      </w:r>
    </w:p>
    <w:p w14:paraId="777FFBBC" w14:textId="14BF2AFE" w:rsidR="009023A9" w:rsidRDefault="009023A9" w:rsidP="00E37B3F">
      <w:pPr>
        <w:spacing w:line="360" w:lineRule="auto"/>
        <w:jc w:val="both"/>
        <w:rPr>
          <w:b/>
          <w:bCs/>
        </w:rPr>
      </w:pPr>
      <w:r>
        <w:rPr>
          <w:b/>
          <w:bCs/>
        </w:rPr>
        <w:t>Materials</w:t>
      </w:r>
    </w:p>
    <w:p w14:paraId="4A91C6CC" w14:textId="4A0C6321" w:rsidR="009023A9" w:rsidRDefault="009023A9" w:rsidP="00E37B3F">
      <w:pPr>
        <w:spacing w:line="360" w:lineRule="auto"/>
        <w:jc w:val="both"/>
      </w:pPr>
      <w:r>
        <w:t xml:space="preserve">The materials employed in the study were largely appropriate and well-aligned with the research aims. </w:t>
      </w:r>
      <w:proofErr w:type="spellStart"/>
      <w:r>
        <w:t>Neuronavigated</w:t>
      </w:r>
      <w:proofErr w:type="spellEnd"/>
      <w:r>
        <w:t xml:space="preserve"> repetitive transcranial magnetic stimulation (</w:t>
      </w:r>
      <w:proofErr w:type="spellStart"/>
      <w:r>
        <w:t>rTMS</w:t>
      </w:r>
      <w:proofErr w:type="spellEnd"/>
      <w:r>
        <w:t xml:space="preserve">) was delivered using a figure-of-eight coil targeting the </w:t>
      </w:r>
      <w:proofErr w:type="spellStart"/>
      <w:r>
        <w:t>precuneus</w:t>
      </w:r>
      <w:proofErr w:type="spellEnd"/>
      <w:r>
        <w:t xml:space="preserve">, guided by individual structural MRI scans (Koch et al., 2018). The use of </w:t>
      </w:r>
      <w:proofErr w:type="spellStart"/>
      <w:r>
        <w:t>neuronavigation</w:t>
      </w:r>
      <w:proofErr w:type="spellEnd"/>
      <w:r>
        <w:t xml:space="preserve"> represents a methodological strength, as it improves targeting precision by accounting for inter-individual variability in skull morphology and scalp-to-cortex distance, thereby enhancing </w:t>
      </w:r>
      <w:r w:rsidR="00D22BBD">
        <w:t>stimulation accuracy and reproducibility (</w:t>
      </w:r>
      <w:r w:rsidR="00D22BBD" w:rsidRPr="00557356">
        <w:t>Caulfield et al., 2022</w:t>
      </w:r>
      <w:r w:rsidR="00D22BBD">
        <w:t xml:space="preserve">). However, while </w:t>
      </w:r>
      <w:proofErr w:type="spellStart"/>
      <w:r w:rsidR="00D22BBD">
        <w:t>neuronavigation</w:t>
      </w:r>
      <w:proofErr w:type="spellEnd"/>
      <w:r w:rsidR="00D22BBD">
        <w:t xml:space="preserve"> improves spatial precision as the cortical surface, it does not ensure equivalence of induced electric field strength across individuals, nor does it fully account for variability in cortical folding or tissue conductivity, both of which may influence stimulation efficacy (</w:t>
      </w:r>
      <w:r w:rsidR="00D22BBD" w:rsidRPr="00557356">
        <w:t>Caulfield et al., 2022</w:t>
      </w:r>
      <w:r w:rsidR="00D22BBD">
        <w:t xml:space="preserve">). In addition, figure-of-eight coils primarily stimulate superficial cortical tissue and are limited in their ability to directly modulate deeper or medial structures, raising uncertainty about whether observed effects reflect direct </w:t>
      </w:r>
      <w:proofErr w:type="spellStart"/>
      <w:r w:rsidR="00D22BBD">
        <w:t>precuneus</w:t>
      </w:r>
      <w:proofErr w:type="spellEnd"/>
      <w:r w:rsidR="00D22BBD">
        <w:t xml:space="preserve"> engagement or indirect network propagation (</w:t>
      </w:r>
      <w:r w:rsidR="00D22BBD" w:rsidRPr="002C61AD">
        <w:t xml:space="preserve">Burle et al., 2015; </w:t>
      </w:r>
      <w:r w:rsidR="00D22BBD" w:rsidRPr="00B7069D">
        <w:t>Tremblay et al., 2019).</w:t>
      </w:r>
      <w:r w:rsidR="00D22BBD">
        <w:t xml:space="preserve"> </w:t>
      </w:r>
    </w:p>
    <w:p w14:paraId="4D9220C3" w14:textId="1B59BAB1" w:rsidR="00E322B3" w:rsidRDefault="00D22BBD" w:rsidP="00E37B3F">
      <w:pPr>
        <w:spacing w:line="360" w:lineRule="auto"/>
        <w:jc w:val="both"/>
      </w:pPr>
      <w:r>
        <w:t>These limitations are important because they constrain the strength of mechanistic inferences that can be drawn from the observed behavioural and neurophysiological effects (</w:t>
      </w:r>
      <w:r w:rsidRPr="00B7069D">
        <w:t>Tremblay et al., 2019;</w:t>
      </w:r>
      <w:r w:rsidRPr="002C61AD">
        <w:t xml:space="preserve"> Burle et al., 2015).</w:t>
      </w:r>
      <w:r>
        <w:t xml:space="preserve"> The optimal methodological refinement would therefore be the integration of individual electric-field modelling with </w:t>
      </w:r>
      <w:r w:rsidR="00E322B3">
        <w:t>source-resolved TMS-EEG, enabling both standardisation of stimulation dose and spatially informed validation of network-level effects, while remaining feasible in early-phase clinical research where multimodal neuroimaging approaches such as fMRI may be impractical (</w:t>
      </w:r>
      <w:r w:rsidR="00E322B3" w:rsidRPr="00557356">
        <w:t xml:space="preserve">Caulfield et al., 2022; </w:t>
      </w:r>
      <w:r w:rsidR="00E322B3" w:rsidRPr="00B7069D">
        <w:t>Tremblay et al., 2019).</w:t>
      </w:r>
      <w:r w:rsidR="00E322B3">
        <w:t xml:space="preserve"> Such an approach would strengthen interpretability, reproducibility, and the translational relevance of </w:t>
      </w:r>
      <w:proofErr w:type="spellStart"/>
      <w:r w:rsidR="00E322B3">
        <w:t>rTMS</w:t>
      </w:r>
      <w:proofErr w:type="spellEnd"/>
      <w:r w:rsidR="00E322B3">
        <w:t xml:space="preserve"> protocols targeting default mode network </w:t>
      </w:r>
      <w:r w:rsidR="00E322B3" w:rsidRPr="00E91C68">
        <w:t>dysfunction (</w:t>
      </w:r>
      <w:r w:rsidR="00E91C68" w:rsidRPr="00E91C68">
        <w:t>Zhang e</w:t>
      </w:r>
      <w:r w:rsidR="00E322B3" w:rsidRPr="00E91C68">
        <w:t>t al., 2025).</w:t>
      </w:r>
      <w:r w:rsidR="00E322B3">
        <w:t xml:space="preserve"> </w:t>
      </w:r>
    </w:p>
    <w:p w14:paraId="6A2CE4ED" w14:textId="77777777" w:rsidR="00E322B3" w:rsidRDefault="00E322B3" w:rsidP="00E37B3F">
      <w:pPr>
        <w:spacing w:line="360" w:lineRule="auto"/>
        <w:jc w:val="both"/>
        <w:rPr>
          <w:b/>
          <w:bCs/>
        </w:rPr>
      </w:pPr>
      <w:r>
        <w:rPr>
          <w:b/>
          <w:bCs/>
        </w:rPr>
        <w:lastRenderedPageBreak/>
        <w:t>Behavioural outcomes</w:t>
      </w:r>
    </w:p>
    <w:p w14:paraId="66047F1A" w14:textId="10A2F834" w:rsidR="00C2641F" w:rsidRDefault="00E322B3" w:rsidP="00E37B3F">
      <w:pPr>
        <w:spacing w:line="360" w:lineRule="auto"/>
        <w:jc w:val="both"/>
      </w:pPr>
      <w:r>
        <w:t>Behavioural outcomes were assessed using standardised cognitive measures, including the Alzheimer’s Disease Cooperative Study Preclinical Alzheimer Cognitive Composite and the Ray Auditory Verbal Learning Test, both of which are sensitive to early cognitive change in Alzheimer’s disease (</w:t>
      </w:r>
      <w:r w:rsidRPr="008C1AE7">
        <w:t>Donohue et al., 2014).</w:t>
      </w:r>
      <w:r>
        <w:t xml:space="preserve"> While these instruments are clinically relevant, the Rey Auditory Verbal Learning Test does not isolate episodic memory processes exclusively, as performance is influenced by attentional control, semantic strategies, and executive functioning (</w:t>
      </w:r>
      <w:proofErr w:type="spellStart"/>
      <w:r w:rsidR="00C20E52" w:rsidRPr="00C20E52">
        <w:t>Afthinos</w:t>
      </w:r>
      <w:proofErr w:type="spellEnd"/>
      <w:r w:rsidRPr="00C20E52">
        <w:t xml:space="preserve"> et al., 2022</w:t>
      </w:r>
      <w:r w:rsidRPr="00A9545B">
        <w:t xml:space="preserve">; </w:t>
      </w:r>
      <w:proofErr w:type="spellStart"/>
      <w:r w:rsidR="00A9545B" w:rsidRPr="00A9545B">
        <w:t>Cansonni</w:t>
      </w:r>
      <w:proofErr w:type="spellEnd"/>
      <w:r w:rsidR="00A9545B" w:rsidRPr="00A9545B">
        <w:t xml:space="preserve"> </w:t>
      </w:r>
      <w:r w:rsidRPr="00A9545B">
        <w:t>et al., 201</w:t>
      </w:r>
      <w:r w:rsidR="00A9545B" w:rsidRPr="00A9545B">
        <w:t>7</w:t>
      </w:r>
      <w:r w:rsidRPr="00A9545B">
        <w:t xml:space="preserve">; </w:t>
      </w:r>
      <w:r w:rsidRPr="005147E1">
        <w:t>Gottlieb et al., 20</w:t>
      </w:r>
      <w:r w:rsidR="005147E1" w:rsidRPr="005147E1">
        <w:t>24</w:t>
      </w:r>
      <w:r w:rsidRPr="005147E1">
        <w:t xml:space="preserve">). Consequently, improvements on this measure may not reflect selective enhancement of default mode network-dependent episodic </w:t>
      </w:r>
      <w:r w:rsidR="00C2641F" w:rsidRPr="005147E1">
        <w:t>memory but</w:t>
      </w:r>
      <w:r w:rsidRPr="005147E1">
        <w:t xml:space="preserve"> instead reflect broader gains in attentional or strategic processing, weakening the specificity of the authors’ claim that </w:t>
      </w:r>
      <w:proofErr w:type="spellStart"/>
      <w:r w:rsidRPr="005147E1">
        <w:t>rTMS</w:t>
      </w:r>
      <w:proofErr w:type="spellEnd"/>
      <w:r w:rsidRPr="005147E1">
        <w:t xml:space="preserve"> of the </w:t>
      </w:r>
      <w:proofErr w:type="spellStart"/>
      <w:r w:rsidRPr="005147E1">
        <w:t>precuneus</w:t>
      </w:r>
      <w:proofErr w:type="spellEnd"/>
      <w:r w:rsidRPr="005147E1">
        <w:t xml:space="preserve"> selectively enhanced episodic memory via default mode network modulation (Gottlieb et al., 20</w:t>
      </w:r>
      <w:r w:rsidR="005147E1" w:rsidRPr="005147E1">
        <w:t>24</w:t>
      </w:r>
      <w:r w:rsidRPr="005147E1">
        <w:t>).</w:t>
      </w:r>
      <w:r>
        <w:t xml:space="preserve"> </w:t>
      </w:r>
    </w:p>
    <w:p w14:paraId="3C761B17" w14:textId="522B0363" w:rsidR="00D22BBD" w:rsidRDefault="00C2641F" w:rsidP="00E37B3F">
      <w:pPr>
        <w:spacing w:line="360" w:lineRule="auto"/>
        <w:jc w:val="both"/>
      </w:pPr>
      <w:r>
        <w:t>The inclusion of more process-pure episodic memory tasks-such as associative memory paradigms (e.g., face-name or object-location learning) or source memory tasks- would have strengthened construct validity by isolating relational binding mechanisms that underpin episodic recollection and are particularly sensitive to early Alzheimer’s disease (</w:t>
      </w:r>
      <w:proofErr w:type="spellStart"/>
      <w:r w:rsidR="000B0B07" w:rsidRPr="000B0B07">
        <w:t>Langbaum</w:t>
      </w:r>
      <w:proofErr w:type="spellEnd"/>
      <w:r w:rsidRPr="000B0B07">
        <w:t xml:space="preserve"> et al., 2020; </w:t>
      </w:r>
      <w:r w:rsidRPr="009E7DBF">
        <w:t>Sharma et al., 2025).</w:t>
      </w:r>
      <w:r>
        <w:t xml:space="preserve"> Nevertheless, the use of clinically established and widely validated measures enhances comparability with prior Alzheimer’s disease research and supports the translational relevance of the findings </w:t>
      </w:r>
      <w:r w:rsidRPr="008C1AE7">
        <w:t>(Donohue et al., 2014).</w:t>
      </w:r>
      <w:r>
        <w:t xml:space="preserve"> </w:t>
      </w:r>
    </w:p>
    <w:p w14:paraId="4AA434C8" w14:textId="66CCD265" w:rsidR="00C2641F" w:rsidRDefault="00C2641F" w:rsidP="00E37B3F">
      <w:pPr>
        <w:spacing w:line="360" w:lineRule="auto"/>
        <w:jc w:val="both"/>
      </w:pPr>
      <w:r>
        <w:t>A further limitation concerns the sensitivity of these measures to detect subtle intervention-related change in prodromal Alzheimer's disease. Standardised memory tests may be insufficiently sensitive when participants perform near the upper or lower limits of the scale, potentially masking genuine treatment effects or exaggerating apparent gains (</w:t>
      </w:r>
      <w:r w:rsidRPr="007E6662">
        <w:t>Tipton et al., 2017</w:t>
      </w:r>
      <w:r w:rsidRPr="00E91C68">
        <w:t xml:space="preserve">; </w:t>
      </w:r>
      <w:r w:rsidR="00E91C68" w:rsidRPr="00E91C68">
        <w:t xml:space="preserve">Schuster </w:t>
      </w:r>
      <w:r w:rsidRPr="00E91C68">
        <w:t xml:space="preserve">et al., 2021; </w:t>
      </w:r>
      <w:r w:rsidR="000B0B07" w:rsidRPr="002C61AD">
        <w:t>Bielak &amp;</w:t>
      </w:r>
      <w:r w:rsidR="002C61AD" w:rsidRPr="002C61AD">
        <w:t xml:space="preserve"> </w:t>
      </w:r>
      <w:proofErr w:type="gramStart"/>
      <w:r w:rsidR="002C61AD" w:rsidRPr="002C61AD">
        <w:t xml:space="preserve">Anstey, </w:t>
      </w:r>
      <w:r w:rsidRPr="002C61AD">
        <w:t xml:space="preserve"> 2019</w:t>
      </w:r>
      <w:proofErr w:type="gramEnd"/>
      <w:r w:rsidRPr="002C61AD">
        <w:t>).</w:t>
      </w:r>
      <w:r>
        <w:t xml:space="preserve"> This complicates interpretation of behavioural improvement and underscores the value of incorporating more sensitive or adaptive episodic memory measures, as well as analysing learning trajectories or change scores, to better capture small but meaningful </w:t>
      </w:r>
      <w:r w:rsidR="00007596">
        <w:t>cognitive effects of neuromodulation (</w:t>
      </w:r>
      <w:r w:rsidR="00007596" w:rsidRPr="002C61AD">
        <w:t>Bielak</w:t>
      </w:r>
      <w:r w:rsidR="002C61AD" w:rsidRPr="002C61AD">
        <w:t xml:space="preserve"> &amp; </w:t>
      </w:r>
      <w:proofErr w:type="spellStart"/>
      <w:r w:rsidR="002C61AD" w:rsidRPr="002C61AD">
        <w:t>Anstay</w:t>
      </w:r>
      <w:proofErr w:type="spellEnd"/>
      <w:r w:rsidR="002C61AD" w:rsidRPr="002C61AD">
        <w:t>, 2019</w:t>
      </w:r>
      <w:r w:rsidR="00007596" w:rsidRPr="000B0B07">
        <w:t xml:space="preserve">; </w:t>
      </w:r>
      <w:proofErr w:type="spellStart"/>
      <w:r w:rsidR="000B0B07" w:rsidRPr="000B0B07">
        <w:t>Langbaum</w:t>
      </w:r>
      <w:proofErr w:type="spellEnd"/>
      <w:r w:rsidR="00007596" w:rsidRPr="000B0B07">
        <w:t xml:space="preserve"> et al., 2020).</w:t>
      </w:r>
      <w:r w:rsidR="00007596">
        <w:t xml:space="preserve"> Although associative memory tasks are less naturalistic than everyday memory </w:t>
      </w:r>
      <w:r w:rsidR="00007596">
        <w:lastRenderedPageBreak/>
        <w:t>experiences, they provide a more construct-pure assessment of episodic memory by isolating relational binding processes (</w:t>
      </w:r>
      <w:r w:rsidR="00007596" w:rsidRPr="009E7DBF">
        <w:t>Sharma et al., 2025),</w:t>
      </w:r>
      <w:r w:rsidR="00007596">
        <w:t xml:space="preserve"> while ecologically valid measures such as the </w:t>
      </w:r>
      <w:proofErr w:type="spellStart"/>
      <w:r w:rsidR="00007596">
        <w:t>Rivermead</w:t>
      </w:r>
      <w:proofErr w:type="spellEnd"/>
      <w:r w:rsidR="00007596">
        <w:t xml:space="preserve"> Behavioural Memory Test – despite not being episodic-specific – capture everyday memory functioning; combining both would allow future studies to balance mechanistic specificity with real-world relevance </w:t>
      </w:r>
      <w:r w:rsidR="00007596" w:rsidRPr="0080738F">
        <w:t>(Patino &amp; Ferreira, 2018).</w:t>
      </w:r>
      <w:r w:rsidR="00007596">
        <w:t xml:space="preserve"> </w:t>
      </w:r>
    </w:p>
    <w:p w14:paraId="0F8464CF" w14:textId="4CB8C843" w:rsidR="00007596" w:rsidRDefault="00007596" w:rsidP="00E37B3F">
      <w:pPr>
        <w:spacing w:line="360" w:lineRule="auto"/>
        <w:jc w:val="both"/>
        <w:rPr>
          <w:b/>
          <w:bCs/>
        </w:rPr>
      </w:pPr>
      <w:r>
        <w:rPr>
          <w:b/>
          <w:bCs/>
        </w:rPr>
        <w:t>Stimulation parameters</w:t>
      </w:r>
    </w:p>
    <w:p w14:paraId="38419AA9" w14:textId="67C009A0" w:rsidR="00007596" w:rsidRDefault="00007596" w:rsidP="00E37B3F">
      <w:pPr>
        <w:spacing w:line="360" w:lineRule="auto"/>
        <w:jc w:val="both"/>
      </w:pPr>
      <w:r>
        <w:t xml:space="preserve">High-frequency stimulation at 20Hz was selected, a protocol commonly associated with excitatory effects and enhanced synaptic plasticity, and one that </w:t>
      </w:r>
      <w:r w:rsidR="005147E1">
        <w:t>has</w:t>
      </w:r>
      <w:r>
        <w:t xml:space="preserve"> previously been </w:t>
      </w:r>
      <w:r w:rsidRPr="00E91C68">
        <w:t xml:space="preserve">shown to yield cognitive benefits in memory-related neuromodulation studies (Koch et al., 2018; </w:t>
      </w:r>
      <w:r w:rsidR="005043C9" w:rsidRPr="00E91C68">
        <w:t xml:space="preserve">Yao </w:t>
      </w:r>
      <w:r w:rsidRPr="00E91C68">
        <w:t xml:space="preserve">et al., 2023; </w:t>
      </w:r>
      <w:r w:rsidR="00E91C68" w:rsidRPr="00E91C68">
        <w:t>Zhang</w:t>
      </w:r>
      <w:r w:rsidRPr="00E91C68">
        <w:t xml:space="preserve"> et al., 2025).</w:t>
      </w:r>
      <w:r>
        <w:t xml:space="preserve"> However, the exclusive use of a single stimulation frequency limits interpretation of whether the observed behavioural and neural effects are specific to beta-band modulation or instead reflect more general effects of increased cortical </w:t>
      </w:r>
      <w:r w:rsidRPr="00E91C68">
        <w:t>excitability (</w:t>
      </w:r>
      <w:r w:rsidR="00E91C68" w:rsidRPr="00E91C68">
        <w:t xml:space="preserve">Zhang </w:t>
      </w:r>
      <w:r w:rsidRPr="00E91C68">
        <w:t>et al., 2025).</w:t>
      </w:r>
      <w:r>
        <w:t xml:space="preserve"> </w:t>
      </w:r>
    </w:p>
    <w:p w14:paraId="23BCE784" w14:textId="013246C3" w:rsidR="00007596" w:rsidRDefault="00007596" w:rsidP="00E37B3F">
      <w:pPr>
        <w:spacing w:line="360" w:lineRule="auto"/>
        <w:jc w:val="both"/>
      </w:pPr>
      <w:r>
        <w:t>This limitation is important because the authors interpret changes in beta-band activity as a key mechanism underlying memory improvement. Without a comparison condition, it remains unclear whether beta oscillations play a causal role in driving these effects or whether similar improvements would emerge with alternative stimulation parameters (</w:t>
      </w:r>
      <w:r w:rsidR="00E91C68" w:rsidRPr="00E91C68">
        <w:t>Zhang</w:t>
      </w:r>
      <w:r w:rsidRPr="00E91C68">
        <w:t xml:space="preserve"> et al., 2025).</w:t>
      </w:r>
      <w:r>
        <w:t xml:space="preserve"> As a result, while the findings demonstrate that </w:t>
      </w:r>
      <w:proofErr w:type="spellStart"/>
      <w:r>
        <w:t>rTMS</w:t>
      </w:r>
      <w:proofErr w:type="spellEnd"/>
      <w:r>
        <w:t xml:space="preserve"> can influence memory </w:t>
      </w:r>
      <w:r w:rsidRPr="00F952C8">
        <w:t>performance, they provide more limited evidence regarding frequency-specific mechanisms (</w:t>
      </w:r>
      <w:r w:rsidR="00F952C8" w:rsidRPr="00F952C8">
        <w:t>de Goede</w:t>
      </w:r>
      <w:r w:rsidRPr="00F952C8">
        <w:t xml:space="preserve"> et al., 2020; </w:t>
      </w:r>
      <w:r w:rsidR="00A9545B" w:rsidRPr="00A9545B">
        <w:t>Pei</w:t>
      </w:r>
      <w:r w:rsidRPr="00A9545B">
        <w:t xml:space="preserve"> et al., 202</w:t>
      </w:r>
      <w:r w:rsidR="00A9545B" w:rsidRPr="00A9545B">
        <w:t>2</w:t>
      </w:r>
      <w:r>
        <w:t xml:space="preserve">). </w:t>
      </w:r>
    </w:p>
    <w:p w14:paraId="6BDE6913" w14:textId="38CF04BB" w:rsidR="00007596" w:rsidRDefault="00007596" w:rsidP="00E37B3F">
      <w:pPr>
        <w:spacing w:line="360" w:lineRule="auto"/>
        <w:jc w:val="both"/>
      </w:pPr>
      <w:r>
        <w:t xml:space="preserve">The most feasible methodological improvement would have been the inclusion of a </w:t>
      </w:r>
      <w:r w:rsidR="00A70B5E">
        <w:t xml:space="preserve">single comparison frequency, such as low-frequency stimulation (e.g., 1Hz), which would allow differentiation between frequency-specific effects of 20 Hz stimulation and more general </w:t>
      </w:r>
      <w:proofErr w:type="spellStart"/>
      <w:r w:rsidR="00A70B5E">
        <w:t>neuromodulatory</w:t>
      </w:r>
      <w:proofErr w:type="spellEnd"/>
      <w:r w:rsidR="00A70B5E">
        <w:t xml:space="preserve"> influences (</w:t>
      </w:r>
      <w:r w:rsidR="00E91C68" w:rsidRPr="00E91C68">
        <w:t>Zhang</w:t>
      </w:r>
      <w:r w:rsidR="00A70B5E" w:rsidRPr="00E91C68">
        <w:t xml:space="preserve"> et al., 2025; </w:t>
      </w:r>
      <w:proofErr w:type="spellStart"/>
      <w:r w:rsidR="00A70B5E" w:rsidRPr="007E6662">
        <w:t>Somaa</w:t>
      </w:r>
      <w:proofErr w:type="spellEnd"/>
      <w:r w:rsidR="00A70B5E" w:rsidRPr="007E6662">
        <w:t xml:space="preserve"> et al., 2022).</w:t>
      </w:r>
      <w:r w:rsidR="00A70B5E">
        <w:t xml:space="preserve"> Importantly, this modification could be implemented using the same equipment, stimulation site, and outcome measures, without substantially increasing participant burden or study complexity, thereby strengthening mechanistic interpretation while remaining realistic for early-phase clinical </w:t>
      </w:r>
      <w:r w:rsidR="00A70B5E" w:rsidRPr="00557356">
        <w:t>research (Capili &amp; Anastasi, 2025</w:t>
      </w:r>
      <w:r w:rsidR="00A70B5E">
        <w:t xml:space="preserve">). </w:t>
      </w:r>
    </w:p>
    <w:p w14:paraId="3C279416" w14:textId="633CF12F" w:rsidR="00A70B5E" w:rsidRDefault="00A70B5E" w:rsidP="00E37B3F">
      <w:pPr>
        <w:spacing w:line="360" w:lineRule="auto"/>
        <w:jc w:val="both"/>
        <w:rPr>
          <w:b/>
          <w:bCs/>
        </w:rPr>
      </w:pPr>
      <w:r w:rsidRPr="00A70B5E">
        <w:rPr>
          <w:b/>
          <w:bCs/>
        </w:rPr>
        <w:t>Neurophysiological measures</w:t>
      </w:r>
    </w:p>
    <w:p w14:paraId="1F2CF6FB" w14:textId="6AC3703A" w:rsidR="00A70B5E" w:rsidRDefault="00A70B5E" w:rsidP="00E37B3F">
      <w:pPr>
        <w:spacing w:line="360" w:lineRule="auto"/>
        <w:jc w:val="both"/>
      </w:pPr>
      <w:r>
        <w:lastRenderedPageBreak/>
        <w:t>Neurophysiological changes were assessed using combined transcranial magnetic stimulation and electroencephalography (TMS-EEG), a technique that offers excellent temporal resolution and enables direct measurement of stimulation-induced cortical reactivity and oscillatory dynamics (</w:t>
      </w:r>
      <w:r w:rsidR="00F952C8" w:rsidRPr="00F952C8">
        <w:t>de Goede</w:t>
      </w:r>
      <w:r w:rsidRPr="00F952C8">
        <w:t xml:space="preserve"> et al., 2020; </w:t>
      </w:r>
      <w:r w:rsidR="00A9545B" w:rsidRPr="00F952C8">
        <w:t>Pei</w:t>
      </w:r>
      <w:r w:rsidR="00A9545B" w:rsidRPr="00A9545B">
        <w:t xml:space="preserve"> </w:t>
      </w:r>
      <w:r w:rsidRPr="00A9545B">
        <w:t>et al., 202</w:t>
      </w:r>
      <w:r w:rsidR="00A9545B" w:rsidRPr="00A9545B">
        <w:t>2</w:t>
      </w:r>
      <w:r w:rsidRPr="00A9545B">
        <w:t>).</w:t>
      </w:r>
      <w:r>
        <w:t xml:space="preserve"> This represents a key methodological strength, as the study’s mechanistic claims centre on frequency-specific neural processes, particularly beta-band modulation and altered network synchronisation within the default mode network. EEG directly captures neural </w:t>
      </w:r>
      <w:r w:rsidR="00FA0A1B">
        <w:t>oscillations on the millisecond timescale at which memory-related network communication occurs, making it well suited to addressing the study’s theoretical aims (</w:t>
      </w:r>
      <w:r w:rsidR="00F952C8" w:rsidRPr="00F952C8">
        <w:t>de Goede</w:t>
      </w:r>
      <w:r w:rsidR="00FA0A1B" w:rsidRPr="00F952C8">
        <w:t xml:space="preserve"> et al., 2020; </w:t>
      </w:r>
      <w:r w:rsidR="00A9545B" w:rsidRPr="00A9545B">
        <w:t>Pei</w:t>
      </w:r>
      <w:r w:rsidR="00FA0A1B" w:rsidRPr="00A9545B">
        <w:t xml:space="preserve"> et al., 202</w:t>
      </w:r>
      <w:r w:rsidR="00A9545B" w:rsidRPr="00A9545B">
        <w:t>2</w:t>
      </w:r>
      <w:r w:rsidR="00FA0A1B">
        <w:t xml:space="preserve">). </w:t>
      </w:r>
    </w:p>
    <w:p w14:paraId="32415DE4" w14:textId="138A3DB4" w:rsidR="00FA0A1B" w:rsidRDefault="00FA0A1B" w:rsidP="00E37B3F">
      <w:pPr>
        <w:spacing w:line="360" w:lineRule="auto"/>
        <w:jc w:val="both"/>
      </w:pPr>
      <w:r>
        <w:t xml:space="preserve">In addition, TMS-EEG enables causal inference by combining targeted neural perturbation with concurrent measurement of neural responses, providing stronger </w:t>
      </w:r>
      <w:r w:rsidRPr="007B3CFA">
        <w:t xml:space="preserve">evidence for stimulation-related effects than passive recording methods </w:t>
      </w:r>
      <w:r w:rsidRPr="00F952C8">
        <w:t>alone (</w:t>
      </w:r>
      <w:r w:rsidR="00F952C8" w:rsidRPr="00F952C8">
        <w:t>de Goede</w:t>
      </w:r>
      <w:r w:rsidRPr="00F952C8">
        <w:t xml:space="preserve"> et al., 2020). This is particularly advantageous in early-stage Alzheimer’s disease,</w:t>
      </w:r>
      <w:r>
        <w:t xml:space="preserve"> where feasibility, participant burden, and altered neurovascular coupling can limit the interpretability of haemodynamic measures such as functional MRI (</w:t>
      </w:r>
      <w:r w:rsidRPr="002C61AD">
        <w:t xml:space="preserve">Burle et al., 2015; </w:t>
      </w:r>
      <w:r w:rsidRPr="00B7069D">
        <w:t>Tremblay et al., 2019).</w:t>
      </w:r>
      <w:r>
        <w:t xml:space="preserve"> </w:t>
      </w:r>
    </w:p>
    <w:p w14:paraId="3745737B" w14:textId="53D484FE" w:rsidR="00DD2049" w:rsidRDefault="00FA0A1B" w:rsidP="00E37B3F">
      <w:pPr>
        <w:spacing w:line="360" w:lineRule="auto"/>
        <w:jc w:val="both"/>
      </w:pPr>
      <w:r>
        <w:t xml:space="preserve">Although functional MRI provides superior spatial localisation and is better suited for mapping whole-brain network engagement and activity within deeper structures such as the hippocampus, it measures haemodynamic responses that indirectly reflect neural activity and lacks sensitivity to fast oscillatory dynamics </w:t>
      </w:r>
      <w:r w:rsidRPr="002C61AD">
        <w:t xml:space="preserve">(Burle et al., </w:t>
      </w:r>
      <w:r w:rsidR="0080738F" w:rsidRPr="002C61AD">
        <w:t>2015</w:t>
      </w:r>
      <w:r w:rsidR="0080738F">
        <w:t xml:space="preserve">; </w:t>
      </w:r>
      <w:r w:rsidRPr="00B7069D">
        <w:t>Tremblay et al., 2019). Consequently, while fMRI would offer more precise spatial validation of default</w:t>
      </w:r>
      <w:r>
        <w:t xml:space="preserve"> mode network involvement, TMS-EEG is better aligned with the present study’s focus </w:t>
      </w:r>
      <w:r w:rsidR="00DD2049">
        <w:t xml:space="preserve">on frequency-specific, causal effects of </w:t>
      </w:r>
      <w:proofErr w:type="spellStart"/>
      <w:r w:rsidR="00DD2049">
        <w:t>rTMS</w:t>
      </w:r>
      <w:proofErr w:type="spellEnd"/>
      <w:r w:rsidR="00DD2049">
        <w:t xml:space="preserve"> and represents the most appropriate and feasible neurophysiological technique in this context (</w:t>
      </w:r>
      <w:r w:rsidR="00F952C8" w:rsidRPr="00F952C8">
        <w:t>de Goede</w:t>
      </w:r>
      <w:r w:rsidR="00DD2049" w:rsidRPr="00F952C8">
        <w:t xml:space="preserve"> et al., 2020; </w:t>
      </w:r>
      <w:r w:rsidR="00A9545B" w:rsidRPr="00F952C8">
        <w:t>Pei</w:t>
      </w:r>
      <w:r w:rsidR="00DD2049" w:rsidRPr="00A9545B">
        <w:t xml:space="preserve"> et al., 202</w:t>
      </w:r>
      <w:r w:rsidR="00A9545B" w:rsidRPr="00A9545B">
        <w:t>2</w:t>
      </w:r>
      <w:r w:rsidR="00DD2049" w:rsidRPr="00A9545B">
        <w:t>).</w:t>
      </w:r>
      <w:r w:rsidR="00DD2049">
        <w:t xml:space="preserve"> </w:t>
      </w:r>
    </w:p>
    <w:p w14:paraId="4E2A91E4" w14:textId="41C76FBA" w:rsidR="00DD2049" w:rsidRDefault="00DD2049" w:rsidP="00E37B3F">
      <w:pPr>
        <w:spacing w:line="360" w:lineRule="auto"/>
        <w:jc w:val="both"/>
      </w:pPr>
      <w:r>
        <w:t>Nevertheless, TMS-EEG has inherent limitations. EEG provides relatively limited spatial resolution and cannot reliably confirm engagement of deeper memory-related structures (</w:t>
      </w:r>
      <w:r w:rsidRPr="002C61AD">
        <w:t>Burle et al., 2015</w:t>
      </w:r>
      <w:r>
        <w:t>). Moreover, observed oscillatory changes cannot be assumed to be functionally causal for behaviour improvement, as they may reflect secondary or compensatory neural responses to stimulation (</w:t>
      </w:r>
      <w:r w:rsidR="00F952C8" w:rsidRPr="00E91C68">
        <w:t>de Goede</w:t>
      </w:r>
      <w:r w:rsidRPr="00E91C68">
        <w:t xml:space="preserve"> et al., 2020; </w:t>
      </w:r>
      <w:r w:rsidR="00E91C68" w:rsidRPr="00E91C68">
        <w:t>Zhang</w:t>
      </w:r>
      <w:r w:rsidRPr="00E91C68">
        <w:t xml:space="preserve"> et al., </w:t>
      </w:r>
      <w:r w:rsidRPr="00E91C68">
        <w:lastRenderedPageBreak/>
        <w:t>2025). Accordingly, conclusions regarding the causal role of beta-band modulation in memory improvement should remain cautious (</w:t>
      </w:r>
      <w:r w:rsidR="00E91C68" w:rsidRPr="00E91C68">
        <w:t>Zhang</w:t>
      </w:r>
      <w:r w:rsidRPr="00E91C68">
        <w:t xml:space="preserve"> et al., 2025).</w:t>
      </w:r>
      <w:r>
        <w:t xml:space="preserve"> </w:t>
      </w:r>
    </w:p>
    <w:p w14:paraId="2E160B42" w14:textId="0A0C6020" w:rsidR="00DD2049" w:rsidRDefault="00DD2049" w:rsidP="00E37B3F">
      <w:pPr>
        <w:spacing w:line="360" w:lineRule="auto"/>
        <w:jc w:val="both"/>
        <w:rPr>
          <w:b/>
          <w:bCs/>
        </w:rPr>
      </w:pPr>
      <w:r>
        <w:rPr>
          <w:b/>
          <w:bCs/>
        </w:rPr>
        <w:t>Procedure</w:t>
      </w:r>
    </w:p>
    <w:p w14:paraId="2F983D39" w14:textId="66B66546" w:rsidR="00DD2049" w:rsidRPr="00DB670C" w:rsidRDefault="00DD2049" w:rsidP="00E37B3F">
      <w:pPr>
        <w:spacing w:line="360" w:lineRule="auto"/>
        <w:jc w:val="both"/>
      </w:pPr>
      <w:r>
        <w:t xml:space="preserve">Participants completed a structured sequence of stimulation and assessment sessions. Following baseline neuropsychological and neurophysiological assessment, participants underwent a two-week course of </w:t>
      </w:r>
      <w:proofErr w:type="spellStart"/>
      <w:r>
        <w:t>neuronavigated</w:t>
      </w:r>
      <w:proofErr w:type="spellEnd"/>
      <w:r>
        <w:t xml:space="preserve"> repetitive transcranial magnetic stimulation (</w:t>
      </w:r>
      <w:proofErr w:type="spellStart"/>
      <w:r>
        <w:t>rTMS</w:t>
      </w:r>
      <w:proofErr w:type="spellEnd"/>
      <w:r>
        <w:t xml:space="preserve">) targeting the </w:t>
      </w:r>
      <w:proofErr w:type="spellStart"/>
      <w:r>
        <w:t>precuneus</w:t>
      </w:r>
      <w:proofErr w:type="spellEnd"/>
      <w:r>
        <w:t xml:space="preserve">. Stimulation was delivered daily across ten sessions scheduled on consecutive </w:t>
      </w:r>
      <w:r w:rsidRPr="00DB670C">
        <w:t xml:space="preserve">weekdays (Koch et al., 2018). Participants were randomly assigned to receive either active </w:t>
      </w:r>
      <w:proofErr w:type="spellStart"/>
      <w:r w:rsidRPr="00DB670C">
        <w:t>rTMS</w:t>
      </w:r>
      <w:proofErr w:type="spellEnd"/>
      <w:r w:rsidRPr="00DB670C">
        <w:t xml:space="preserve"> or sham stimulation during the first treatment phase, followed by a </w:t>
      </w:r>
      <w:r w:rsidR="00614C25" w:rsidRPr="00DB670C">
        <w:t xml:space="preserve">washout period before crossover to the alternate condition (Koch et al., 2018; Capili &amp; Anastasi, 2025). </w:t>
      </w:r>
    </w:p>
    <w:p w14:paraId="1441B9B9" w14:textId="6CF23B7B" w:rsidR="00614C25" w:rsidRDefault="00614C25" w:rsidP="00E37B3F">
      <w:pPr>
        <w:spacing w:line="360" w:lineRule="auto"/>
        <w:jc w:val="both"/>
      </w:pPr>
      <w:r w:rsidRPr="00DB670C">
        <w:t>Neuropsychological testing and TMS-EEG recordings were conducted</w:t>
      </w:r>
      <w:r>
        <w:t xml:space="preserve"> immediately before and after each </w:t>
      </w:r>
      <w:r w:rsidRPr="00DB670C">
        <w:t>stimulation phase, enabling within-subject comparison of behavioural and neural changes (Koch et al., 2018).</w:t>
      </w:r>
      <w:r>
        <w:t xml:space="preserve"> This repeated-measures approach represents a procedural strength, as it reduces inter-individual variability and increases sensitivity to stimulation-related effects (</w:t>
      </w:r>
      <w:r w:rsidRPr="00557356">
        <w:t>Capili &amp; Anastasi, 2025</w:t>
      </w:r>
      <w:r>
        <w:t xml:space="preserve">). Consistent use of </w:t>
      </w:r>
      <w:proofErr w:type="spellStart"/>
      <w:r>
        <w:t>neuronavigation</w:t>
      </w:r>
      <w:proofErr w:type="spellEnd"/>
      <w:r>
        <w:t xml:space="preserve"> across sessions further enhanced procedural reliability by maintaining stable coil placement over time (</w:t>
      </w:r>
      <w:r w:rsidRPr="00557356">
        <w:t>Caulfield et al., 2022</w:t>
      </w:r>
      <w:r>
        <w:t xml:space="preserve">). </w:t>
      </w:r>
    </w:p>
    <w:p w14:paraId="54CCC0E4" w14:textId="02052449" w:rsidR="00614C25" w:rsidRDefault="00614C25" w:rsidP="00E37B3F">
      <w:pPr>
        <w:spacing w:line="360" w:lineRule="auto"/>
        <w:jc w:val="both"/>
      </w:pPr>
      <w:r>
        <w:t>A further procedural limitation concerns control of participant state across repeated sessions. Cognitive performance and neurophysiological responses may be influenced by factors such as fatigue, sleep quality, medication timing, and time of day, particularly in older clinical populations, and this variability can disproportionately affect small samples (</w:t>
      </w:r>
      <w:r w:rsidRPr="007E6662">
        <w:t xml:space="preserve">Tipton et </w:t>
      </w:r>
      <w:r w:rsidRPr="00E91C68">
        <w:t>al., 2017;</w:t>
      </w:r>
      <w:r w:rsidR="00E91C68">
        <w:t xml:space="preserve"> </w:t>
      </w:r>
      <w:r w:rsidR="00E91C68" w:rsidRPr="00E91C68">
        <w:t>Schuster</w:t>
      </w:r>
      <w:r w:rsidRPr="00E91C68">
        <w:t xml:space="preserve"> et al., 2021</w:t>
      </w:r>
      <w:r>
        <w:t>). Although sessions were scheduled consistently, the absence of explicit reporting on state standardisation introduces potential uncontrolled variability that may obscure small treatment effects (</w:t>
      </w:r>
      <w:r w:rsidRPr="007E6662">
        <w:t>Tipton et al., 2017).</w:t>
      </w:r>
      <w:r>
        <w:t xml:space="preserve"> </w:t>
      </w:r>
    </w:p>
    <w:p w14:paraId="1B29A65F" w14:textId="2A5C952F" w:rsidR="00614C25" w:rsidRDefault="00614C25" w:rsidP="00E37B3F">
      <w:pPr>
        <w:spacing w:line="360" w:lineRule="auto"/>
        <w:jc w:val="both"/>
      </w:pPr>
      <w:r>
        <w:t xml:space="preserve">Repeated exposure to stimulation and testing procedures may also influence participant engagement </w:t>
      </w:r>
      <w:r w:rsidR="007B3CFA">
        <w:t xml:space="preserve">or expectancy. Familiarity with the experimental context could alter task strategies or effort independently of </w:t>
      </w:r>
      <w:proofErr w:type="spellStart"/>
      <w:r w:rsidR="007B3CFA" w:rsidRPr="0080738F">
        <w:t>neuromodulatory</w:t>
      </w:r>
      <w:proofErr w:type="spellEnd"/>
      <w:r w:rsidR="007B3CFA" w:rsidRPr="0080738F">
        <w:t xml:space="preserve"> change (Johnson &amp; Goebel, 2023). While double-binding reduces this risk, it cannot fully eliminate expectancy-related </w:t>
      </w:r>
      <w:r w:rsidR="007B3CFA" w:rsidRPr="0080738F">
        <w:lastRenderedPageBreak/>
        <w:t xml:space="preserve">influences in repeated-measures protocols (Johnson &amp; Goebel, 2023). Several procedural refinements could have mitigated these limitations. Standardising session timing more </w:t>
      </w:r>
      <w:proofErr w:type="spellStart"/>
      <w:r w:rsidR="007B3CFA" w:rsidRPr="0080738F">
        <w:t>explicity</w:t>
      </w:r>
      <w:proofErr w:type="spellEnd"/>
      <w:r w:rsidR="007B3CFA" w:rsidRPr="0080738F">
        <w:t xml:space="preserve"> and monitoring participant state variables, such as sleep or fatigue, would reduce non-specific variability (</w:t>
      </w:r>
      <w:r w:rsidR="00E91C68" w:rsidRPr="0080738F">
        <w:t>Schuster</w:t>
      </w:r>
      <w:r w:rsidR="007B3CFA" w:rsidRPr="0080738F">
        <w:t xml:space="preserve"> et al., 2021). The use of alternate cognitive task version across sessions and formal assessment of binding integrity would further minimise practice and expectancy effects (Johnson &amp; Goebel, 2023; </w:t>
      </w:r>
      <w:r w:rsidR="007E6662" w:rsidRPr="0080738F">
        <w:t>Tipton</w:t>
      </w:r>
      <w:r w:rsidR="007E6662" w:rsidRPr="007E6662">
        <w:t xml:space="preserve"> </w:t>
      </w:r>
      <w:r w:rsidR="007B3CFA" w:rsidRPr="007E6662">
        <w:t>et al., 2017). Additionally, inclusion of delayed follow-up assessments would help distinguish</w:t>
      </w:r>
      <w:r w:rsidR="007B3CFA">
        <w:t xml:space="preserve"> transient stimulation effects from more durable cognitive </w:t>
      </w:r>
      <w:r w:rsidR="007B3CFA" w:rsidRPr="00E91C68">
        <w:t>changes (</w:t>
      </w:r>
      <w:r w:rsidR="00E91C68" w:rsidRPr="00E91C68">
        <w:t xml:space="preserve">Zhang </w:t>
      </w:r>
      <w:r w:rsidR="007B3CFA" w:rsidRPr="00E91C68">
        <w:t>et al., 2025).</w:t>
      </w:r>
      <w:r w:rsidR="007B3CFA">
        <w:t xml:space="preserve"> Collectively, these refinements would enhance procedural precision, interpretability, and confidence in the observed outcomes without substantially increasing participant burden (</w:t>
      </w:r>
      <w:r w:rsidR="007B3CFA" w:rsidRPr="00557356">
        <w:t>Capili &amp; Anastasi, 2025</w:t>
      </w:r>
      <w:r w:rsidR="007B3CFA">
        <w:t xml:space="preserve">). </w:t>
      </w:r>
    </w:p>
    <w:p w14:paraId="4734200A" w14:textId="18BD48C4" w:rsidR="00F426A9" w:rsidRDefault="00F426A9" w:rsidP="00E37B3F">
      <w:pPr>
        <w:spacing w:line="360" w:lineRule="auto"/>
        <w:jc w:val="both"/>
        <w:rPr>
          <w:b/>
          <w:bCs/>
        </w:rPr>
      </w:pPr>
      <w:r>
        <w:rPr>
          <w:b/>
          <w:bCs/>
        </w:rPr>
        <w:t>Results</w:t>
      </w:r>
    </w:p>
    <w:p w14:paraId="1D4AFB15" w14:textId="79A9AB6C" w:rsidR="00F426A9" w:rsidRDefault="00F426A9" w:rsidP="00E37B3F">
      <w:pPr>
        <w:spacing w:line="360" w:lineRule="auto"/>
        <w:jc w:val="both"/>
      </w:pPr>
      <w:r>
        <w:t xml:space="preserve">The results indicate a selective behavioural effect of </w:t>
      </w:r>
      <w:proofErr w:type="spellStart"/>
      <w:r>
        <w:t>precuneus-trageted</w:t>
      </w:r>
      <w:proofErr w:type="spellEnd"/>
      <w:r>
        <w:t xml:space="preserve"> </w:t>
      </w:r>
      <w:proofErr w:type="spellStart"/>
      <w:r>
        <w:t>rTMS</w:t>
      </w:r>
      <w:proofErr w:type="spellEnd"/>
      <w:r>
        <w:t xml:space="preserve"> on episodic memory performance. A significant time x treatment interaction was observed for delayed recall on the Rey Auditory Verbal Learning Test, with improvement following active </w:t>
      </w:r>
      <w:proofErr w:type="spellStart"/>
      <w:r>
        <w:t>rTMS</w:t>
      </w:r>
      <w:proofErr w:type="spellEnd"/>
      <w:r>
        <w:t xml:space="preserve"> but not sham stimulation </w:t>
      </w:r>
      <w:r w:rsidRPr="00DB670C">
        <w:t xml:space="preserve">(Koch et al., 2018). The absence of significant effects on immediate recall, executive function, attention, or global cognition suggests a degree of cognitive </w:t>
      </w:r>
      <w:r w:rsidR="00B745D4" w:rsidRPr="00DB670C">
        <w:t>specificity,</w:t>
      </w:r>
      <w:r w:rsidRPr="00DB670C">
        <w:t xml:space="preserve"> supporting the authors’ claim that stimulation effects were domain-limited rather than global (Koch et al., 2018).</w:t>
      </w:r>
      <w:r>
        <w:t xml:space="preserve"> </w:t>
      </w:r>
    </w:p>
    <w:p w14:paraId="70E0996B" w14:textId="38A68DC5" w:rsidR="00F426A9" w:rsidRDefault="00F426A9" w:rsidP="00E37B3F">
      <w:pPr>
        <w:spacing w:line="360" w:lineRule="auto"/>
        <w:jc w:val="both"/>
      </w:pPr>
      <w:r>
        <w:t>However, the robustness and clinical relevance of this behavioural effect warrant cautious interpretation. The absolute improvement in delayed recall was modest, and no effect sizes or minimal clinically important differences were reported, limiting assessment of practical significance (</w:t>
      </w:r>
      <w:r w:rsidRPr="007E6662">
        <w:t>Tipton et al., 2017;</w:t>
      </w:r>
      <w:r w:rsidR="00E91C68">
        <w:t xml:space="preserve"> </w:t>
      </w:r>
      <w:r w:rsidR="00E91C68" w:rsidRPr="00E91C68">
        <w:t>Schuster</w:t>
      </w:r>
      <w:r w:rsidRPr="00E91C68">
        <w:t xml:space="preserve"> et al., 2021). In</w:t>
      </w:r>
      <w:r>
        <w:t xml:space="preserve"> a small sample, statistically significant findings are particularly vulnerable to effect size inflation and instability (</w:t>
      </w:r>
      <w:r w:rsidRPr="007E6662">
        <w:t>Tipton et al., 2017</w:t>
      </w:r>
      <w:r w:rsidRPr="00E91C68">
        <w:t xml:space="preserve">; </w:t>
      </w:r>
      <w:r w:rsidR="00E91C68" w:rsidRPr="00E91C68">
        <w:t>Schuster</w:t>
      </w:r>
      <w:r w:rsidRPr="00E91C68">
        <w:t xml:space="preserve"> et al., 2021). Moreover</w:t>
      </w:r>
      <w:r>
        <w:t>, reliance on a single behavioural outcome demonstrating significance increases the risk that the effect reflects task-</w:t>
      </w:r>
      <w:r w:rsidRPr="000B0B07">
        <w:t xml:space="preserve">specific sensitivity rather than broader enhancement of episodic memory (Bielak </w:t>
      </w:r>
      <w:r w:rsidR="002C61AD" w:rsidRPr="000B0B07">
        <w:t xml:space="preserve">&amp; </w:t>
      </w:r>
      <w:proofErr w:type="spellStart"/>
      <w:r w:rsidR="002C61AD" w:rsidRPr="000B0B07">
        <w:t>Anstay</w:t>
      </w:r>
      <w:proofErr w:type="spellEnd"/>
      <w:r w:rsidR="002C61AD" w:rsidRPr="000B0B07">
        <w:t>,</w:t>
      </w:r>
      <w:r w:rsidRPr="000B0B07">
        <w:t xml:space="preserve"> 2019; </w:t>
      </w:r>
      <w:proofErr w:type="spellStart"/>
      <w:r w:rsidR="000B0B07" w:rsidRPr="000B0B07">
        <w:t>Langbaum</w:t>
      </w:r>
      <w:proofErr w:type="spellEnd"/>
      <w:r w:rsidRPr="000B0B07">
        <w:t xml:space="preserve"> et al., 2020).</w:t>
      </w:r>
      <w:r>
        <w:t xml:space="preserve"> </w:t>
      </w:r>
    </w:p>
    <w:p w14:paraId="29A4FE1B" w14:textId="14C35E61" w:rsidR="00065EF0" w:rsidRDefault="00F426A9" w:rsidP="00E37B3F">
      <w:pPr>
        <w:spacing w:line="360" w:lineRule="auto"/>
        <w:jc w:val="both"/>
      </w:pPr>
      <w:r>
        <w:t xml:space="preserve">Neurophysiological findings partially converge with behavioural outcomes, demonstrating increased TMS-evoked cortical </w:t>
      </w:r>
      <w:r w:rsidR="00065EF0">
        <w:t xml:space="preserve">activity and enhanced </w:t>
      </w:r>
      <w:r w:rsidR="004002FB">
        <w:t>beta-band</w:t>
      </w:r>
      <w:r w:rsidR="00065EF0">
        <w:t xml:space="preserve"> </w:t>
      </w:r>
      <w:r w:rsidR="00065EF0" w:rsidRPr="00DB670C">
        <w:lastRenderedPageBreak/>
        <w:t xml:space="preserve">oscillatory power and synchronisation following active </w:t>
      </w:r>
      <w:proofErr w:type="spellStart"/>
      <w:r w:rsidR="00065EF0" w:rsidRPr="00DB670C">
        <w:t>rTMS</w:t>
      </w:r>
      <w:proofErr w:type="spellEnd"/>
      <w:r w:rsidR="00065EF0" w:rsidRPr="00DB670C">
        <w:t xml:space="preserve"> of the </w:t>
      </w:r>
      <w:proofErr w:type="spellStart"/>
      <w:r w:rsidR="00065EF0" w:rsidRPr="00DB670C">
        <w:t>precuneus</w:t>
      </w:r>
      <w:proofErr w:type="spellEnd"/>
      <w:r w:rsidR="00065EF0" w:rsidRPr="00DB670C">
        <w:t xml:space="preserve"> (Koch et al., 2018; </w:t>
      </w:r>
      <w:r w:rsidR="00F952C8" w:rsidRPr="00F952C8">
        <w:t>de Goede</w:t>
      </w:r>
      <w:r w:rsidR="00065EF0" w:rsidRPr="00F952C8">
        <w:t xml:space="preserve"> et al., 2020</w:t>
      </w:r>
      <w:r w:rsidR="00065EF0">
        <w:t xml:space="preserve">). The spatial specificity of these effects – absent during sham stimulation and lateral posterior parietal cortex </w:t>
      </w:r>
      <w:r w:rsidR="00B745D4">
        <w:t xml:space="preserve">stimulation – strengthens the interpretation that neural changes were stimulation-site dependent rather than attributable to nonspecific arousal or placebo </w:t>
      </w:r>
      <w:r w:rsidR="00B745D4" w:rsidRPr="0080738F">
        <w:t xml:space="preserve">effects (Johnson &amp; </w:t>
      </w:r>
      <w:r w:rsidR="00065EF0" w:rsidRPr="0080738F">
        <w:t xml:space="preserve">Goebel, 2023; </w:t>
      </w:r>
      <w:r w:rsidR="00065EF0" w:rsidRPr="00DB670C">
        <w:t>Koch et al., 2018). The use of cluster-based permutation statistics further represents</w:t>
      </w:r>
      <w:r w:rsidR="00065EF0">
        <w:t xml:space="preserve"> a methodological strength, reducing the likelihood of false-positive EEG findings (</w:t>
      </w:r>
      <w:r w:rsidR="00F952C8" w:rsidRPr="00F952C8">
        <w:t>de Goede</w:t>
      </w:r>
      <w:r w:rsidR="00065EF0" w:rsidRPr="00F952C8">
        <w:t xml:space="preserve"> et al., 2020).</w:t>
      </w:r>
      <w:r w:rsidR="00065EF0">
        <w:t xml:space="preserve"> </w:t>
      </w:r>
    </w:p>
    <w:p w14:paraId="18F1E112" w14:textId="67E78CCE" w:rsidR="004F43C8" w:rsidRDefault="004F43C8" w:rsidP="00E37B3F">
      <w:pPr>
        <w:spacing w:line="360" w:lineRule="auto"/>
        <w:jc w:val="both"/>
      </w:pPr>
      <w:r>
        <w:t xml:space="preserve">Despite this convergence, several inconsistencies limit mechanistic inference. Resting-state EEG analyses revealed no significant changes across frequency bands, suggesting that </w:t>
      </w:r>
      <w:proofErr w:type="spellStart"/>
      <w:r>
        <w:t>rTMS</w:t>
      </w:r>
      <w:proofErr w:type="spellEnd"/>
      <w:r>
        <w:t xml:space="preserve"> effects may be transient and task-evoked rather than reflecting sustained alterations in baseline network dynamics (</w:t>
      </w:r>
      <w:r w:rsidRPr="00DB670C">
        <w:t xml:space="preserve">Koch et al., 2018; </w:t>
      </w:r>
      <w:r w:rsidR="00F952C8" w:rsidRPr="00F952C8">
        <w:t>de Goede</w:t>
      </w:r>
      <w:r w:rsidRPr="00F952C8">
        <w:t xml:space="preserve"> et al., 2020).</w:t>
      </w:r>
      <w:r>
        <w:t xml:space="preserve"> This dissociation constrains claims regarding durable default mode network reorganisation and instead points toward short-term neural </w:t>
      </w:r>
      <w:r w:rsidRPr="00E91C68">
        <w:t>entrainment (</w:t>
      </w:r>
      <w:r w:rsidR="00E91C68" w:rsidRPr="00E91C68">
        <w:t>Zhang</w:t>
      </w:r>
      <w:r w:rsidRPr="00E91C68">
        <w:t xml:space="preserve"> et al., 2025).</w:t>
      </w:r>
      <w:r>
        <w:t xml:space="preserve"> </w:t>
      </w:r>
    </w:p>
    <w:p w14:paraId="2D1E8F6C" w14:textId="03FE460C" w:rsidR="004F43C8" w:rsidRDefault="004F43C8" w:rsidP="00E37B3F">
      <w:pPr>
        <w:spacing w:line="360" w:lineRule="auto"/>
        <w:jc w:val="both"/>
      </w:pPr>
      <w:r>
        <w:t xml:space="preserve">Critically, no significant correlations were observed between behavioural improvement and neurophysiological </w:t>
      </w:r>
      <w:r w:rsidRPr="00DB670C">
        <w:t>measures (Koch et al., 2018).</w:t>
      </w:r>
      <w:r>
        <w:t xml:space="preserve"> Without evidence that individuals exhibiting greater beta-band modulation also demonstrated larger memory gains, it </w:t>
      </w:r>
      <w:r w:rsidR="00B745D4">
        <w:t>remains unclear</w:t>
      </w:r>
      <w:r>
        <w:t xml:space="preserve"> whether observed neural changes directly underpin behavioural improvement or reflect parallel, epiphenomenal responses to stimulation (</w:t>
      </w:r>
      <w:r w:rsidR="00F952C8" w:rsidRPr="00F952C8">
        <w:t xml:space="preserve">de Goede </w:t>
      </w:r>
      <w:r w:rsidRPr="00F952C8">
        <w:t xml:space="preserve">et </w:t>
      </w:r>
      <w:r w:rsidRPr="00E91C68">
        <w:t xml:space="preserve">al., 2020; </w:t>
      </w:r>
      <w:r w:rsidR="00E91C68" w:rsidRPr="00E91C68">
        <w:t>Zhang</w:t>
      </w:r>
      <w:r w:rsidRPr="00E91C68">
        <w:t xml:space="preserve"> et al., 2025). This</w:t>
      </w:r>
      <w:r>
        <w:t xml:space="preserve"> absence of brain-behaviour coupling weakens causal claims linking </w:t>
      </w:r>
      <w:proofErr w:type="spellStart"/>
      <w:r>
        <w:t>precuneus</w:t>
      </w:r>
      <w:proofErr w:type="spellEnd"/>
      <w:r>
        <w:t xml:space="preserve"> beta-band modulation to episodic memory enhancement </w:t>
      </w:r>
      <w:r w:rsidRPr="00E91C68">
        <w:t>(</w:t>
      </w:r>
      <w:r w:rsidR="00E91C68" w:rsidRPr="00E91C68">
        <w:t>Zhang</w:t>
      </w:r>
      <w:r w:rsidRPr="00E91C68">
        <w:t xml:space="preserve"> et al., 2025).</w:t>
      </w:r>
    </w:p>
    <w:p w14:paraId="652724A3" w14:textId="4F24CE9D" w:rsidR="00B745D4" w:rsidRDefault="00B745D4" w:rsidP="00E37B3F">
      <w:pPr>
        <w:spacing w:line="360" w:lineRule="auto"/>
        <w:jc w:val="both"/>
      </w:pPr>
      <w:r>
        <w:t>Finally, the selectivity of statistically significant findings raises concerns regarding multiplicity and outcome dependence. Of the multiple behavioural and neural outcomes assessed, only delayed recall showed a significant behavioural effect. In the absence of clearly specified primary outcomes or correction across behavioural domains, the risk remains that the observed effect reflects chance sensitivity within a single measure rather than robust cognitive enhancement (</w:t>
      </w:r>
      <w:r w:rsidRPr="007E6662">
        <w:t xml:space="preserve">Tipton et al., 2017; Haucke et al., 2021). Overall, the results provide preliminary evidence that high-frequency </w:t>
      </w:r>
      <w:proofErr w:type="spellStart"/>
      <w:r w:rsidRPr="007E6662">
        <w:t>rTMS</w:t>
      </w:r>
      <w:proofErr w:type="spellEnd"/>
      <w:r w:rsidRPr="007E6662">
        <w:t xml:space="preserve"> of the </w:t>
      </w:r>
      <w:proofErr w:type="spellStart"/>
      <w:r w:rsidRPr="007E6662">
        <w:t>precuneus</w:t>
      </w:r>
      <w:proofErr w:type="spellEnd"/>
      <w:r w:rsidRPr="007E6662">
        <w:t xml:space="preserve"> can induce selective memory-related behavioural and neurophysiological changes in early Alzheimer’s disease, but the small sample and limited mechanistic </w:t>
      </w:r>
      <w:r w:rsidRPr="007E6662">
        <w:lastRenderedPageBreak/>
        <w:t xml:space="preserve">linkage constrain the strength of causal conclusions (Tipton et al., 2017; </w:t>
      </w:r>
      <w:r w:rsidR="00E91C68" w:rsidRPr="00E91C68">
        <w:t>Zhang</w:t>
      </w:r>
      <w:r w:rsidRPr="00E91C68">
        <w:t xml:space="preserve"> et al., 2025).</w:t>
      </w:r>
      <w:r>
        <w:t xml:space="preserve"> </w:t>
      </w:r>
    </w:p>
    <w:p w14:paraId="29C933C3" w14:textId="61F269DB" w:rsidR="00B745D4" w:rsidRDefault="00EE2DFE" w:rsidP="00E37B3F">
      <w:pPr>
        <w:spacing w:line="360" w:lineRule="auto"/>
        <w:jc w:val="both"/>
        <w:rPr>
          <w:b/>
          <w:bCs/>
        </w:rPr>
      </w:pPr>
      <w:r>
        <w:rPr>
          <w:b/>
          <w:bCs/>
        </w:rPr>
        <w:t>Critical evaluation of the authors’ discussion (Koch et al., 2018)</w:t>
      </w:r>
    </w:p>
    <w:p w14:paraId="785BE5CF" w14:textId="15EB69AD" w:rsidR="00EE2DFE" w:rsidRPr="00DB670C" w:rsidRDefault="00EE2DFE" w:rsidP="00E37B3F">
      <w:pPr>
        <w:spacing w:line="360" w:lineRule="auto"/>
        <w:jc w:val="both"/>
      </w:pPr>
      <w:r w:rsidRPr="00DB670C">
        <w:t xml:space="preserve">Koch et al., (2018) interpret their findings as evidence that </w:t>
      </w:r>
      <w:proofErr w:type="gramStart"/>
      <w:r w:rsidRPr="00DB670C">
        <w:t>high-frequency</w:t>
      </w:r>
      <w:proofErr w:type="gramEnd"/>
      <w:r w:rsidRPr="00DB670C">
        <w:t xml:space="preserve"> </w:t>
      </w:r>
      <w:proofErr w:type="spellStart"/>
      <w:r w:rsidRPr="00DB670C">
        <w:t>rTMS</w:t>
      </w:r>
      <w:proofErr w:type="spellEnd"/>
      <w:r w:rsidRPr="00DB670C">
        <w:t xml:space="preserve"> applied to the </w:t>
      </w:r>
      <w:proofErr w:type="spellStart"/>
      <w:r w:rsidRPr="00DB670C">
        <w:t>precuneus</w:t>
      </w:r>
      <w:proofErr w:type="spellEnd"/>
      <w:r w:rsidRPr="00DB670C">
        <w:t xml:space="preserve"> can selectively enhance episodic memory and modulate default mode network (DMN) activity in early Alzheimer’s disease. This interpretation is partially supported by a significant time x treatment interaction for delayed recall, with improvement following active </w:t>
      </w:r>
      <w:proofErr w:type="spellStart"/>
      <w:r w:rsidRPr="00DB670C">
        <w:t>rTMS</w:t>
      </w:r>
      <w:proofErr w:type="spellEnd"/>
      <w:r w:rsidRPr="00DB670C">
        <w:t xml:space="preserve"> but not sham </w:t>
      </w:r>
      <w:r w:rsidR="00F86783" w:rsidRPr="00DB670C">
        <w:t>stimulation</w:t>
      </w:r>
      <w:r w:rsidR="004002FB" w:rsidRPr="00DB670C">
        <w:t xml:space="preserve"> (Koch et al., 2018).</w:t>
      </w:r>
    </w:p>
    <w:p w14:paraId="2D009A8B" w14:textId="65B17284" w:rsidR="00EB09E2" w:rsidRDefault="004002FB" w:rsidP="00E37B3F">
      <w:pPr>
        <w:spacing w:line="360" w:lineRule="auto"/>
        <w:jc w:val="both"/>
      </w:pPr>
      <w:r w:rsidRPr="00DB670C">
        <w:t xml:space="preserve">However, the strength of this behavioural effect </w:t>
      </w:r>
      <w:r w:rsidR="00EB09E2" w:rsidRPr="00DB670C">
        <w:t>should be interpreted cautiously.</w:t>
      </w:r>
      <w:r w:rsidR="00EB09E2">
        <w:t xml:space="preserve"> The reported improvement corresponded to an average increase of approximately 0.8 recalled items on delayed recall, and no effect sizes were reported. Given the small sample size (n=14), this raises concerns regarding statistical stability and potential effect size inflation (</w:t>
      </w:r>
      <w:r w:rsidR="00EB09E2" w:rsidRPr="007E6662">
        <w:t xml:space="preserve">Tipton et al., 2017; </w:t>
      </w:r>
      <w:r w:rsidR="00E91C68" w:rsidRPr="00E91C68">
        <w:t>Schuster</w:t>
      </w:r>
      <w:r w:rsidR="00EB09E2" w:rsidRPr="00E91C68">
        <w:t xml:space="preserve"> et al., 2021).</w:t>
      </w:r>
      <w:r w:rsidR="00EB09E2">
        <w:t xml:space="preserve"> </w:t>
      </w:r>
    </w:p>
    <w:p w14:paraId="63582A25" w14:textId="62B55002" w:rsidR="00EB09E2" w:rsidRDefault="00EB09E2" w:rsidP="00E37B3F">
      <w:pPr>
        <w:spacing w:line="360" w:lineRule="auto"/>
        <w:jc w:val="both"/>
      </w:pPr>
      <w:r>
        <w:t xml:space="preserve">The authors further argue that behavioural improvement were underpinned by neurophysiological changes within </w:t>
      </w:r>
      <w:proofErr w:type="spellStart"/>
      <w:r>
        <w:t>precuneus</w:t>
      </w:r>
      <w:proofErr w:type="spellEnd"/>
      <w:r>
        <w:t xml:space="preserve">-centred networks. This is supported by TMS-EEG findings showing increased TMS-evoked cortical activity and enhanced beta-band oscillatory power and phase synchronisation following active </w:t>
      </w:r>
      <w:proofErr w:type="spellStart"/>
      <w:r>
        <w:t>rTMS</w:t>
      </w:r>
      <w:proofErr w:type="spellEnd"/>
      <w:r>
        <w:t>, absent under sham and control-site stimulation (</w:t>
      </w:r>
      <w:r w:rsidRPr="00DB670C">
        <w:t xml:space="preserve">Koch et al., 2018; </w:t>
      </w:r>
      <w:r w:rsidR="00F952C8" w:rsidRPr="00F952C8">
        <w:t>de Goede</w:t>
      </w:r>
      <w:r w:rsidRPr="00F952C8">
        <w:t xml:space="preserve"> et al., 2020). Nevertheless</w:t>
      </w:r>
      <w:r>
        <w:t xml:space="preserve">, mechanistic inference remains limited because no significant correlations were observed between memory improvements and neurophysiological measures </w:t>
      </w:r>
      <w:r w:rsidRPr="00DB670C">
        <w:t>(Koch et al., 2018). Without evidence of brain-behaviour coupling, it remains unclear whether</w:t>
      </w:r>
      <w:r>
        <w:t xml:space="preserve"> neurophysiological </w:t>
      </w:r>
      <w:r w:rsidRPr="00E91C68">
        <w:t>changes mediated behavioural gains or reflected parallel stimulation effects (</w:t>
      </w:r>
      <w:r w:rsidR="00F952C8" w:rsidRPr="00E91C68">
        <w:t>de Goede</w:t>
      </w:r>
      <w:r w:rsidRPr="00E91C68">
        <w:t xml:space="preserve"> </w:t>
      </w:r>
      <w:r w:rsidR="00DB3CCE" w:rsidRPr="00E91C68">
        <w:t>et</w:t>
      </w:r>
      <w:r w:rsidRPr="00E91C68">
        <w:t xml:space="preserve"> al., 2020; </w:t>
      </w:r>
      <w:r w:rsidR="00E91C68" w:rsidRPr="00E91C68">
        <w:t>Zhang</w:t>
      </w:r>
      <w:r w:rsidRPr="00E91C68">
        <w:t xml:space="preserve"> et al., 2025).</w:t>
      </w:r>
    </w:p>
    <w:p w14:paraId="7D9AB9F3" w14:textId="4B21D23A" w:rsidR="00DB3CCE" w:rsidRDefault="00DB3CCE" w:rsidP="00E37B3F">
      <w:pPr>
        <w:spacing w:line="360" w:lineRule="auto"/>
        <w:jc w:val="both"/>
      </w:pPr>
      <w:r>
        <w:t xml:space="preserve">In addition, resting-state EEG showed no significant changes, suggesting effects may be </w:t>
      </w:r>
      <w:r w:rsidRPr="00DB670C">
        <w:t xml:space="preserve">transient or task-locked rather than reflecting sustained DMN reorganisation (Koch et al., 2018; </w:t>
      </w:r>
      <w:r w:rsidR="00F952C8">
        <w:t xml:space="preserve">de </w:t>
      </w:r>
      <w:r w:rsidR="00F952C8" w:rsidRPr="00F952C8">
        <w:t>Goede</w:t>
      </w:r>
      <w:r w:rsidRPr="00F952C8">
        <w:t xml:space="preserve"> et al., 2020).</w:t>
      </w:r>
      <w:r>
        <w:t xml:space="preserve"> Finally, while the authors propose that </w:t>
      </w:r>
      <w:proofErr w:type="spellStart"/>
      <w:r>
        <w:t>rTMS</w:t>
      </w:r>
      <w:proofErr w:type="spellEnd"/>
      <w:r>
        <w:t xml:space="preserve"> may slow cognitive decline, the design does not permit such inference given the short duration and lack of follow-up (</w:t>
      </w:r>
      <w:r w:rsidR="00E91C68" w:rsidRPr="00E91C68">
        <w:t>Zhang</w:t>
      </w:r>
      <w:r w:rsidRPr="00E91C68">
        <w:t xml:space="preserve"> et al., 2025).</w:t>
      </w:r>
      <w:r>
        <w:t xml:space="preserve"> The results are best interpreted as proof-of-concept evidence rather than therapeutic efficacy.</w:t>
      </w:r>
    </w:p>
    <w:p w14:paraId="2DF65E74" w14:textId="2A628AE4" w:rsidR="00DB3CCE" w:rsidRDefault="00DB3CCE" w:rsidP="00E37B3F">
      <w:pPr>
        <w:spacing w:line="360" w:lineRule="auto"/>
        <w:jc w:val="both"/>
        <w:rPr>
          <w:b/>
          <w:bCs/>
        </w:rPr>
      </w:pPr>
      <w:r>
        <w:rPr>
          <w:b/>
          <w:bCs/>
        </w:rPr>
        <w:lastRenderedPageBreak/>
        <w:t>Overall conclusion and future directions</w:t>
      </w:r>
    </w:p>
    <w:p w14:paraId="7027E16A" w14:textId="5F4D1F29" w:rsidR="00DB3CCE" w:rsidRDefault="00DB3CCE" w:rsidP="00E37B3F">
      <w:pPr>
        <w:spacing w:line="360" w:lineRule="auto"/>
        <w:jc w:val="both"/>
      </w:pPr>
      <w:r w:rsidRPr="00DB670C">
        <w:t>Koch et al. (2018)</w:t>
      </w:r>
      <w:r>
        <w:t xml:space="preserve"> present a methodologically rigorous and theoretically motivated investigation into </w:t>
      </w:r>
      <w:proofErr w:type="gramStart"/>
      <w:r>
        <w:t>high-frequency</w:t>
      </w:r>
      <w:proofErr w:type="gramEnd"/>
      <w:r>
        <w:t xml:space="preserve"> </w:t>
      </w:r>
      <w:proofErr w:type="spellStart"/>
      <w:r>
        <w:t>rTMS</w:t>
      </w:r>
      <w:proofErr w:type="spellEnd"/>
      <w:r>
        <w:t xml:space="preserve"> targeting the </w:t>
      </w:r>
      <w:proofErr w:type="spellStart"/>
      <w:r>
        <w:t>precuneus</w:t>
      </w:r>
      <w:proofErr w:type="spellEnd"/>
      <w:r>
        <w:t xml:space="preserve"> to modulate episodic memory and DMN activity in early Alzheimer’s disease. By integrating a double-blind, randomised, sham-controlled crossover</w:t>
      </w:r>
      <w:r w:rsidR="00665AC2">
        <w:t xml:space="preserve"> </w:t>
      </w:r>
      <w:r>
        <w:t xml:space="preserve">design with </w:t>
      </w:r>
      <w:proofErr w:type="spellStart"/>
      <w:r>
        <w:t>neuronavigation</w:t>
      </w:r>
      <w:proofErr w:type="spellEnd"/>
      <w:r>
        <w:t xml:space="preserve"> and combined behavioural/neurophysiological assessment, the study provides proof-of-concept evidence that the </w:t>
      </w:r>
      <w:proofErr w:type="spellStart"/>
      <w:r>
        <w:t>precuneus</w:t>
      </w:r>
      <w:proofErr w:type="spellEnd"/>
      <w:r>
        <w:t xml:space="preserve"> is a viable target for network-based </w:t>
      </w:r>
      <w:r w:rsidRPr="00DB670C">
        <w:t>neuromodulation (Koch et al., 2018; Millet et al., 2023).</w:t>
      </w:r>
    </w:p>
    <w:p w14:paraId="3797E84F" w14:textId="64EAA6F3" w:rsidR="00DB3CCE" w:rsidRDefault="00DB3CCE" w:rsidP="00E37B3F">
      <w:pPr>
        <w:spacing w:line="360" w:lineRule="auto"/>
        <w:jc w:val="both"/>
      </w:pPr>
      <w:r>
        <w:t xml:space="preserve">The study partially achieves its aims: delayed episodic memory improved </w:t>
      </w:r>
      <w:r w:rsidR="00E91C68">
        <w:t>selectively after</w:t>
      </w:r>
      <w:r>
        <w:t xml:space="preserve"> active </w:t>
      </w:r>
      <w:proofErr w:type="spellStart"/>
      <w:r>
        <w:t>rTMS</w:t>
      </w:r>
      <w:proofErr w:type="spellEnd"/>
      <w:r>
        <w:t>, and TMS-EEG showed increased evoked activity and beta-band synchronisation (</w:t>
      </w:r>
      <w:r w:rsidRPr="00DB670C">
        <w:t xml:space="preserve">Koch et al., 2018; </w:t>
      </w:r>
      <w:r w:rsidR="00F952C8" w:rsidRPr="00F952C8">
        <w:t>de Goede</w:t>
      </w:r>
      <w:r w:rsidRPr="00F952C8">
        <w:t xml:space="preserve"> et al., 2020</w:t>
      </w:r>
      <w:r>
        <w:t xml:space="preserve">). However, the </w:t>
      </w:r>
      <w:r w:rsidR="00E91C68">
        <w:t>behavioural</w:t>
      </w:r>
      <w:r>
        <w:t xml:space="preserve"> effect </w:t>
      </w:r>
      <w:r w:rsidR="00E91C68">
        <w:t>was</w:t>
      </w:r>
      <w:r>
        <w:t xml:space="preserve"> modest, </w:t>
      </w:r>
      <w:r w:rsidR="00E91C68">
        <w:t>short-term</w:t>
      </w:r>
      <w:r>
        <w:t>, and not accompanied by effect sizes or clinical significance estimates, while absent brain-behaviour coupling and null resting-state changes constrain mechanistic inference (</w:t>
      </w:r>
      <w:r w:rsidRPr="007E6662">
        <w:t xml:space="preserve">Tipton </w:t>
      </w:r>
      <w:r w:rsidRPr="00E91C68">
        <w:t>et al., 2017;</w:t>
      </w:r>
      <w:r w:rsidR="00E91C68" w:rsidRPr="00E91C68">
        <w:t xml:space="preserve"> Zhang</w:t>
      </w:r>
      <w:r w:rsidRPr="00E91C68">
        <w:t xml:space="preserve"> et al., 2025). Accordingly, the findings are best interpreted</w:t>
      </w:r>
      <w:r w:rsidR="00E91C68" w:rsidRPr="00E91C68">
        <w:t xml:space="preserve"> </w:t>
      </w:r>
      <w:r w:rsidRPr="00E91C68">
        <w:t xml:space="preserve">as exploratory and hypothesis-generating rather than clinically confirmatory (Haucke et al., 2021; </w:t>
      </w:r>
      <w:r w:rsidR="00E91C68" w:rsidRPr="00E91C68">
        <w:t>Zhang</w:t>
      </w:r>
      <w:r w:rsidRPr="00E91C68">
        <w:t xml:space="preserve"> et al., 2025).</w:t>
      </w:r>
      <w:r>
        <w:t xml:space="preserve"> </w:t>
      </w:r>
    </w:p>
    <w:p w14:paraId="39BB9383" w14:textId="146147AC" w:rsidR="00DB3CCE" w:rsidRDefault="008475C7" w:rsidP="00E37B3F">
      <w:pPr>
        <w:spacing w:line="360" w:lineRule="auto"/>
        <w:jc w:val="both"/>
      </w:pPr>
      <w:r>
        <w:t xml:space="preserve">Future work should use larger </w:t>
      </w:r>
      <w:r w:rsidR="00665AC2">
        <w:t>parallel-group trials, pre-specify primary outcomes, include process-pure episodic memory tasks, and prioritise linking neural modulation to behavioural change (</w:t>
      </w:r>
      <w:r w:rsidR="00665AC2" w:rsidRPr="00192D7D">
        <w:t xml:space="preserve">Haucke et al., </w:t>
      </w:r>
      <w:r w:rsidR="00665AC2" w:rsidRPr="000B0B07">
        <w:t xml:space="preserve">2021; </w:t>
      </w:r>
      <w:proofErr w:type="spellStart"/>
      <w:r w:rsidR="000B0B07" w:rsidRPr="000B0B07">
        <w:t>Langbaum</w:t>
      </w:r>
      <w:proofErr w:type="spellEnd"/>
      <w:r w:rsidR="00665AC2" w:rsidRPr="000B0B07">
        <w:t xml:space="preserve"> et al., 2020; </w:t>
      </w:r>
      <w:r w:rsidR="00E91C68" w:rsidRPr="000B0B07">
        <w:t>Zhang</w:t>
      </w:r>
      <w:r w:rsidR="00665AC2" w:rsidRPr="00E91C68">
        <w:t xml:space="preserve"> et al., 2025). Incorporating electric-field modelling and longer follow-up/maintenance schedules would clarify dose-response relationships and durability (Caulfield et al., 2022; </w:t>
      </w:r>
      <w:r w:rsidR="00E91C68" w:rsidRPr="00E91C68">
        <w:t>Zhang</w:t>
      </w:r>
      <w:r w:rsidR="00665AC2" w:rsidRPr="00E91C68">
        <w:t xml:space="preserve"> et al., 2025). Multimodal approaches may also help map how local stimulation produces</w:t>
      </w:r>
      <w:r w:rsidR="00665AC2">
        <w:t xml:space="preserve"> distributed network effects, while acknowledging feasibility constraints in AD cohorts </w:t>
      </w:r>
      <w:r w:rsidR="00665AC2" w:rsidRPr="00B7069D">
        <w:t>(Tremblay et al., 2019).</w:t>
      </w:r>
      <w:r w:rsidR="00665AC2">
        <w:t xml:space="preserve"> </w:t>
      </w:r>
    </w:p>
    <w:p w14:paraId="0C14831E" w14:textId="77777777" w:rsidR="00EB36E8" w:rsidRDefault="00EB36E8" w:rsidP="00E37B3F">
      <w:pPr>
        <w:spacing w:line="360" w:lineRule="auto"/>
        <w:jc w:val="both"/>
      </w:pPr>
    </w:p>
    <w:p w14:paraId="5A5C07C5" w14:textId="77777777" w:rsidR="00EB36E8" w:rsidRDefault="00EB36E8" w:rsidP="00E37B3F">
      <w:pPr>
        <w:spacing w:line="360" w:lineRule="auto"/>
        <w:jc w:val="both"/>
      </w:pPr>
    </w:p>
    <w:p w14:paraId="64A7B42B" w14:textId="77777777" w:rsidR="00EB36E8" w:rsidRDefault="00EB36E8" w:rsidP="00E37B3F">
      <w:pPr>
        <w:spacing w:line="360" w:lineRule="auto"/>
        <w:jc w:val="both"/>
      </w:pPr>
    </w:p>
    <w:p w14:paraId="7606232B" w14:textId="77777777" w:rsidR="00EB36E8" w:rsidRDefault="00EB36E8" w:rsidP="00E37B3F">
      <w:pPr>
        <w:spacing w:line="360" w:lineRule="auto"/>
        <w:jc w:val="both"/>
      </w:pPr>
    </w:p>
    <w:p w14:paraId="229704D1" w14:textId="77777777" w:rsidR="00EB36E8" w:rsidRDefault="00EB36E8" w:rsidP="00E37B3F">
      <w:pPr>
        <w:spacing w:line="360" w:lineRule="auto"/>
        <w:jc w:val="both"/>
      </w:pPr>
    </w:p>
    <w:p w14:paraId="28243626" w14:textId="77777777" w:rsidR="00EB36E8" w:rsidRDefault="00EB36E8" w:rsidP="00E37B3F">
      <w:pPr>
        <w:spacing w:line="360" w:lineRule="auto"/>
        <w:jc w:val="both"/>
      </w:pPr>
    </w:p>
    <w:p w14:paraId="38AE74B2" w14:textId="77777777" w:rsidR="00EB36E8" w:rsidRDefault="00EB36E8" w:rsidP="00E37B3F">
      <w:pPr>
        <w:spacing w:line="360" w:lineRule="auto"/>
        <w:jc w:val="both"/>
      </w:pPr>
    </w:p>
    <w:p w14:paraId="2EC08B41" w14:textId="77777777" w:rsidR="00EB36E8" w:rsidRDefault="00EB36E8" w:rsidP="00E37B3F">
      <w:pPr>
        <w:spacing w:line="360" w:lineRule="auto"/>
        <w:jc w:val="both"/>
      </w:pPr>
    </w:p>
    <w:p w14:paraId="5930C3DC" w14:textId="77777777" w:rsidR="00EB36E8" w:rsidRDefault="00EB36E8" w:rsidP="00E37B3F">
      <w:pPr>
        <w:spacing w:line="360" w:lineRule="auto"/>
        <w:jc w:val="both"/>
      </w:pPr>
    </w:p>
    <w:p w14:paraId="4F4E0D65" w14:textId="77777777" w:rsidR="00EB36E8" w:rsidRDefault="00EB36E8" w:rsidP="00E37B3F">
      <w:pPr>
        <w:spacing w:line="360" w:lineRule="auto"/>
        <w:jc w:val="both"/>
      </w:pPr>
    </w:p>
    <w:p w14:paraId="337DC99B" w14:textId="44CE4F7C" w:rsidR="00EB36E8" w:rsidRDefault="00EB36E8" w:rsidP="00E37B3F">
      <w:pPr>
        <w:spacing w:line="360" w:lineRule="auto"/>
        <w:jc w:val="both"/>
        <w:rPr>
          <w:b/>
          <w:bCs/>
        </w:rPr>
      </w:pPr>
      <w:r>
        <w:rPr>
          <w:b/>
          <w:bCs/>
        </w:rPr>
        <w:t>Reference List</w:t>
      </w:r>
    </w:p>
    <w:p w14:paraId="453B2351" w14:textId="555FA6F1" w:rsidR="00C20E52" w:rsidRPr="00C20E52" w:rsidRDefault="00C20E52" w:rsidP="00E37B3F">
      <w:pPr>
        <w:spacing w:line="360" w:lineRule="auto"/>
        <w:jc w:val="both"/>
      </w:pPr>
      <w:proofErr w:type="spellStart"/>
      <w:r>
        <w:t>Afthinos</w:t>
      </w:r>
      <w:proofErr w:type="spellEnd"/>
      <w:r>
        <w:t xml:space="preserve">, A., </w:t>
      </w:r>
      <w:proofErr w:type="spellStart"/>
      <w:r>
        <w:t>Themistocleous</w:t>
      </w:r>
      <w:proofErr w:type="spellEnd"/>
      <w:r>
        <w:t xml:space="preserve">, C., Herrmann, O., Fan, H., Lu, H., &amp; </w:t>
      </w:r>
      <w:proofErr w:type="spellStart"/>
      <w:r>
        <w:t>Tsapkini</w:t>
      </w:r>
      <w:proofErr w:type="spellEnd"/>
      <w:r>
        <w:t xml:space="preserve">, K. (2022). The Contribution of Working Memory Areas to Verbal Learning and Recall in Primary Progressive Aphasia. </w:t>
      </w:r>
      <w:r>
        <w:rPr>
          <w:i/>
          <w:iCs/>
        </w:rPr>
        <w:t>Frontiers in neurology, 13,</w:t>
      </w:r>
      <w:r>
        <w:t xml:space="preserve"> 698220. </w:t>
      </w:r>
      <w:hyperlink r:id="rId7" w:history="1">
        <w:r w:rsidRPr="001F301A">
          <w:rPr>
            <w:rStyle w:val="Hyperlink"/>
          </w:rPr>
          <w:t>https://doi.org/10.3389/fneur.2022.698200</w:t>
        </w:r>
      </w:hyperlink>
      <w:r>
        <w:t xml:space="preserve">. </w:t>
      </w:r>
    </w:p>
    <w:p w14:paraId="68CF4107" w14:textId="5C766630" w:rsidR="00EB36E8" w:rsidRDefault="00EB36E8" w:rsidP="00E37B3F">
      <w:pPr>
        <w:spacing w:line="360" w:lineRule="auto"/>
        <w:jc w:val="both"/>
      </w:pPr>
      <w:r>
        <w:t xml:space="preserve">Ali, D. G., Bahrani, A. A., Barber, J. M., El </w:t>
      </w:r>
      <w:proofErr w:type="spellStart"/>
      <w:r>
        <w:t>Khouli</w:t>
      </w:r>
      <w:proofErr w:type="spellEnd"/>
      <w:r>
        <w:t xml:space="preserve">, R. H., Gold, B. T., Harp, J. P., Jiang, Y., Wilcock, D.M., &amp; Jicha, G. A. (2022). Amyloid-PET levels in the </w:t>
      </w:r>
      <w:proofErr w:type="spellStart"/>
      <w:r>
        <w:t>precuneus</w:t>
      </w:r>
      <w:proofErr w:type="spellEnd"/>
      <w:r>
        <w:t xml:space="preserve"> and posterior cingulate cortices are associated with executive function scores in</w:t>
      </w:r>
      <w:r>
        <w:rPr>
          <w:b/>
          <w:bCs/>
        </w:rPr>
        <w:t xml:space="preserve"> </w:t>
      </w:r>
      <w:r w:rsidRPr="00EB36E8">
        <w:t xml:space="preserve">preclinical Alzheimer’s </w:t>
      </w:r>
      <w:r>
        <w:t xml:space="preserve">disease prior to overt global amyloid positivity. </w:t>
      </w:r>
      <w:r>
        <w:rPr>
          <w:i/>
          <w:iCs/>
        </w:rPr>
        <w:t>Journal of Alzheimer’s Disease, 88</w:t>
      </w:r>
      <w:r>
        <w:t xml:space="preserve">(3), 112-1135. </w:t>
      </w:r>
      <w:hyperlink r:id="rId8" w:history="1">
        <w:r w:rsidRPr="001F301A">
          <w:rPr>
            <w:rStyle w:val="Hyperlink"/>
          </w:rPr>
          <w:t>https://doi.org/10.3233/JAD-220294</w:t>
        </w:r>
      </w:hyperlink>
    </w:p>
    <w:p w14:paraId="44764736" w14:textId="628DE6A3" w:rsidR="002C7D6A" w:rsidRPr="002C7D6A" w:rsidRDefault="002C7D6A" w:rsidP="00E37B3F">
      <w:pPr>
        <w:spacing w:line="360" w:lineRule="auto"/>
        <w:jc w:val="both"/>
      </w:pPr>
      <w:proofErr w:type="gramStart"/>
      <w:r>
        <w:t>Bielak,  A.</w:t>
      </w:r>
      <w:proofErr w:type="gramEnd"/>
      <w:r>
        <w:t xml:space="preserve"> A. M., &amp; Anstey, K. J. (2019). Covariation of intraindividual variability in cognitive speed and cognitive performance across young, middle, and older adulthood. </w:t>
      </w:r>
      <w:r>
        <w:rPr>
          <w:i/>
          <w:iCs/>
        </w:rPr>
        <w:t>Developmental Psychology, 55</w:t>
      </w:r>
      <w:r>
        <w:t xml:space="preserve">(5), 994-1004. </w:t>
      </w:r>
      <w:hyperlink r:id="rId9" w:history="1">
        <w:r w:rsidRPr="001F301A">
          <w:rPr>
            <w:rStyle w:val="Hyperlink"/>
          </w:rPr>
          <w:t>https://doi.org/10.1037/dev0000688</w:t>
        </w:r>
      </w:hyperlink>
      <w:r>
        <w:t xml:space="preserve"> </w:t>
      </w:r>
    </w:p>
    <w:p w14:paraId="011CEC70" w14:textId="3FC74697" w:rsidR="002C61AD" w:rsidRDefault="002C61AD" w:rsidP="00E37B3F">
      <w:pPr>
        <w:spacing w:line="360" w:lineRule="auto"/>
        <w:jc w:val="both"/>
      </w:pPr>
      <w:r>
        <w:t xml:space="preserve">Burle, B., </w:t>
      </w:r>
      <w:proofErr w:type="spellStart"/>
      <w:r>
        <w:t>Spieser</w:t>
      </w:r>
      <w:proofErr w:type="spellEnd"/>
      <w:r>
        <w:t xml:space="preserve">, L., Roger, C., Casini, L., </w:t>
      </w:r>
      <w:proofErr w:type="spellStart"/>
      <w:r>
        <w:t>Hasbroucq</w:t>
      </w:r>
      <w:proofErr w:type="spellEnd"/>
      <w:r>
        <w:t xml:space="preserve">, T., &amp; Vidal, F. (2015). Spatial and temporal resolutions of EEG: Is it </w:t>
      </w:r>
      <w:proofErr w:type="gramStart"/>
      <w:r>
        <w:t xml:space="preserve">really </w:t>
      </w:r>
      <w:r w:rsidR="002C7D6A">
        <w:t>black</w:t>
      </w:r>
      <w:proofErr w:type="gramEnd"/>
      <w:r w:rsidR="002C7D6A">
        <w:t xml:space="preserve"> and white? A scalp current density view. </w:t>
      </w:r>
      <w:r w:rsidR="002C7D6A">
        <w:rPr>
          <w:i/>
          <w:iCs/>
        </w:rPr>
        <w:t>International journal of psychophysiology: official journal of the International Organization of Psychophysiology, 97</w:t>
      </w:r>
      <w:r w:rsidR="002C7D6A">
        <w:t xml:space="preserve">(3), 210-220. </w:t>
      </w:r>
      <w:hyperlink r:id="rId10" w:history="1">
        <w:r w:rsidR="002C7D6A" w:rsidRPr="001F301A">
          <w:rPr>
            <w:rStyle w:val="Hyperlink"/>
          </w:rPr>
          <w:t>https://doi.org/10.1016/j.ijpsycho.2015.05.004</w:t>
        </w:r>
      </w:hyperlink>
    </w:p>
    <w:p w14:paraId="5BD7435F" w14:textId="37EF93F1" w:rsidR="00A9545B" w:rsidRPr="00A9545B" w:rsidRDefault="00A9545B" w:rsidP="00E37B3F">
      <w:pPr>
        <w:spacing w:line="360" w:lineRule="auto"/>
        <w:jc w:val="both"/>
      </w:pPr>
      <w:proofErr w:type="spellStart"/>
      <w:r>
        <w:t>Cansonni</w:t>
      </w:r>
      <w:proofErr w:type="spellEnd"/>
      <w:r>
        <w:t xml:space="preserve">, M., Rossi, S., Cerami, C., Marcone, A., Iannaccone, S., Francesco Cappa, S., &amp; </w:t>
      </w:r>
      <w:proofErr w:type="spellStart"/>
      <w:r>
        <w:t>Perani</w:t>
      </w:r>
      <w:proofErr w:type="spellEnd"/>
      <w:r>
        <w:t xml:space="preserve">, D. (2017). Executive dysfunction affects work list recall performance: Evidence from amyotrophic lateral sclerosis and other neurodegenerative diseases. </w:t>
      </w:r>
      <w:r>
        <w:rPr>
          <w:i/>
          <w:iCs/>
        </w:rPr>
        <w:t>Journal of neuropsychology, 11</w:t>
      </w:r>
      <w:r>
        <w:t xml:space="preserve">(1), 74-90. </w:t>
      </w:r>
      <w:hyperlink r:id="rId11" w:history="1">
        <w:r w:rsidRPr="001F301A">
          <w:rPr>
            <w:rStyle w:val="Hyperlink"/>
          </w:rPr>
          <w:t>https://doi.org/10.1111/jnp.12072</w:t>
        </w:r>
      </w:hyperlink>
      <w:r>
        <w:t xml:space="preserve"> </w:t>
      </w:r>
    </w:p>
    <w:p w14:paraId="06C98FAB" w14:textId="42926FC6" w:rsidR="00557356" w:rsidRDefault="00557356" w:rsidP="00E37B3F">
      <w:pPr>
        <w:spacing w:line="360" w:lineRule="auto"/>
        <w:jc w:val="both"/>
      </w:pPr>
      <w:r>
        <w:lastRenderedPageBreak/>
        <w:t xml:space="preserve">Capili, B., &amp; Anastasi, J. K. (2024). An Introduction to the Crossover Trial Design. </w:t>
      </w:r>
      <w:r>
        <w:rPr>
          <w:i/>
          <w:iCs/>
        </w:rPr>
        <w:t>The American journal of nursing, 124</w:t>
      </w:r>
      <w:r>
        <w:t xml:space="preserve">(9), 40-43. </w:t>
      </w:r>
      <w:hyperlink r:id="rId12" w:history="1">
        <w:r w:rsidRPr="001F301A">
          <w:rPr>
            <w:rStyle w:val="Hyperlink"/>
          </w:rPr>
          <w:t>https://doi.org/10.1097/01.NAJ.0001050812.23977.85</w:t>
        </w:r>
      </w:hyperlink>
      <w:r>
        <w:t xml:space="preserve"> </w:t>
      </w:r>
    </w:p>
    <w:p w14:paraId="7897CE25" w14:textId="30D5E36A" w:rsidR="00557356" w:rsidRDefault="00557356" w:rsidP="00E37B3F">
      <w:pPr>
        <w:spacing w:line="360" w:lineRule="auto"/>
        <w:jc w:val="both"/>
      </w:pPr>
      <w:r>
        <w:t xml:space="preserve">Caulfield, K. A., Fleischmann, H. H., Cox, C. E., Wolf, J. P., George, M. S., &amp; McTeague, L. M. (2022). </w:t>
      </w:r>
      <w:proofErr w:type="spellStart"/>
      <w:r>
        <w:t>Neuronavigation</w:t>
      </w:r>
      <w:proofErr w:type="spellEnd"/>
      <w:r>
        <w:t xml:space="preserve"> maximizes accuracy and precision in TMS positioning; Evidence from 11,230 distance, angle, and electric field modelling measurements. </w:t>
      </w:r>
      <w:r w:rsidRPr="00557356">
        <w:rPr>
          <w:i/>
          <w:iCs/>
        </w:rPr>
        <w:t>Brain stimulation, 15</w:t>
      </w:r>
      <w:r>
        <w:t xml:space="preserve">(5), 1192-1205. </w:t>
      </w:r>
      <w:hyperlink r:id="rId13" w:history="1">
        <w:r w:rsidRPr="001F301A">
          <w:rPr>
            <w:rStyle w:val="Hyperlink"/>
          </w:rPr>
          <w:t>https://doi.org/10.1016/j.brs.2022.08.013</w:t>
        </w:r>
      </w:hyperlink>
      <w:r>
        <w:t xml:space="preserve"> </w:t>
      </w:r>
    </w:p>
    <w:p w14:paraId="2E660E1F" w14:textId="7FA94225" w:rsidR="00F952C8" w:rsidRPr="00F952C8" w:rsidRDefault="00F952C8" w:rsidP="00E37B3F">
      <w:pPr>
        <w:spacing w:line="360" w:lineRule="auto"/>
        <w:jc w:val="both"/>
      </w:pPr>
      <w:r>
        <w:t xml:space="preserve">de Goede, A. A., Cumplido-Mayoral, I., &amp; van Putten, M. J. A. M. (2020). Spatiotemporal dynamics of single and paired pulse TMS-EEG responses. </w:t>
      </w:r>
      <w:r>
        <w:rPr>
          <w:i/>
          <w:iCs/>
        </w:rPr>
        <w:t>Brain topography, 33</w:t>
      </w:r>
      <w:r>
        <w:t>(4), 425-437. https://doi.org/10.1007/s10548-020-00773-6</w:t>
      </w:r>
    </w:p>
    <w:p w14:paraId="16A838AD" w14:textId="2627D8C9" w:rsidR="00557356" w:rsidRDefault="00557356" w:rsidP="00E37B3F">
      <w:pPr>
        <w:spacing w:line="360" w:lineRule="auto"/>
        <w:jc w:val="both"/>
      </w:pPr>
      <w:r>
        <w:t xml:space="preserve">Donohue, M. C., Sperling, R. A., Salmon. D. P., Rentz, D. M., Raman, R., Thomas, R. G., Weiner, M., Aisen, P. S., </w:t>
      </w:r>
      <w:r w:rsidR="008C1AE7">
        <w:t xml:space="preserve">Australian Imaging, Biomarkers, and Lifestyle Flagship Study of Ageing, Alzheimer’s Disease Neuroimaging Initiative, &amp; Alzheimer’s Disease Cooperative Study (2014). The preclinical Alzheimer cognitive composite: measuring amyloid-related decline. </w:t>
      </w:r>
      <w:r w:rsidR="008C1AE7">
        <w:rPr>
          <w:i/>
          <w:iCs/>
        </w:rPr>
        <w:t>JAMA neurology, 71</w:t>
      </w:r>
      <w:r w:rsidR="008C1AE7">
        <w:t xml:space="preserve">(8), 961-970. </w:t>
      </w:r>
      <w:hyperlink r:id="rId14" w:history="1">
        <w:r w:rsidR="008C1AE7" w:rsidRPr="001F301A">
          <w:rPr>
            <w:rStyle w:val="Hyperlink"/>
          </w:rPr>
          <w:t>https://doi.org/10.1001/jamaneurol.2014.803</w:t>
        </w:r>
      </w:hyperlink>
    </w:p>
    <w:p w14:paraId="718E22FA" w14:textId="51679F99" w:rsidR="008C1AE7" w:rsidRDefault="008C1AE7" w:rsidP="00E37B3F">
      <w:pPr>
        <w:spacing w:line="360" w:lineRule="auto"/>
        <w:jc w:val="both"/>
      </w:pPr>
      <w:r>
        <w:t xml:space="preserve">Dubois, B., Villain, N., Schneider, L., Fox, N., Campbell, N., </w:t>
      </w:r>
      <w:proofErr w:type="spellStart"/>
      <w:r>
        <w:t>Galasko</w:t>
      </w:r>
      <w:proofErr w:type="spellEnd"/>
      <w:r>
        <w:t xml:space="preserve">, D., </w:t>
      </w:r>
      <w:proofErr w:type="spellStart"/>
      <w:r>
        <w:t>Kivipelto</w:t>
      </w:r>
      <w:proofErr w:type="spellEnd"/>
      <w:r>
        <w:t xml:space="preserve">, M., Jessen, F., </w:t>
      </w:r>
      <w:proofErr w:type="spellStart"/>
      <w:r>
        <w:t>Hanseeuw</w:t>
      </w:r>
      <w:proofErr w:type="spellEnd"/>
      <w:r>
        <w:t xml:space="preserve">, B., Boada, M., </w:t>
      </w:r>
      <w:proofErr w:type="spellStart"/>
      <w:r>
        <w:t>Barkhof</w:t>
      </w:r>
      <w:proofErr w:type="spellEnd"/>
      <w:r>
        <w:t xml:space="preserve">, F., Nordberg, A., Froelich, L., Waldemar, G., Frederiksen, K. S., Padovani, A., Planche, V., Rowe, C., </w:t>
      </w:r>
      <w:proofErr w:type="spellStart"/>
      <w:r>
        <w:t>Bejanin</w:t>
      </w:r>
      <w:proofErr w:type="spellEnd"/>
      <w:r>
        <w:t xml:space="preserve">, A., </w:t>
      </w:r>
      <w:proofErr w:type="spellStart"/>
      <w:r>
        <w:t>Ibanex</w:t>
      </w:r>
      <w:proofErr w:type="spellEnd"/>
      <w:r>
        <w:t xml:space="preserve">, A., &amp; </w:t>
      </w:r>
      <w:proofErr w:type="spellStart"/>
      <w:r>
        <w:t>Frisioni</w:t>
      </w:r>
      <w:proofErr w:type="spellEnd"/>
      <w:r>
        <w:t xml:space="preserve">, G. B. (2024). Alzheimer Disease as a Clinical-Biological Construct-An International Working Group Recommendation. </w:t>
      </w:r>
      <w:r>
        <w:rPr>
          <w:i/>
          <w:iCs/>
        </w:rPr>
        <w:t>JAMA neurology, 81</w:t>
      </w:r>
      <w:r w:rsidRPr="00C20E52">
        <w:t xml:space="preserve">(12), 1304-1311. </w:t>
      </w:r>
      <w:hyperlink r:id="rId15" w:history="1">
        <w:r w:rsidRPr="00C20E52">
          <w:rPr>
            <w:rStyle w:val="Hyperlink"/>
          </w:rPr>
          <w:t>https://doi.org/10.100/jamaneurol.2024.3770</w:t>
        </w:r>
      </w:hyperlink>
      <w:r w:rsidRPr="00C20E52">
        <w:t xml:space="preserve">  </w:t>
      </w:r>
    </w:p>
    <w:p w14:paraId="04560312" w14:textId="1D5BB412" w:rsidR="00C20E52" w:rsidRDefault="00C20E52" w:rsidP="00E37B3F">
      <w:pPr>
        <w:spacing w:line="360" w:lineRule="auto"/>
        <w:jc w:val="both"/>
      </w:pPr>
      <w:r>
        <w:t xml:space="preserve">Fischer, L., </w:t>
      </w:r>
      <w:r w:rsidR="00CA5507">
        <w:t xml:space="preserve">Molloy, E. N., </w:t>
      </w:r>
      <w:proofErr w:type="spellStart"/>
      <w:r w:rsidR="00CA5507">
        <w:t>Pichet</w:t>
      </w:r>
      <w:proofErr w:type="spellEnd"/>
      <w:r w:rsidR="00CA5507">
        <w:t xml:space="preserve"> Binette, A., </w:t>
      </w:r>
      <w:proofErr w:type="spellStart"/>
      <w:r w:rsidR="00CA5507">
        <w:t>Vockert</w:t>
      </w:r>
      <w:proofErr w:type="spellEnd"/>
      <w:r w:rsidR="00CA5507">
        <w:t xml:space="preserve">, N., Marquardt, J., Pacha Pilar, A., </w:t>
      </w:r>
      <w:proofErr w:type="spellStart"/>
      <w:r w:rsidR="00CA5507">
        <w:t>Kreissl</w:t>
      </w:r>
      <w:proofErr w:type="spellEnd"/>
      <w:r w:rsidR="00CA5507">
        <w:t xml:space="preserve">, M. C., Remz, J., Tremblay-Mercier, J., Poirier, J., Rajah, M. N., Villeneuve, S., PREVENT-AD Research Group, &amp; Maass, A. (2025). </w:t>
      </w:r>
      <w:proofErr w:type="spellStart"/>
      <w:r w:rsidR="00CA5507">
        <w:t>Precuneus</w:t>
      </w:r>
      <w:proofErr w:type="spellEnd"/>
      <w:r w:rsidR="00CA5507">
        <w:t xml:space="preserve"> Activity during Retrieval Is Positively </w:t>
      </w:r>
      <w:r w:rsidR="00473639">
        <w:t xml:space="preserve">Associated with Amyloid Burden in Cognitively Normal Older </w:t>
      </w:r>
      <w:r w:rsidR="00473639">
        <w:rPr>
          <w:i/>
          <w:iCs/>
        </w:rPr>
        <w:t xml:space="preserve">APOE4 </w:t>
      </w:r>
      <w:r w:rsidR="00473639">
        <w:t xml:space="preserve">Carriers. </w:t>
      </w:r>
      <w:r w:rsidR="00473639">
        <w:rPr>
          <w:i/>
          <w:iCs/>
        </w:rPr>
        <w:t>The Journal of neuroscience: the official journal of the Society for Neuroscience, 45</w:t>
      </w:r>
      <w:r w:rsidR="00473639">
        <w:t xml:space="preserve">(6), e1408242024. </w:t>
      </w:r>
      <w:hyperlink r:id="rId16" w:history="1">
        <w:r w:rsidR="00473639" w:rsidRPr="001F301A">
          <w:rPr>
            <w:rStyle w:val="Hyperlink"/>
          </w:rPr>
          <w:t>https://doi.org/10.1523/JNEUROSCI.1408-24.2024</w:t>
        </w:r>
      </w:hyperlink>
      <w:r w:rsidR="00473639">
        <w:t xml:space="preserve"> </w:t>
      </w:r>
    </w:p>
    <w:p w14:paraId="24947F3D" w14:textId="4287D131" w:rsidR="00473639" w:rsidRDefault="00473639" w:rsidP="00E37B3F">
      <w:pPr>
        <w:spacing w:line="360" w:lineRule="auto"/>
        <w:jc w:val="both"/>
      </w:pPr>
      <w:r>
        <w:lastRenderedPageBreak/>
        <w:t xml:space="preserve">Flanagin, V. L., </w:t>
      </w:r>
      <w:proofErr w:type="spellStart"/>
      <w:r>
        <w:t>Klinkowski</w:t>
      </w:r>
      <w:proofErr w:type="spellEnd"/>
      <w:r>
        <w:t xml:space="preserve">, S., Brodt, S., </w:t>
      </w:r>
      <w:proofErr w:type="spellStart"/>
      <w:r>
        <w:t>Graetsch</w:t>
      </w:r>
      <w:proofErr w:type="spellEnd"/>
      <w:r>
        <w:t xml:space="preserve">, M., Roselli, C., Glasauer, S., &amp; </w:t>
      </w:r>
      <w:proofErr w:type="spellStart"/>
      <w:r>
        <w:t>Gais</w:t>
      </w:r>
      <w:proofErr w:type="spellEnd"/>
      <w:r>
        <w:t xml:space="preserve">, S. (2023). The </w:t>
      </w:r>
      <w:proofErr w:type="spellStart"/>
      <w:r>
        <w:t>precuneus</w:t>
      </w:r>
      <w:proofErr w:type="spellEnd"/>
      <w:r>
        <w:t xml:space="preserve"> as a central node in declarative memory retrieval. </w:t>
      </w:r>
      <w:r>
        <w:rPr>
          <w:i/>
          <w:iCs/>
        </w:rPr>
        <w:t>Cerebral cortex (New York, N.Y.: 1991), 33</w:t>
      </w:r>
      <w:r>
        <w:t xml:space="preserve">(10), 5981-5990. </w:t>
      </w:r>
      <w:hyperlink r:id="rId17" w:history="1">
        <w:r w:rsidRPr="001F301A">
          <w:rPr>
            <w:rStyle w:val="Hyperlink"/>
          </w:rPr>
          <w:t>https://doi.org/10.1093/cercor/bhac476</w:t>
        </w:r>
      </w:hyperlink>
      <w:r>
        <w:t xml:space="preserve"> </w:t>
      </w:r>
    </w:p>
    <w:p w14:paraId="26436FA7" w14:textId="004DFC85" w:rsidR="00192D7D" w:rsidRPr="00192D7D" w:rsidRDefault="00192D7D" w:rsidP="00E37B3F">
      <w:pPr>
        <w:spacing w:line="360" w:lineRule="auto"/>
        <w:jc w:val="both"/>
      </w:pPr>
      <w:r>
        <w:t xml:space="preserve">Gaba, P., &amp; Bhatt, D. L. (2021). Recruitment Practices in </w:t>
      </w:r>
      <w:proofErr w:type="spellStart"/>
      <w:r>
        <w:t>Multicenter</w:t>
      </w:r>
      <w:proofErr w:type="spellEnd"/>
      <w:r>
        <w:t xml:space="preserve"> Randomized Clinical Trials: Time for a Relook. </w:t>
      </w:r>
      <w:r>
        <w:rPr>
          <w:i/>
          <w:iCs/>
        </w:rPr>
        <w:t>Journal of the American Heart Association, 10</w:t>
      </w:r>
      <w:r>
        <w:t xml:space="preserve">(22), e023673. </w:t>
      </w:r>
      <w:hyperlink r:id="rId18" w:history="1">
        <w:r w:rsidRPr="001F301A">
          <w:rPr>
            <w:rStyle w:val="Hyperlink"/>
          </w:rPr>
          <w:t>https://doi.org/10.1161/JAHA.121.023673</w:t>
        </w:r>
      </w:hyperlink>
      <w:r>
        <w:t xml:space="preserve"> </w:t>
      </w:r>
    </w:p>
    <w:p w14:paraId="68FBDDCD" w14:textId="6A16F383" w:rsidR="00192D7D" w:rsidRDefault="00192D7D" w:rsidP="00E37B3F">
      <w:pPr>
        <w:spacing w:line="360" w:lineRule="auto"/>
        <w:jc w:val="both"/>
      </w:pPr>
      <w:r>
        <w:t xml:space="preserve">GBD 2019 Dementia Forecasting Collaborators (2022). Estimation of the global prevalence of dementia in 2019 and forecasted prevalence in 2050: an analysis for the Global Burden of Disease Study 2019. </w:t>
      </w:r>
      <w:r>
        <w:rPr>
          <w:i/>
          <w:iCs/>
        </w:rPr>
        <w:t>The Lancet. Public Health, 7</w:t>
      </w:r>
      <w:r>
        <w:t xml:space="preserve">(2). E105-e125. </w:t>
      </w:r>
      <w:hyperlink r:id="rId19" w:history="1">
        <w:r w:rsidRPr="001F301A">
          <w:rPr>
            <w:rStyle w:val="Hyperlink"/>
          </w:rPr>
          <w:t>https://doi.org/10.1016/s2468-2667(21)00249-8</w:t>
        </w:r>
      </w:hyperlink>
      <w:r>
        <w:t xml:space="preserve"> </w:t>
      </w:r>
    </w:p>
    <w:p w14:paraId="40151825" w14:textId="3E324DEE" w:rsidR="005147E1" w:rsidRPr="0080738F" w:rsidRDefault="005147E1" w:rsidP="00E37B3F">
      <w:pPr>
        <w:spacing w:line="360" w:lineRule="auto"/>
        <w:jc w:val="both"/>
      </w:pPr>
      <w:r>
        <w:t xml:space="preserve">Gottlieb, A., Kimel-Naor, S., </w:t>
      </w:r>
      <w:proofErr w:type="spellStart"/>
      <w:r>
        <w:t>Zeilig</w:t>
      </w:r>
      <w:proofErr w:type="spellEnd"/>
      <w:r>
        <w:t xml:space="preserve">, G., </w:t>
      </w:r>
      <w:proofErr w:type="spellStart"/>
      <w:r>
        <w:t>Schnaider</w:t>
      </w:r>
      <w:proofErr w:type="spellEnd"/>
      <w:r>
        <w:t xml:space="preserve"> Beeri, M., &amp; Plotnik, M. (2024). Assessment of verbal memory in Parkinson’s disease utilizing a virtual </w:t>
      </w:r>
      <w:r w:rsidR="0080738F">
        <w:t xml:space="preserve">reality-based Rey Auditory Verbal Learning Test. </w:t>
      </w:r>
      <w:r w:rsidR="0080738F">
        <w:rPr>
          <w:i/>
          <w:iCs/>
        </w:rPr>
        <w:t>Scientific reports, 14</w:t>
      </w:r>
      <w:r w:rsidR="0080738F">
        <w:t xml:space="preserve">(1), 21792. </w:t>
      </w:r>
      <w:hyperlink r:id="rId20" w:history="1">
        <w:r w:rsidR="0080738F" w:rsidRPr="001F301A">
          <w:rPr>
            <w:rStyle w:val="Hyperlink"/>
          </w:rPr>
          <w:t>https://doi.org/10.1038/s41598-024-71618-6</w:t>
        </w:r>
      </w:hyperlink>
      <w:r w:rsidR="0080738F">
        <w:t xml:space="preserve"> </w:t>
      </w:r>
    </w:p>
    <w:p w14:paraId="7D7395E1" w14:textId="1117867D" w:rsidR="00192D7D" w:rsidRDefault="00192D7D" w:rsidP="00E37B3F">
      <w:pPr>
        <w:spacing w:line="360" w:lineRule="auto"/>
        <w:jc w:val="both"/>
      </w:pPr>
      <w:r>
        <w:t>Haucke, M., Ho</w:t>
      </w:r>
      <w:r w:rsidR="00C860BA">
        <w:t xml:space="preserve">ekstra, R., &amp; van </w:t>
      </w:r>
      <w:proofErr w:type="spellStart"/>
      <w:r w:rsidR="00C860BA">
        <w:t>Ravenzwaaij</w:t>
      </w:r>
      <w:proofErr w:type="spellEnd"/>
      <w:r w:rsidR="00C860BA">
        <w:t xml:space="preserve">, D. (2021). When numbers </w:t>
      </w:r>
      <w:r w:rsidR="00E915A2">
        <w:t>fail: do</w:t>
      </w:r>
      <w:r w:rsidR="00C860BA">
        <w:t xml:space="preserve"> researchers agree on operationalization of published </w:t>
      </w:r>
      <w:r w:rsidR="0080738F">
        <w:t>research?</w:t>
      </w:r>
      <w:r w:rsidR="00C860BA">
        <w:t xml:space="preserve"> </w:t>
      </w:r>
      <w:r w:rsidR="00C860BA">
        <w:rPr>
          <w:i/>
          <w:iCs/>
        </w:rPr>
        <w:t>Royal Society open science, 8</w:t>
      </w:r>
      <w:r w:rsidR="00C860BA">
        <w:t xml:space="preserve">(9), 191354. </w:t>
      </w:r>
      <w:hyperlink r:id="rId21" w:history="1">
        <w:r w:rsidR="00C860BA" w:rsidRPr="001F301A">
          <w:rPr>
            <w:rStyle w:val="Hyperlink"/>
          </w:rPr>
          <w:t>https://doi.org/10.1098/rsos.191354</w:t>
        </w:r>
      </w:hyperlink>
    </w:p>
    <w:p w14:paraId="38FE8150" w14:textId="5591B405" w:rsidR="00C860BA" w:rsidRDefault="00C860BA" w:rsidP="00E37B3F">
      <w:pPr>
        <w:spacing w:line="360" w:lineRule="auto"/>
        <w:jc w:val="both"/>
      </w:pPr>
      <w:r>
        <w:t xml:space="preserve">Hossain, M. S., &amp; Hussain, M. H. (2025). Multi-target </w:t>
      </w:r>
      <w:r w:rsidR="00151D8C">
        <w:t xml:space="preserve">Drug Design in Alzheimer’s Disease Treatment: Emerging Technologies, Advantages, Challenges, and Limitations. </w:t>
      </w:r>
      <w:r w:rsidR="00151D8C">
        <w:rPr>
          <w:i/>
          <w:iCs/>
        </w:rPr>
        <w:t>Pharmacology research &amp; perspectives, 13</w:t>
      </w:r>
      <w:r w:rsidR="00151D8C">
        <w:t xml:space="preserve">(4), e70131. </w:t>
      </w:r>
      <w:hyperlink r:id="rId22" w:history="1">
        <w:r w:rsidR="00151D8C" w:rsidRPr="001F301A">
          <w:rPr>
            <w:rStyle w:val="Hyperlink"/>
          </w:rPr>
          <w:t>https://doi.org/10.1002/prp2.70131</w:t>
        </w:r>
      </w:hyperlink>
    </w:p>
    <w:p w14:paraId="67BD4E07" w14:textId="6F37157A" w:rsidR="00151D8C" w:rsidRDefault="00151D8C" w:rsidP="00E37B3F">
      <w:pPr>
        <w:spacing w:line="360" w:lineRule="auto"/>
        <w:jc w:val="both"/>
      </w:pPr>
      <w:r>
        <w:t>Jo, D. (2020).</w:t>
      </w:r>
      <w:r w:rsidR="005043C9">
        <w:t xml:space="preserve"> The interpretation bias and trap of </w:t>
      </w:r>
      <w:proofErr w:type="spellStart"/>
      <w:r w:rsidR="005043C9">
        <w:t>multicenter</w:t>
      </w:r>
      <w:proofErr w:type="spellEnd"/>
      <w:r w:rsidR="005043C9">
        <w:t xml:space="preserve"> clinical research. </w:t>
      </w:r>
      <w:r w:rsidR="005043C9">
        <w:rPr>
          <w:i/>
          <w:iCs/>
        </w:rPr>
        <w:t>The Korean journal of pain, 33</w:t>
      </w:r>
      <w:r w:rsidR="005043C9">
        <w:t xml:space="preserve">(3), 199-200. </w:t>
      </w:r>
      <w:hyperlink r:id="rId23" w:history="1">
        <w:r w:rsidR="005043C9" w:rsidRPr="001F301A">
          <w:rPr>
            <w:rStyle w:val="Hyperlink"/>
          </w:rPr>
          <w:t>https://doi.org/10.3344/kjp.2020</w:t>
        </w:r>
      </w:hyperlink>
      <w:r w:rsidR="005043C9">
        <w:t>.</w:t>
      </w:r>
    </w:p>
    <w:p w14:paraId="30FBA1B3" w14:textId="550DF2EA" w:rsidR="005043C9" w:rsidRDefault="00084CA7" w:rsidP="00E37B3F">
      <w:pPr>
        <w:spacing w:line="360" w:lineRule="auto"/>
        <w:jc w:val="both"/>
      </w:pPr>
      <w:r>
        <w:t xml:space="preserve">Johnson, S., &amp; Goebel, A. (2023). Sham controls in device trials for chronic pain – tricky in practice-a review article. </w:t>
      </w:r>
      <w:r>
        <w:rPr>
          <w:i/>
          <w:iCs/>
        </w:rPr>
        <w:t xml:space="preserve">Contemporary clinical trials </w:t>
      </w:r>
      <w:r w:rsidR="00E915A2">
        <w:rPr>
          <w:i/>
          <w:iCs/>
        </w:rPr>
        <w:t>communications</w:t>
      </w:r>
      <w:r>
        <w:rPr>
          <w:i/>
          <w:iCs/>
        </w:rPr>
        <w:t>, 35,</w:t>
      </w:r>
      <w:r>
        <w:t xml:space="preserve">101203. </w:t>
      </w:r>
      <w:hyperlink r:id="rId24" w:history="1">
        <w:r w:rsidR="00E915A2" w:rsidRPr="001F301A">
          <w:rPr>
            <w:rStyle w:val="Hyperlink"/>
          </w:rPr>
          <w:t>https://doi.org/10.1016/j.conctc.2023.101203</w:t>
        </w:r>
      </w:hyperlink>
    </w:p>
    <w:p w14:paraId="6904E3E6" w14:textId="3E2D5203" w:rsidR="001573A3" w:rsidRDefault="001573A3" w:rsidP="00E37B3F">
      <w:pPr>
        <w:spacing w:line="360" w:lineRule="auto"/>
        <w:jc w:val="both"/>
      </w:pPr>
      <w:r w:rsidRPr="001573A3">
        <w:t xml:space="preserve">Koch, G., </w:t>
      </w:r>
      <w:proofErr w:type="spellStart"/>
      <w:r w:rsidRPr="001573A3">
        <w:t>Bonnì</w:t>
      </w:r>
      <w:proofErr w:type="spellEnd"/>
      <w:r w:rsidRPr="001573A3">
        <w:t xml:space="preserve">, S., </w:t>
      </w:r>
      <w:proofErr w:type="spellStart"/>
      <w:r w:rsidRPr="001573A3">
        <w:t>Pellicciari</w:t>
      </w:r>
      <w:proofErr w:type="spellEnd"/>
      <w:r w:rsidRPr="001573A3">
        <w:t xml:space="preserve">, M. C., Casula, E. P., Mancini, M., Esposito, R., &amp; Motta, C. (2018). Transcranial magnetic stimulation of the </w:t>
      </w:r>
      <w:proofErr w:type="spellStart"/>
      <w:r w:rsidRPr="001573A3">
        <w:t>precuneus</w:t>
      </w:r>
      <w:proofErr w:type="spellEnd"/>
      <w:r w:rsidRPr="001573A3">
        <w:t xml:space="preserve"> enhances memory and neural activity in prodromal Alzheimer's disease. </w:t>
      </w:r>
      <w:r w:rsidRPr="001573A3">
        <w:rPr>
          <w:i/>
          <w:iCs/>
        </w:rPr>
        <w:t>Neuroimage</w:t>
      </w:r>
      <w:r w:rsidRPr="001573A3">
        <w:t>, 169, 302-311.</w:t>
      </w:r>
    </w:p>
    <w:p w14:paraId="78F6DF21" w14:textId="75E81097" w:rsidR="00E915A2" w:rsidRDefault="00E915A2" w:rsidP="00E37B3F">
      <w:pPr>
        <w:spacing w:line="360" w:lineRule="auto"/>
        <w:jc w:val="both"/>
      </w:pPr>
      <w:r>
        <w:lastRenderedPageBreak/>
        <w:t xml:space="preserve">Koch, G., Casula, E. P., </w:t>
      </w:r>
      <w:proofErr w:type="spellStart"/>
      <w:r>
        <w:t>Bonnì</w:t>
      </w:r>
      <w:proofErr w:type="spellEnd"/>
      <w:r>
        <w:t xml:space="preserve">, S., Borghi, I., </w:t>
      </w:r>
      <w:proofErr w:type="spellStart"/>
      <w:r>
        <w:t>Assogna</w:t>
      </w:r>
      <w:proofErr w:type="spellEnd"/>
      <w:r>
        <w:t xml:space="preserve">, M., </w:t>
      </w:r>
      <w:proofErr w:type="spellStart"/>
      <w:r>
        <w:t>Minei</w:t>
      </w:r>
      <w:proofErr w:type="spellEnd"/>
      <w:r>
        <w:t xml:space="preserve">, M., </w:t>
      </w:r>
      <w:proofErr w:type="spellStart"/>
      <w:r>
        <w:t>Pellicciari</w:t>
      </w:r>
      <w:proofErr w:type="spellEnd"/>
      <w:r>
        <w:t xml:space="preserve">, F., Maiella, M., Ferrari, C., Caltagirone, C., </w:t>
      </w:r>
      <w:proofErr w:type="spellStart"/>
      <w:r>
        <w:t>Santarnecchi</w:t>
      </w:r>
      <w:proofErr w:type="spellEnd"/>
      <w:r>
        <w:t xml:space="preserve">, E., </w:t>
      </w:r>
      <w:proofErr w:type="spellStart"/>
      <w:r>
        <w:t>Bozzali</w:t>
      </w:r>
      <w:proofErr w:type="spellEnd"/>
      <w:r>
        <w:t xml:space="preserve">, M., &amp; Martorana, A. (2022). </w:t>
      </w:r>
      <w:proofErr w:type="spellStart"/>
      <w:r>
        <w:t>Precuneus</w:t>
      </w:r>
      <w:proofErr w:type="spellEnd"/>
      <w:r>
        <w:t xml:space="preserve"> magnetic stimulation for Alzheimer’s disease: a randomized, sham-controlled trial. </w:t>
      </w:r>
      <w:r>
        <w:rPr>
          <w:i/>
          <w:iCs/>
        </w:rPr>
        <w:t>Brain: a journal of neurology, 145</w:t>
      </w:r>
      <w:r>
        <w:t xml:space="preserve">(11), 3776-3786. </w:t>
      </w:r>
      <w:hyperlink r:id="rId25" w:history="1">
        <w:r w:rsidRPr="001F301A">
          <w:rPr>
            <w:rStyle w:val="Hyperlink"/>
          </w:rPr>
          <w:t>https://doi.org/10.1093/brain/awac285</w:t>
        </w:r>
      </w:hyperlink>
    </w:p>
    <w:p w14:paraId="4DB34231" w14:textId="4FE46625" w:rsidR="001D12CB" w:rsidRPr="001D12CB" w:rsidRDefault="000B0B07" w:rsidP="00E37B3F">
      <w:pPr>
        <w:spacing w:line="360" w:lineRule="auto"/>
        <w:jc w:val="both"/>
      </w:pPr>
      <w:proofErr w:type="spellStart"/>
      <w:r>
        <w:t>Langbaum</w:t>
      </w:r>
      <w:proofErr w:type="spellEnd"/>
      <w:r>
        <w:t xml:space="preserve">, J. B., Ellison, N. N., Caputo, A., Thomas, </w:t>
      </w:r>
      <w:r w:rsidR="001D12CB">
        <w:t>R.G.</w:t>
      </w:r>
      <w:r>
        <w:t xml:space="preserve">, Langlois, C., Riviere, M. E., Graf, A., Lopez </w:t>
      </w:r>
      <w:proofErr w:type="spellStart"/>
      <w:r>
        <w:t>Lopez</w:t>
      </w:r>
      <w:proofErr w:type="spellEnd"/>
      <w:r>
        <w:t xml:space="preserve">, C., Reiman, E. M., </w:t>
      </w:r>
      <w:proofErr w:type="spellStart"/>
      <w:r>
        <w:t>Tariot</w:t>
      </w:r>
      <w:proofErr w:type="spellEnd"/>
      <w:r>
        <w:t>, P. N., &amp; Hendrix, S. B. (2020). The Alzheimer</w:t>
      </w:r>
      <w:r w:rsidR="001D12CB">
        <w:t xml:space="preserve">’s Prevention Initiative Composite Cognitive Test: a practical measure for tracking cognitive decline in preclinical Alzheimer’s disease. </w:t>
      </w:r>
      <w:r w:rsidR="001D12CB">
        <w:rPr>
          <w:i/>
          <w:iCs/>
        </w:rPr>
        <w:t>Alzheimer’s research &amp; therapy, 12</w:t>
      </w:r>
      <w:r w:rsidR="001D12CB">
        <w:t>(1), 66. https://doi.org/10.1186/s13195-020-00633-2</w:t>
      </w:r>
    </w:p>
    <w:p w14:paraId="67118004" w14:textId="2291DE87" w:rsidR="001573A3" w:rsidRDefault="001573A3" w:rsidP="00E37B3F">
      <w:pPr>
        <w:spacing w:line="360" w:lineRule="auto"/>
        <w:jc w:val="both"/>
      </w:pPr>
      <w:r>
        <w:t xml:space="preserve">Licht, C., Herbrandt, S., van </w:t>
      </w:r>
      <w:proofErr w:type="spellStart"/>
      <w:r>
        <w:t>Meegen</w:t>
      </w:r>
      <w:proofErr w:type="spellEnd"/>
      <w:r>
        <w:t xml:space="preserve">, C., </w:t>
      </w:r>
      <w:proofErr w:type="spellStart"/>
      <w:r>
        <w:t>Lehfeld</w:t>
      </w:r>
      <w:proofErr w:type="spellEnd"/>
      <w:r>
        <w:t xml:space="preserve">, H., </w:t>
      </w:r>
      <w:proofErr w:type="spellStart"/>
      <w:r>
        <w:t>Hillemacher</w:t>
      </w:r>
      <w:proofErr w:type="spellEnd"/>
      <w:r>
        <w:t xml:space="preserve">, T., &amp; Richter, K. (2023). A systematic review and meta-analysis of cognitive effects of </w:t>
      </w:r>
      <w:proofErr w:type="spellStart"/>
      <w:r>
        <w:t>rTMS</w:t>
      </w:r>
      <w:proofErr w:type="spellEnd"/>
      <w:r>
        <w:t xml:space="preserve"> in Caucasian patients with mild cognitive impairment. </w:t>
      </w:r>
      <w:r>
        <w:rPr>
          <w:i/>
          <w:iCs/>
        </w:rPr>
        <w:t xml:space="preserve">Brain </w:t>
      </w:r>
      <w:r w:rsidR="00C81E53">
        <w:rPr>
          <w:i/>
          <w:iCs/>
        </w:rPr>
        <w:t>Sciences</w:t>
      </w:r>
      <w:r>
        <w:rPr>
          <w:i/>
          <w:iCs/>
        </w:rPr>
        <w:t xml:space="preserve"> 13</w:t>
      </w:r>
      <w:r>
        <w:t xml:space="preserve">(9), 1335. </w:t>
      </w:r>
      <w:hyperlink r:id="rId26" w:history="1">
        <w:r w:rsidRPr="001F301A">
          <w:rPr>
            <w:rStyle w:val="Hyperlink"/>
          </w:rPr>
          <w:t>https://doi.org/10.3390/brainsci13091335</w:t>
        </w:r>
      </w:hyperlink>
    </w:p>
    <w:p w14:paraId="126FB330" w14:textId="4244EB4F" w:rsidR="001573A3" w:rsidRDefault="001573A3" w:rsidP="00E37B3F">
      <w:pPr>
        <w:spacing w:line="360" w:lineRule="auto"/>
        <w:jc w:val="both"/>
      </w:pPr>
      <w:r>
        <w:t xml:space="preserve"> </w:t>
      </w:r>
      <w:r w:rsidR="00C81E53">
        <w:t xml:space="preserve">Liu, Y., Chen, S., Li, S., Pei, Z., Fan, S., &amp; Guo, Y. (2025). Diagnostic and inclusion criteria in Alzheimer’s disease clinical trials: A systematic review of the past decade. </w:t>
      </w:r>
      <w:r w:rsidR="00C81E53">
        <w:rPr>
          <w:i/>
          <w:iCs/>
        </w:rPr>
        <w:t>Journal of Alzheimer’s disease reports, 9</w:t>
      </w:r>
      <w:r w:rsidR="00C81E53">
        <w:t xml:space="preserve">25424823251362444. </w:t>
      </w:r>
      <w:hyperlink r:id="rId27" w:history="1">
        <w:r w:rsidR="00C81E53" w:rsidRPr="001F301A">
          <w:rPr>
            <w:rStyle w:val="Hyperlink"/>
          </w:rPr>
          <w:t>https://doi.org/10.1177/25424823251362444</w:t>
        </w:r>
      </w:hyperlink>
    </w:p>
    <w:p w14:paraId="63C53658" w14:textId="48D79803" w:rsidR="00C81E53" w:rsidRDefault="00C81E53" w:rsidP="00E37B3F">
      <w:pPr>
        <w:spacing w:line="360" w:lineRule="auto"/>
        <w:jc w:val="both"/>
      </w:pPr>
      <w:r>
        <w:t xml:space="preserve">Millet, B., </w:t>
      </w:r>
      <w:proofErr w:type="spellStart"/>
      <w:r>
        <w:t>Mouchabac</w:t>
      </w:r>
      <w:proofErr w:type="spellEnd"/>
      <w:r>
        <w:t xml:space="preserve">, S., Robert, G., </w:t>
      </w:r>
      <w:proofErr w:type="spellStart"/>
      <w:r>
        <w:t>Maatoug</w:t>
      </w:r>
      <w:proofErr w:type="spellEnd"/>
      <w:r>
        <w:t xml:space="preserve">, R., </w:t>
      </w:r>
      <w:proofErr w:type="spellStart"/>
      <w:r>
        <w:t>Dondaine</w:t>
      </w:r>
      <w:proofErr w:type="spellEnd"/>
      <w:r>
        <w:t xml:space="preserve">, T., Ferreri, F., &amp; </w:t>
      </w:r>
      <w:proofErr w:type="spellStart"/>
      <w:r>
        <w:t>Bourla</w:t>
      </w:r>
      <w:proofErr w:type="spellEnd"/>
      <w:r>
        <w:t>, A. (2023). Transcranial Magnetic Stimulation (</w:t>
      </w:r>
      <w:proofErr w:type="spellStart"/>
      <w:r>
        <w:t>rTMS</w:t>
      </w:r>
      <w:proofErr w:type="spellEnd"/>
      <w:r>
        <w:t xml:space="preserve">) on the </w:t>
      </w:r>
      <w:proofErr w:type="spellStart"/>
      <w:r>
        <w:t>precuneus</w:t>
      </w:r>
      <w:proofErr w:type="spellEnd"/>
      <w:r>
        <w:t xml:space="preserve"> in Alzheimer’s disease: </w:t>
      </w:r>
      <w:r w:rsidR="00DB670C">
        <w:t xml:space="preserve">A literature review. </w:t>
      </w:r>
      <w:r w:rsidR="00DB670C">
        <w:rPr>
          <w:i/>
          <w:iCs/>
        </w:rPr>
        <w:t>Brain sciences, 13</w:t>
      </w:r>
      <w:r w:rsidR="00DB670C">
        <w:t xml:space="preserve">(9), 1332. </w:t>
      </w:r>
      <w:hyperlink r:id="rId28" w:history="1">
        <w:r w:rsidR="00DB670C" w:rsidRPr="001F301A">
          <w:rPr>
            <w:rStyle w:val="Hyperlink"/>
          </w:rPr>
          <w:t>https://doi.org/10.3390/brainsci13091332</w:t>
        </w:r>
      </w:hyperlink>
    </w:p>
    <w:p w14:paraId="0A3474E1" w14:textId="0466846A" w:rsidR="00DB670C" w:rsidRDefault="00DB670C" w:rsidP="00E37B3F">
      <w:pPr>
        <w:spacing w:line="360" w:lineRule="auto"/>
        <w:jc w:val="both"/>
      </w:pPr>
      <w:r>
        <w:t xml:space="preserve">Oberlin, L. E., Jaywant, A., Wolff, A., &amp; </w:t>
      </w:r>
      <w:proofErr w:type="spellStart"/>
      <w:r>
        <w:t>Gunnig</w:t>
      </w:r>
      <w:proofErr w:type="spellEnd"/>
      <w:r>
        <w:t xml:space="preserve">, F. M. (2022). Strategies to promote cognitive health in aging: Recent evidence and innovations. </w:t>
      </w:r>
      <w:r>
        <w:rPr>
          <w:i/>
          <w:iCs/>
        </w:rPr>
        <w:t>Current psychiatry reports, 24</w:t>
      </w:r>
      <w:r>
        <w:t xml:space="preserve">(9), 441-450. </w:t>
      </w:r>
      <w:hyperlink r:id="rId29" w:history="1">
        <w:r w:rsidRPr="001F301A">
          <w:rPr>
            <w:rStyle w:val="Hyperlink"/>
          </w:rPr>
          <w:t>https://doi.org/10.1007/s11920-022-01348-x</w:t>
        </w:r>
      </w:hyperlink>
    </w:p>
    <w:p w14:paraId="4D21A9AD" w14:textId="12A4E9A0" w:rsidR="00A9545B" w:rsidRDefault="00A9545B" w:rsidP="00E37B3F">
      <w:pPr>
        <w:spacing w:line="360" w:lineRule="auto"/>
        <w:jc w:val="both"/>
      </w:pPr>
      <w:r>
        <w:t xml:space="preserve">Patino, C. M., &amp; Ferreira, J. C. (2018). Internal and external validity: Can you apply research study results to your </w:t>
      </w:r>
      <w:proofErr w:type="gramStart"/>
      <w:r>
        <w:t>patients?.</w:t>
      </w:r>
      <w:proofErr w:type="gramEnd"/>
      <w:r>
        <w:t xml:space="preserve"> </w:t>
      </w:r>
      <w:r>
        <w:rPr>
          <w:i/>
          <w:iCs/>
        </w:rPr>
        <w:t xml:space="preserve">Jornal </w:t>
      </w:r>
      <w:proofErr w:type="spellStart"/>
      <w:r>
        <w:rPr>
          <w:i/>
          <w:iCs/>
        </w:rPr>
        <w:t>brasileiro</w:t>
      </w:r>
      <w:proofErr w:type="spellEnd"/>
      <w:r>
        <w:rPr>
          <w:i/>
          <w:iCs/>
        </w:rPr>
        <w:t xml:space="preserve"> de </w:t>
      </w:r>
      <w:proofErr w:type="spellStart"/>
      <w:r>
        <w:rPr>
          <w:i/>
          <w:iCs/>
        </w:rPr>
        <w:t>pneumologia</w:t>
      </w:r>
      <w:proofErr w:type="spellEnd"/>
      <w:r>
        <w:rPr>
          <w:i/>
          <w:iCs/>
        </w:rPr>
        <w:t xml:space="preserve">: </w:t>
      </w:r>
      <w:proofErr w:type="spellStart"/>
      <w:r>
        <w:rPr>
          <w:i/>
          <w:iCs/>
        </w:rPr>
        <w:t>Publicacao</w:t>
      </w:r>
      <w:proofErr w:type="spellEnd"/>
      <w:r>
        <w:rPr>
          <w:i/>
          <w:iCs/>
        </w:rPr>
        <w:t xml:space="preserve"> official de </w:t>
      </w:r>
      <w:proofErr w:type="spellStart"/>
      <w:r>
        <w:rPr>
          <w:i/>
          <w:iCs/>
        </w:rPr>
        <w:t>Sociedade</w:t>
      </w:r>
      <w:proofErr w:type="spellEnd"/>
      <w:r>
        <w:rPr>
          <w:i/>
          <w:iCs/>
        </w:rPr>
        <w:t xml:space="preserve"> Brasileira de </w:t>
      </w:r>
      <w:proofErr w:type="spellStart"/>
      <w:r>
        <w:rPr>
          <w:i/>
          <w:iCs/>
        </w:rPr>
        <w:t>Pneumologia</w:t>
      </w:r>
      <w:proofErr w:type="spellEnd"/>
      <w:r>
        <w:rPr>
          <w:i/>
          <w:iCs/>
        </w:rPr>
        <w:t xml:space="preserve"> e </w:t>
      </w:r>
      <w:proofErr w:type="spellStart"/>
      <w:r>
        <w:rPr>
          <w:i/>
          <w:iCs/>
        </w:rPr>
        <w:t>Tisilogia</w:t>
      </w:r>
      <w:proofErr w:type="spellEnd"/>
      <w:r>
        <w:rPr>
          <w:i/>
          <w:iCs/>
        </w:rPr>
        <w:t>, 44</w:t>
      </w:r>
      <w:r>
        <w:t xml:space="preserve">(3), 183. </w:t>
      </w:r>
      <w:hyperlink r:id="rId30" w:history="1">
        <w:r w:rsidRPr="001F301A">
          <w:rPr>
            <w:rStyle w:val="Hyperlink"/>
          </w:rPr>
          <w:t>https://doi.org/10.1590/S1806-37562018000000164</w:t>
        </w:r>
      </w:hyperlink>
    </w:p>
    <w:p w14:paraId="3A816478" w14:textId="209FB4E7" w:rsidR="008C1AE7" w:rsidRDefault="00A9545B" w:rsidP="00E37B3F">
      <w:pPr>
        <w:spacing w:line="360" w:lineRule="auto"/>
        <w:jc w:val="both"/>
      </w:pPr>
      <w:r>
        <w:lastRenderedPageBreak/>
        <w:t xml:space="preserve">Pei, G., Liu, X., Huang, Q., Shi, Z., Wang, L., Suo, D., </w:t>
      </w:r>
      <w:proofErr w:type="spellStart"/>
      <w:r>
        <w:t>Funahashi</w:t>
      </w:r>
      <w:proofErr w:type="spellEnd"/>
      <w:r>
        <w:t xml:space="preserve">, S., Wu, J., Zhang, J., &amp; Fang, B. (2022). Characterizing cortical responses to short-term multidisciplinary intensive rehabilitation treatment in patients with Parkinson’s disease: A transcranial magnetic stimulation and electroencephalography study. </w:t>
      </w:r>
      <w:r>
        <w:rPr>
          <w:i/>
          <w:iCs/>
        </w:rPr>
        <w:t xml:space="preserve">Frontiers in aging neuroscience, 14, </w:t>
      </w:r>
      <w:r>
        <w:t xml:space="preserve">1045073. </w:t>
      </w:r>
      <w:hyperlink r:id="rId31" w:history="1">
        <w:r w:rsidRPr="001F301A">
          <w:rPr>
            <w:rStyle w:val="Hyperlink"/>
          </w:rPr>
          <w:t>https://doi.org/10.3389/fnagi.2022.1045073</w:t>
        </w:r>
      </w:hyperlink>
    </w:p>
    <w:p w14:paraId="556F14C6" w14:textId="68532309" w:rsidR="009E7DBF" w:rsidRDefault="009E7DBF" w:rsidP="00E37B3F">
      <w:pPr>
        <w:spacing w:line="360" w:lineRule="auto"/>
        <w:jc w:val="both"/>
      </w:pPr>
      <w:r>
        <w:t xml:space="preserve">Scherr, M., Utz, L., Tahmasian, M., Pasquini, L., Grothe, M. J., </w:t>
      </w:r>
      <w:proofErr w:type="spellStart"/>
      <w:r>
        <w:t>Rauschecker</w:t>
      </w:r>
      <w:proofErr w:type="spellEnd"/>
      <w:r>
        <w:t xml:space="preserve">, J. P., Grimmer, T., </w:t>
      </w:r>
      <w:proofErr w:type="spellStart"/>
      <w:r>
        <w:t>Drzezga</w:t>
      </w:r>
      <w:proofErr w:type="spellEnd"/>
      <w:r>
        <w:t xml:space="preserve">, A., Sorg, C., &amp; Riedl, V. (2021). Effective connectivity in the default mode network is distinctively disrupted in Alzheimer’s disease – A </w:t>
      </w:r>
      <w:proofErr w:type="spellStart"/>
      <w:r>
        <w:t>stimultaneous</w:t>
      </w:r>
      <w:proofErr w:type="spellEnd"/>
      <w:r>
        <w:t xml:space="preserve"> resting-state FDG-PET/fMRI study. </w:t>
      </w:r>
      <w:r>
        <w:rPr>
          <w:i/>
          <w:iCs/>
        </w:rPr>
        <w:t>Human brain mapping, 42</w:t>
      </w:r>
      <w:r>
        <w:t xml:space="preserve">(13), 4134-4143. </w:t>
      </w:r>
      <w:hyperlink r:id="rId32" w:history="1">
        <w:r w:rsidR="000B0B07" w:rsidRPr="001F301A">
          <w:rPr>
            <w:rStyle w:val="Hyperlink"/>
          </w:rPr>
          <w:t>https://doi.org/10.1002/hbm.24517</w:t>
        </w:r>
      </w:hyperlink>
    </w:p>
    <w:p w14:paraId="25895E62" w14:textId="7A2F4EAE" w:rsidR="000B0B07" w:rsidRPr="000B0B07" w:rsidRDefault="000B0B07" w:rsidP="00E37B3F">
      <w:pPr>
        <w:spacing w:line="360" w:lineRule="auto"/>
        <w:jc w:val="both"/>
      </w:pPr>
      <w:r>
        <w:t xml:space="preserve">Schuster, R., Kaiser, T., Terhorst. Y., Messner, E. M., Strohmeier, L. M., &amp; </w:t>
      </w:r>
      <w:proofErr w:type="spellStart"/>
      <w:r>
        <w:t>Laireiter</w:t>
      </w:r>
      <w:proofErr w:type="spellEnd"/>
      <w:r>
        <w:t xml:space="preserve">, A. R. (2021). Sample size, sample size planning, and the impact of study context: systematic review and recommendations by the example of psychological depression treatment. </w:t>
      </w:r>
      <w:r>
        <w:rPr>
          <w:i/>
          <w:iCs/>
        </w:rPr>
        <w:t>Psychological medicine, 51</w:t>
      </w:r>
      <w:r>
        <w:t>(6), 902-908. https://doi.org/10.1017/s003329172100129X</w:t>
      </w:r>
    </w:p>
    <w:p w14:paraId="28605442" w14:textId="1FFFCDD9" w:rsidR="002C61AD" w:rsidRDefault="00151D8C" w:rsidP="00E37B3F">
      <w:pPr>
        <w:spacing w:line="360" w:lineRule="auto"/>
        <w:jc w:val="both"/>
      </w:pPr>
      <w:proofErr w:type="spellStart"/>
      <w:r>
        <w:t>Seghezzo</w:t>
      </w:r>
      <w:proofErr w:type="spellEnd"/>
      <w:r>
        <w:t xml:space="preserve">, G., Van Hoecke, Y., James, L., Davoren, D., Williamson, E., Pearce, N., McElvenny, D., &amp; Gallo, V. (2021). Feasibility study of assessing the Preclinical Alzheimer Cognitive Composite (PACC) score via videoconferencing. </w:t>
      </w:r>
      <w:r>
        <w:rPr>
          <w:i/>
          <w:iCs/>
        </w:rPr>
        <w:t>Journal of neurology, 268</w:t>
      </w:r>
      <w:r>
        <w:t xml:space="preserve">(6), 2228-2237. </w:t>
      </w:r>
      <w:hyperlink r:id="rId33" w:history="1">
        <w:r w:rsidRPr="001F301A">
          <w:rPr>
            <w:rStyle w:val="Hyperlink"/>
          </w:rPr>
          <w:t>https://doi.org/10.1007/s00415-021-10403-1</w:t>
        </w:r>
      </w:hyperlink>
    </w:p>
    <w:p w14:paraId="024616AB" w14:textId="63BFA62A" w:rsidR="009E7DBF" w:rsidRDefault="009E7DBF" w:rsidP="00E37B3F">
      <w:pPr>
        <w:spacing w:line="360" w:lineRule="auto"/>
        <w:jc w:val="both"/>
      </w:pPr>
      <w:r>
        <w:t xml:space="preserve">Sharma, A., Johnson, M. L., Thomas, K. R., </w:t>
      </w:r>
      <w:proofErr w:type="spellStart"/>
      <w:r>
        <w:t>Galasko</w:t>
      </w:r>
      <w:proofErr w:type="spellEnd"/>
      <w:r>
        <w:t xml:space="preserve">, D. R., Bondi, M. W., Gollan, T. H., Peavy, G. M., </w:t>
      </w:r>
      <w:r w:rsidR="007E6662">
        <w:t xml:space="preserve">Jacobs, D. M., Salmon, D. P., &amp; Delis, D. C. (2025). The nature of episodic memory decline in preclinical Alzheimer’s disease. </w:t>
      </w:r>
      <w:r w:rsidR="007E6662">
        <w:rPr>
          <w:i/>
          <w:iCs/>
        </w:rPr>
        <w:t>Alzheimer’s &amp; Dementia, 20</w:t>
      </w:r>
      <w:r w:rsidR="007E6662">
        <w:t>(</w:t>
      </w:r>
      <w:proofErr w:type="spellStart"/>
      <w:r w:rsidR="007E6662">
        <w:t>Suppl</w:t>
      </w:r>
      <w:proofErr w:type="spellEnd"/>
      <w:r w:rsidR="007E6662">
        <w:t xml:space="preserve"> 3), e093414. </w:t>
      </w:r>
      <w:hyperlink r:id="rId34" w:history="1">
        <w:r w:rsidR="007E6662" w:rsidRPr="001F301A">
          <w:rPr>
            <w:rStyle w:val="Hyperlink"/>
          </w:rPr>
          <w:t>https://doi.org/10.1002/alz.093414</w:t>
        </w:r>
      </w:hyperlink>
    </w:p>
    <w:p w14:paraId="526BBBCB" w14:textId="354E46CC" w:rsidR="007E6662" w:rsidRDefault="007E6662" w:rsidP="00E37B3F">
      <w:pPr>
        <w:spacing w:line="360" w:lineRule="auto"/>
        <w:jc w:val="both"/>
      </w:pPr>
      <w:proofErr w:type="spellStart"/>
      <w:r>
        <w:t>Somaa</w:t>
      </w:r>
      <w:proofErr w:type="spellEnd"/>
      <w:r>
        <w:t xml:space="preserve">, F. A., de Graaf, T. A., &amp; Sack. A. T. (2022). Transcranial Magnetic Stimulation in the treatment of neurological diseases. </w:t>
      </w:r>
      <w:r>
        <w:rPr>
          <w:i/>
          <w:iCs/>
        </w:rPr>
        <w:t xml:space="preserve">Frontiers in neurology, 13, </w:t>
      </w:r>
      <w:r>
        <w:t xml:space="preserve">793253. </w:t>
      </w:r>
      <w:hyperlink r:id="rId35" w:history="1">
        <w:r w:rsidRPr="001F301A">
          <w:rPr>
            <w:rStyle w:val="Hyperlink"/>
          </w:rPr>
          <w:t>https://doi.org/10.3389/fneur.2022.793253</w:t>
        </w:r>
      </w:hyperlink>
      <w:r>
        <w:t xml:space="preserve"> </w:t>
      </w:r>
    </w:p>
    <w:p w14:paraId="3E561DBE" w14:textId="1C9B6729" w:rsidR="00B7069D" w:rsidRDefault="00B7069D" w:rsidP="00E37B3F">
      <w:pPr>
        <w:spacing w:line="360" w:lineRule="auto"/>
        <w:jc w:val="both"/>
      </w:pPr>
      <w:r>
        <w:t xml:space="preserve">Tipton, E., Hallberg, K., Hedges, L. V., &amp; Chan, W. (2017). Implications of small samples for generalization: Adjustments and rules of thumb. </w:t>
      </w:r>
      <w:r>
        <w:rPr>
          <w:i/>
          <w:iCs/>
        </w:rPr>
        <w:t>Evaluation review, 41</w:t>
      </w:r>
      <w:r>
        <w:t xml:space="preserve">(5), 472-505. </w:t>
      </w:r>
      <w:hyperlink r:id="rId36" w:history="1">
        <w:r w:rsidRPr="001F301A">
          <w:rPr>
            <w:rStyle w:val="Hyperlink"/>
          </w:rPr>
          <w:t>https://doi.org/10.1177/0193841X16655665</w:t>
        </w:r>
      </w:hyperlink>
    </w:p>
    <w:p w14:paraId="281CD6C7" w14:textId="1060CBAF" w:rsidR="0037787A" w:rsidRDefault="00B7069D" w:rsidP="00E37B3F">
      <w:pPr>
        <w:spacing w:line="360" w:lineRule="auto"/>
        <w:jc w:val="both"/>
      </w:pPr>
      <w:r>
        <w:lastRenderedPageBreak/>
        <w:t xml:space="preserve">Tremblay, S., </w:t>
      </w:r>
      <w:proofErr w:type="spellStart"/>
      <w:r>
        <w:t>Rogasch</w:t>
      </w:r>
      <w:proofErr w:type="spellEnd"/>
      <w:r>
        <w:t xml:space="preserve">, N. C., Premoli, I., Blumberger, D. M., Casarotto, S., Chen, R., Di Lazzaro, V., Farzan, F., Ferrarelli, F., Fitzgerald, P. B., Hui, J., </w:t>
      </w:r>
      <w:proofErr w:type="spellStart"/>
      <w:r>
        <w:t>Ilmoniemi</w:t>
      </w:r>
      <w:proofErr w:type="spellEnd"/>
      <w:r>
        <w:t xml:space="preserve">, R. J., </w:t>
      </w:r>
      <w:proofErr w:type="spellStart"/>
      <w:r>
        <w:t>Kimiskidis</w:t>
      </w:r>
      <w:proofErr w:type="spellEnd"/>
      <w:r>
        <w:t xml:space="preserve">, V. K., </w:t>
      </w:r>
      <w:proofErr w:type="spellStart"/>
      <w:r>
        <w:t>Kugiumtzis</w:t>
      </w:r>
      <w:proofErr w:type="spellEnd"/>
      <w:r>
        <w:t xml:space="preserve">, D., </w:t>
      </w:r>
      <w:proofErr w:type="spellStart"/>
      <w:r>
        <w:t>Lioumis</w:t>
      </w:r>
      <w:proofErr w:type="spellEnd"/>
      <w:r>
        <w:t xml:space="preserve">, P., Pascual-Leone, A., </w:t>
      </w:r>
      <w:proofErr w:type="spellStart"/>
      <w:r>
        <w:t>Pellicciari</w:t>
      </w:r>
      <w:proofErr w:type="spellEnd"/>
      <w:r>
        <w:t xml:space="preserve">, M. C., Rajji, T., Thut, G., Zomorrodi, R., … Daskalakis, Z. J. (2019). Clinical utility and prospective of TMS-EEG. </w:t>
      </w:r>
      <w:r>
        <w:rPr>
          <w:i/>
          <w:iCs/>
        </w:rPr>
        <w:t>Clinical neurophysiology: official journal of the International Federation of Clinical Neurophysiology, 130</w:t>
      </w:r>
      <w:r w:rsidR="000B0B07">
        <w:t xml:space="preserve">(5), 802-844. </w:t>
      </w:r>
      <w:hyperlink r:id="rId37" w:history="1">
        <w:r w:rsidR="000B0B07" w:rsidRPr="001F301A">
          <w:rPr>
            <w:rStyle w:val="Hyperlink"/>
          </w:rPr>
          <w:t>https://doi.org/10.1016/j.clinph.2019.01.001</w:t>
        </w:r>
      </w:hyperlink>
    </w:p>
    <w:p w14:paraId="6C72AB86" w14:textId="77777777" w:rsidR="0037787A" w:rsidRDefault="0037787A">
      <w:r>
        <w:br w:type="page"/>
      </w:r>
    </w:p>
    <w:p w14:paraId="06CA0CFC" w14:textId="77777777" w:rsidR="00151D8C" w:rsidRPr="00151D8C" w:rsidRDefault="00151D8C" w:rsidP="00E37B3F">
      <w:pPr>
        <w:spacing w:line="360" w:lineRule="auto"/>
        <w:jc w:val="both"/>
      </w:pPr>
    </w:p>
    <w:p w14:paraId="511E5CF9" w14:textId="17D45A21" w:rsidR="005043C9" w:rsidRDefault="005043C9" w:rsidP="00E37B3F">
      <w:pPr>
        <w:spacing w:line="360" w:lineRule="auto"/>
        <w:jc w:val="both"/>
      </w:pPr>
      <w:r>
        <w:t xml:space="preserve">Yao, J., Song, B., Shi, J., Yin, K., &amp; Du, W. (2023). Effects of Repetitive Transcranial Magnetic Stimulation at the Cerebellum on Working Memory. </w:t>
      </w:r>
      <w:r>
        <w:rPr>
          <w:i/>
          <w:iCs/>
        </w:rPr>
        <w:t>Brain silences, 13</w:t>
      </w:r>
      <w:r>
        <w:t xml:space="preserve">(8), 1158. </w:t>
      </w:r>
      <w:hyperlink r:id="rId38" w:history="1">
        <w:r w:rsidRPr="001F301A">
          <w:rPr>
            <w:rStyle w:val="Hyperlink"/>
          </w:rPr>
          <w:t>https://doi.org/10.3390/brainsci13081158</w:t>
        </w:r>
      </w:hyperlink>
    </w:p>
    <w:p w14:paraId="21F2E579" w14:textId="170C2E0B" w:rsidR="001D12CB" w:rsidRPr="001D12CB" w:rsidRDefault="001D12CB" w:rsidP="00E37B3F">
      <w:pPr>
        <w:spacing w:line="360" w:lineRule="auto"/>
        <w:jc w:val="both"/>
      </w:pPr>
      <w:proofErr w:type="spellStart"/>
      <w:r>
        <w:t>Yiannopoulou</w:t>
      </w:r>
      <w:proofErr w:type="spellEnd"/>
      <w:r>
        <w:t xml:space="preserve">, K. G., &amp; Papageorgiou, S. G. (2020). Current and Future Treatments in Alzheimer Disease: An Update. </w:t>
      </w:r>
      <w:r>
        <w:rPr>
          <w:i/>
          <w:iCs/>
        </w:rPr>
        <w:t xml:space="preserve">Journal of Central Nervous System Disease, 12, </w:t>
      </w:r>
      <w:r>
        <w:t xml:space="preserve">1179573520907397. </w:t>
      </w:r>
      <w:hyperlink r:id="rId39" w:history="1">
        <w:r w:rsidRPr="001F301A">
          <w:rPr>
            <w:rStyle w:val="Hyperlink"/>
          </w:rPr>
          <w:t>https://doi.org/10.1177/1179573520907397</w:t>
        </w:r>
      </w:hyperlink>
      <w:r>
        <w:t xml:space="preserve"> </w:t>
      </w:r>
    </w:p>
    <w:p w14:paraId="527EDD64" w14:textId="3353598A" w:rsidR="000B0B07" w:rsidRDefault="000B0B07" w:rsidP="00E37B3F">
      <w:pPr>
        <w:spacing w:line="360" w:lineRule="auto"/>
        <w:jc w:val="both"/>
      </w:pPr>
      <w:r>
        <w:t xml:space="preserve">Zhang, X., Zhu, L., Li, Y., Yu, H., Wang, T., &amp; Chu, X. (2025). Therapeutic potential and mechanisms of repetitive transcranial magnetic stimulation in Alzheimer’s disease: a literature review. </w:t>
      </w:r>
      <w:r>
        <w:rPr>
          <w:i/>
          <w:iCs/>
        </w:rPr>
        <w:t>European journal of medical research, 30</w:t>
      </w:r>
      <w:r>
        <w:t xml:space="preserve">(1), 233. </w:t>
      </w:r>
      <w:hyperlink r:id="rId40" w:history="1">
        <w:r w:rsidRPr="001F301A">
          <w:rPr>
            <w:rStyle w:val="Hyperlink"/>
          </w:rPr>
          <w:t>https://doi.org/10.1186/s4001-025-02493-8</w:t>
        </w:r>
      </w:hyperlink>
    </w:p>
    <w:p w14:paraId="3E3D0095" w14:textId="77777777" w:rsidR="000B0B07" w:rsidRPr="000B0B07" w:rsidRDefault="000B0B07" w:rsidP="00E37B3F">
      <w:pPr>
        <w:spacing w:line="360" w:lineRule="auto"/>
        <w:jc w:val="both"/>
      </w:pPr>
    </w:p>
    <w:p w14:paraId="45C6D5EC" w14:textId="61CFC923" w:rsidR="005043C9" w:rsidRPr="005043C9" w:rsidRDefault="005043C9" w:rsidP="00E37B3F">
      <w:pPr>
        <w:spacing w:line="360" w:lineRule="auto"/>
        <w:jc w:val="both"/>
      </w:pPr>
    </w:p>
    <w:p w14:paraId="2D0D5562" w14:textId="77777777" w:rsidR="002C61AD" w:rsidRPr="00EB36E8" w:rsidRDefault="002C61AD" w:rsidP="00E37B3F">
      <w:pPr>
        <w:spacing w:line="360" w:lineRule="auto"/>
        <w:jc w:val="both"/>
      </w:pPr>
    </w:p>
    <w:sectPr w:rsidR="002C61AD" w:rsidRPr="00EB36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A1690A"/>
    <w:multiLevelType w:val="hybridMultilevel"/>
    <w:tmpl w:val="B6D806D8"/>
    <w:lvl w:ilvl="0" w:tplc="D6A285C0">
      <w:start w:val="1"/>
      <w:numFmt w:val="bullet"/>
      <w:lvlText w:val=""/>
      <w:lvlJc w:val="left"/>
      <w:pPr>
        <w:tabs>
          <w:tab w:val="num" w:pos="720"/>
        </w:tabs>
        <w:ind w:left="720" w:hanging="360"/>
      </w:pPr>
      <w:rPr>
        <w:rFonts w:ascii="Wingdings" w:hAnsi="Wingdings" w:hint="default"/>
      </w:rPr>
    </w:lvl>
    <w:lvl w:ilvl="1" w:tplc="8C147BB8" w:tentative="1">
      <w:start w:val="1"/>
      <w:numFmt w:val="bullet"/>
      <w:lvlText w:val=""/>
      <w:lvlJc w:val="left"/>
      <w:pPr>
        <w:tabs>
          <w:tab w:val="num" w:pos="1440"/>
        </w:tabs>
        <w:ind w:left="1440" w:hanging="360"/>
      </w:pPr>
      <w:rPr>
        <w:rFonts w:ascii="Wingdings" w:hAnsi="Wingdings" w:hint="default"/>
      </w:rPr>
    </w:lvl>
    <w:lvl w:ilvl="2" w:tplc="B0BC9E0A" w:tentative="1">
      <w:start w:val="1"/>
      <w:numFmt w:val="bullet"/>
      <w:lvlText w:val=""/>
      <w:lvlJc w:val="left"/>
      <w:pPr>
        <w:tabs>
          <w:tab w:val="num" w:pos="2160"/>
        </w:tabs>
        <w:ind w:left="2160" w:hanging="360"/>
      </w:pPr>
      <w:rPr>
        <w:rFonts w:ascii="Wingdings" w:hAnsi="Wingdings" w:hint="default"/>
      </w:rPr>
    </w:lvl>
    <w:lvl w:ilvl="3" w:tplc="873A63F2" w:tentative="1">
      <w:start w:val="1"/>
      <w:numFmt w:val="bullet"/>
      <w:lvlText w:val=""/>
      <w:lvlJc w:val="left"/>
      <w:pPr>
        <w:tabs>
          <w:tab w:val="num" w:pos="2880"/>
        </w:tabs>
        <w:ind w:left="2880" w:hanging="360"/>
      </w:pPr>
      <w:rPr>
        <w:rFonts w:ascii="Wingdings" w:hAnsi="Wingdings" w:hint="default"/>
      </w:rPr>
    </w:lvl>
    <w:lvl w:ilvl="4" w:tplc="9DCE6F4A" w:tentative="1">
      <w:start w:val="1"/>
      <w:numFmt w:val="bullet"/>
      <w:lvlText w:val=""/>
      <w:lvlJc w:val="left"/>
      <w:pPr>
        <w:tabs>
          <w:tab w:val="num" w:pos="3600"/>
        </w:tabs>
        <w:ind w:left="3600" w:hanging="360"/>
      </w:pPr>
      <w:rPr>
        <w:rFonts w:ascii="Wingdings" w:hAnsi="Wingdings" w:hint="default"/>
      </w:rPr>
    </w:lvl>
    <w:lvl w:ilvl="5" w:tplc="E5267090" w:tentative="1">
      <w:start w:val="1"/>
      <w:numFmt w:val="bullet"/>
      <w:lvlText w:val=""/>
      <w:lvlJc w:val="left"/>
      <w:pPr>
        <w:tabs>
          <w:tab w:val="num" w:pos="4320"/>
        </w:tabs>
        <w:ind w:left="4320" w:hanging="360"/>
      </w:pPr>
      <w:rPr>
        <w:rFonts w:ascii="Wingdings" w:hAnsi="Wingdings" w:hint="default"/>
      </w:rPr>
    </w:lvl>
    <w:lvl w:ilvl="6" w:tplc="E626CDEC" w:tentative="1">
      <w:start w:val="1"/>
      <w:numFmt w:val="bullet"/>
      <w:lvlText w:val=""/>
      <w:lvlJc w:val="left"/>
      <w:pPr>
        <w:tabs>
          <w:tab w:val="num" w:pos="5040"/>
        </w:tabs>
        <w:ind w:left="5040" w:hanging="360"/>
      </w:pPr>
      <w:rPr>
        <w:rFonts w:ascii="Wingdings" w:hAnsi="Wingdings" w:hint="default"/>
      </w:rPr>
    </w:lvl>
    <w:lvl w:ilvl="7" w:tplc="8BFCB728" w:tentative="1">
      <w:start w:val="1"/>
      <w:numFmt w:val="bullet"/>
      <w:lvlText w:val=""/>
      <w:lvlJc w:val="left"/>
      <w:pPr>
        <w:tabs>
          <w:tab w:val="num" w:pos="5760"/>
        </w:tabs>
        <w:ind w:left="5760" w:hanging="360"/>
      </w:pPr>
      <w:rPr>
        <w:rFonts w:ascii="Wingdings" w:hAnsi="Wingdings" w:hint="default"/>
      </w:rPr>
    </w:lvl>
    <w:lvl w:ilvl="8" w:tplc="2CE6E1C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CEB6188"/>
    <w:multiLevelType w:val="hybridMultilevel"/>
    <w:tmpl w:val="34748FD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006830098">
    <w:abstractNumId w:val="0"/>
  </w:num>
  <w:num w:numId="2" w16cid:durableId="212993393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7EB"/>
    <w:rsid w:val="00007596"/>
    <w:rsid w:val="00010ABF"/>
    <w:rsid w:val="00065EF0"/>
    <w:rsid w:val="00084CA7"/>
    <w:rsid w:val="000B0B07"/>
    <w:rsid w:val="000D00C3"/>
    <w:rsid w:val="00151D8C"/>
    <w:rsid w:val="001573A3"/>
    <w:rsid w:val="00192D7D"/>
    <w:rsid w:val="001D12CB"/>
    <w:rsid w:val="002A1714"/>
    <w:rsid w:val="002B52C1"/>
    <w:rsid w:val="002C61AD"/>
    <w:rsid w:val="002C7D6A"/>
    <w:rsid w:val="00325687"/>
    <w:rsid w:val="0037787A"/>
    <w:rsid w:val="004002FB"/>
    <w:rsid w:val="00436671"/>
    <w:rsid w:val="00473639"/>
    <w:rsid w:val="004F43C8"/>
    <w:rsid w:val="004F57EB"/>
    <w:rsid w:val="0050333F"/>
    <w:rsid w:val="005043C9"/>
    <w:rsid w:val="005147E1"/>
    <w:rsid w:val="00557356"/>
    <w:rsid w:val="00614C25"/>
    <w:rsid w:val="00665AC2"/>
    <w:rsid w:val="00677123"/>
    <w:rsid w:val="00680333"/>
    <w:rsid w:val="006B3270"/>
    <w:rsid w:val="007B3CFA"/>
    <w:rsid w:val="007E6662"/>
    <w:rsid w:val="0080738F"/>
    <w:rsid w:val="008433C8"/>
    <w:rsid w:val="008475C7"/>
    <w:rsid w:val="008C1AE7"/>
    <w:rsid w:val="009023A9"/>
    <w:rsid w:val="009E7DBF"/>
    <w:rsid w:val="00A14368"/>
    <w:rsid w:val="00A70B5E"/>
    <w:rsid w:val="00A9545B"/>
    <w:rsid w:val="00AC48F0"/>
    <w:rsid w:val="00AD5575"/>
    <w:rsid w:val="00B7069D"/>
    <w:rsid w:val="00B745D4"/>
    <w:rsid w:val="00B930BF"/>
    <w:rsid w:val="00C20E52"/>
    <w:rsid w:val="00C2641F"/>
    <w:rsid w:val="00C81E53"/>
    <w:rsid w:val="00C860BA"/>
    <w:rsid w:val="00CA5507"/>
    <w:rsid w:val="00D22BBD"/>
    <w:rsid w:val="00DA1FB9"/>
    <w:rsid w:val="00DB3CCE"/>
    <w:rsid w:val="00DB670C"/>
    <w:rsid w:val="00DD2049"/>
    <w:rsid w:val="00E322B3"/>
    <w:rsid w:val="00E37B3F"/>
    <w:rsid w:val="00E44C72"/>
    <w:rsid w:val="00E915A2"/>
    <w:rsid w:val="00E91C68"/>
    <w:rsid w:val="00EB09E2"/>
    <w:rsid w:val="00EB36E8"/>
    <w:rsid w:val="00EE2DFE"/>
    <w:rsid w:val="00F426A9"/>
    <w:rsid w:val="00F86783"/>
    <w:rsid w:val="00F952C8"/>
    <w:rsid w:val="00FA0A1B"/>
    <w:rsid w:val="00FC5E8C"/>
    <w:rsid w:val="00FE6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9C2D0"/>
  <w15:chartTrackingRefBased/>
  <w15:docId w15:val="{12B68BC7-A4D2-4C8B-A2B1-2B78219ED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7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57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57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57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57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57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7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7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7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7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57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57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57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57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57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7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7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7EB"/>
    <w:rPr>
      <w:rFonts w:eastAsiaTheme="majorEastAsia" w:cstheme="majorBidi"/>
      <w:color w:val="272727" w:themeColor="text1" w:themeTint="D8"/>
    </w:rPr>
  </w:style>
  <w:style w:type="paragraph" w:styleId="Title">
    <w:name w:val="Title"/>
    <w:basedOn w:val="Normal"/>
    <w:next w:val="Normal"/>
    <w:link w:val="TitleChar"/>
    <w:uiPriority w:val="10"/>
    <w:qFormat/>
    <w:rsid w:val="004F57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7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7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7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7EB"/>
    <w:pPr>
      <w:spacing w:before="160"/>
      <w:jc w:val="center"/>
    </w:pPr>
    <w:rPr>
      <w:i/>
      <w:iCs/>
      <w:color w:val="404040" w:themeColor="text1" w:themeTint="BF"/>
    </w:rPr>
  </w:style>
  <w:style w:type="character" w:customStyle="1" w:styleId="QuoteChar">
    <w:name w:val="Quote Char"/>
    <w:basedOn w:val="DefaultParagraphFont"/>
    <w:link w:val="Quote"/>
    <w:uiPriority w:val="29"/>
    <w:rsid w:val="004F57EB"/>
    <w:rPr>
      <w:i/>
      <w:iCs/>
      <w:color w:val="404040" w:themeColor="text1" w:themeTint="BF"/>
    </w:rPr>
  </w:style>
  <w:style w:type="paragraph" w:styleId="ListParagraph">
    <w:name w:val="List Paragraph"/>
    <w:basedOn w:val="Normal"/>
    <w:uiPriority w:val="34"/>
    <w:qFormat/>
    <w:rsid w:val="004F57EB"/>
    <w:pPr>
      <w:ind w:left="720"/>
      <w:contextualSpacing/>
    </w:pPr>
  </w:style>
  <w:style w:type="character" w:styleId="IntenseEmphasis">
    <w:name w:val="Intense Emphasis"/>
    <w:basedOn w:val="DefaultParagraphFont"/>
    <w:uiPriority w:val="21"/>
    <w:qFormat/>
    <w:rsid w:val="004F57EB"/>
    <w:rPr>
      <w:i/>
      <w:iCs/>
      <w:color w:val="0F4761" w:themeColor="accent1" w:themeShade="BF"/>
    </w:rPr>
  </w:style>
  <w:style w:type="paragraph" w:styleId="IntenseQuote">
    <w:name w:val="Intense Quote"/>
    <w:basedOn w:val="Normal"/>
    <w:next w:val="Normal"/>
    <w:link w:val="IntenseQuoteChar"/>
    <w:uiPriority w:val="30"/>
    <w:qFormat/>
    <w:rsid w:val="004F57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57EB"/>
    <w:rPr>
      <w:i/>
      <w:iCs/>
      <w:color w:val="0F4761" w:themeColor="accent1" w:themeShade="BF"/>
    </w:rPr>
  </w:style>
  <w:style w:type="character" w:styleId="IntenseReference">
    <w:name w:val="Intense Reference"/>
    <w:basedOn w:val="DefaultParagraphFont"/>
    <w:uiPriority w:val="32"/>
    <w:qFormat/>
    <w:rsid w:val="004F57EB"/>
    <w:rPr>
      <w:b/>
      <w:bCs/>
      <w:smallCaps/>
      <w:color w:val="0F4761" w:themeColor="accent1" w:themeShade="BF"/>
      <w:spacing w:val="5"/>
    </w:rPr>
  </w:style>
  <w:style w:type="character" w:styleId="Hyperlink">
    <w:name w:val="Hyperlink"/>
    <w:basedOn w:val="DefaultParagraphFont"/>
    <w:uiPriority w:val="99"/>
    <w:unhideWhenUsed/>
    <w:rsid w:val="00EB36E8"/>
    <w:rPr>
      <w:color w:val="467886" w:themeColor="hyperlink"/>
      <w:u w:val="single"/>
    </w:rPr>
  </w:style>
  <w:style w:type="character" w:styleId="UnresolvedMention">
    <w:name w:val="Unresolved Mention"/>
    <w:basedOn w:val="DefaultParagraphFont"/>
    <w:uiPriority w:val="99"/>
    <w:semiHidden/>
    <w:unhideWhenUsed/>
    <w:rsid w:val="00EB36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brs.2022.08.013" TargetMode="External"/><Relationship Id="rId18" Type="http://schemas.openxmlformats.org/officeDocument/2006/relationships/hyperlink" Target="https://doi.org/10.1161/JAHA.121.023673" TargetMode="External"/><Relationship Id="rId26" Type="http://schemas.openxmlformats.org/officeDocument/2006/relationships/hyperlink" Target="https://doi.org/10.3390/brainsci13091335" TargetMode="External"/><Relationship Id="rId39" Type="http://schemas.openxmlformats.org/officeDocument/2006/relationships/hyperlink" Target="https://doi.org/10.1177/1179573520907397" TargetMode="External"/><Relationship Id="rId21" Type="http://schemas.openxmlformats.org/officeDocument/2006/relationships/hyperlink" Target="https://doi.org/10.1098/rsos.191354" TargetMode="External"/><Relationship Id="rId34" Type="http://schemas.openxmlformats.org/officeDocument/2006/relationships/hyperlink" Target="https://doi.org/10.1002/alz.093414" TargetMode="External"/><Relationship Id="rId42" Type="http://schemas.openxmlformats.org/officeDocument/2006/relationships/theme" Target="theme/theme1.xml"/><Relationship Id="rId7" Type="http://schemas.openxmlformats.org/officeDocument/2006/relationships/hyperlink" Target="https://doi.org/10.3389/fneur.2022.698200" TargetMode="External"/><Relationship Id="rId2" Type="http://schemas.openxmlformats.org/officeDocument/2006/relationships/numbering" Target="numbering.xml"/><Relationship Id="rId16" Type="http://schemas.openxmlformats.org/officeDocument/2006/relationships/hyperlink" Target="https://doi.org/10.1523/JNEUROSCI.1408-24.2024" TargetMode="External"/><Relationship Id="rId20" Type="http://schemas.openxmlformats.org/officeDocument/2006/relationships/hyperlink" Target="https://doi.org/10.1038/s41598-024-71618-6" TargetMode="External"/><Relationship Id="rId29" Type="http://schemas.openxmlformats.org/officeDocument/2006/relationships/hyperlink" Target="https://doi.org/10.1007/s11920-022-01348-x"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uowtsd-my.sharepoint.com/:p:/r/personal/2317684_student_uwtsd_ac_uk/Documents/Presentation%20slides%20-%20critical%20review%20of%20Koch%20et%20al,%202018.pptx?d=wd6882250dc05446ba29209c6430e165b&amp;csf=1&amp;web=1&amp;e=j5XRNH" TargetMode="External"/><Relationship Id="rId11" Type="http://schemas.openxmlformats.org/officeDocument/2006/relationships/hyperlink" Target="https://doi.org/10.1111/jnp.12072" TargetMode="External"/><Relationship Id="rId24" Type="http://schemas.openxmlformats.org/officeDocument/2006/relationships/hyperlink" Target="https://doi.org/10.1016/j.conctc.2023.101203" TargetMode="External"/><Relationship Id="rId32" Type="http://schemas.openxmlformats.org/officeDocument/2006/relationships/hyperlink" Target="https://doi.org/10.1002/hbm.24517" TargetMode="External"/><Relationship Id="rId37" Type="http://schemas.openxmlformats.org/officeDocument/2006/relationships/hyperlink" Target="https://doi.org/10.1016/j.clinph.2019.01.001" TargetMode="External"/><Relationship Id="rId40" Type="http://schemas.openxmlformats.org/officeDocument/2006/relationships/hyperlink" Target="https://doi.org/10.1186/s4001-025-02493-8" TargetMode="External"/><Relationship Id="rId5" Type="http://schemas.openxmlformats.org/officeDocument/2006/relationships/webSettings" Target="webSettings.xml"/><Relationship Id="rId15" Type="http://schemas.openxmlformats.org/officeDocument/2006/relationships/hyperlink" Target="https://doi.org/10.100/jamaneurol.2024.3770" TargetMode="External"/><Relationship Id="rId23" Type="http://schemas.openxmlformats.org/officeDocument/2006/relationships/hyperlink" Target="https://doi.org/10.3344/kjp.2020" TargetMode="External"/><Relationship Id="rId28" Type="http://schemas.openxmlformats.org/officeDocument/2006/relationships/hyperlink" Target="https://doi.org/10.3390/brainsci13091332" TargetMode="External"/><Relationship Id="rId36" Type="http://schemas.openxmlformats.org/officeDocument/2006/relationships/hyperlink" Target="https://doi.org/10.1177/0193841X16655665" TargetMode="External"/><Relationship Id="rId10" Type="http://schemas.openxmlformats.org/officeDocument/2006/relationships/hyperlink" Target="https://doi.org/10.1016/j.ijpsycho.2015.05.004" TargetMode="External"/><Relationship Id="rId19" Type="http://schemas.openxmlformats.org/officeDocument/2006/relationships/hyperlink" Target="https://doi.org/10.1016/s2468-2667(21)00249-8" TargetMode="External"/><Relationship Id="rId31" Type="http://schemas.openxmlformats.org/officeDocument/2006/relationships/hyperlink" Target="https://doi.org/10.3389/fnagi.2022.1045073" TargetMode="External"/><Relationship Id="rId4" Type="http://schemas.openxmlformats.org/officeDocument/2006/relationships/settings" Target="settings.xml"/><Relationship Id="rId9" Type="http://schemas.openxmlformats.org/officeDocument/2006/relationships/hyperlink" Target="https://doi.org/10.1037/dev0000688" TargetMode="External"/><Relationship Id="rId14" Type="http://schemas.openxmlformats.org/officeDocument/2006/relationships/hyperlink" Target="https://doi.org/10.1001/jamaneurol.2014.803" TargetMode="External"/><Relationship Id="rId22" Type="http://schemas.openxmlformats.org/officeDocument/2006/relationships/hyperlink" Target="https://doi.org/10.1002/prp2.70131" TargetMode="External"/><Relationship Id="rId27" Type="http://schemas.openxmlformats.org/officeDocument/2006/relationships/hyperlink" Target="https://doi.org/10.1177/25424823251362444" TargetMode="External"/><Relationship Id="rId30" Type="http://schemas.openxmlformats.org/officeDocument/2006/relationships/hyperlink" Target="https://doi.org/10.1590/S1806-37562018000000164" TargetMode="External"/><Relationship Id="rId35" Type="http://schemas.openxmlformats.org/officeDocument/2006/relationships/hyperlink" Target="https://doi.org/10.3389/fneur.2022.793253" TargetMode="External"/><Relationship Id="rId8" Type="http://schemas.openxmlformats.org/officeDocument/2006/relationships/hyperlink" Target="https://doi.org/10.3233/JAD-220294" TargetMode="External"/><Relationship Id="rId3" Type="http://schemas.openxmlformats.org/officeDocument/2006/relationships/styles" Target="styles.xml"/><Relationship Id="rId12" Type="http://schemas.openxmlformats.org/officeDocument/2006/relationships/hyperlink" Target="https://doi.org/10.1097/01.NAJ.0001050812.23977.85" TargetMode="External"/><Relationship Id="rId17" Type="http://schemas.openxmlformats.org/officeDocument/2006/relationships/hyperlink" Target="https://doi.org/10.1093/cercor/bhac476" TargetMode="External"/><Relationship Id="rId25" Type="http://schemas.openxmlformats.org/officeDocument/2006/relationships/hyperlink" Target="https://doi.org/10.1093/brain/awac285" TargetMode="External"/><Relationship Id="rId33" Type="http://schemas.openxmlformats.org/officeDocument/2006/relationships/hyperlink" Target="https://doi.org/10.1007/s00415-021-10403-1" TargetMode="External"/><Relationship Id="rId38" Type="http://schemas.openxmlformats.org/officeDocument/2006/relationships/hyperlink" Target="https://doi.org/10.3390/brainsci130811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A800B-3C94-4A40-9ADE-792BD71D6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6984</Words>
  <Characters>39811</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Jones (2317684)</dc:creator>
  <cp:keywords/>
  <dc:description/>
  <cp:lastModifiedBy>Steffan Jones (2317684)</cp:lastModifiedBy>
  <cp:revision>2</cp:revision>
  <dcterms:created xsi:type="dcterms:W3CDTF">2025-12-16T23:54:00Z</dcterms:created>
  <dcterms:modified xsi:type="dcterms:W3CDTF">2025-12-16T23:54:00Z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72136fc9-9e67-4344-b19e-33dc8ef7e8b1</vt:lpwstr>
  </property>
</Properties>
</file>