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18"/>
          <w:szCs w:val="18"/>
        </w:rPr>
      </w:pPr>
      <w:r w:rsidDel="00000000" w:rsidR="00000000" w:rsidRPr="00000000">
        <w:rPr>
          <w:rtl w:val="0"/>
        </w:rPr>
      </w:r>
    </w:p>
    <w:tbl>
      <w:tblPr>
        <w:tblStyle w:val="Table1"/>
        <w:tblW w:w="132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5"/>
        <w:gridCol w:w="3240"/>
        <w:gridCol w:w="3525"/>
        <w:gridCol w:w="3480"/>
        <w:gridCol w:w="1290"/>
        <w:tblGridChange w:id="0">
          <w:tblGrid>
            <w:gridCol w:w="1755"/>
            <w:gridCol w:w="3240"/>
            <w:gridCol w:w="3525"/>
            <w:gridCol w:w="3480"/>
            <w:gridCol w:w="12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Aims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Actions (How will I achieve this including which skills are needed)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0000"/>
                <w:sz w:val="18"/>
                <w:szCs w:val="18"/>
              </w:rPr>
            </w:pPr>
            <w:r w:rsidDel="00000000" w:rsidR="00000000" w:rsidRPr="00000000">
              <w:rPr>
                <w:b w:val="1"/>
                <w:sz w:val="18"/>
                <w:szCs w:val="18"/>
                <w:rtl w:val="0"/>
              </w:rPr>
              <w:t xml:space="preserve">Resources and Themes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Measurement of success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Completed by date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b w:val="1"/>
                <w:sz w:val="18"/>
                <w:szCs w:val="18"/>
                <w:rtl w:val="0"/>
              </w:rPr>
              <w:t xml:space="preserve">Personal: </w:t>
            </w:r>
            <w:r w:rsidDel="00000000" w:rsidR="00000000" w:rsidRPr="00000000">
              <w:rPr>
                <w:sz w:val="18"/>
                <w:szCs w:val="18"/>
                <w:rtl w:val="0"/>
              </w:rPr>
              <w:t xml:space="preserve">To maintain a healthy work/university/family time balance in my life.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Maintaining a regular routine will be crucial. Stability will provide me and my family with the foundations to balance such important areas of my life. Assuring I spend meaningful time with my family will give me the feelings of contentment needed to fulfil my work and university commitments with a happy attitude.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I need to outsource my workload where it is cost effective to do so. This means employing a cleaner to do a small clean which minimises my workload. I should also use healthy resources to find simple meals to make the children while working. Reducing cooking time where possible.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Regular reflection using a personal diary. It will be beneficial to find age appropriate questions for my children to allow them to express how they feel and if they found the routines to be calming and happy. I will check my university engagement regularly. (Hoban, 2019)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Ongoing throughout the next 2 years.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b w:val="1"/>
                <w:sz w:val="18"/>
                <w:szCs w:val="18"/>
                <w:rtl w:val="0"/>
              </w:rPr>
              <w:t xml:space="preserve">Educational: </w:t>
            </w:r>
            <w:r w:rsidDel="00000000" w:rsidR="00000000" w:rsidRPr="00000000">
              <w:rPr>
                <w:sz w:val="18"/>
                <w:szCs w:val="18"/>
                <w:rtl w:val="0"/>
              </w:rPr>
              <w:t xml:space="preserve">To complete the BA Early Years Education and Care degree.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I will make the most out of the library services. If I am struggling I will make sure to contact student services and the wellbeing team if necessary. I will also keep my work organised and keep copies to assure they’re safely stored.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I would like to include Montessori references and research which relates to the topics discussed in my essays. I will use moodle and UWTSD HWB regularly checking all notifications and showing regular engagement with the resources.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If I am maintaining good grades which pass the modules then I can assume my actions are working and that I should continue. If I see my grades are falling at any point I should definitely reflect and assess where I may be going wrong.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By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b w:val="1"/>
                <w:sz w:val="18"/>
                <w:szCs w:val="18"/>
                <w:rtl w:val="0"/>
              </w:rPr>
              <w:t xml:space="preserve">Career: </w:t>
            </w:r>
            <w:r w:rsidDel="00000000" w:rsidR="00000000" w:rsidRPr="00000000">
              <w:rPr>
                <w:sz w:val="18"/>
                <w:szCs w:val="18"/>
                <w:rtl w:val="0"/>
              </w:rPr>
              <w:t xml:space="preserve">To open a successful nursery.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The biggest factor in this is to save up enough money to rent the property. This will mean budgeting to reach a target of £15,000 in two years which means working very hard for the next two years to save around £650 per month. This will only be possible while working as a childminder and even finding a weekend job which will allow me to take my children along, often a youth centre or a children's centre role, to try and make more money.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Another factor will be having to establish the nursery brand and assure it is full with children and good quality staff.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I would like to keep a holistic and possibly montessori approach and culture in the nursery which allows staff and children to feel valued and respected (Amy Ephgrave, 2022).</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18"/>
                <w:szCs w:val="18"/>
              </w:rPr>
            </w:pPr>
            <w:r w:rsidDel="00000000" w:rsidR="00000000" w:rsidRPr="00000000">
              <w:rPr>
                <w:sz w:val="18"/>
                <w:szCs w:val="18"/>
                <w:rtl w:val="0"/>
              </w:rPr>
              <w:t xml:space="preserve">From experience I have seen nurseries which do not create this culture and in turn have the opposite effect on their staff and children. I want to be known as a nursery where both staff and children are happy.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I will regularly check my savings and budget every month for the next two years. Assuring there is only essential spending with enough budget for leisure time and family time.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I will be using the same name as my childminding service therefore establishing my brand will start when the childminding opens. This will mean keeping to safeguarding, policies and procedures in my practice and building good family connections.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By 2026</w:t>
            </w:r>
          </w:p>
        </w:tc>
      </w:tr>
    </w:tbl>
    <w:p w:rsidR="00000000" w:rsidDel="00000000" w:rsidP="00000000" w:rsidRDefault="00000000" w:rsidRPr="00000000" w14:paraId="00000019">
      <w:pPr>
        <w:rPr>
          <w:b w:val="1"/>
          <w:sz w:val="18"/>
          <w:szCs w:val="18"/>
        </w:rPr>
        <w:sectPr>
          <w:headerReference r:id="rId6" w:type="default"/>
          <w:pgSz w:h="12240" w:w="15840" w:orient="landscape"/>
          <w:pgMar w:bottom="1440" w:top="1440" w:left="1440" w:right="1440" w:header="720" w:footer="720"/>
          <w:pgNumType w:start="1"/>
        </w:sectPr>
      </w:pPr>
      <w:r w:rsidDel="00000000" w:rsidR="00000000" w:rsidRPr="00000000">
        <w:rPr>
          <w:b w:val="1"/>
          <w:sz w:val="18"/>
          <w:szCs w:val="18"/>
          <w:rtl w:val="0"/>
        </w:rPr>
        <w:t xml:space="preserve">547 words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jc w:val="center"/>
        <w:rPr>
          <w:b w:val="1"/>
          <w:sz w:val="18"/>
          <w:szCs w:val="18"/>
          <w:u w:val="single"/>
        </w:rPr>
      </w:pPr>
      <w:r w:rsidDel="00000000" w:rsidR="00000000" w:rsidRPr="00000000">
        <w:rPr>
          <w:b w:val="1"/>
          <w:sz w:val="18"/>
          <w:szCs w:val="18"/>
          <w:u w:val="single"/>
          <w:rtl w:val="0"/>
        </w:rPr>
        <w:t xml:space="preserve">A briefing paper on the importance of reflection</w:t>
      </w:r>
    </w:p>
    <w:p w:rsidR="00000000" w:rsidDel="00000000" w:rsidP="00000000" w:rsidRDefault="00000000" w:rsidRPr="00000000" w14:paraId="0000001C">
      <w:pPr>
        <w:rPr>
          <w:sz w:val="18"/>
          <w:szCs w:val="18"/>
        </w:rPr>
      </w:pPr>
      <w:r w:rsidDel="00000000" w:rsidR="00000000" w:rsidRPr="00000000">
        <w:rPr>
          <w:rtl w:val="0"/>
        </w:rPr>
      </w:r>
    </w:p>
    <w:p w:rsidR="00000000" w:rsidDel="00000000" w:rsidP="00000000" w:rsidRDefault="00000000" w:rsidRPr="00000000" w14:paraId="0000001D">
      <w:pPr>
        <w:rPr>
          <w:b w:val="1"/>
          <w:sz w:val="18"/>
          <w:szCs w:val="18"/>
        </w:rPr>
      </w:pPr>
      <w:r w:rsidDel="00000000" w:rsidR="00000000" w:rsidRPr="00000000">
        <w:rPr>
          <w:b w:val="1"/>
          <w:sz w:val="18"/>
          <w:szCs w:val="18"/>
          <w:rtl w:val="0"/>
        </w:rPr>
        <w:t xml:space="preserve">Reflection and Reflective practice</w:t>
      </w:r>
    </w:p>
    <w:p w:rsidR="00000000" w:rsidDel="00000000" w:rsidP="00000000" w:rsidRDefault="00000000" w:rsidRPr="00000000" w14:paraId="0000001E">
      <w:pPr>
        <w:rPr>
          <w:sz w:val="18"/>
          <w:szCs w:val="18"/>
        </w:rPr>
      </w:pPr>
      <w:r w:rsidDel="00000000" w:rsidR="00000000" w:rsidRPr="00000000">
        <w:rPr>
          <w:sz w:val="18"/>
          <w:szCs w:val="18"/>
          <w:rtl w:val="0"/>
        </w:rPr>
        <w:t xml:space="preserve">Reflection is the continuous assessment of an element which allows a person a deeper understanding into it which can be used to build upon that element in terms of improvement or removal. When acting as a reflective practitioner, a person is assessing characteristics, issues, events, positive attributes and professionalism regularly to assure they are acting as a high quality practitioner. The ability to reflect demonstrates how well the professional practitioner is able to adapt to changes within the ever changing modern society. Such as cultural diversities, new educational standards, new apparent safeguarding issues and concerns, staffing issues, economic issues and family diversity. As well as taking into account the detriment non-reflective practice could have on children and professionals. The term ‘reflective practice’ has developed over recent years. Whereas previously it would follow guidelines very closely without the ability for professionals to draw on their own experiences and events, it has now come to a point of inclusivity of everyone's views. Reflection now looks to examine how a child's personal identity is effected by social constructs and the educational systems that professional practitioners need to work within (Kenneth James Moffatt, 2019, pp.1–172).</w:t>
      </w:r>
      <w:r w:rsidDel="00000000" w:rsidR="00000000" w:rsidRPr="00000000">
        <w:rPr>
          <w:rtl w:val="0"/>
        </w:rPr>
      </w:r>
    </w:p>
    <w:p w:rsidR="00000000" w:rsidDel="00000000" w:rsidP="00000000" w:rsidRDefault="00000000" w:rsidRPr="00000000" w14:paraId="0000001F">
      <w:pPr>
        <w:rPr>
          <w:color w:val="ff0000"/>
          <w:sz w:val="18"/>
          <w:szCs w:val="18"/>
        </w:rPr>
      </w:pPr>
      <w:r w:rsidDel="00000000" w:rsidR="00000000" w:rsidRPr="00000000">
        <w:rPr>
          <w:sz w:val="18"/>
          <w:szCs w:val="18"/>
          <w:rtl w:val="0"/>
        </w:rPr>
        <w:t xml:space="preserve">The importance of this includes the avoidance of any habitual failings which could have been reflected upon at an earlier stage and resolved. Habitual failings can lead to serious cases of safeguarding concerns. For example, the case of Victoria Climbie. The Victoria Climbie Inquiry Report (2003) reflects on the failures of safeguarding throughout her care via social services and other agencies. The document lays out improvements which have been implemented in frameworks and legislation for early years ever since. Including any professional coming into contact with a  child for the first time, assuring to take basic details to avoid children ‘lost in the system’. Also, removing thresholds needed to receive social services support which left many children ineligible to receive help they desperately needed. </w:t>
      </w:r>
      <w:r w:rsidDel="00000000" w:rsidR="00000000" w:rsidRPr="00000000">
        <w:rPr>
          <w:rtl w:val="0"/>
        </w:rPr>
      </w:r>
    </w:p>
    <w:p w:rsidR="00000000" w:rsidDel="00000000" w:rsidP="00000000" w:rsidRDefault="00000000" w:rsidRPr="00000000" w14:paraId="00000020">
      <w:pPr>
        <w:rPr>
          <w:sz w:val="18"/>
          <w:szCs w:val="18"/>
        </w:rPr>
      </w:pPr>
      <w:r w:rsidDel="00000000" w:rsidR="00000000" w:rsidRPr="00000000">
        <w:rPr>
          <w:rtl w:val="0"/>
        </w:rPr>
      </w:r>
    </w:p>
    <w:p w:rsidR="00000000" w:rsidDel="00000000" w:rsidP="00000000" w:rsidRDefault="00000000" w:rsidRPr="00000000" w14:paraId="00000021">
      <w:pPr>
        <w:rPr>
          <w:b w:val="1"/>
          <w:sz w:val="18"/>
          <w:szCs w:val="18"/>
        </w:rPr>
      </w:pPr>
      <w:r w:rsidDel="00000000" w:rsidR="00000000" w:rsidRPr="00000000">
        <w:rPr>
          <w:b w:val="1"/>
          <w:sz w:val="18"/>
          <w:szCs w:val="18"/>
          <w:rtl w:val="0"/>
        </w:rPr>
        <w:t xml:space="preserve">Theory of Reflective Practice</w:t>
      </w:r>
    </w:p>
    <w:p w:rsidR="00000000" w:rsidDel="00000000" w:rsidP="00000000" w:rsidRDefault="00000000" w:rsidRPr="00000000" w14:paraId="00000022">
      <w:pPr>
        <w:rPr>
          <w:sz w:val="18"/>
          <w:szCs w:val="18"/>
        </w:rPr>
      </w:pPr>
      <w:r w:rsidDel="00000000" w:rsidR="00000000" w:rsidRPr="00000000">
        <w:rPr>
          <w:sz w:val="18"/>
          <w:szCs w:val="18"/>
          <w:rtl w:val="0"/>
        </w:rPr>
        <w:t xml:space="preserve">As discussed by Woods (2007), current frameworks including the EYFS (2007), Every Child Matters (2004a) and the Primary National Strategy (2004b) were first in place to develop inclusion and empowerment of the child. Understanding the need for personalised systems that value the voice of the child. This developing culture in educational systems explains why ‘Active Listening and Observation’ skills are crucial to the reflective practitioner. However there are ethical and safeguarding questions which can be raised, for example, the competence of the child (their full understanding of the decisions). The context and purpose of wanting to include the childs’ views, it could be argued that those in power have the ability to manipulate a childs’ view obscuring their seemingly independent decisions. </w:t>
      </w:r>
    </w:p>
    <w:p w:rsidR="00000000" w:rsidDel="00000000" w:rsidP="00000000" w:rsidRDefault="00000000" w:rsidRPr="00000000" w14:paraId="00000023">
      <w:pPr>
        <w:rPr>
          <w:sz w:val="18"/>
          <w:szCs w:val="18"/>
        </w:rPr>
      </w:pPr>
      <w:r w:rsidDel="00000000" w:rsidR="00000000" w:rsidRPr="00000000">
        <w:rPr>
          <w:sz w:val="18"/>
          <w:szCs w:val="18"/>
          <w:rtl w:val="0"/>
        </w:rPr>
        <w:t xml:space="preserve">Working together to safeguard children (2018) outlines how children require an effective safeguarding system to be able to make clear decisions about their own wants.</w:t>
      </w:r>
    </w:p>
    <w:p w:rsidR="00000000" w:rsidDel="00000000" w:rsidP="00000000" w:rsidRDefault="00000000" w:rsidRPr="00000000" w14:paraId="00000024">
      <w:pPr>
        <w:rPr>
          <w:sz w:val="18"/>
          <w:szCs w:val="18"/>
        </w:rPr>
      </w:pPr>
      <w:r w:rsidDel="00000000" w:rsidR="00000000" w:rsidRPr="00000000">
        <w:rPr>
          <w:rtl w:val="0"/>
        </w:rPr>
      </w:r>
    </w:p>
    <w:p w:rsidR="00000000" w:rsidDel="00000000" w:rsidP="00000000" w:rsidRDefault="00000000" w:rsidRPr="00000000" w14:paraId="00000025">
      <w:pPr>
        <w:rPr>
          <w:sz w:val="18"/>
          <w:szCs w:val="18"/>
        </w:rPr>
      </w:pPr>
      <w:r w:rsidDel="00000000" w:rsidR="00000000" w:rsidRPr="00000000">
        <w:rPr>
          <w:sz w:val="18"/>
          <w:szCs w:val="18"/>
          <w:rtl w:val="0"/>
        </w:rPr>
        <w:t xml:space="preserve">When using reflective models it is evident that a varied use of models is useful to professional practice. An experienced practitioner could undertake deep reflection using Kolb’s Experiential Learning Cycle (1984).</w:t>
      </w:r>
    </w:p>
    <w:p w:rsidR="00000000" w:rsidDel="00000000" w:rsidP="00000000" w:rsidRDefault="00000000" w:rsidRPr="00000000" w14:paraId="00000026">
      <w:pPr>
        <w:rPr>
          <w:sz w:val="18"/>
          <w:szCs w:val="18"/>
        </w:rPr>
      </w:pPr>
      <w:r w:rsidDel="00000000" w:rsidR="00000000" w:rsidRPr="00000000">
        <w:rPr>
          <w:color w:val="ff0000"/>
          <w:sz w:val="18"/>
          <w:szCs w:val="18"/>
        </w:rPr>
        <w:drawing>
          <wp:inline distB="114300" distT="114300" distL="114300" distR="114300">
            <wp:extent cx="3435048" cy="1923627"/>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435048" cy="1923627"/>
                    </a:xfrm>
                    <a:prstGeom prst="rect"/>
                    <a:ln/>
                  </pic:spPr>
                </pic:pic>
              </a:graphicData>
            </a:graphic>
          </wp:inline>
        </w:drawing>
      </w:r>
      <w:r w:rsidDel="00000000" w:rsidR="00000000" w:rsidRPr="00000000">
        <w:rPr>
          <w:sz w:val="18"/>
          <w:szCs w:val="18"/>
          <w:rtl w:val="0"/>
        </w:rPr>
        <w:t xml:space="preserve">Image Reference: (Morris, 2019b)</w:t>
      </w:r>
    </w:p>
    <w:p w:rsidR="00000000" w:rsidDel="00000000" w:rsidP="00000000" w:rsidRDefault="00000000" w:rsidRPr="00000000" w14:paraId="00000027">
      <w:pPr>
        <w:rPr>
          <w:color w:val="ff0000"/>
          <w:sz w:val="18"/>
          <w:szCs w:val="18"/>
        </w:rPr>
      </w:pPr>
      <w:r w:rsidDel="00000000" w:rsidR="00000000" w:rsidRPr="00000000">
        <w:rPr>
          <w:rtl w:val="0"/>
        </w:rPr>
      </w:r>
    </w:p>
    <w:p w:rsidR="00000000" w:rsidDel="00000000" w:rsidP="00000000" w:rsidRDefault="00000000" w:rsidRPr="00000000" w14:paraId="00000028">
      <w:pPr>
        <w:rPr>
          <w:sz w:val="18"/>
          <w:szCs w:val="18"/>
        </w:rPr>
      </w:pPr>
      <w:r w:rsidDel="00000000" w:rsidR="00000000" w:rsidRPr="00000000">
        <w:rPr>
          <w:sz w:val="18"/>
          <w:szCs w:val="18"/>
          <w:rtl w:val="0"/>
        </w:rPr>
        <w:t xml:space="preserve">This is demonstrated below:</w:t>
      </w:r>
    </w:p>
    <w:p w:rsidR="00000000" w:rsidDel="00000000" w:rsidP="00000000" w:rsidRDefault="00000000" w:rsidRPr="00000000" w14:paraId="00000029">
      <w:pPr>
        <w:rPr>
          <w:color w:val="ff0000"/>
          <w:sz w:val="18"/>
          <w:szCs w:val="18"/>
        </w:rPr>
      </w:pPr>
      <w:r w:rsidDel="00000000" w:rsidR="00000000" w:rsidRPr="00000000">
        <w:rPr>
          <w:rtl w:val="0"/>
        </w:rPr>
      </w:r>
    </w:p>
    <w:p w:rsidR="00000000" w:rsidDel="00000000" w:rsidP="00000000" w:rsidRDefault="00000000" w:rsidRPr="00000000" w14:paraId="0000002A">
      <w:pPr>
        <w:rPr>
          <w:i w:val="1"/>
          <w:sz w:val="18"/>
          <w:szCs w:val="18"/>
        </w:rPr>
      </w:pPr>
      <w:r w:rsidDel="00000000" w:rsidR="00000000" w:rsidRPr="00000000">
        <w:rPr>
          <w:b w:val="1"/>
          <w:i w:val="1"/>
          <w:sz w:val="18"/>
          <w:szCs w:val="18"/>
          <w:rtl w:val="0"/>
        </w:rPr>
        <w:t xml:space="preserve">Concrete Experience: </w:t>
      </w:r>
      <w:r w:rsidDel="00000000" w:rsidR="00000000" w:rsidRPr="00000000">
        <w:rPr>
          <w:i w:val="1"/>
          <w:sz w:val="18"/>
          <w:szCs w:val="18"/>
          <w:rtl w:val="0"/>
        </w:rPr>
        <w:t xml:space="preserve">A SEND child was treated badly in a setting I worked in. I didn’t step in.</w:t>
      </w:r>
    </w:p>
    <w:p w:rsidR="00000000" w:rsidDel="00000000" w:rsidP="00000000" w:rsidRDefault="00000000" w:rsidRPr="00000000" w14:paraId="0000002B">
      <w:pPr>
        <w:rPr>
          <w:i w:val="1"/>
          <w:sz w:val="18"/>
          <w:szCs w:val="18"/>
        </w:rPr>
      </w:pPr>
      <w:r w:rsidDel="00000000" w:rsidR="00000000" w:rsidRPr="00000000">
        <w:rPr>
          <w:b w:val="1"/>
          <w:i w:val="1"/>
          <w:sz w:val="18"/>
          <w:szCs w:val="18"/>
          <w:rtl w:val="0"/>
        </w:rPr>
        <w:t xml:space="preserve">Reflective Observation: </w:t>
      </w:r>
      <w:r w:rsidDel="00000000" w:rsidR="00000000" w:rsidRPr="00000000">
        <w:rPr>
          <w:i w:val="1"/>
          <w:sz w:val="18"/>
          <w:szCs w:val="18"/>
          <w:rtl w:val="0"/>
        </w:rPr>
        <w:t xml:space="preserve">The negative experience has stayed with me professionally since it happened. I found the actions of staff members unjust and reportable. At the time I felt I wasn’t in a position to speak up and confront the situation. It was a lack of confidence.</w:t>
      </w:r>
    </w:p>
    <w:p w:rsidR="00000000" w:rsidDel="00000000" w:rsidP="00000000" w:rsidRDefault="00000000" w:rsidRPr="00000000" w14:paraId="0000002C">
      <w:pPr>
        <w:rPr>
          <w:i w:val="1"/>
          <w:sz w:val="18"/>
          <w:szCs w:val="18"/>
        </w:rPr>
      </w:pPr>
      <w:r w:rsidDel="00000000" w:rsidR="00000000" w:rsidRPr="00000000">
        <w:rPr>
          <w:b w:val="1"/>
          <w:i w:val="1"/>
          <w:sz w:val="18"/>
          <w:szCs w:val="18"/>
          <w:rtl w:val="0"/>
        </w:rPr>
        <w:t xml:space="preserve">Abstract Conceptualisation: </w:t>
      </w:r>
      <w:r w:rsidDel="00000000" w:rsidR="00000000" w:rsidRPr="00000000">
        <w:rPr>
          <w:i w:val="1"/>
          <w:sz w:val="18"/>
          <w:szCs w:val="18"/>
          <w:rtl w:val="0"/>
        </w:rPr>
        <w:t xml:space="preserve">I learned from the experience and am assured I would step in if this ever happened again. I feel confident and experienced enough as a practitioner to do the right thing.</w:t>
      </w:r>
    </w:p>
    <w:p w:rsidR="00000000" w:rsidDel="00000000" w:rsidP="00000000" w:rsidRDefault="00000000" w:rsidRPr="00000000" w14:paraId="0000002D">
      <w:pPr>
        <w:rPr>
          <w:i w:val="1"/>
          <w:sz w:val="18"/>
          <w:szCs w:val="18"/>
        </w:rPr>
      </w:pPr>
      <w:r w:rsidDel="00000000" w:rsidR="00000000" w:rsidRPr="00000000">
        <w:rPr>
          <w:b w:val="1"/>
          <w:i w:val="1"/>
          <w:sz w:val="18"/>
          <w:szCs w:val="18"/>
          <w:rtl w:val="0"/>
        </w:rPr>
        <w:t xml:space="preserve">Active Experimentation: </w:t>
      </w:r>
      <w:r w:rsidDel="00000000" w:rsidR="00000000" w:rsidRPr="00000000">
        <w:rPr>
          <w:i w:val="1"/>
          <w:sz w:val="18"/>
          <w:szCs w:val="18"/>
          <w:rtl w:val="0"/>
        </w:rPr>
        <w:t xml:space="preserve">It is not possible to plan for this situation to happen again however I can prepare myself by assuring I am up to date with safeguarding training, reporting procedures and taking a SEND course to have even more confidence in tackling the issue.</w:t>
      </w:r>
    </w:p>
    <w:p w:rsidR="00000000" w:rsidDel="00000000" w:rsidP="00000000" w:rsidRDefault="00000000" w:rsidRPr="00000000" w14:paraId="0000002E">
      <w:pPr>
        <w:rPr>
          <w:i w:val="1"/>
          <w:sz w:val="18"/>
          <w:szCs w:val="18"/>
        </w:rPr>
      </w:pPr>
      <w:r w:rsidDel="00000000" w:rsidR="00000000" w:rsidRPr="00000000">
        <w:rPr>
          <w:rtl w:val="0"/>
        </w:rPr>
      </w:r>
    </w:p>
    <w:p w:rsidR="00000000" w:rsidDel="00000000" w:rsidP="00000000" w:rsidRDefault="00000000" w:rsidRPr="00000000" w14:paraId="0000002F">
      <w:pPr>
        <w:rPr>
          <w:sz w:val="18"/>
          <w:szCs w:val="18"/>
        </w:rPr>
      </w:pPr>
      <w:r w:rsidDel="00000000" w:rsidR="00000000" w:rsidRPr="00000000">
        <w:rPr>
          <w:sz w:val="18"/>
          <w:szCs w:val="18"/>
          <w:rtl w:val="0"/>
        </w:rPr>
        <w:t xml:space="preserve">Kolb’s model allows for complexity and the development of wisdom from a practitioner growing their understanding of reflection however its weaknesses include its inability to engage the child’s voice due to this complexity. (Morris, 2019a)</w:t>
      </w:r>
    </w:p>
    <w:p w:rsidR="00000000" w:rsidDel="00000000" w:rsidP="00000000" w:rsidRDefault="00000000" w:rsidRPr="00000000" w14:paraId="00000030">
      <w:pPr>
        <w:rPr>
          <w:sz w:val="18"/>
          <w:szCs w:val="18"/>
        </w:rPr>
      </w:pPr>
      <w:r w:rsidDel="00000000" w:rsidR="00000000" w:rsidRPr="00000000">
        <w:rPr>
          <w:rtl w:val="0"/>
        </w:rPr>
      </w:r>
    </w:p>
    <w:p w:rsidR="00000000" w:rsidDel="00000000" w:rsidP="00000000" w:rsidRDefault="00000000" w:rsidRPr="00000000" w14:paraId="00000031">
      <w:pPr>
        <w:rPr>
          <w:sz w:val="18"/>
          <w:szCs w:val="18"/>
        </w:rPr>
      </w:pPr>
      <w:r w:rsidDel="00000000" w:rsidR="00000000" w:rsidRPr="00000000">
        <w:rPr>
          <w:sz w:val="18"/>
          <w:szCs w:val="18"/>
          <w:rtl w:val="0"/>
        </w:rPr>
        <w:t xml:space="preserve">In contrast to Kolb’s model, the ERA reflective model allows for inclusion of childrens’ voices due to its simplicity. (University of Hull, 2023a)</w:t>
      </w:r>
    </w:p>
    <w:p w:rsidR="00000000" w:rsidDel="00000000" w:rsidP="00000000" w:rsidRDefault="00000000" w:rsidRPr="00000000" w14:paraId="00000032">
      <w:pPr>
        <w:rPr>
          <w:sz w:val="18"/>
          <w:szCs w:val="18"/>
        </w:rPr>
      </w:pPr>
      <w:r w:rsidDel="00000000" w:rsidR="00000000" w:rsidRPr="00000000">
        <w:rPr>
          <w:rtl w:val="0"/>
        </w:rPr>
      </w:r>
    </w:p>
    <w:p w:rsidR="00000000" w:rsidDel="00000000" w:rsidP="00000000" w:rsidRDefault="00000000" w:rsidRPr="00000000" w14:paraId="00000033">
      <w:pPr>
        <w:rPr>
          <w:sz w:val="18"/>
          <w:szCs w:val="18"/>
        </w:rPr>
      </w:pPr>
      <w:r w:rsidDel="00000000" w:rsidR="00000000" w:rsidRPr="00000000">
        <w:rPr>
          <w:sz w:val="18"/>
          <w:szCs w:val="18"/>
        </w:rPr>
        <w:drawing>
          <wp:inline distB="114300" distT="114300" distL="114300" distR="114300">
            <wp:extent cx="2404243" cy="1804988"/>
            <wp:effectExtent b="0" l="0" r="0" t="0"/>
            <wp:docPr descr="Experience&gt;Action&gt;Reflection&gt;Back to experience" id="1" name="image2.png"/>
            <a:graphic>
              <a:graphicData uri="http://schemas.openxmlformats.org/drawingml/2006/picture">
                <pic:pic>
                  <pic:nvPicPr>
                    <pic:cNvPr descr="Experience&gt;Action&gt;Reflection&gt;Back to experience" id="0" name="image2.png"/>
                    <pic:cNvPicPr preferRelativeResize="0"/>
                  </pic:nvPicPr>
                  <pic:blipFill>
                    <a:blip r:embed="rId8"/>
                    <a:srcRect b="0" l="0" r="0" t="0"/>
                    <a:stretch>
                      <a:fillRect/>
                    </a:stretch>
                  </pic:blipFill>
                  <pic:spPr>
                    <a:xfrm>
                      <a:off x="0" y="0"/>
                      <a:ext cx="2404243" cy="1804988"/>
                    </a:xfrm>
                    <a:prstGeom prst="rect"/>
                    <a:ln/>
                  </pic:spPr>
                </pic:pic>
              </a:graphicData>
            </a:graphic>
          </wp:inline>
        </w:drawing>
      </w:r>
      <w:r w:rsidDel="00000000" w:rsidR="00000000" w:rsidRPr="00000000">
        <w:rPr>
          <w:sz w:val="18"/>
          <w:szCs w:val="18"/>
          <w:rtl w:val="0"/>
        </w:rPr>
        <w:t xml:space="preserve">Image reference: (University of Hull, 2023b)</w:t>
      </w:r>
    </w:p>
    <w:p w:rsidR="00000000" w:rsidDel="00000000" w:rsidP="00000000" w:rsidRDefault="00000000" w:rsidRPr="00000000" w14:paraId="00000034">
      <w:pPr>
        <w:rPr>
          <w:sz w:val="18"/>
          <w:szCs w:val="18"/>
        </w:rPr>
      </w:pPr>
      <w:r w:rsidDel="00000000" w:rsidR="00000000" w:rsidRPr="00000000">
        <w:rPr>
          <w:rtl w:val="0"/>
        </w:rPr>
      </w:r>
    </w:p>
    <w:p w:rsidR="00000000" w:rsidDel="00000000" w:rsidP="00000000" w:rsidRDefault="00000000" w:rsidRPr="00000000" w14:paraId="00000035">
      <w:pPr>
        <w:rPr>
          <w:sz w:val="18"/>
          <w:szCs w:val="18"/>
        </w:rPr>
      </w:pPr>
      <w:r w:rsidDel="00000000" w:rsidR="00000000" w:rsidRPr="00000000">
        <w:rPr>
          <w:rtl w:val="0"/>
        </w:rPr>
      </w:r>
    </w:p>
    <w:p w:rsidR="00000000" w:rsidDel="00000000" w:rsidP="00000000" w:rsidRDefault="00000000" w:rsidRPr="00000000" w14:paraId="00000036">
      <w:pPr>
        <w:rPr>
          <w:sz w:val="18"/>
          <w:szCs w:val="18"/>
        </w:rPr>
      </w:pPr>
      <w:r w:rsidDel="00000000" w:rsidR="00000000" w:rsidRPr="00000000">
        <w:rPr>
          <w:sz w:val="18"/>
          <w:szCs w:val="18"/>
          <w:rtl w:val="0"/>
        </w:rPr>
        <w:t xml:space="preserve">Jasper (2003) developed the ERA cycle to simplify reflective practice, encouraging a higher amount of and faster actions as an outcome of professional reflection. A weakness however includes the lack of complexity which could cause rushed and negligently considered decisions to be made. A level of complexity and wisdom must be implemented by the professional themselves when using this model. (Jasper, 2003, pp.2–7)</w:t>
      </w:r>
    </w:p>
    <w:p w:rsidR="00000000" w:rsidDel="00000000" w:rsidP="00000000" w:rsidRDefault="00000000" w:rsidRPr="00000000" w14:paraId="00000037">
      <w:pPr>
        <w:rPr>
          <w:sz w:val="18"/>
          <w:szCs w:val="18"/>
        </w:rPr>
      </w:pPr>
      <w:r w:rsidDel="00000000" w:rsidR="00000000" w:rsidRPr="00000000">
        <w:rPr>
          <w:rtl w:val="0"/>
        </w:rPr>
      </w:r>
    </w:p>
    <w:p w:rsidR="00000000" w:rsidDel="00000000" w:rsidP="00000000" w:rsidRDefault="00000000" w:rsidRPr="00000000" w14:paraId="00000038">
      <w:pPr>
        <w:rPr>
          <w:sz w:val="18"/>
          <w:szCs w:val="18"/>
        </w:rPr>
      </w:pPr>
      <w:r w:rsidDel="00000000" w:rsidR="00000000" w:rsidRPr="00000000">
        <w:rPr>
          <w:sz w:val="18"/>
          <w:szCs w:val="18"/>
          <w:rtl w:val="0"/>
        </w:rPr>
        <w:t xml:space="preserve">In conclusion, the importance of reflection and the usefulness of using reflective models in early years professional practice is clear. The broad impacts of reflective practice as explained by Moffat (2019) demonstrate this, as well as the relevance of reflective practice in modern society. In contrast, The Victoria Climbie Inquiry Report (2003) shows how failure to follow reflective practice can result in devastating circumstances for children and professionals alike. It also demonstrates how important reflection is, as the reflections of the case gave way to change of legislation and procedures which were negatively affecting children’s safety. When assessing different frameworks used throughout early years it is Woods (2007) observations and theories which look at the modern development of reflective practice more thoroughly. Working Together to Safeguard Children (2018) allows professionals to understand how to practise reflection safely whilst including the child’s own wants. When using models of reflection there are clear differences in the simplicity of models, Kolb’s (1984) model gives a complexity needed for experienced practitioners when reflecting on a complex issue. Whereas Jasper’s (2003) model allows for inclusion of children when reflections due to it’s simplicity and ease of understanding. Both models pose weaknesses and strengths which should be considered by the professional practitioner before use.</w:t>
      </w:r>
      <w:r w:rsidDel="00000000" w:rsidR="00000000" w:rsidRPr="00000000">
        <w:rPr>
          <w:rtl w:val="0"/>
        </w:rPr>
      </w:r>
    </w:p>
    <w:p w:rsidR="00000000" w:rsidDel="00000000" w:rsidP="00000000" w:rsidRDefault="00000000" w:rsidRPr="00000000" w14:paraId="00000039">
      <w:pPr>
        <w:rPr>
          <w:sz w:val="18"/>
          <w:szCs w:val="18"/>
        </w:rPr>
      </w:pPr>
      <w:r w:rsidDel="00000000" w:rsidR="00000000" w:rsidRPr="00000000">
        <w:rPr>
          <w:rtl w:val="0"/>
        </w:rPr>
      </w:r>
    </w:p>
    <w:p w:rsidR="00000000" w:rsidDel="00000000" w:rsidP="00000000" w:rsidRDefault="00000000" w:rsidRPr="00000000" w14:paraId="0000003A">
      <w:pPr>
        <w:rPr>
          <w:b w:val="1"/>
          <w:sz w:val="18"/>
          <w:szCs w:val="18"/>
        </w:rPr>
      </w:pPr>
      <w:r w:rsidDel="00000000" w:rsidR="00000000" w:rsidRPr="00000000">
        <w:rPr>
          <w:b w:val="1"/>
          <w:sz w:val="18"/>
          <w:szCs w:val="18"/>
          <w:rtl w:val="0"/>
        </w:rPr>
        <w:t xml:space="preserve">987 words</w:t>
      </w:r>
    </w:p>
    <w:p w:rsidR="00000000" w:rsidDel="00000000" w:rsidP="00000000" w:rsidRDefault="00000000" w:rsidRPr="00000000" w14:paraId="0000003B">
      <w:pPr>
        <w:rPr>
          <w:sz w:val="18"/>
          <w:szCs w:val="18"/>
        </w:rPr>
      </w:pPr>
      <w:r w:rsidDel="00000000" w:rsidR="00000000" w:rsidRPr="00000000">
        <w:rPr>
          <w:rtl w:val="0"/>
        </w:rPr>
      </w:r>
    </w:p>
    <w:p w:rsidR="00000000" w:rsidDel="00000000" w:rsidP="00000000" w:rsidRDefault="00000000" w:rsidRPr="00000000" w14:paraId="0000003C">
      <w:pPr>
        <w:rPr>
          <w:sz w:val="18"/>
          <w:szCs w:val="18"/>
        </w:rPr>
      </w:pPr>
      <w:r w:rsidDel="00000000" w:rsidR="00000000" w:rsidRPr="00000000">
        <w:rPr>
          <w:rtl w:val="0"/>
        </w:rPr>
      </w:r>
    </w:p>
    <w:p w:rsidR="00000000" w:rsidDel="00000000" w:rsidP="00000000" w:rsidRDefault="00000000" w:rsidRPr="00000000" w14:paraId="0000003D">
      <w:pPr>
        <w:rPr>
          <w:b w:val="1"/>
          <w:sz w:val="18"/>
          <w:szCs w:val="18"/>
        </w:rPr>
      </w:pPr>
      <w:r w:rsidDel="00000000" w:rsidR="00000000" w:rsidRPr="00000000">
        <w:rPr>
          <w:b w:val="1"/>
          <w:sz w:val="18"/>
          <w:szCs w:val="18"/>
          <w:rtl w:val="0"/>
        </w:rPr>
        <w:t xml:space="preserve">Recognise and analyse the significance of different aspects of professional practise and why these are important in meeting the individual and inclusive needs of children. </w:t>
      </w:r>
    </w:p>
    <w:p w:rsidR="00000000" w:rsidDel="00000000" w:rsidP="00000000" w:rsidRDefault="00000000" w:rsidRPr="00000000" w14:paraId="0000003E">
      <w:pPr>
        <w:rPr>
          <w:sz w:val="18"/>
          <w:szCs w:val="18"/>
        </w:rPr>
      </w:pPr>
      <w:r w:rsidDel="00000000" w:rsidR="00000000" w:rsidRPr="00000000">
        <w:rPr>
          <w:rtl w:val="0"/>
        </w:rPr>
      </w:r>
    </w:p>
    <w:p w:rsidR="00000000" w:rsidDel="00000000" w:rsidP="00000000" w:rsidRDefault="00000000" w:rsidRPr="00000000" w14:paraId="0000003F">
      <w:pPr>
        <w:rPr>
          <w:sz w:val="18"/>
          <w:szCs w:val="18"/>
        </w:rPr>
      </w:pPr>
      <w:r w:rsidDel="00000000" w:rsidR="00000000" w:rsidRPr="00000000">
        <w:rPr>
          <w:sz w:val="18"/>
          <w:szCs w:val="18"/>
          <w:rtl w:val="0"/>
        </w:rPr>
        <w:t xml:space="preserve">This essay will discuss the meaning of professionalism and how it relates to professional practice. Taking into account the important of professionalism, including why and how it relates to the unique needs of children. Looking at the meaning of professional practice in regards to safeguarding, inclusivity, knowledge of early years, multi agency working and developments of planning and observation throughout time.</w:t>
      </w:r>
    </w:p>
    <w:p w:rsidR="00000000" w:rsidDel="00000000" w:rsidP="00000000" w:rsidRDefault="00000000" w:rsidRPr="00000000" w14:paraId="00000040">
      <w:pPr>
        <w:rPr>
          <w:sz w:val="18"/>
          <w:szCs w:val="18"/>
        </w:rPr>
      </w:pPr>
      <w:r w:rsidDel="00000000" w:rsidR="00000000" w:rsidRPr="00000000">
        <w:rPr>
          <w:rtl w:val="0"/>
        </w:rPr>
      </w:r>
    </w:p>
    <w:p w:rsidR="00000000" w:rsidDel="00000000" w:rsidP="00000000" w:rsidRDefault="00000000" w:rsidRPr="00000000" w14:paraId="00000041">
      <w:pPr>
        <w:rPr>
          <w:sz w:val="18"/>
          <w:szCs w:val="18"/>
        </w:rPr>
      </w:pPr>
      <w:r w:rsidDel="00000000" w:rsidR="00000000" w:rsidRPr="00000000">
        <w:rPr>
          <w:sz w:val="18"/>
          <w:szCs w:val="18"/>
          <w:rtl w:val="0"/>
        </w:rPr>
        <w:t xml:space="preserve">The meaning of being a professional is debated widely in terms of the requirements needed. It has been suggested that early years educators should hold Early Years Professional Status to effectively deliver high quality childcare (Roberts-Holmes, 2012). However their wealth of education, values, culture, characteristics and experience are often viewed as essential to professional practice when they relate to the profession itself.  For instance a professional business person may have completely opposing characteristics compared to a professional early years educator. A business person could be considered to be very professional when their values are financially orientated, they can use cold, hard tactics to seal deals and they can disregard potentially dangerous business partners callously. Whereas an early years professional could be viewed as professional for their calm, warm and friendly manner. Their understanding of the needs of others and empathic ability. They keep to boundaries but show ‘professional love’ towards the children they look after, and instil kindness, respect and dignity in their every day work. Therefore the importance of these values being unique to the role itself is clear.  An early years professional must follow codes of practice and have an understanding of the expectations from their workplace and their role in terms of professionalism. The early years educator must hold deep knowledge and be willing to continually learn throughout their career, shifting with societal shifts that children will constantly react to. Continuous professional development is an element of professionalism that supports a practitioner in this (National College for Teaching and Leadership, 2013).</w:t>
      </w:r>
    </w:p>
    <w:p w:rsidR="00000000" w:rsidDel="00000000" w:rsidP="00000000" w:rsidRDefault="00000000" w:rsidRPr="00000000" w14:paraId="00000042">
      <w:pPr>
        <w:rPr>
          <w:sz w:val="18"/>
          <w:szCs w:val="18"/>
        </w:rPr>
      </w:pPr>
      <w:r w:rsidDel="00000000" w:rsidR="00000000" w:rsidRPr="00000000">
        <w:rPr>
          <w:rtl w:val="0"/>
        </w:rPr>
      </w:r>
    </w:p>
    <w:p w:rsidR="00000000" w:rsidDel="00000000" w:rsidP="00000000" w:rsidRDefault="00000000" w:rsidRPr="00000000" w14:paraId="00000043">
      <w:pPr>
        <w:rPr>
          <w:sz w:val="18"/>
          <w:szCs w:val="18"/>
        </w:rPr>
      </w:pPr>
      <w:r w:rsidDel="00000000" w:rsidR="00000000" w:rsidRPr="00000000">
        <w:rPr>
          <w:sz w:val="18"/>
          <w:szCs w:val="18"/>
          <w:rtl w:val="0"/>
        </w:rPr>
        <w:t xml:space="preserve">Having an in-depth knowledge of early years allows for practitioners to understand the history behind the career. When understanding the history, the practitioner can appreciate the progress of the early years sector, comparing and coming to their own unique ideas about what has worked well over history and what hasn’t. Reflection of the failures of history have allowed for huge shifts in legislation and laws relating to children, to the benefit of the safety of the child. Practitioners who do not have a deep knowledge of why these laws and legislations are important could have trouble understanding their significance and the purpose for their use within their practice, in turn creating unsafe environments for children. To familiarise themselves with different approaches, methods and theories around early years, practitioners can bring to their work a unique style of learning which relates to children who may not be related to otherwise (inclusivity). Children need variance and want to make strong connections with their carers, children are also unique. Meaning a unique professional could fit that unique child perfectly (Sakr and Bonetti, 2021).</w:t>
      </w:r>
    </w:p>
    <w:p w:rsidR="00000000" w:rsidDel="00000000" w:rsidP="00000000" w:rsidRDefault="00000000" w:rsidRPr="00000000" w14:paraId="00000044">
      <w:pPr>
        <w:rPr>
          <w:color w:val="ff0000"/>
          <w:sz w:val="18"/>
          <w:szCs w:val="18"/>
        </w:rPr>
      </w:pPr>
      <w:r w:rsidDel="00000000" w:rsidR="00000000" w:rsidRPr="00000000">
        <w:rPr>
          <w:sz w:val="18"/>
          <w:szCs w:val="18"/>
          <w:rtl w:val="0"/>
        </w:rPr>
        <w:t xml:space="preserve">The biggest factor in ensuring children can fully express themselves, discovering who they are and what the world is around them, is to create a safe environment for them to learn in. Learning through play is possibly the most effective method of teaching early years but to allow the exploration needed for this, certain safeguarding rules must be in place. A practitioner without adequate safeguarding knowledge runs the risk of crossing the boundary line of safe and unsafe play (Working together to safeguard children, 2018).</w:t>
      </w:r>
      <w:r w:rsidDel="00000000" w:rsidR="00000000" w:rsidRPr="00000000">
        <w:rPr>
          <w:rtl w:val="0"/>
        </w:rPr>
      </w:r>
    </w:p>
    <w:p w:rsidR="00000000" w:rsidDel="00000000" w:rsidP="00000000" w:rsidRDefault="00000000" w:rsidRPr="00000000" w14:paraId="00000045">
      <w:pPr>
        <w:rPr>
          <w:sz w:val="18"/>
          <w:szCs w:val="18"/>
        </w:rPr>
      </w:pPr>
      <w:r w:rsidDel="00000000" w:rsidR="00000000" w:rsidRPr="00000000">
        <w:rPr>
          <w:rtl w:val="0"/>
        </w:rPr>
      </w:r>
    </w:p>
    <w:p w:rsidR="00000000" w:rsidDel="00000000" w:rsidP="00000000" w:rsidRDefault="00000000" w:rsidRPr="00000000" w14:paraId="00000046">
      <w:pPr>
        <w:rPr>
          <w:sz w:val="18"/>
          <w:szCs w:val="18"/>
        </w:rPr>
      </w:pPr>
      <w:r w:rsidDel="00000000" w:rsidR="00000000" w:rsidRPr="00000000">
        <w:rPr>
          <w:sz w:val="18"/>
          <w:szCs w:val="18"/>
          <w:rtl w:val="0"/>
        </w:rPr>
        <w:t xml:space="preserve">Multi agency work is vital to assure children are protected from serious harm or risk of harm. There have been historical cases of child abuse where the biggest factor in their failings were due to non - multi agency working. Professionals have learned from previous mistakes and realised this is a crucial part to protecting children in their work. The Children Act (2004) was established in practice to assure legal policy changes supported the safer care of children across all childcare services, such as social services, the police and education. This included the encouragement of Local Authorities to develop cultures that make it possible for childcare services to work together effectively. Every Child Matters (2003) brought forward the fact that socio-economic issues affect the vulnerability of a child. Even if not overtly vulnerable, the mental stress, low self esteem or negative mental health caused by certain socio-economic factors can make a child vulnerable to abuse within the childcare systems. Settings were encouraged to start acting as referral systems into other agencies and charities which could support the children recognised as vulnerable in this way.  </w:t>
      </w:r>
    </w:p>
    <w:p w:rsidR="00000000" w:rsidDel="00000000" w:rsidP="00000000" w:rsidRDefault="00000000" w:rsidRPr="00000000" w14:paraId="00000047">
      <w:pPr>
        <w:rPr>
          <w:sz w:val="18"/>
          <w:szCs w:val="18"/>
        </w:rPr>
      </w:pPr>
      <w:r w:rsidDel="00000000" w:rsidR="00000000" w:rsidRPr="00000000">
        <w:rPr>
          <w:sz w:val="18"/>
          <w:szCs w:val="18"/>
          <w:rtl w:val="0"/>
        </w:rPr>
        <w:t xml:space="preserve">Working in partnership also extends to working relationships and communication with families. To work well with children it is accepted that you must also work with the families as a partnership. This allows the child to have consistency within their home lives and their educational lives. Without this a child may feel unstable, confused, misunderstood and struggle to settle into settings. Understanding the culture of families will allow professionals to achieve diversity within their practice. Giving children the freedom to express and feel comfortable and happy within their own unique culture. This gives the child self assurance. Communication with parents allows professionals to cater to the child's needs’ better as they can get to know a child through their family life. There is also the benefit of being able to spot safeguarding concerns more easily as the professional will know what is out of the norm for the family. The purpose of the development of carer - professional relationships was to break the barriers that may have previously stood in the way. The barriers were due to historical stereotypes around professional people being too unapproachable by the average family, or a professional manager being too unapproachable for the new starter apprentice to speak with, which could be why a professional in early years is now considered someone who is approachable, and has excellent communication skills. (Nurse, 2007, pp.19–28)</w:t>
      </w:r>
    </w:p>
    <w:p w:rsidR="00000000" w:rsidDel="00000000" w:rsidP="00000000" w:rsidRDefault="00000000" w:rsidRPr="00000000" w14:paraId="00000048">
      <w:pPr>
        <w:rPr>
          <w:sz w:val="18"/>
          <w:szCs w:val="18"/>
        </w:rPr>
      </w:pPr>
      <w:r w:rsidDel="00000000" w:rsidR="00000000" w:rsidRPr="00000000">
        <w:rPr>
          <w:rtl w:val="0"/>
        </w:rPr>
      </w:r>
    </w:p>
    <w:p w:rsidR="00000000" w:rsidDel="00000000" w:rsidP="00000000" w:rsidRDefault="00000000" w:rsidRPr="00000000" w14:paraId="00000049">
      <w:pPr>
        <w:rPr>
          <w:sz w:val="18"/>
          <w:szCs w:val="18"/>
        </w:rPr>
      </w:pPr>
      <w:r w:rsidDel="00000000" w:rsidR="00000000" w:rsidRPr="00000000">
        <w:rPr>
          <w:sz w:val="18"/>
          <w:szCs w:val="18"/>
          <w:rtl w:val="0"/>
        </w:rPr>
        <w:t xml:space="preserve">The UN Convention on the Rights of the Child (UNCRC) allows professionals to understand how a child should be treated and to further understand their abilities. The deeper understanding of a childs’ abilities rather than the view that they cannot comprehend what is happening to or around them, gives a professional practitioner the knowledge that the way they interact with the child has an important effect on their early years development. Especially as the childs’ brain develops crucial early years connections (Siegel and Bryson, 2011). The professional is expected to understand from this, that the child deserves to be treated fairly whilst covering all of the UNCRC rights (The United Nations Convention on the Rights of the Child).</w:t>
      </w:r>
      <w:r w:rsidDel="00000000" w:rsidR="00000000" w:rsidRPr="00000000">
        <w:rPr>
          <w:color w:val="ff0000"/>
          <w:sz w:val="18"/>
          <w:szCs w:val="18"/>
          <w:rtl w:val="0"/>
        </w:rPr>
        <w:t xml:space="preserve"> </w:t>
      </w:r>
      <w:r w:rsidDel="00000000" w:rsidR="00000000" w:rsidRPr="00000000">
        <w:rPr>
          <w:sz w:val="18"/>
          <w:szCs w:val="18"/>
          <w:rtl w:val="0"/>
        </w:rPr>
        <w:t xml:space="preserve">Allowing a child to express themselves may not come easily to the experienced practitioner, as in recent years the process of planning has developed drastically throughout the last few decades. From having to spend hours planning and evidence every activity that is presented to the children, as well as making children sit through activities they may not be interested in and then punishing them for showing signs of boredom. Planning has progressed to movements such as  ‘in the moment planning’ which allows for childrens’ full expression to guide their early years activities and for professional practitioners to be guided along with them only drawing them in for conversations and learning experiences when an opportunity arises, to keep children progressing forward along the curriculum or learning goals of the early years setting. The ‘In the moment planning’ movement is revolutionising early years. A technique developed to remove the hours of planning spent by professionals, which seemed to make no sense in practice when the actions of children are often impossible to ‘plan’. It has been suggested that the time and energy spent planning long thought out activities for children could be best spent actually working with the children and actively listening to their likes, dislikes, wants and needs. The implementation of in the moment planning has so far proved successful. The need for tracking has to be followed to ensure evidence that meaningful and educational activities have taken place to allow the child to reach their full potential and educational requirements, however this can be completed in a less rigid approach such as pictures, videos and observations (Ephgrave, 2022).</w:t>
      </w:r>
    </w:p>
    <w:p w:rsidR="00000000" w:rsidDel="00000000" w:rsidP="00000000" w:rsidRDefault="00000000" w:rsidRPr="00000000" w14:paraId="0000004A">
      <w:pPr>
        <w:rPr>
          <w:sz w:val="18"/>
          <w:szCs w:val="18"/>
        </w:rPr>
      </w:pPr>
      <w:r w:rsidDel="00000000" w:rsidR="00000000" w:rsidRPr="00000000">
        <w:rPr>
          <w:rtl w:val="0"/>
        </w:rPr>
      </w:r>
    </w:p>
    <w:p w:rsidR="00000000" w:rsidDel="00000000" w:rsidP="00000000" w:rsidRDefault="00000000" w:rsidRPr="00000000" w14:paraId="0000004B">
      <w:pPr>
        <w:rPr>
          <w:sz w:val="18"/>
          <w:szCs w:val="18"/>
        </w:rPr>
      </w:pPr>
      <w:r w:rsidDel="00000000" w:rsidR="00000000" w:rsidRPr="00000000">
        <w:rPr>
          <w:sz w:val="18"/>
          <w:szCs w:val="18"/>
          <w:rtl w:val="0"/>
        </w:rPr>
        <w:t xml:space="preserve">In conclusion it is clear that many characteristics of being a professional are needed to practise effectively. It’s definition is not simple yet complex and pertains to the actual profession, as described initially, different professions require different and contrasting factors to be viewed as ‘professional’. Continuous professional development in the early years sector is highly desirable. In depth knowledge of the field gives a strong foundation of understanding to the professional giving them opportunities to expand their own unique working personality whilst following the necessary safeguarding policies and procedures. Historical cases of failings in childcare sectors have demonstrated the importance of working in partnership with other agencies in regards to keeping children happy and safe. The professionals' understanding of the UNCRC directly relates to their professionalism as they can ensure their work fulfils a child’s rights. The early years sector is ever - changing and a professional must be able to adapt, more recently we see the ‘in the moment planning’ movement changing the strategies previously put in place in hopes to benefit the child as the sector moves to a very child focused and sympathetic approach. </w:t>
      </w:r>
    </w:p>
    <w:p w:rsidR="00000000" w:rsidDel="00000000" w:rsidP="00000000" w:rsidRDefault="00000000" w:rsidRPr="00000000" w14:paraId="0000004C">
      <w:pPr>
        <w:rPr>
          <w:sz w:val="18"/>
          <w:szCs w:val="18"/>
        </w:rPr>
      </w:pPr>
      <w:r w:rsidDel="00000000" w:rsidR="00000000" w:rsidRPr="00000000">
        <w:rPr>
          <w:rtl w:val="0"/>
        </w:rPr>
      </w:r>
    </w:p>
    <w:p w:rsidR="00000000" w:rsidDel="00000000" w:rsidP="00000000" w:rsidRDefault="00000000" w:rsidRPr="00000000" w14:paraId="0000004D">
      <w:pPr>
        <w:rPr>
          <w:b w:val="1"/>
          <w:sz w:val="18"/>
          <w:szCs w:val="18"/>
        </w:rPr>
      </w:pPr>
      <w:r w:rsidDel="00000000" w:rsidR="00000000" w:rsidRPr="00000000">
        <w:rPr>
          <w:b w:val="1"/>
          <w:sz w:val="18"/>
          <w:szCs w:val="18"/>
          <w:rtl w:val="0"/>
        </w:rPr>
        <w:t xml:space="preserve">1563 words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spacing w:after="340" w:line="360" w:lineRule="auto"/>
        <w:rPr>
          <w:b w:val="1"/>
          <w:sz w:val="18"/>
          <w:szCs w:val="18"/>
          <w:u w:val="single"/>
        </w:rPr>
      </w:pPr>
      <w:r w:rsidDel="00000000" w:rsidR="00000000" w:rsidRPr="00000000">
        <w:rPr>
          <w:b w:val="1"/>
          <w:sz w:val="18"/>
          <w:szCs w:val="18"/>
          <w:u w:val="single"/>
          <w:rtl w:val="0"/>
        </w:rPr>
        <w:t xml:space="preserve">Reference list</w:t>
      </w:r>
    </w:p>
    <w:p w:rsidR="00000000" w:rsidDel="00000000" w:rsidP="00000000" w:rsidRDefault="00000000" w:rsidRPr="00000000" w14:paraId="00000053">
      <w:pPr>
        <w:spacing w:after="220" w:line="360" w:lineRule="auto"/>
        <w:rPr>
          <w:sz w:val="18"/>
          <w:szCs w:val="18"/>
        </w:rPr>
      </w:pPr>
      <w:r w:rsidDel="00000000" w:rsidR="00000000" w:rsidRPr="00000000">
        <w:rPr>
          <w:sz w:val="18"/>
          <w:szCs w:val="18"/>
          <w:rtl w:val="0"/>
        </w:rPr>
        <w:t xml:space="preserve">Amy Ephgrave (2022). </w:t>
      </w:r>
      <w:r w:rsidDel="00000000" w:rsidR="00000000" w:rsidRPr="00000000">
        <w:rPr>
          <w:i w:val="1"/>
          <w:sz w:val="18"/>
          <w:szCs w:val="18"/>
          <w:rtl w:val="0"/>
        </w:rPr>
        <w:t xml:space="preserve">What is Montessori Education? | The Montessori Method</w:t>
      </w:r>
      <w:r w:rsidDel="00000000" w:rsidR="00000000" w:rsidRPr="00000000">
        <w:rPr>
          <w:sz w:val="18"/>
          <w:szCs w:val="18"/>
          <w:rtl w:val="0"/>
        </w:rPr>
        <w:t xml:space="preserve">. </w:t>
      </w:r>
      <w:r w:rsidDel="00000000" w:rsidR="00000000" w:rsidRPr="00000000">
        <w:rPr>
          <w:i w:val="1"/>
          <w:sz w:val="18"/>
          <w:szCs w:val="18"/>
          <w:rtl w:val="0"/>
        </w:rPr>
        <w:t xml:space="preserve">YouTube</w:t>
      </w:r>
      <w:r w:rsidDel="00000000" w:rsidR="00000000" w:rsidRPr="00000000">
        <w:rPr>
          <w:sz w:val="18"/>
          <w:szCs w:val="18"/>
          <w:rtl w:val="0"/>
        </w:rPr>
        <w:t xml:space="preserve">. Available at: https://www.youtube.com/watch?v=eYJxKjdKT28 [Accessed 24 Oct. 2023].</w:t>
      </w:r>
    </w:p>
    <w:p w:rsidR="00000000" w:rsidDel="00000000" w:rsidP="00000000" w:rsidRDefault="00000000" w:rsidRPr="00000000" w14:paraId="00000054">
      <w:pPr>
        <w:spacing w:after="220" w:line="360" w:lineRule="auto"/>
        <w:rPr>
          <w:sz w:val="18"/>
          <w:szCs w:val="18"/>
        </w:rPr>
      </w:pPr>
      <w:r w:rsidDel="00000000" w:rsidR="00000000" w:rsidRPr="00000000">
        <w:rPr>
          <w:sz w:val="18"/>
          <w:szCs w:val="18"/>
          <w:rtl w:val="0"/>
        </w:rPr>
        <w:t xml:space="preserve">Ephgrave, A. (2022). </w:t>
      </w:r>
      <w:r w:rsidDel="00000000" w:rsidR="00000000" w:rsidRPr="00000000">
        <w:rPr>
          <w:i w:val="1"/>
          <w:sz w:val="18"/>
          <w:szCs w:val="18"/>
          <w:rtl w:val="0"/>
        </w:rPr>
        <w:t xml:space="preserve">Planning in the Moment | EYFS</w:t>
      </w:r>
      <w:r w:rsidDel="00000000" w:rsidR="00000000" w:rsidRPr="00000000">
        <w:rPr>
          <w:sz w:val="18"/>
          <w:szCs w:val="18"/>
          <w:rtl w:val="0"/>
        </w:rPr>
        <w:t xml:space="preserve">. [online] www.youtube.com. Available at: https://www.youtube.com/watch?v=osIwlJXmEtk [Accessed 24 Oct. 2023].</w:t>
      </w:r>
    </w:p>
    <w:p w:rsidR="00000000" w:rsidDel="00000000" w:rsidP="00000000" w:rsidRDefault="00000000" w:rsidRPr="00000000" w14:paraId="00000055">
      <w:pPr>
        <w:spacing w:after="220" w:line="360" w:lineRule="auto"/>
        <w:rPr>
          <w:sz w:val="18"/>
          <w:szCs w:val="18"/>
        </w:rPr>
      </w:pPr>
      <w:r w:rsidDel="00000000" w:rsidR="00000000" w:rsidRPr="00000000">
        <w:rPr>
          <w:sz w:val="18"/>
          <w:szCs w:val="18"/>
          <w:rtl w:val="0"/>
        </w:rPr>
        <w:t xml:space="preserve">Hoban, G. (2019). Using a Reflective Framework to Study Teaching-learning Relationships. </w:t>
      </w:r>
      <w:r w:rsidDel="00000000" w:rsidR="00000000" w:rsidRPr="00000000">
        <w:rPr>
          <w:i w:val="1"/>
          <w:sz w:val="18"/>
          <w:szCs w:val="18"/>
          <w:rtl w:val="0"/>
        </w:rPr>
        <w:t xml:space="preserve">Reflective Practice</w:t>
      </w:r>
      <w:r w:rsidDel="00000000" w:rsidR="00000000" w:rsidRPr="00000000">
        <w:rPr>
          <w:sz w:val="18"/>
          <w:szCs w:val="18"/>
          <w:rtl w:val="0"/>
        </w:rPr>
        <w:t xml:space="preserve">, [online] 1(2), pp.165–182. Available at: https://www.tandfonline.com/doi/abs/10.1080/713693148 [Accessed 24 Oct. 2023].</w:t>
      </w:r>
    </w:p>
    <w:p w:rsidR="00000000" w:rsidDel="00000000" w:rsidP="00000000" w:rsidRDefault="00000000" w:rsidRPr="00000000" w14:paraId="00000056">
      <w:pPr>
        <w:spacing w:after="220" w:line="360" w:lineRule="auto"/>
        <w:rPr>
          <w:sz w:val="18"/>
          <w:szCs w:val="18"/>
        </w:rPr>
      </w:pPr>
      <w:r w:rsidDel="00000000" w:rsidR="00000000" w:rsidRPr="00000000">
        <w:rPr>
          <w:sz w:val="18"/>
          <w:szCs w:val="18"/>
          <w:rtl w:val="0"/>
        </w:rPr>
        <w:t xml:space="preserve">Jasper, M. (2003). </w:t>
      </w:r>
      <w:r w:rsidDel="00000000" w:rsidR="00000000" w:rsidRPr="00000000">
        <w:rPr>
          <w:i w:val="1"/>
          <w:sz w:val="18"/>
          <w:szCs w:val="18"/>
          <w:rtl w:val="0"/>
        </w:rPr>
        <w:t xml:space="preserve">Beginning Reflective Practice</w:t>
      </w:r>
      <w:r w:rsidDel="00000000" w:rsidR="00000000" w:rsidRPr="00000000">
        <w:rPr>
          <w:sz w:val="18"/>
          <w:szCs w:val="18"/>
          <w:rtl w:val="0"/>
        </w:rPr>
        <w:t xml:space="preserve">. [online] Cheltenham, England: Nelson Thornes Ltd, pp.2–7. Available at: https://mis.kp.ac.rw/admin/admin_panel/kp_lms/files/digital/Core%20Books/Nursing/Foundations%20in%20Nursing%20and%20Health%20Care%20[Wigens,%20Lynne].pdf [Accessed 20 Oct. 2023].</w:t>
      </w:r>
    </w:p>
    <w:p w:rsidR="00000000" w:rsidDel="00000000" w:rsidP="00000000" w:rsidRDefault="00000000" w:rsidRPr="00000000" w14:paraId="00000057">
      <w:pPr>
        <w:spacing w:after="220" w:line="360" w:lineRule="auto"/>
        <w:rPr>
          <w:sz w:val="18"/>
          <w:szCs w:val="18"/>
        </w:rPr>
      </w:pPr>
      <w:r w:rsidDel="00000000" w:rsidR="00000000" w:rsidRPr="00000000">
        <w:rPr>
          <w:sz w:val="18"/>
          <w:szCs w:val="18"/>
          <w:rtl w:val="0"/>
        </w:rPr>
        <w:t xml:space="preserve">Kenneth James Moffatt (2019). </w:t>
      </w:r>
      <w:r w:rsidDel="00000000" w:rsidR="00000000" w:rsidRPr="00000000">
        <w:rPr>
          <w:i w:val="1"/>
          <w:sz w:val="18"/>
          <w:szCs w:val="18"/>
          <w:rtl w:val="0"/>
        </w:rPr>
        <w:t xml:space="preserve">Postmodern social work : reflective practice and education</w:t>
      </w:r>
      <w:r w:rsidDel="00000000" w:rsidR="00000000" w:rsidRPr="00000000">
        <w:rPr>
          <w:sz w:val="18"/>
          <w:szCs w:val="18"/>
          <w:rtl w:val="0"/>
        </w:rPr>
        <w:t xml:space="preserve">. New York: Columbia University Press, pp.1–172.</w:t>
      </w:r>
    </w:p>
    <w:p w:rsidR="00000000" w:rsidDel="00000000" w:rsidP="00000000" w:rsidRDefault="00000000" w:rsidRPr="00000000" w14:paraId="00000058">
      <w:pPr>
        <w:spacing w:after="220" w:line="360" w:lineRule="auto"/>
        <w:rPr>
          <w:sz w:val="18"/>
          <w:szCs w:val="18"/>
        </w:rPr>
      </w:pPr>
      <w:r w:rsidDel="00000000" w:rsidR="00000000" w:rsidRPr="00000000">
        <w:rPr>
          <w:sz w:val="18"/>
          <w:szCs w:val="18"/>
          <w:rtl w:val="0"/>
        </w:rPr>
        <w:t xml:space="preserve">Laming, L. (2003). </w:t>
      </w:r>
      <w:r w:rsidDel="00000000" w:rsidR="00000000" w:rsidRPr="00000000">
        <w:rPr>
          <w:i w:val="1"/>
          <w:sz w:val="18"/>
          <w:szCs w:val="18"/>
          <w:rtl w:val="0"/>
        </w:rPr>
        <w:t xml:space="preserve">THE VICTORIA CLIMBIÉ INQUIRY</w:t>
      </w:r>
      <w:r w:rsidDel="00000000" w:rsidR="00000000" w:rsidRPr="00000000">
        <w:rPr>
          <w:sz w:val="18"/>
          <w:szCs w:val="18"/>
          <w:rtl w:val="0"/>
        </w:rPr>
        <w:t xml:space="preserve">. [online] Norwich, England: Secretary of State for Health and the Secretary of State for the Home Department, pp.349–351. Available at: https://assets.publishing.service.gov.uk/media/5a7c5edeed915d696ccfc51b/5730.pdf [Accessed 20 Oct. 2023].</w:t>
      </w:r>
    </w:p>
    <w:p w:rsidR="00000000" w:rsidDel="00000000" w:rsidP="00000000" w:rsidRDefault="00000000" w:rsidRPr="00000000" w14:paraId="00000059">
      <w:pPr>
        <w:spacing w:after="220" w:line="360" w:lineRule="auto"/>
        <w:rPr>
          <w:sz w:val="18"/>
          <w:szCs w:val="18"/>
        </w:rPr>
      </w:pPr>
      <w:r w:rsidDel="00000000" w:rsidR="00000000" w:rsidRPr="00000000">
        <w:rPr>
          <w:sz w:val="18"/>
          <w:szCs w:val="18"/>
          <w:rtl w:val="0"/>
        </w:rPr>
        <w:t xml:space="preserve">Morris, T.H. (2019a). Experiential learning – a systematic review and revision of Kolb’s model. </w:t>
      </w:r>
      <w:r w:rsidDel="00000000" w:rsidR="00000000" w:rsidRPr="00000000">
        <w:rPr>
          <w:i w:val="1"/>
          <w:sz w:val="18"/>
          <w:szCs w:val="18"/>
          <w:rtl w:val="0"/>
        </w:rPr>
        <w:t xml:space="preserve">Interactive Learning Environments</w:t>
      </w:r>
      <w:r w:rsidDel="00000000" w:rsidR="00000000" w:rsidRPr="00000000">
        <w:rPr>
          <w:sz w:val="18"/>
          <w:szCs w:val="18"/>
          <w:rtl w:val="0"/>
        </w:rPr>
        <w:t xml:space="preserve">, [online] 28(8), pp.1–14. doi:https://doi.org/10.1080/10494820.2019.1570279.</w:t>
      </w:r>
    </w:p>
    <w:p w:rsidR="00000000" w:rsidDel="00000000" w:rsidP="00000000" w:rsidRDefault="00000000" w:rsidRPr="00000000" w14:paraId="0000005A">
      <w:pPr>
        <w:spacing w:after="220" w:line="360" w:lineRule="auto"/>
        <w:rPr>
          <w:sz w:val="18"/>
          <w:szCs w:val="18"/>
        </w:rPr>
      </w:pPr>
      <w:r w:rsidDel="00000000" w:rsidR="00000000" w:rsidRPr="00000000">
        <w:rPr>
          <w:sz w:val="18"/>
          <w:szCs w:val="18"/>
          <w:rtl w:val="0"/>
        </w:rPr>
        <w:t xml:space="preserve">Morris, T.H. (2019b). </w:t>
      </w:r>
      <w:r w:rsidDel="00000000" w:rsidR="00000000" w:rsidRPr="00000000">
        <w:rPr>
          <w:i w:val="1"/>
          <w:sz w:val="18"/>
          <w:szCs w:val="18"/>
          <w:rtl w:val="0"/>
        </w:rPr>
        <w:t xml:space="preserve">Kolb’s 1984 Model</w:t>
      </w:r>
      <w:r w:rsidDel="00000000" w:rsidR="00000000" w:rsidRPr="00000000">
        <w:rPr>
          <w:sz w:val="18"/>
          <w:szCs w:val="18"/>
          <w:rtl w:val="0"/>
        </w:rPr>
        <w:t xml:space="preserve">. [Online image] </w:t>
      </w:r>
      <w:r w:rsidDel="00000000" w:rsidR="00000000" w:rsidRPr="00000000">
        <w:rPr>
          <w:i w:val="1"/>
          <w:sz w:val="18"/>
          <w:szCs w:val="18"/>
          <w:rtl w:val="0"/>
        </w:rPr>
        <w:t xml:space="preserve">Taylor &amp; Francis Online</w:t>
      </w:r>
      <w:r w:rsidDel="00000000" w:rsidR="00000000" w:rsidRPr="00000000">
        <w:rPr>
          <w:sz w:val="18"/>
          <w:szCs w:val="18"/>
          <w:rtl w:val="0"/>
        </w:rPr>
        <w:t xml:space="preserve">. Available at: https://www-tandfonline-com.ezproxy.uwtsd.ac.uk/doi/full/10.1080/10494820.2019.1570279 [Accessed 20 Oct. 2023].</w:t>
      </w:r>
    </w:p>
    <w:p w:rsidR="00000000" w:rsidDel="00000000" w:rsidP="00000000" w:rsidRDefault="00000000" w:rsidRPr="00000000" w14:paraId="0000005B">
      <w:pPr>
        <w:spacing w:after="220" w:line="360" w:lineRule="auto"/>
        <w:rPr>
          <w:sz w:val="18"/>
          <w:szCs w:val="18"/>
        </w:rPr>
      </w:pPr>
      <w:r w:rsidDel="00000000" w:rsidR="00000000" w:rsidRPr="00000000">
        <w:rPr>
          <w:sz w:val="18"/>
          <w:szCs w:val="18"/>
          <w:rtl w:val="0"/>
        </w:rPr>
        <w:t xml:space="preserve">National College for Teaching and Leadership (2013). </w:t>
      </w:r>
      <w:r w:rsidDel="00000000" w:rsidR="00000000" w:rsidRPr="00000000">
        <w:rPr>
          <w:i w:val="1"/>
          <w:sz w:val="18"/>
          <w:szCs w:val="18"/>
          <w:rtl w:val="0"/>
        </w:rPr>
        <w:t xml:space="preserve">Teachers’ Standards (Early Years)</w:t>
      </w:r>
      <w:r w:rsidDel="00000000" w:rsidR="00000000" w:rsidRPr="00000000">
        <w:rPr>
          <w:sz w:val="18"/>
          <w:szCs w:val="18"/>
          <w:rtl w:val="0"/>
        </w:rPr>
        <w:t xml:space="preserve">. [online] </w:t>
      </w:r>
      <w:r w:rsidDel="00000000" w:rsidR="00000000" w:rsidRPr="00000000">
        <w:rPr>
          <w:i w:val="1"/>
          <w:sz w:val="18"/>
          <w:szCs w:val="18"/>
          <w:rtl w:val="0"/>
        </w:rPr>
        <w:t xml:space="preserve">www.gov.uk</w:t>
      </w:r>
      <w:r w:rsidDel="00000000" w:rsidR="00000000" w:rsidRPr="00000000">
        <w:rPr>
          <w:sz w:val="18"/>
          <w:szCs w:val="18"/>
          <w:rtl w:val="0"/>
        </w:rPr>
        <w:t xml:space="preserve">. Available at: https://assets.publishing.service.gov.uk/media/5a7bfe8eed915d41476221b0/Early_Years_Teachers__Standards.pdf [Accessed 24 Oct. 2023].</w:t>
      </w:r>
    </w:p>
    <w:p w:rsidR="00000000" w:rsidDel="00000000" w:rsidP="00000000" w:rsidRDefault="00000000" w:rsidRPr="00000000" w14:paraId="0000005C">
      <w:pPr>
        <w:spacing w:after="220" w:line="360" w:lineRule="auto"/>
        <w:rPr>
          <w:sz w:val="18"/>
          <w:szCs w:val="18"/>
        </w:rPr>
      </w:pPr>
      <w:r w:rsidDel="00000000" w:rsidR="00000000" w:rsidRPr="00000000">
        <w:rPr>
          <w:sz w:val="18"/>
          <w:szCs w:val="18"/>
          <w:rtl w:val="0"/>
        </w:rPr>
        <w:t xml:space="preserve">Nurse, A.D. (2007). </w:t>
      </w:r>
      <w:r w:rsidDel="00000000" w:rsidR="00000000" w:rsidRPr="00000000">
        <w:rPr>
          <w:i w:val="1"/>
          <w:sz w:val="18"/>
          <w:szCs w:val="18"/>
          <w:rtl w:val="0"/>
        </w:rPr>
        <w:t xml:space="preserve">The New Early Years Professional</w:t>
      </w:r>
      <w:r w:rsidDel="00000000" w:rsidR="00000000" w:rsidRPr="00000000">
        <w:rPr>
          <w:sz w:val="18"/>
          <w:szCs w:val="18"/>
          <w:rtl w:val="0"/>
        </w:rPr>
        <w:t xml:space="preserve">. Oxfordshire, England: Routledge, pp.19–28.</w:t>
      </w:r>
    </w:p>
    <w:p w:rsidR="00000000" w:rsidDel="00000000" w:rsidP="00000000" w:rsidRDefault="00000000" w:rsidRPr="00000000" w14:paraId="0000005D">
      <w:pPr>
        <w:spacing w:after="220" w:line="360" w:lineRule="auto"/>
        <w:rPr>
          <w:sz w:val="18"/>
          <w:szCs w:val="18"/>
        </w:rPr>
      </w:pPr>
      <w:r w:rsidDel="00000000" w:rsidR="00000000" w:rsidRPr="00000000">
        <w:rPr>
          <w:sz w:val="18"/>
          <w:szCs w:val="18"/>
          <w:rtl w:val="0"/>
        </w:rPr>
        <w:t xml:space="preserve">Roberts-Holmes, G. (2012). The English Early Years Professional Status (EYPS) and the ‘split’ Early Childhood Education and Care (ECEC) system. </w:t>
      </w:r>
      <w:r w:rsidDel="00000000" w:rsidR="00000000" w:rsidRPr="00000000">
        <w:rPr>
          <w:i w:val="1"/>
          <w:sz w:val="18"/>
          <w:szCs w:val="18"/>
          <w:rtl w:val="0"/>
        </w:rPr>
        <w:t xml:space="preserve">European Early Childhood Education Research Journal</w:t>
      </w:r>
      <w:r w:rsidDel="00000000" w:rsidR="00000000" w:rsidRPr="00000000">
        <w:rPr>
          <w:sz w:val="18"/>
          <w:szCs w:val="18"/>
          <w:rtl w:val="0"/>
        </w:rPr>
        <w:t xml:space="preserve">, [online] 21(3). Available at: https://www-tandfonline-com.ezproxy.uwtsd.ac.uk/doi/pdf/10.1080/1350293X.2012.704304?needAccess=true [Accessed 24 Oct. 2023].</w:t>
      </w:r>
    </w:p>
    <w:p w:rsidR="00000000" w:rsidDel="00000000" w:rsidP="00000000" w:rsidRDefault="00000000" w:rsidRPr="00000000" w14:paraId="0000005E">
      <w:pPr>
        <w:spacing w:after="220" w:line="360" w:lineRule="auto"/>
        <w:rPr>
          <w:sz w:val="18"/>
          <w:szCs w:val="18"/>
        </w:rPr>
      </w:pPr>
      <w:r w:rsidDel="00000000" w:rsidR="00000000" w:rsidRPr="00000000">
        <w:rPr>
          <w:sz w:val="18"/>
          <w:szCs w:val="18"/>
          <w:rtl w:val="0"/>
        </w:rPr>
        <w:t xml:space="preserve">Sakr, M. and Bonetti, S. (2021). Continuing professional development for the early years workforce in England since 2015: a synthesis of survey data highlighting commonalities, discrepancies and gaps. </w:t>
      </w:r>
      <w:r w:rsidDel="00000000" w:rsidR="00000000" w:rsidRPr="00000000">
        <w:rPr>
          <w:i w:val="1"/>
          <w:sz w:val="18"/>
          <w:szCs w:val="18"/>
          <w:rtl w:val="0"/>
        </w:rPr>
        <w:t xml:space="preserve">Early Years</w:t>
      </w:r>
      <w:r w:rsidDel="00000000" w:rsidR="00000000" w:rsidRPr="00000000">
        <w:rPr>
          <w:sz w:val="18"/>
          <w:szCs w:val="18"/>
          <w:rtl w:val="0"/>
        </w:rPr>
        <w:t xml:space="preserve">, [online] 43(2), pp.395–410. Available at: https://www-tandfonline-com.ezproxy.uwtsd.ac.uk/doi/full/10.1080/09575146.2021.1959524 [Accessed 24 Oct. 2023].</w:t>
      </w:r>
    </w:p>
    <w:p w:rsidR="00000000" w:rsidDel="00000000" w:rsidP="00000000" w:rsidRDefault="00000000" w:rsidRPr="00000000" w14:paraId="0000005F">
      <w:pPr>
        <w:spacing w:after="220" w:line="360" w:lineRule="auto"/>
        <w:rPr>
          <w:sz w:val="18"/>
          <w:szCs w:val="18"/>
        </w:rPr>
      </w:pPr>
      <w:r w:rsidDel="00000000" w:rsidR="00000000" w:rsidRPr="00000000">
        <w:rPr>
          <w:sz w:val="18"/>
          <w:szCs w:val="18"/>
          <w:rtl w:val="0"/>
        </w:rPr>
        <w:t xml:space="preserve">Siegel, D.J. and Bryson, T.P. (2011). </w:t>
      </w:r>
      <w:r w:rsidDel="00000000" w:rsidR="00000000" w:rsidRPr="00000000">
        <w:rPr>
          <w:i w:val="1"/>
          <w:sz w:val="18"/>
          <w:szCs w:val="18"/>
          <w:rtl w:val="0"/>
        </w:rPr>
        <w:t xml:space="preserve">The Whole-Brain Child : 12 Revolutionary Strategies to Nurture Your child’s Developing Mind</w:t>
      </w:r>
      <w:r w:rsidDel="00000000" w:rsidR="00000000" w:rsidRPr="00000000">
        <w:rPr>
          <w:sz w:val="18"/>
          <w:szCs w:val="18"/>
          <w:rtl w:val="0"/>
        </w:rPr>
        <w:t xml:space="preserve">. New York: Bantam Books.</w:t>
      </w:r>
    </w:p>
    <w:p w:rsidR="00000000" w:rsidDel="00000000" w:rsidP="00000000" w:rsidRDefault="00000000" w:rsidRPr="00000000" w14:paraId="00000060">
      <w:pPr>
        <w:spacing w:after="220" w:line="360" w:lineRule="auto"/>
        <w:rPr>
          <w:sz w:val="18"/>
          <w:szCs w:val="18"/>
        </w:rPr>
      </w:pPr>
      <w:r w:rsidDel="00000000" w:rsidR="00000000" w:rsidRPr="00000000">
        <w:rPr>
          <w:i w:val="1"/>
          <w:sz w:val="18"/>
          <w:szCs w:val="18"/>
          <w:rtl w:val="0"/>
        </w:rPr>
        <w:t xml:space="preserve">The United Nations Convention on the Rights of the Child</w:t>
      </w:r>
      <w:r w:rsidDel="00000000" w:rsidR="00000000" w:rsidRPr="00000000">
        <w:rPr>
          <w:sz w:val="18"/>
          <w:szCs w:val="18"/>
          <w:rtl w:val="0"/>
        </w:rPr>
        <w:t xml:space="preserve">. Available at: https://www.unicef.org.uk/wp-content/uploads/2016/08/unicef-convention-rights-child-uncrc.pdf [Accessed 24 Oct. 2023].</w:t>
      </w:r>
    </w:p>
    <w:p w:rsidR="00000000" w:rsidDel="00000000" w:rsidP="00000000" w:rsidRDefault="00000000" w:rsidRPr="00000000" w14:paraId="00000061">
      <w:pPr>
        <w:spacing w:after="220" w:line="360" w:lineRule="auto"/>
        <w:rPr>
          <w:sz w:val="18"/>
          <w:szCs w:val="18"/>
        </w:rPr>
      </w:pPr>
      <w:r w:rsidDel="00000000" w:rsidR="00000000" w:rsidRPr="00000000">
        <w:rPr>
          <w:sz w:val="18"/>
          <w:szCs w:val="18"/>
          <w:rtl w:val="0"/>
        </w:rPr>
        <w:t xml:space="preserve">University of Hull (2023a). </w:t>
      </w:r>
      <w:r w:rsidDel="00000000" w:rsidR="00000000" w:rsidRPr="00000000">
        <w:rPr>
          <w:i w:val="1"/>
          <w:sz w:val="18"/>
          <w:szCs w:val="18"/>
          <w:rtl w:val="0"/>
        </w:rPr>
        <w:t xml:space="preserve">Reflective writing: ERA</w:t>
      </w:r>
      <w:r w:rsidDel="00000000" w:rsidR="00000000" w:rsidRPr="00000000">
        <w:rPr>
          <w:sz w:val="18"/>
          <w:szCs w:val="18"/>
          <w:rtl w:val="0"/>
        </w:rPr>
        <w:t xml:space="preserve">. [online] libguides.hull.ac.uk. Available at: https://libguides.hull.ac.uk/reflectivewriting/era [Accessed 20 Oct. 2023].</w:t>
      </w:r>
    </w:p>
    <w:p w:rsidR="00000000" w:rsidDel="00000000" w:rsidP="00000000" w:rsidRDefault="00000000" w:rsidRPr="00000000" w14:paraId="00000062">
      <w:pPr>
        <w:spacing w:after="220" w:line="360" w:lineRule="auto"/>
        <w:rPr>
          <w:sz w:val="18"/>
          <w:szCs w:val="18"/>
        </w:rPr>
      </w:pPr>
      <w:r w:rsidDel="00000000" w:rsidR="00000000" w:rsidRPr="00000000">
        <w:rPr>
          <w:sz w:val="18"/>
          <w:szCs w:val="18"/>
          <w:rtl w:val="0"/>
        </w:rPr>
        <w:t xml:space="preserve">University of Hull (2023b). </w:t>
      </w:r>
      <w:r w:rsidDel="00000000" w:rsidR="00000000" w:rsidRPr="00000000">
        <w:rPr>
          <w:i w:val="1"/>
          <w:sz w:val="18"/>
          <w:szCs w:val="18"/>
          <w:rtl w:val="0"/>
        </w:rPr>
        <w:t xml:space="preserve">The ERA Cycle</w:t>
      </w:r>
      <w:r w:rsidDel="00000000" w:rsidR="00000000" w:rsidRPr="00000000">
        <w:rPr>
          <w:sz w:val="18"/>
          <w:szCs w:val="18"/>
          <w:rtl w:val="0"/>
        </w:rPr>
        <w:t xml:space="preserve">. [Online Image] </w:t>
      </w:r>
      <w:r w:rsidDel="00000000" w:rsidR="00000000" w:rsidRPr="00000000">
        <w:rPr>
          <w:i w:val="1"/>
          <w:sz w:val="18"/>
          <w:szCs w:val="18"/>
          <w:rtl w:val="0"/>
        </w:rPr>
        <w:t xml:space="preserve">University of Hull - Library Guides</w:t>
      </w:r>
      <w:r w:rsidDel="00000000" w:rsidR="00000000" w:rsidRPr="00000000">
        <w:rPr>
          <w:sz w:val="18"/>
          <w:szCs w:val="18"/>
          <w:rtl w:val="0"/>
        </w:rPr>
        <w:t xml:space="preserve">. Available at: https://libguides.hull.ac.uk/reflectivewriting/era [Accessed 20 Oct. 2023].</w:t>
      </w:r>
    </w:p>
    <w:p w:rsidR="00000000" w:rsidDel="00000000" w:rsidP="00000000" w:rsidRDefault="00000000" w:rsidRPr="00000000" w14:paraId="00000063">
      <w:pPr>
        <w:spacing w:after="220" w:line="360" w:lineRule="auto"/>
        <w:rPr>
          <w:sz w:val="18"/>
          <w:szCs w:val="18"/>
        </w:rPr>
      </w:pPr>
      <w:r w:rsidDel="00000000" w:rsidR="00000000" w:rsidRPr="00000000">
        <w:rPr>
          <w:sz w:val="18"/>
          <w:szCs w:val="18"/>
          <w:rtl w:val="0"/>
        </w:rPr>
        <w:t xml:space="preserve">Woods, E. (2007). </w:t>
      </w:r>
      <w:r w:rsidDel="00000000" w:rsidR="00000000" w:rsidRPr="00000000">
        <w:rPr>
          <w:i w:val="1"/>
          <w:sz w:val="18"/>
          <w:szCs w:val="18"/>
          <w:rtl w:val="0"/>
        </w:rPr>
        <w:t xml:space="preserve">Developing reflective practice in the early years</w:t>
      </w:r>
      <w:r w:rsidDel="00000000" w:rsidR="00000000" w:rsidRPr="00000000">
        <w:rPr>
          <w:sz w:val="18"/>
          <w:szCs w:val="18"/>
          <w:rtl w:val="0"/>
        </w:rPr>
        <w:t xml:space="preserve">. Berkshire, England: Open University Press, pp.108–111.</w:t>
      </w:r>
    </w:p>
    <w:p w:rsidR="00000000" w:rsidDel="00000000" w:rsidP="00000000" w:rsidRDefault="00000000" w:rsidRPr="00000000" w14:paraId="00000064">
      <w:pPr>
        <w:spacing w:after="220" w:line="360" w:lineRule="auto"/>
        <w:rPr>
          <w:sz w:val="18"/>
          <w:szCs w:val="18"/>
        </w:rPr>
      </w:pPr>
      <w:r w:rsidDel="00000000" w:rsidR="00000000" w:rsidRPr="00000000">
        <w:rPr>
          <w:i w:val="1"/>
          <w:sz w:val="18"/>
          <w:szCs w:val="18"/>
          <w:rtl w:val="0"/>
        </w:rPr>
        <w:t xml:space="preserve">Working together to safeguard children</w:t>
      </w:r>
      <w:r w:rsidDel="00000000" w:rsidR="00000000" w:rsidRPr="00000000">
        <w:rPr>
          <w:sz w:val="18"/>
          <w:szCs w:val="18"/>
          <w:rtl w:val="0"/>
        </w:rPr>
        <w:t xml:space="preserve">. Available at: https://assets.publishing.service.gov.uk/media/5fd0a8e78fa8f54d5d6555f9/Working_together_to_safeguard_children_inter_agency_guidance.pdf [Accessed 20 Oct. 2023].</w:t>
      </w:r>
    </w:p>
    <w:p w:rsidR="00000000" w:rsidDel="00000000" w:rsidP="00000000" w:rsidRDefault="00000000" w:rsidRPr="00000000" w14:paraId="00000065">
      <w:pPr>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6">
    <w:pPr>
      <w:rPr/>
    </w:pPr>
    <w:r w:rsidDel="00000000" w:rsidR="00000000" w:rsidRPr="00000000">
      <w:rPr>
        <w:rtl w:val="0"/>
      </w:rPr>
      <w:t xml:space="preserve">Rosalyn Silvers -  2317028</w:t>
    </w:r>
  </w:p>
  <w:p w:rsidR="00000000" w:rsidDel="00000000" w:rsidP="00000000" w:rsidRDefault="00000000" w:rsidRPr="00000000" w14:paraId="00000067">
    <w:pPr>
      <w:rPr/>
    </w:pPr>
    <w:r w:rsidDel="00000000" w:rsidR="00000000" w:rsidRPr="00000000">
      <w:rPr>
        <w:rtl w:val="0"/>
      </w:rPr>
      <w:t xml:space="preserve">ECEY4009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