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B6F65" w14:textId="77777777" w:rsidR="00E5766A" w:rsidRDefault="00E5766A">
      <w:pPr>
        <w:pStyle w:val="BodyText"/>
        <w:rPr>
          <w:rFonts w:ascii="Arial" w:hAnsi="Arial"/>
          <w:b/>
          <w:bCs/>
          <w:color w:val="000000"/>
        </w:rPr>
      </w:pPr>
    </w:p>
    <w:p w14:paraId="1BFD5753" w14:textId="77777777" w:rsidR="00E5766A" w:rsidRDefault="00000000">
      <w:pPr>
        <w:spacing w:line="480" w:lineRule="auto"/>
        <w:jc w:val="center"/>
        <w:rPr>
          <w:rFonts w:hint="eastAsia"/>
          <w:color w:val="000000"/>
        </w:rPr>
      </w:pPr>
      <w:r>
        <w:rPr>
          <w:rFonts w:ascii="Arial" w:eastAsia="Arial" w:hAnsi="Arial" w:cs="Arial"/>
          <w:b/>
          <w:bCs/>
          <w:color w:val="000000"/>
        </w:rPr>
        <w:t>UNIVERSITY OF WALES TRINITY SAINT DAVID</w:t>
      </w:r>
    </w:p>
    <w:p w14:paraId="610BD8A0" w14:textId="77777777" w:rsidR="00E5766A" w:rsidRDefault="00E5766A">
      <w:pPr>
        <w:spacing w:line="480" w:lineRule="auto"/>
        <w:jc w:val="center"/>
        <w:rPr>
          <w:rFonts w:ascii="Arial" w:eastAsia="Arial" w:hAnsi="Arial" w:cs="Arial"/>
          <w:b/>
          <w:bCs/>
          <w:color w:val="000000"/>
        </w:rPr>
      </w:pPr>
    </w:p>
    <w:p w14:paraId="1E826B49" w14:textId="77777777" w:rsidR="00E5766A" w:rsidRDefault="00E5766A">
      <w:pPr>
        <w:spacing w:line="480" w:lineRule="auto"/>
        <w:jc w:val="center"/>
        <w:rPr>
          <w:rFonts w:ascii="Arial" w:eastAsia="Arial" w:hAnsi="Arial" w:cs="Arial"/>
          <w:b/>
          <w:bCs/>
          <w:color w:val="000000"/>
        </w:rPr>
      </w:pPr>
    </w:p>
    <w:p w14:paraId="0C5A9E59" w14:textId="77777777" w:rsidR="00E5766A" w:rsidRDefault="00000000">
      <w:pPr>
        <w:spacing w:line="480" w:lineRule="auto"/>
        <w:jc w:val="center"/>
        <w:rPr>
          <w:rFonts w:hint="eastAsia"/>
          <w:color w:val="000000"/>
        </w:rPr>
      </w:pPr>
      <w:r>
        <w:rPr>
          <w:rFonts w:ascii="Arial" w:eastAsia="Arial" w:hAnsi="Arial" w:cs="Arial"/>
          <w:b/>
          <w:bCs/>
          <w:color w:val="000000"/>
        </w:rPr>
        <w:t>TEXTUAL ANALYSIS PORTFOLIO</w:t>
      </w:r>
    </w:p>
    <w:p w14:paraId="0B79731C" w14:textId="77777777" w:rsidR="00E5766A" w:rsidRDefault="00E5766A">
      <w:pPr>
        <w:spacing w:line="480" w:lineRule="auto"/>
        <w:jc w:val="center"/>
        <w:rPr>
          <w:rFonts w:ascii="Arial" w:eastAsia="Arial" w:hAnsi="Arial" w:cs="Arial"/>
          <w:b/>
          <w:bCs/>
          <w:color w:val="000000"/>
        </w:rPr>
      </w:pPr>
    </w:p>
    <w:p w14:paraId="4D41A42E" w14:textId="77777777" w:rsidR="00E5766A" w:rsidRDefault="00E5766A">
      <w:pPr>
        <w:spacing w:line="480" w:lineRule="auto"/>
        <w:jc w:val="center"/>
        <w:rPr>
          <w:rFonts w:ascii="Arial" w:eastAsia="Arial" w:hAnsi="Arial" w:cs="Arial"/>
          <w:b/>
          <w:bCs/>
          <w:color w:val="000000"/>
        </w:rPr>
      </w:pPr>
    </w:p>
    <w:p w14:paraId="6A445C97" w14:textId="77777777" w:rsidR="00E5766A" w:rsidRDefault="00000000">
      <w:pPr>
        <w:jc w:val="center"/>
        <w:rPr>
          <w:rFonts w:hint="eastAsia"/>
          <w:color w:val="000000"/>
        </w:rPr>
      </w:pPr>
      <w:r>
        <w:rPr>
          <w:rFonts w:ascii="Arial" w:eastAsia="Arial" w:hAnsi="Arial" w:cs="Arial"/>
          <w:b/>
          <w:bCs/>
          <w:color w:val="000000"/>
        </w:rPr>
        <w:t>SUBMITTED TO</w:t>
      </w:r>
      <w:r>
        <w:rPr>
          <w:rFonts w:ascii="Arial" w:eastAsia="Arial" w:hAnsi="Arial" w:cs="Arial"/>
          <w:b/>
          <w:bCs/>
          <w:color w:val="000000"/>
          <w:shd w:val="clear" w:color="auto" w:fill="FFFFFF"/>
        </w:rPr>
        <w:t xml:space="preserve"> DR CATRIN WILLIAMS IN</w:t>
      </w:r>
      <w:r>
        <w:rPr>
          <w:rFonts w:ascii="Arial" w:eastAsia="Arial" w:hAnsi="Arial" w:cs="Arial"/>
          <w:b/>
          <w:bCs/>
          <w:color w:val="000000"/>
        </w:rPr>
        <w:t xml:space="preserve"> PARTIAL FULFILMENT OF THE LETTERS OF PAUL (HPRS6906)</w:t>
      </w:r>
    </w:p>
    <w:p w14:paraId="5BA0EB90" w14:textId="77777777" w:rsidR="00E5766A" w:rsidRDefault="00E5766A">
      <w:pPr>
        <w:jc w:val="center"/>
        <w:rPr>
          <w:rFonts w:ascii="Arial" w:eastAsia="Arial" w:hAnsi="Arial" w:cs="Arial"/>
          <w:b/>
          <w:bCs/>
          <w:color w:val="000000"/>
        </w:rPr>
      </w:pPr>
    </w:p>
    <w:p w14:paraId="4779E3EE" w14:textId="77777777" w:rsidR="00E5766A" w:rsidRDefault="00E5766A">
      <w:pPr>
        <w:spacing w:line="480" w:lineRule="auto"/>
        <w:jc w:val="center"/>
        <w:rPr>
          <w:rFonts w:ascii="Arial" w:eastAsia="Arial" w:hAnsi="Arial" w:cs="Arial"/>
          <w:b/>
          <w:bCs/>
          <w:color w:val="000000"/>
        </w:rPr>
      </w:pPr>
    </w:p>
    <w:p w14:paraId="2A29FB87" w14:textId="77777777" w:rsidR="00E5766A" w:rsidRDefault="00E5766A">
      <w:pPr>
        <w:spacing w:line="480" w:lineRule="auto"/>
        <w:jc w:val="center"/>
        <w:rPr>
          <w:rFonts w:ascii="Arial" w:eastAsia="Arial" w:hAnsi="Arial" w:cs="Arial"/>
          <w:b/>
          <w:bCs/>
          <w:color w:val="000000"/>
        </w:rPr>
      </w:pPr>
    </w:p>
    <w:p w14:paraId="27A32A42" w14:textId="6DC575F6" w:rsidR="00E5766A" w:rsidRDefault="00000000">
      <w:pPr>
        <w:jc w:val="center"/>
        <w:rPr>
          <w:rFonts w:hint="eastAsia"/>
          <w:color w:val="000000"/>
        </w:rPr>
      </w:pPr>
      <w:r>
        <w:rPr>
          <w:rFonts w:ascii="Arial" w:eastAsia="Arial" w:hAnsi="Arial" w:cs="Arial"/>
          <w:b/>
          <w:bCs/>
          <w:color w:val="000000"/>
        </w:rPr>
        <w:t>BY</w:t>
      </w:r>
      <w:r>
        <w:rPr>
          <w:color w:val="000000"/>
        </w:rPr>
        <w:br/>
      </w:r>
      <w:r>
        <w:rPr>
          <w:rFonts w:ascii="Arial" w:eastAsia="Arial" w:hAnsi="Arial" w:cs="Arial"/>
          <w:b/>
          <w:bCs/>
          <w:color w:val="000000"/>
        </w:rPr>
        <w:t xml:space="preserve">DAVID SPEIRS (MARCH </w:t>
      </w:r>
      <w:r w:rsidR="001E35A3">
        <w:rPr>
          <w:rFonts w:ascii="Arial" w:eastAsia="Arial" w:hAnsi="Arial" w:cs="Arial"/>
          <w:b/>
          <w:bCs/>
          <w:color w:val="000000"/>
        </w:rPr>
        <w:t>28th</w:t>
      </w:r>
      <w:r>
        <w:rPr>
          <w:rFonts w:ascii="Arial" w:eastAsia="Arial" w:hAnsi="Arial" w:cs="Arial"/>
          <w:b/>
          <w:bCs/>
          <w:color w:val="000000"/>
        </w:rPr>
        <w:t>, 2023)</w:t>
      </w:r>
    </w:p>
    <w:p w14:paraId="3998F301" w14:textId="77777777" w:rsidR="00E5766A" w:rsidRDefault="00E5766A">
      <w:pPr>
        <w:spacing w:line="480" w:lineRule="auto"/>
        <w:jc w:val="center"/>
        <w:rPr>
          <w:rFonts w:ascii="Arial" w:hAnsi="Arial"/>
          <w:b/>
          <w:bCs/>
          <w:color w:val="000000"/>
        </w:rPr>
      </w:pPr>
    </w:p>
    <w:p w14:paraId="3BAF3CB7" w14:textId="77777777" w:rsidR="00E5766A" w:rsidRDefault="00000000">
      <w:pPr>
        <w:spacing w:line="480" w:lineRule="auto"/>
        <w:jc w:val="center"/>
        <w:rPr>
          <w:rFonts w:ascii="Arial" w:hAnsi="Arial"/>
          <w:b/>
          <w:bCs/>
          <w:color w:val="000000"/>
        </w:rPr>
      </w:pPr>
      <w:r>
        <w:br w:type="page"/>
      </w:r>
    </w:p>
    <w:p w14:paraId="4CB8F9AB" w14:textId="77777777" w:rsidR="00E5766A" w:rsidRDefault="00E5766A">
      <w:pPr>
        <w:spacing w:line="480" w:lineRule="auto"/>
        <w:jc w:val="center"/>
        <w:rPr>
          <w:rFonts w:ascii="Arial" w:hAnsi="Arial"/>
          <w:b/>
          <w:bCs/>
          <w:color w:val="000000"/>
        </w:rPr>
      </w:pPr>
    </w:p>
    <w:p w14:paraId="6F4EF002" w14:textId="77777777" w:rsidR="00E5766A" w:rsidRDefault="00000000">
      <w:pPr>
        <w:spacing w:line="480" w:lineRule="auto"/>
        <w:jc w:val="center"/>
        <w:rPr>
          <w:rFonts w:hint="eastAsia"/>
          <w:color w:val="000000"/>
        </w:rPr>
      </w:pPr>
      <w:r>
        <w:rPr>
          <w:rFonts w:ascii="Arial" w:eastAsia="Arial" w:hAnsi="Arial" w:cs="Arial"/>
          <w:b/>
          <w:bCs/>
          <w:color w:val="000000"/>
        </w:rPr>
        <w:t xml:space="preserve">TEXTUAL ANALYSIS PORTFOLIO </w:t>
      </w:r>
    </w:p>
    <w:p w14:paraId="425A633B" w14:textId="77777777" w:rsidR="00E5766A" w:rsidRDefault="00000000">
      <w:pPr>
        <w:spacing w:line="480" w:lineRule="auto"/>
        <w:jc w:val="center"/>
        <w:rPr>
          <w:rFonts w:hint="eastAsia"/>
          <w:color w:val="000000"/>
        </w:rPr>
      </w:pPr>
      <w:r>
        <w:rPr>
          <w:rFonts w:ascii="Arial" w:eastAsia="Arial" w:hAnsi="Arial" w:cs="Arial"/>
          <w:b/>
          <w:bCs/>
          <w:color w:val="000000"/>
        </w:rPr>
        <w:t>Part A - 1 Corinthians 11:17-26 – The Lord’s supper</w:t>
      </w:r>
    </w:p>
    <w:p w14:paraId="209D947E" w14:textId="77777777" w:rsidR="00E5766A" w:rsidRDefault="00E5766A">
      <w:pPr>
        <w:spacing w:line="480" w:lineRule="auto"/>
        <w:jc w:val="center"/>
        <w:rPr>
          <w:rFonts w:ascii="Arial" w:eastAsia="Arial" w:hAnsi="Arial" w:cs="Arial"/>
          <w:b/>
          <w:bCs/>
          <w:color w:val="000000"/>
        </w:rPr>
      </w:pPr>
    </w:p>
    <w:p w14:paraId="5856793E" w14:textId="77777777" w:rsidR="00E5766A" w:rsidRDefault="00000000">
      <w:pPr>
        <w:spacing w:line="480" w:lineRule="auto"/>
        <w:jc w:val="center"/>
        <w:rPr>
          <w:rFonts w:hint="eastAsia"/>
          <w:color w:val="000000"/>
        </w:rPr>
      </w:pPr>
      <w:r>
        <w:rPr>
          <w:rFonts w:ascii="Arial" w:hAnsi="Arial"/>
          <w:b/>
          <w:bCs/>
          <w:color w:val="000000"/>
        </w:rPr>
        <w:t xml:space="preserve">Introduction </w:t>
      </w:r>
    </w:p>
    <w:p w14:paraId="087626B4" w14:textId="695BF980" w:rsidR="00E5766A" w:rsidRDefault="00000000">
      <w:pPr>
        <w:spacing w:line="480" w:lineRule="auto"/>
        <w:rPr>
          <w:rFonts w:hint="eastAsia"/>
          <w:color w:val="000000"/>
        </w:rPr>
      </w:pPr>
      <w:r>
        <w:rPr>
          <w:rFonts w:ascii="Arial" w:hAnsi="Arial"/>
          <w:color w:val="000000"/>
          <w:shd w:val="clear" w:color="auto" w:fill="FFFFFF"/>
        </w:rPr>
        <w:t>Paul founded the church in Corinth during an eighteen month stay (Acts 18:7-12). 1 Corinthians is a letter to that church written by Paul from Ephesus two to three years later, dealing, among other things, with divisions within the church (1 Cor</w:t>
      </w:r>
      <w:r w:rsidR="001E35A3">
        <w:rPr>
          <w:rFonts w:ascii="Arial" w:hAnsi="Arial"/>
          <w:color w:val="000000"/>
          <w:shd w:val="clear" w:color="auto" w:fill="FFFFFF"/>
        </w:rPr>
        <w:t>.</w:t>
      </w:r>
      <w:r>
        <w:rPr>
          <w:rFonts w:ascii="Arial" w:hAnsi="Arial"/>
          <w:color w:val="000000"/>
          <w:shd w:val="clear" w:color="auto" w:fill="FFFFFF"/>
        </w:rPr>
        <w:t xml:space="preserve"> 1:10-12). There were many reasons these divisions occurred, with one possible factor being the use of house churches, where social customs and religious traditions overlapped. One example of this problem is in 1 Corinthians 11:17-26, where Paul is shocked to find factions have spilled over into what he considers an abuse of the Lord’s supper. He compares the disordered table fellowship to how it should look when the correct traditions are followed. In this analysis Paul’s understanding of the problem and his solution is examined.   </w:t>
      </w:r>
    </w:p>
    <w:p w14:paraId="37B77F70" w14:textId="77777777" w:rsidR="00E5766A" w:rsidRDefault="00E5766A">
      <w:pPr>
        <w:spacing w:line="480" w:lineRule="auto"/>
        <w:rPr>
          <w:rFonts w:ascii="Arial" w:hAnsi="Arial"/>
          <w:color w:val="000000"/>
        </w:rPr>
      </w:pPr>
    </w:p>
    <w:p w14:paraId="15A0C06F" w14:textId="77777777" w:rsidR="00E5766A" w:rsidRDefault="00000000">
      <w:pPr>
        <w:spacing w:line="480" w:lineRule="auto"/>
        <w:jc w:val="center"/>
        <w:rPr>
          <w:rFonts w:hint="eastAsia"/>
          <w:color w:val="000000"/>
        </w:rPr>
      </w:pPr>
      <w:r>
        <w:rPr>
          <w:rFonts w:ascii="Arial" w:hAnsi="Arial"/>
          <w:b/>
          <w:bCs/>
          <w:color w:val="000000"/>
          <w:shd w:val="clear" w:color="auto" w:fill="FFFFFF"/>
        </w:rPr>
        <w:t>Textual Analysis</w:t>
      </w:r>
    </w:p>
    <w:p w14:paraId="53032682" w14:textId="77777777" w:rsidR="00E5766A" w:rsidRDefault="00000000">
      <w:pPr>
        <w:spacing w:line="480" w:lineRule="auto"/>
        <w:rPr>
          <w:rFonts w:hint="eastAsia"/>
          <w:color w:val="000000"/>
        </w:rPr>
      </w:pPr>
      <w:r>
        <w:rPr>
          <w:rFonts w:ascii="Arial" w:hAnsi="Arial"/>
          <w:color w:val="000000"/>
          <w:shd w:val="clear" w:color="auto" w:fill="FFFFFF"/>
        </w:rPr>
        <w:t xml:space="preserve">Throughout 1 Corinthians, Paul has been looking to encourage the church. In contrast this passage begins in </w:t>
      </w:r>
      <w:r>
        <w:rPr>
          <w:rFonts w:ascii="Arial" w:hAnsi="Arial"/>
          <w:b/>
          <w:bCs/>
          <w:color w:val="000000"/>
          <w:shd w:val="clear" w:color="auto" w:fill="FFFFFF"/>
        </w:rPr>
        <w:t>verse 17</w:t>
      </w:r>
      <w:r>
        <w:rPr>
          <w:rFonts w:ascii="Arial" w:hAnsi="Arial"/>
          <w:color w:val="000000"/>
          <w:shd w:val="clear" w:color="auto" w:fill="FFFFFF"/>
        </w:rPr>
        <w:t xml:space="preserve"> with Paul stating he cannot commend them, that their actions are harmful instead of making them more spiritual.</w:t>
      </w:r>
      <w:r>
        <w:rPr>
          <w:rStyle w:val="FootnoteAnchor"/>
          <w:rFonts w:ascii="Arial" w:hAnsi="Arial"/>
          <w:color w:val="000000"/>
        </w:rPr>
        <w:footnoteReference w:id="1"/>
      </w:r>
      <w:r>
        <w:rPr>
          <w:rFonts w:ascii="Arial" w:hAnsi="Arial"/>
          <w:color w:val="000000"/>
          <w:shd w:val="clear" w:color="auto" w:fill="FFFFFF"/>
        </w:rPr>
        <w:t xml:space="preserve"> In </w:t>
      </w:r>
      <w:r>
        <w:rPr>
          <w:rFonts w:ascii="Arial" w:hAnsi="Arial"/>
          <w:b/>
          <w:bCs/>
          <w:color w:val="000000"/>
          <w:shd w:val="clear" w:color="auto" w:fill="FFFFFF"/>
        </w:rPr>
        <w:t>verse 18</w:t>
      </w:r>
      <w:r>
        <w:rPr>
          <w:rFonts w:ascii="Arial" w:hAnsi="Arial"/>
          <w:color w:val="000000"/>
          <w:shd w:val="clear" w:color="auto" w:fill="FFFFFF"/>
        </w:rPr>
        <w:t>, Paul states that he believes reports of division. That he qualifies it with “in part”,</w:t>
      </w:r>
      <w:bookmarkStart w:id="0" w:name="_Int_RkZBkRo3"/>
      <w:bookmarkEnd w:id="0"/>
      <w:r>
        <w:rPr>
          <w:rFonts w:ascii="Arial" w:hAnsi="Arial"/>
          <w:color w:val="000000"/>
          <w:shd w:val="clear" w:color="auto" w:fill="FFFFFF"/>
        </w:rPr>
        <w:t xml:space="preserve"> perhaps fits with the rest of the letter, he is not wanting to cause conflict with the chur</w:t>
      </w:r>
      <w:bookmarkStart w:id="1" w:name="_Int_TlicgdUX"/>
      <w:bookmarkEnd w:id="1"/>
      <w:r>
        <w:rPr>
          <w:rFonts w:ascii="Arial" w:hAnsi="Arial"/>
          <w:color w:val="000000"/>
          <w:shd w:val="clear" w:color="auto" w:fill="FFFFFF"/>
        </w:rPr>
        <w:t>ch as a whole. Gardener points out that in this verse the Greek word “schism,” is used, however there is no theological disagreement, and so division is the better translation in English.</w:t>
      </w:r>
      <w:r>
        <w:rPr>
          <w:rStyle w:val="FootnoteAnchor"/>
          <w:rFonts w:ascii="Arial" w:hAnsi="Arial"/>
          <w:color w:val="000000"/>
        </w:rPr>
        <w:footnoteReference w:id="2"/>
      </w:r>
      <w:r>
        <w:rPr>
          <w:rFonts w:ascii="Arial" w:hAnsi="Arial"/>
          <w:color w:val="000000"/>
          <w:shd w:val="clear" w:color="auto" w:fill="FFFFFF"/>
        </w:rPr>
        <w:t xml:space="preserve"> Dunn adds that the use of words like “schism” and “faction” are rarely used by Paul in this letter and so that he </w:t>
      </w:r>
      <w:r>
        <w:rPr>
          <w:rFonts w:ascii="Arial" w:hAnsi="Arial"/>
          <w:color w:val="000000"/>
          <w:shd w:val="clear" w:color="auto" w:fill="FFFFFF"/>
        </w:rPr>
        <w:lastRenderedPageBreak/>
        <w:t>does so here, shows this is one of the Corinthians biggest problems. What should bring them together is instead a source of division.</w:t>
      </w:r>
      <w:r>
        <w:rPr>
          <w:rStyle w:val="FootnoteAnchor"/>
          <w:rFonts w:ascii="Arial" w:hAnsi="Arial"/>
          <w:color w:val="000000"/>
        </w:rPr>
        <w:footnoteReference w:id="3"/>
      </w:r>
      <w:r>
        <w:rPr>
          <w:rFonts w:ascii="Arial" w:hAnsi="Arial"/>
          <w:color w:val="000000"/>
          <w:shd w:val="clear" w:color="auto" w:fill="FFFFFF"/>
        </w:rPr>
        <w:t xml:space="preserve"> However, a silver lining is found in </w:t>
      </w:r>
      <w:r>
        <w:rPr>
          <w:rFonts w:ascii="Arial" w:hAnsi="Arial"/>
          <w:b/>
          <w:bCs/>
          <w:color w:val="000000"/>
          <w:shd w:val="clear" w:color="auto" w:fill="FFFFFF"/>
        </w:rPr>
        <w:t xml:space="preserve">verse 19 </w:t>
      </w:r>
      <w:r>
        <w:rPr>
          <w:rFonts w:ascii="Arial" w:hAnsi="Arial"/>
          <w:color w:val="000000"/>
          <w:shd w:val="clear" w:color="auto" w:fill="FFFFFF"/>
        </w:rPr>
        <w:t>as it shows who really believes in God. The way they are eating this meal shows the</w:t>
      </w:r>
      <w:bookmarkStart w:id="2" w:name="_Int_76ffrKvW"/>
      <w:bookmarkEnd w:id="2"/>
      <w:r>
        <w:rPr>
          <w:rFonts w:ascii="Arial" w:hAnsi="Arial"/>
          <w:color w:val="000000"/>
          <w:shd w:val="clear" w:color="auto" w:fill="FFFFFF"/>
        </w:rPr>
        <w:t xml:space="preserve">ir heart, and will be how they are judged. </w:t>
      </w:r>
    </w:p>
    <w:p w14:paraId="3AE92E4E" w14:textId="77777777" w:rsidR="00E5766A" w:rsidRDefault="00E5766A">
      <w:pPr>
        <w:spacing w:line="480" w:lineRule="auto"/>
        <w:rPr>
          <w:rFonts w:hint="eastAsia"/>
          <w:color w:val="000000"/>
        </w:rPr>
      </w:pPr>
    </w:p>
    <w:p w14:paraId="1EA24173" w14:textId="77777777" w:rsidR="00E5766A" w:rsidRDefault="00000000">
      <w:pPr>
        <w:spacing w:line="480" w:lineRule="auto"/>
        <w:rPr>
          <w:rFonts w:hint="eastAsia"/>
          <w:color w:val="000000"/>
        </w:rPr>
      </w:pPr>
      <w:r>
        <w:rPr>
          <w:rFonts w:ascii="Arial" w:hAnsi="Arial"/>
          <w:color w:val="000000"/>
          <w:shd w:val="clear" w:color="auto" w:fill="FFFFFF"/>
        </w:rPr>
        <w:t xml:space="preserve">In </w:t>
      </w:r>
      <w:r>
        <w:rPr>
          <w:rFonts w:ascii="Arial" w:hAnsi="Arial"/>
          <w:b/>
          <w:bCs/>
          <w:color w:val="000000"/>
          <w:shd w:val="clear" w:color="auto" w:fill="FFFFFF"/>
        </w:rPr>
        <w:t>verse 20</w:t>
      </w:r>
      <w:r>
        <w:rPr>
          <w:rFonts w:ascii="Arial" w:hAnsi="Arial"/>
          <w:color w:val="000000"/>
          <w:shd w:val="clear" w:color="auto" w:fill="FFFFFF"/>
        </w:rPr>
        <w:t xml:space="preserve"> Paul starts to elucidate the problem. Fellowship meals were important in the worship of Jesus and coming together and eating was a powerful symbol for social bonding in the ancient world. As Stiff states, the Lord’s supper was designed to make the church more hospitable, more inclusive, embracing diversity, and reminding them that they were one in Christ.</w:t>
      </w:r>
      <w:r>
        <w:rPr>
          <w:rStyle w:val="FootnoteAnchor"/>
          <w:rFonts w:ascii="Arial" w:hAnsi="Arial"/>
          <w:color w:val="000000"/>
        </w:rPr>
        <w:footnoteReference w:id="4"/>
      </w:r>
      <w:r>
        <w:rPr>
          <w:rFonts w:ascii="Arial" w:hAnsi="Arial"/>
          <w:color w:val="000000"/>
          <w:shd w:val="clear" w:color="auto" w:fill="FFFFFF"/>
        </w:rPr>
        <w:t xml:space="preserve"> The problem begins with the taking of the bread and wine being combined with the meal. While there has been disagreement on whether the meal was celebrated before or during the Lord’s supper, Surburg suggests that since the work of Theissen in 1974 most researchers have agreed that the meal was taken between the bread and wine.</w:t>
      </w:r>
      <w:r>
        <w:rPr>
          <w:rStyle w:val="FootnoteAnchor"/>
          <w:rFonts w:ascii="Arial" w:hAnsi="Arial"/>
          <w:color w:val="000000"/>
        </w:rPr>
        <w:footnoteReference w:id="5"/>
      </w:r>
      <w:r>
        <w:rPr>
          <w:rFonts w:ascii="Arial" w:hAnsi="Arial"/>
          <w:color w:val="000000"/>
          <w:shd w:val="clear" w:color="auto" w:fill="FFFFFF"/>
        </w:rPr>
        <w:t xml:space="preserve"> It is a religious feast sandwiching a social event. </w:t>
      </w:r>
    </w:p>
    <w:p w14:paraId="51B5ADD2" w14:textId="77777777" w:rsidR="00E5766A" w:rsidRDefault="00E5766A">
      <w:pPr>
        <w:spacing w:line="480" w:lineRule="auto"/>
        <w:rPr>
          <w:rFonts w:ascii="Arial" w:hAnsi="Arial"/>
          <w:color w:val="000000"/>
          <w:shd w:val="clear" w:color="auto" w:fill="FFFFFF"/>
        </w:rPr>
      </w:pPr>
    </w:p>
    <w:p w14:paraId="41DA3159" w14:textId="77777777" w:rsidR="00E5766A" w:rsidRDefault="00000000">
      <w:pPr>
        <w:spacing w:line="480" w:lineRule="auto"/>
        <w:rPr>
          <w:rFonts w:hint="eastAsia"/>
          <w:color w:val="000000"/>
        </w:rPr>
      </w:pPr>
      <w:r>
        <w:rPr>
          <w:rFonts w:ascii="Arial" w:hAnsi="Arial"/>
          <w:color w:val="000000"/>
          <w:shd w:val="clear" w:color="auto" w:fill="FFFFFF"/>
        </w:rPr>
        <w:t xml:space="preserve">Through </w:t>
      </w:r>
      <w:r>
        <w:rPr>
          <w:rFonts w:ascii="Arial" w:hAnsi="Arial"/>
          <w:b/>
          <w:bCs/>
          <w:color w:val="000000"/>
          <w:shd w:val="clear" w:color="auto" w:fill="FFFFFF"/>
        </w:rPr>
        <w:t>verse 21</w:t>
      </w:r>
      <w:r>
        <w:rPr>
          <w:rFonts w:ascii="Arial" w:hAnsi="Arial"/>
          <w:color w:val="000000"/>
          <w:shd w:val="clear" w:color="auto" w:fill="FFFFFF"/>
        </w:rPr>
        <w:t xml:space="preserve"> it can be seen the meal has become a more riotous style banquet, including drunkenness. Why the Corinthians behaved in this way during the supper can be found in the context of Corinth being a port city, with various customs coming alongside the dominant Greco-Roman culture. The Corinthians struggled to shake off the social values of how the meal was to be shared. People were being selfish with their own food, leading to the poor being deprived. Paul is dealing with a real-life issue here, not theology, and problems such as famine or power struggles between groups may have complicated the issue.</w:t>
      </w:r>
      <w:r>
        <w:rPr>
          <w:rStyle w:val="FootnoteAnchor"/>
          <w:rFonts w:ascii="Arial" w:hAnsi="Arial"/>
          <w:color w:val="000000"/>
        </w:rPr>
        <w:footnoteReference w:id="6"/>
      </w:r>
      <w:r>
        <w:rPr>
          <w:rFonts w:ascii="Arial" w:hAnsi="Arial"/>
          <w:color w:val="000000"/>
          <w:shd w:val="clear" w:color="auto" w:fill="FFFFFF"/>
        </w:rPr>
        <w:t xml:space="preserve"> The meal itself can be thought of like a modern potluck meal, with each person </w:t>
      </w:r>
      <w:r>
        <w:rPr>
          <w:rFonts w:ascii="Arial" w:hAnsi="Arial"/>
          <w:color w:val="000000"/>
          <w:shd w:val="clear" w:color="auto" w:fill="FFFFFF"/>
        </w:rPr>
        <w:lastRenderedPageBreak/>
        <w:t>bringing a food basket to be prepared by the host.</w:t>
      </w:r>
      <w:r>
        <w:rPr>
          <w:rStyle w:val="FootnoteAnchor"/>
          <w:rFonts w:ascii="Arial" w:hAnsi="Arial"/>
          <w:color w:val="000000"/>
        </w:rPr>
        <w:footnoteReference w:id="7"/>
      </w:r>
      <w:r>
        <w:rPr>
          <w:rFonts w:ascii="Arial" w:hAnsi="Arial"/>
          <w:color w:val="000000"/>
          <w:shd w:val="clear" w:color="auto" w:fill="FFFFFF"/>
        </w:rPr>
        <w:t xml:space="preserve"> Paul is not denying the hosts the right to better food, but it should have been better shared. There are two reasons why it may not have been. Firstly, the location of the church within private houses brought space limitations. In the dining area only around ten or twelve people had space to eat, especially when Greek banquet customs such as reclining were adopted, while the rest of the church may have been left outside the main dining hall.</w:t>
      </w:r>
      <w:r>
        <w:rPr>
          <w:rStyle w:val="FootnoteAnchor"/>
          <w:rFonts w:ascii="Arial" w:hAnsi="Arial"/>
          <w:color w:val="000000"/>
        </w:rPr>
        <w:footnoteReference w:id="8"/>
      </w:r>
      <w:r>
        <w:rPr>
          <w:rFonts w:ascii="Arial" w:hAnsi="Arial"/>
          <w:color w:val="000000"/>
          <w:shd w:val="clear" w:color="auto" w:fill="FFFFFF"/>
        </w:rPr>
        <w:t xml:space="preserve"> Secondly, is the timing of the meal, with those who came later not able to share. The poor would</w:t>
      </w:r>
      <w:bookmarkStart w:id="3" w:name="_Int_MRtjUGTL"/>
      <w:bookmarkEnd w:id="3"/>
      <w:r>
        <w:rPr>
          <w:rFonts w:ascii="Arial" w:hAnsi="Arial"/>
          <w:color w:val="000000"/>
          <w:shd w:val="clear" w:color="auto" w:fill="FFFFFF"/>
        </w:rPr>
        <w:t xml:space="preserve"> perhaps have been most at risk of this, working longer hours. Surburg finds it unclear if some were deliberately eating earlier – with some research reviewed arguing for “begins prematurely” while most go for the much more neutral “take” in v21.</w:t>
      </w:r>
      <w:r>
        <w:rPr>
          <w:rStyle w:val="FootnoteAnchor"/>
          <w:rFonts w:ascii="Arial" w:hAnsi="Arial"/>
          <w:color w:val="000000"/>
        </w:rPr>
        <w:footnoteReference w:id="9"/>
      </w:r>
      <w:r>
        <w:rPr>
          <w:rFonts w:ascii="Arial" w:hAnsi="Arial"/>
          <w:color w:val="000000"/>
        </w:rPr>
        <w:t xml:space="preserve"> </w:t>
      </w:r>
      <w:r>
        <w:rPr>
          <w:rFonts w:ascii="Arial" w:hAnsi="Arial"/>
          <w:color w:val="000000"/>
          <w:shd w:val="clear" w:color="auto" w:fill="FFFFFF"/>
        </w:rPr>
        <w:t xml:space="preserve">Paul though is clear; people need to wait and share to make it a communal meal. </w:t>
      </w:r>
    </w:p>
    <w:p w14:paraId="6AA3F7EC" w14:textId="77777777" w:rsidR="00E5766A" w:rsidRDefault="00E5766A">
      <w:pPr>
        <w:spacing w:line="480" w:lineRule="auto"/>
        <w:rPr>
          <w:rFonts w:ascii="Arial" w:hAnsi="Arial"/>
          <w:color w:val="000000"/>
          <w:shd w:val="clear" w:color="auto" w:fill="FFFF00"/>
        </w:rPr>
      </w:pPr>
    </w:p>
    <w:p w14:paraId="2F6B1BB6" w14:textId="77777777" w:rsidR="00E5766A" w:rsidRDefault="00000000">
      <w:pPr>
        <w:spacing w:line="480" w:lineRule="auto"/>
        <w:rPr>
          <w:rFonts w:hint="eastAsia"/>
          <w:color w:val="000000"/>
        </w:rPr>
      </w:pPr>
      <w:r>
        <w:rPr>
          <w:rFonts w:ascii="Arial" w:hAnsi="Arial"/>
          <w:color w:val="000000"/>
          <w:shd w:val="clear" w:color="auto" w:fill="FFFFFF"/>
        </w:rPr>
        <w:t xml:space="preserve">In </w:t>
      </w:r>
      <w:r>
        <w:rPr>
          <w:rFonts w:ascii="Arial" w:hAnsi="Arial"/>
          <w:b/>
          <w:bCs/>
          <w:color w:val="000000"/>
          <w:shd w:val="clear" w:color="auto" w:fill="FFFFFF"/>
        </w:rPr>
        <w:t>verse 22</w:t>
      </w:r>
      <w:r>
        <w:rPr>
          <w:rFonts w:ascii="Arial" w:hAnsi="Arial"/>
          <w:color w:val="000000"/>
          <w:shd w:val="clear" w:color="auto" w:fill="FFFFFF"/>
        </w:rPr>
        <w:t xml:space="preserve"> Paul argues that it is a church, not a home, when they are meeting. He uses the rhetorical device “What shall I say” to convey his distress.</w:t>
      </w:r>
      <w:r>
        <w:rPr>
          <w:rStyle w:val="FootnoteAnchor"/>
          <w:rFonts w:ascii="Arial" w:hAnsi="Arial"/>
          <w:color w:val="000000"/>
        </w:rPr>
        <w:footnoteReference w:id="10"/>
      </w:r>
      <w:r>
        <w:rPr>
          <w:rFonts w:ascii="Arial" w:hAnsi="Arial"/>
          <w:color w:val="000000"/>
          <w:shd w:val="clear" w:color="auto" w:fill="FFFFFF"/>
        </w:rPr>
        <w:t xml:space="preserve"> Instead of sharing, social stratification has occurred within the church, with the poor being humbled. Socially this would not have been seen as a problem, but Paul sees their status in Christ, there is no difference there between rich and poor. He asks, “Do you not have homes to eat and drink in?” That is not his solution to the problem, he knows the importance of communal eating, he is simply saying that this would not be as bad as what they are currently doing. To correct the problem, he reiterates the traditions of the Lord’s supper in v23-26. </w:t>
      </w:r>
    </w:p>
    <w:p w14:paraId="3B12DC13" w14:textId="77777777" w:rsidR="00E5766A" w:rsidRDefault="00E5766A">
      <w:pPr>
        <w:spacing w:line="480" w:lineRule="auto"/>
        <w:rPr>
          <w:rFonts w:ascii="Arial" w:hAnsi="Arial"/>
          <w:color w:val="000000"/>
          <w:shd w:val="clear" w:color="auto" w:fill="FFFF00"/>
        </w:rPr>
      </w:pPr>
    </w:p>
    <w:p w14:paraId="5D919F44" w14:textId="77777777" w:rsidR="00E5766A" w:rsidRDefault="00000000">
      <w:pPr>
        <w:pStyle w:val="BodyText"/>
        <w:spacing w:line="480" w:lineRule="auto"/>
        <w:rPr>
          <w:rFonts w:hint="eastAsia"/>
          <w:color w:val="000000"/>
        </w:rPr>
      </w:pPr>
      <w:r>
        <w:rPr>
          <w:rFonts w:ascii="Arial" w:hAnsi="Arial"/>
          <w:color w:val="000000"/>
          <w:shd w:val="clear" w:color="auto" w:fill="FFFFFF"/>
        </w:rPr>
        <w:t xml:space="preserve">Paul moves quite abruptly between the two parts of the passage. He </w:t>
      </w:r>
      <w:bookmarkStart w:id="4" w:name="_Int_3Dy5mQ7i"/>
      <w:r>
        <w:rPr>
          <w:rFonts w:ascii="Arial" w:hAnsi="Arial"/>
          <w:color w:val="000000"/>
          <w:shd w:val="clear" w:color="auto" w:fill="FFFFFF"/>
        </w:rPr>
        <w:t>perhaps feels</w:t>
      </w:r>
      <w:bookmarkEnd w:id="4"/>
      <w:r>
        <w:rPr>
          <w:rFonts w:ascii="Arial" w:hAnsi="Arial"/>
          <w:color w:val="000000"/>
          <w:shd w:val="clear" w:color="auto" w:fill="FFFFFF"/>
        </w:rPr>
        <w:t xml:space="preserve"> that the Corinthians have misunderstood or forgotten the meaning of the meal and need to be </w:t>
      </w:r>
      <w:r>
        <w:rPr>
          <w:rFonts w:ascii="Arial" w:hAnsi="Arial"/>
          <w:color w:val="000000"/>
          <w:shd w:val="clear" w:color="auto" w:fill="FFFFFF"/>
        </w:rPr>
        <w:lastRenderedPageBreak/>
        <w:t xml:space="preserve">taught it again. He emphasises from the start of </w:t>
      </w:r>
      <w:r>
        <w:rPr>
          <w:rFonts w:ascii="Arial" w:hAnsi="Arial"/>
          <w:b/>
          <w:bCs/>
          <w:color w:val="000000"/>
          <w:shd w:val="clear" w:color="auto" w:fill="FFFFFF"/>
        </w:rPr>
        <w:t>verse 23</w:t>
      </w:r>
      <w:r>
        <w:rPr>
          <w:rFonts w:ascii="Arial" w:hAnsi="Arial"/>
          <w:color w:val="000000"/>
          <w:shd w:val="clear" w:color="auto" w:fill="FFFFFF"/>
        </w:rPr>
        <w:t xml:space="preserve"> that he is speaking from God, when he gives the tradition of the Lord’s supper (Luke 22:7-38). Keener highlights the use of the words “received” and “handed on” as language conventionally used when transmitting traditions,</w:t>
      </w:r>
      <w:r>
        <w:rPr>
          <w:rStyle w:val="FootnoteAnchor"/>
          <w:rFonts w:ascii="Arial" w:hAnsi="Arial"/>
          <w:color w:val="000000"/>
        </w:rPr>
        <w:footnoteReference w:id="11"/>
      </w:r>
      <w:r>
        <w:rPr>
          <w:rFonts w:ascii="Arial" w:hAnsi="Arial"/>
          <w:color w:val="000000"/>
          <w:shd w:val="clear" w:color="auto" w:fill="FFFFFF"/>
        </w:rPr>
        <w:t xml:space="preserve"> with tradition superseding all social customs and status, and hopefully stopping all division. </w:t>
      </w:r>
    </w:p>
    <w:p w14:paraId="3697CFCA" w14:textId="77777777" w:rsidR="00E5766A" w:rsidRDefault="00E5766A">
      <w:pPr>
        <w:pStyle w:val="BodyText"/>
        <w:spacing w:line="480" w:lineRule="auto"/>
        <w:rPr>
          <w:rFonts w:hint="eastAsia"/>
          <w:color w:val="000000"/>
        </w:rPr>
      </w:pPr>
    </w:p>
    <w:p w14:paraId="790B5B49" w14:textId="77777777" w:rsidR="00E5766A" w:rsidRDefault="00000000">
      <w:pPr>
        <w:pStyle w:val="BodyText"/>
        <w:spacing w:line="480" w:lineRule="auto"/>
        <w:rPr>
          <w:rFonts w:hint="eastAsia"/>
          <w:color w:val="000000"/>
        </w:rPr>
      </w:pPr>
      <w:r>
        <w:rPr>
          <w:rFonts w:ascii="Arial" w:hAnsi="Arial"/>
          <w:color w:val="000000"/>
          <w:shd w:val="clear" w:color="auto" w:fill="FFFFFF"/>
        </w:rPr>
        <w:t xml:space="preserve">Taking </w:t>
      </w:r>
      <w:r>
        <w:rPr>
          <w:rFonts w:ascii="Arial" w:hAnsi="Arial"/>
          <w:b/>
          <w:bCs/>
          <w:color w:val="000000"/>
          <w:shd w:val="clear" w:color="auto" w:fill="FFFFFF"/>
        </w:rPr>
        <w:t>verse 24</w:t>
      </w:r>
      <w:r>
        <w:rPr>
          <w:rFonts w:ascii="Arial" w:hAnsi="Arial"/>
          <w:color w:val="000000"/>
          <w:shd w:val="clear" w:color="auto" w:fill="FFFFFF"/>
        </w:rPr>
        <w:t xml:space="preserve"> and </w:t>
      </w:r>
      <w:r>
        <w:rPr>
          <w:rFonts w:ascii="Arial" w:hAnsi="Arial"/>
          <w:b/>
          <w:bCs/>
          <w:color w:val="000000"/>
          <w:shd w:val="clear" w:color="auto" w:fill="FFFFFF"/>
        </w:rPr>
        <w:t>verse 25</w:t>
      </w:r>
      <w:r>
        <w:rPr>
          <w:rFonts w:ascii="Arial" w:hAnsi="Arial"/>
          <w:color w:val="000000"/>
          <w:shd w:val="clear" w:color="auto" w:fill="FFFFFF"/>
        </w:rPr>
        <w:t xml:space="preserve"> together, the focus is on remembrance of Jesus’ crucifixion, and of the supper making it present for the church. Paul is giving them a framework for how to do the Lord’s supper, with a clear beginning of breaking the bread and ending where they drink the cup. He specifically reminds them of the significance when using the tradition set out by Luke as it has the phrase “in remembrance of me,” reinforcing his reason for giving the tradition.   </w:t>
      </w:r>
    </w:p>
    <w:p w14:paraId="43B9F6BB" w14:textId="77777777" w:rsidR="00E5766A" w:rsidRDefault="00E5766A">
      <w:pPr>
        <w:pStyle w:val="BodyText"/>
        <w:spacing w:line="480" w:lineRule="auto"/>
        <w:rPr>
          <w:rFonts w:hint="eastAsia"/>
          <w:color w:val="000000"/>
        </w:rPr>
      </w:pPr>
    </w:p>
    <w:p w14:paraId="503B3D79" w14:textId="77777777" w:rsidR="00E5766A" w:rsidRDefault="00000000">
      <w:pPr>
        <w:pStyle w:val="BodyText"/>
        <w:spacing w:line="480" w:lineRule="auto"/>
        <w:rPr>
          <w:rFonts w:hint="eastAsia"/>
          <w:color w:val="000000"/>
        </w:rPr>
      </w:pPr>
      <w:r>
        <w:rPr>
          <w:rFonts w:ascii="Arial" w:hAnsi="Arial"/>
          <w:color w:val="000000"/>
          <w:shd w:val="clear" w:color="auto" w:fill="FFFFFF"/>
        </w:rPr>
        <w:t xml:space="preserve">Finally, in </w:t>
      </w:r>
      <w:r>
        <w:rPr>
          <w:rFonts w:ascii="Arial" w:hAnsi="Arial"/>
          <w:b/>
          <w:bCs/>
          <w:color w:val="000000"/>
          <w:shd w:val="clear" w:color="auto" w:fill="FFFFFF"/>
        </w:rPr>
        <w:t>verse</w:t>
      </w:r>
      <w:r>
        <w:rPr>
          <w:rFonts w:ascii="Arial" w:hAnsi="Arial"/>
          <w:color w:val="000000"/>
          <w:shd w:val="clear" w:color="auto" w:fill="FFFFFF"/>
        </w:rPr>
        <w:t xml:space="preserve"> 26 Paul ties the passage together, that the Lord’s supper is to proclaim God, and that is why the issue is so important. Sharing and caring for one another proclaims Jesus’ death, and the Corinthian church is doing the opposite. While in English “the death of the Lord” comes in the second part of the verse, Gaventa finds that in the original Greek it starts the verse, and she suggests that Paul is emphasising this, not only in the verse, but in the passage, that the Lord will return, and that the Lord’s supper should be done “until he comes”.</w:t>
      </w:r>
      <w:r>
        <w:rPr>
          <w:rStyle w:val="FootnoteAnchor"/>
          <w:rFonts w:ascii="Arial" w:hAnsi="Arial"/>
          <w:color w:val="000000"/>
        </w:rPr>
        <w:footnoteReference w:id="12"/>
      </w:r>
    </w:p>
    <w:p w14:paraId="0BB2271F" w14:textId="77777777" w:rsidR="00E5766A" w:rsidRDefault="00E5766A">
      <w:pPr>
        <w:pStyle w:val="BodyText"/>
        <w:spacing w:line="480" w:lineRule="auto"/>
        <w:rPr>
          <w:rFonts w:ascii="Arial" w:hAnsi="Arial"/>
          <w:color w:val="000000"/>
          <w:shd w:val="clear" w:color="auto" w:fill="FFFFFF"/>
        </w:rPr>
      </w:pPr>
    </w:p>
    <w:p w14:paraId="4C9393C6" w14:textId="77777777" w:rsidR="00E5766A" w:rsidRDefault="00E5766A">
      <w:pPr>
        <w:pStyle w:val="BodyText"/>
        <w:spacing w:line="480" w:lineRule="auto"/>
        <w:rPr>
          <w:rFonts w:ascii="Arial" w:hAnsi="Arial"/>
          <w:color w:val="000000"/>
          <w:shd w:val="clear" w:color="auto" w:fill="FFFFFF"/>
        </w:rPr>
      </w:pPr>
    </w:p>
    <w:p w14:paraId="5498DFA8" w14:textId="77777777" w:rsidR="00E5766A" w:rsidRDefault="00E5766A">
      <w:pPr>
        <w:pStyle w:val="BodyText"/>
        <w:spacing w:line="480" w:lineRule="auto"/>
        <w:rPr>
          <w:rFonts w:ascii="Arial" w:hAnsi="Arial"/>
          <w:color w:val="000000"/>
          <w:shd w:val="clear" w:color="auto" w:fill="FFFFFF"/>
        </w:rPr>
      </w:pPr>
    </w:p>
    <w:p w14:paraId="07C909E0" w14:textId="77777777" w:rsidR="00E5766A" w:rsidRDefault="00000000">
      <w:pPr>
        <w:pStyle w:val="BodyText"/>
        <w:tabs>
          <w:tab w:val="left" w:pos="6266"/>
        </w:tabs>
        <w:spacing w:line="480" w:lineRule="auto"/>
        <w:jc w:val="center"/>
        <w:rPr>
          <w:rFonts w:hint="eastAsia"/>
          <w:color w:val="000000"/>
        </w:rPr>
      </w:pPr>
      <w:r>
        <w:rPr>
          <w:rFonts w:ascii="Arial" w:hAnsi="Arial"/>
          <w:b/>
          <w:bCs/>
          <w:color w:val="000000"/>
          <w:shd w:val="clear" w:color="auto" w:fill="FFFFFF"/>
        </w:rPr>
        <w:t>Conclusion</w:t>
      </w:r>
    </w:p>
    <w:p w14:paraId="468C81AF" w14:textId="77777777" w:rsidR="00E5766A" w:rsidRDefault="00000000">
      <w:pPr>
        <w:spacing w:line="480" w:lineRule="auto"/>
        <w:rPr>
          <w:rFonts w:hint="eastAsia"/>
          <w:color w:val="000000"/>
        </w:rPr>
      </w:pPr>
      <w:r>
        <w:rPr>
          <w:rFonts w:ascii="Arial" w:hAnsi="Arial"/>
          <w:color w:val="000000"/>
          <w:shd w:val="clear" w:color="auto" w:fill="FFFFFF"/>
        </w:rPr>
        <w:t xml:space="preserve">After encouragement to the church in Corinth, Paul rebukes them here because he feels that instead of spiritual and social unity, the Lord’s supper is causing the opposite in Corinth. While the culture in Corinth might have made what is happening in the church feel acceptable, Paul reminds them of the tradition of the Lord’s supper to show it is not. He shows the church that their worth is found in Christ, and this is where their identity should be. He looks to modify the meal so that it is more equal, and in this way proclaims the Lord. </w:t>
      </w:r>
    </w:p>
    <w:p w14:paraId="1757EFF7" w14:textId="77777777" w:rsidR="00E5766A" w:rsidRDefault="00E5766A">
      <w:pPr>
        <w:spacing w:line="480" w:lineRule="auto"/>
        <w:rPr>
          <w:rFonts w:ascii="Arial" w:hAnsi="Arial"/>
          <w:color w:val="000000"/>
        </w:rPr>
      </w:pPr>
    </w:p>
    <w:p w14:paraId="239DA4F5" w14:textId="77777777" w:rsidR="00E5766A" w:rsidRDefault="00000000">
      <w:pPr>
        <w:spacing w:line="480" w:lineRule="auto"/>
        <w:jc w:val="center"/>
        <w:rPr>
          <w:rFonts w:ascii="Arial" w:hAnsi="Arial"/>
          <w:b/>
          <w:bCs/>
          <w:color w:val="000000"/>
        </w:rPr>
      </w:pPr>
      <w:r>
        <w:br w:type="page"/>
      </w:r>
    </w:p>
    <w:p w14:paraId="71CE16C1" w14:textId="77777777" w:rsidR="00E5766A" w:rsidRDefault="00E5766A">
      <w:pPr>
        <w:spacing w:line="480" w:lineRule="auto"/>
        <w:rPr>
          <w:rFonts w:ascii="Arial" w:hAnsi="Arial"/>
          <w:b/>
          <w:bCs/>
          <w:color w:val="000000"/>
        </w:rPr>
      </w:pPr>
    </w:p>
    <w:p w14:paraId="0A4BDC75" w14:textId="77777777" w:rsidR="00E5766A" w:rsidRDefault="00000000">
      <w:pPr>
        <w:spacing w:line="480" w:lineRule="auto"/>
        <w:jc w:val="center"/>
        <w:rPr>
          <w:rFonts w:hint="eastAsia"/>
          <w:color w:val="000000"/>
        </w:rPr>
      </w:pPr>
      <w:r>
        <w:rPr>
          <w:rFonts w:ascii="Arial" w:hAnsi="Arial"/>
          <w:b/>
          <w:bCs/>
          <w:color w:val="000000"/>
        </w:rPr>
        <w:t>BIBLIOGRAPHY</w:t>
      </w:r>
    </w:p>
    <w:p w14:paraId="1B552F2D" w14:textId="77777777" w:rsidR="00E5766A" w:rsidRDefault="00E5766A">
      <w:pPr>
        <w:rPr>
          <w:rFonts w:ascii="Arial" w:hAnsi="Arial"/>
          <w:color w:val="000000"/>
        </w:rPr>
      </w:pPr>
    </w:p>
    <w:p w14:paraId="2DFF8D71" w14:textId="77777777" w:rsidR="00E5766A" w:rsidRDefault="00000000">
      <w:pPr>
        <w:rPr>
          <w:rFonts w:hint="eastAsia"/>
          <w:color w:val="000000"/>
        </w:rPr>
      </w:pPr>
      <w:r>
        <w:rPr>
          <w:rFonts w:ascii="Arial" w:hAnsi="Arial"/>
          <w:color w:val="000000"/>
          <w:shd w:val="clear" w:color="auto" w:fill="FFFFFF"/>
        </w:rPr>
        <w:t xml:space="preserve">Barton, Stephen C., </w:t>
      </w:r>
      <w:r>
        <w:rPr>
          <w:rFonts w:ascii="Arial" w:hAnsi="Arial"/>
          <w:i/>
          <w:iCs/>
          <w:color w:val="000000"/>
          <w:shd w:val="clear" w:color="auto" w:fill="FFFFFF"/>
        </w:rPr>
        <w:t>Eerdmans Commentary on the Bible: First Corinthians</w:t>
      </w:r>
      <w:r>
        <w:rPr>
          <w:rFonts w:ascii="Arial" w:hAnsi="Arial"/>
          <w:color w:val="000000"/>
          <w:shd w:val="clear" w:color="auto" w:fill="FFFFFF"/>
        </w:rPr>
        <w:t xml:space="preserve"> (Eerdmans Kindle Edition, 2019).</w:t>
      </w:r>
    </w:p>
    <w:p w14:paraId="3FE1F574" w14:textId="77777777" w:rsidR="00E5766A" w:rsidRDefault="00E5766A">
      <w:pPr>
        <w:rPr>
          <w:rFonts w:hint="eastAsia"/>
          <w:color w:val="000000"/>
          <w:shd w:val="clear" w:color="auto" w:fill="FFFFFF"/>
        </w:rPr>
      </w:pPr>
    </w:p>
    <w:p w14:paraId="5A922EF7" w14:textId="77777777" w:rsidR="00E5766A" w:rsidRDefault="00000000">
      <w:pPr>
        <w:rPr>
          <w:rFonts w:hint="eastAsia"/>
          <w:color w:val="000000"/>
        </w:rPr>
      </w:pPr>
      <w:r>
        <w:rPr>
          <w:rFonts w:ascii="Arial" w:hAnsi="Arial"/>
          <w:color w:val="000000"/>
          <w:shd w:val="clear" w:color="auto" w:fill="FFFFFF"/>
        </w:rPr>
        <w:t xml:space="preserve">Dunn, James D.G., </w:t>
      </w:r>
      <w:r>
        <w:rPr>
          <w:rFonts w:ascii="Arial" w:hAnsi="Arial"/>
          <w:i/>
          <w:iCs/>
          <w:color w:val="000000"/>
          <w:shd w:val="clear" w:color="auto" w:fill="FFFFFF"/>
        </w:rPr>
        <w:t>1 Corinthians</w:t>
      </w:r>
      <w:r>
        <w:rPr>
          <w:rFonts w:ascii="Arial" w:hAnsi="Arial"/>
          <w:color w:val="000000"/>
          <w:shd w:val="clear" w:color="auto" w:fill="FFFFFF"/>
        </w:rPr>
        <w:t xml:space="preserve"> (A&amp;C Black, 2003).</w:t>
      </w:r>
    </w:p>
    <w:p w14:paraId="3520B30A" w14:textId="77777777" w:rsidR="00E5766A" w:rsidRDefault="00E5766A">
      <w:pPr>
        <w:rPr>
          <w:rFonts w:hint="eastAsia"/>
          <w:color w:val="000000"/>
          <w:shd w:val="clear" w:color="auto" w:fill="FFFFFF"/>
        </w:rPr>
      </w:pPr>
    </w:p>
    <w:p w14:paraId="42816365" w14:textId="77777777" w:rsidR="00E5766A" w:rsidRDefault="00000000">
      <w:pPr>
        <w:rPr>
          <w:rFonts w:hint="eastAsia"/>
          <w:color w:val="000000"/>
        </w:rPr>
      </w:pPr>
      <w:r>
        <w:rPr>
          <w:rFonts w:ascii="Arial" w:hAnsi="Arial"/>
          <w:color w:val="000000"/>
          <w:shd w:val="clear" w:color="auto" w:fill="FFFFFF"/>
        </w:rPr>
        <w:t xml:space="preserve">Gardener, Paul, </w:t>
      </w:r>
      <w:r>
        <w:rPr>
          <w:rFonts w:ascii="Arial" w:hAnsi="Arial"/>
          <w:i/>
          <w:iCs/>
          <w:color w:val="000000"/>
          <w:shd w:val="clear" w:color="auto" w:fill="FFFFFF"/>
        </w:rPr>
        <w:t>1-2 Corinthians</w:t>
      </w:r>
      <w:r>
        <w:rPr>
          <w:rFonts w:ascii="Arial" w:hAnsi="Arial"/>
          <w:color w:val="000000"/>
          <w:shd w:val="clear" w:color="auto" w:fill="FFFFFF"/>
        </w:rPr>
        <w:t xml:space="preserve"> (Cambridge University Press, 2005).</w:t>
      </w:r>
    </w:p>
    <w:p w14:paraId="78CEEE95" w14:textId="77777777" w:rsidR="00E5766A" w:rsidRDefault="00E5766A">
      <w:pPr>
        <w:rPr>
          <w:rFonts w:hint="eastAsia"/>
          <w:color w:val="000000"/>
          <w:shd w:val="clear" w:color="auto" w:fill="FFFFFF"/>
        </w:rPr>
      </w:pPr>
    </w:p>
    <w:p w14:paraId="35A3C29D" w14:textId="77777777" w:rsidR="00E5766A" w:rsidRDefault="00000000">
      <w:pPr>
        <w:rPr>
          <w:rFonts w:hint="eastAsia"/>
          <w:color w:val="000000"/>
        </w:rPr>
      </w:pPr>
      <w:r>
        <w:rPr>
          <w:rFonts w:ascii="Arial" w:hAnsi="Arial"/>
          <w:color w:val="000000"/>
          <w:shd w:val="clear" w:color="auto" w:fill="FFFFFF"/>
        </w:rPr>
        <w:t xml:space="preserve">Gaventa, Beverly Roberts, ‘“You Proclaim the Lord's Death”: 1 Corinthians 11: 26 and Paul's Understanding of Worship.’ </w:t>
      </w:r>
      <w:r>
        <w:rPr>
          <w:rFonts w:ascii="Arial" w:hAnsi="Arial"/>
          <w:i/>
          <w:iCs/>
          <w:color w:val="000000"/>
          <w:shd w:val="clear" w:color="auto" w:fill="FFFFFF"/>
        </w:rPr>
        <w:t>Review &amp; Expositor 80,</w:t>
      </w:r>
      <w:r>
        <w:rPr>
          <w:rFonts w:ascii="Arial" w:hAnsi="Arial"/>
          <w:color w:val="000000"/>
          <w:shd w:val="clear" w:color="auto" w:fill="FFFFFF"/>
        </w:rPr>
        <w:t xml:space="preserve"> no. 3 (1983), pp. 377-387.</w:t>
      </w:r>
    </w:p>
    <w:p w14:paraId="666DDDDF" w14:textId="77777777" w:rsidR="00E5766A" w:rsidRDefault="00E5766A">
      <w:pPr>
        <w:rPr>
          <w:rFonts w:hint="eastAsia"/>
          <w:color w:val="000000"/>
          <w:shd w:val="clear" w:color="auto" w:fill="FFFFFF"/>
        </w:rPr>
      </w:pPr>
    </w:p>
    <w:p w14:paraId="1FE58FE0" w14:textId="77777777" w:rsidR="00E5766A" w:rsidRDefault="00000000">
      <w:pPr>
        <w:rPr>
          <w:rFonts w:hint="eastAsia"/>
          <w:color w:val="000000"/>
        </w:rPr>
      </w:pPr>
      <w:r>
        <w:rPr>
          <w:rFonts w:ascii="Arial" w:hAnsi="Arial"/>
          <w:color w:val="000000"/>
          <w:shd w:val="clear" w:color="auto" w:fill="FFFFFF"/>
        </w:rPr>
        <w:t>Guzik, David. ‘1 Corinthians 11 – Concerning Women, and the Lord’s Supper’, https://enduringword.com/bible-commentary/1-corinthians-11/, 16 February 2023.</w:t>
      </w:r>
    </w:p>
    <w:p w14:paraId="44CD5260" w14:textId="77777777" w:rsidR="00E5766A" w:rsidRDefault="00E5766A">
      <w:pPr>
        <w:rPr>
          <w:rFonts w:hint="eastAsia"/>
          <w:color w:val="000000"/>
          <w:shd w:val="clear" w:color="auto" w:fill="FFFFFF"/>
        </w:rPr>
      </w:pPr>
    </w:p>
    <w:p w14:paraId="13DE0A17" w14:textId="77777777" w:rsidR="00E5766A" w:rsidRDefault="00000000">
      <w:pPr>
        <w:rPr>
          <w:rFonts w:hint="eastAsia"/>
          <w:color w:val="000000"/>
        </w:rPr>
      </w:pPr>
      <w:r>
        <w:rPr>
          <w:rFonts w:ascii="Arial" w:hAnsi="Arial"/>
          <w:color w:val="000000"/>
          <w:shd w:val="clear" w:color="auto" w:fill="FFFFFF"/>
        </w:rPr>
        <w:t>Henry, Matthew. ‘Commentary on 1 Corinthians 11’, https://www.blueletterbible.org/Comm/mhc/1Cr/1Cr_011.cfm, 16 February 2023.</w:t>
      </w:r>
    </w:p>
    <w:p w14:paraId="4835C655" w14:textId="77777777" w:rsidR="00E5766A" w:rsidRDefault="00E5766A">
      <w:pPr>
        <w:rPr>
          <w:rFonts w:hint="eastAsia"/>
          <w:color w:val="000000"/>
          <w:shd w:val="clear" w:color="auto" w:fill="FFFFFF"/>
        </w:rPr>
      </w:pPr>
    </w:p>
    <w:p w14:paraId="52068AA3" w14:textId="77777777" w:rsidR="00E5766A" w:rsidRDefault="00000000">
      <w:pPr>
        <w:rPr>
          <w:rFonts w:hint="eastAsia"/>
          <w:color w:val="000000"/>
        </w:rPr>
      </w:pPr>
      <w:r>
        <w:rPr>
          <w:rFonts w:ascii="Arial" w:hAnsi="Arial"/>
          <w:color w:val="000000"/>
          <w:shd w:val="clear" w:color="auto" w:fill="FFFFFF"/>
        </w:rPr>
        <w:t xml:space="preserve">Keener, Craig S., </w:t>
      </w:r>
      <w:r>
        <w:rPr>
          <w:rFonts w:ascii="Arial" w:hAnsi="Arial"/>
          <w:i/>
          <w:iCs/>
          <w:color w:val="000000"/>
          <w:shd w:val="clear" w:color="auto" w:fill="FFFFFF"/>
        </w:rPr>
        <w:t>1-2 Corinthians</w:t>
      </w:r>
      <w:r>
        <w:rPr>
          <w:rFonts w:ascii="Arial" w:hAnsi="Arial"/>
          <w:color w:val="000000"/>
          <w:shd w:val="clear" w:color="auto" w:fill="FFFFFF"/>
        </w:rPr>
        <w:t xml:space="preserve"> (Cambridge University Press, 2005).</w:t>
      </w:r>
    </w:p>
    <w:p w14:paraId="60016E4C" w14:textId="77777777" w:rsidR="00E5766A" w:rsidRDefault="00E5766A">
      <w:pPr>
        <w:rPr>
          <w:rFonts w:hint="eastAsia"/>
          <w:color w:val="000000"/>
          <w:shd w:val="clear" w:color="auto" w:fill="FFFFFF"/>
        </w:rPr>
      </w:pPr>
    </w:p>
    <w:p w14:paraId="31F146B5" w14:textId="77777777" w:rsidR="00E5766A" w:rsidRDefault="00000000">
      <w:pPr>
        <w:rPr>
          <w:rFonts w:hint="eastAsia"/>
          <w:color w:val="000000"/>
        </w:rPr>
      </w:pPr>
      <w:r>
        <w:rPr>
          <w:rFonts w:ascii="Arial" w:hAnsi="Arial"/>
          <w:color w:val="000000"/>
          <w:shd w:val="clear" w:color="auto" w:fill="FFFFFF"/>
        </w:rPr>
        <w:t xml:space="preserve">Lampe, Peter, ‘The Corinthian eucharistic dinner party: exegesis of a cultural context (1 Cor. 11: 17-34).’ </w:t>
      </w:r>
      <w:r>
        <w:rPr>
          <w:rFonts w:ascii="Arial" w:hAnsi="Arial"/>
          <w:i/>
          <w:iCs/>
          <w:color w:val="000000"/>
          <w:shd w:val="clear" w:color="auto" w:fill="FFFFFF"/>
        </w:rPr>
        <w:t>Affirmation 4,</w:t>
      </w:r>
      <w:r>
        <w:rPr>
          <w:rFonts w:ascii="Arial" w:hAnsi="Arial"/>
          <w:color w:val="000000"/>
          <w:shd w:val="clear" w:color="auto" w:fill="FFFFFF"/>
        </w:rPr>
        <w:t xml:space="preserve"> no. 2 (1991), pp. 1-15.</w:t>
      </w:r>
    </w:p>
    <w:p w14:paraId="10325337" w14:textId="77777777" w:rsidR="00E5766A" w:rsidRDefault="00E5766A">
      <w:pPr>
        <w:rPr>
          <w:rFonts w:hint="eastAsia"/>
          <w:color w:val="000000"/>
          <w:shd w:val="clear" w:color="auto" w:fill="FFFFFF"/>
        </w:rPr>
      </w:pPr>
    </w:p>
    <w:p w14:paraId="75AF2710" w14:textId="77777777" w:rsidR="00E5766A" w:rsidRDefault="00000000">
      <w:pPr>
        <w:rPr>
          <w:rFonts w:hint="eastAsia"/>
          <w:color w:val="000000"/>
        </w:rPr>
      </w:pPr>
      <w:r>
        <w:rPr>
          <w:rFonts w:ascii="Arial" w:hAnsi="Arial"/>
          <w:color w:val="000000"/>
          <w:shd w:val="clear" w:color="auto" w:fill="FFFFFF"/>
        </w:rPr>
        <w:t xml:space="preserve">Lanuwabang, Jamir, </w:t>
      </w:r>
      <w:r>
        <w:rPr>
          <w:rFonts w:ascii="Arial" w:hAnsi="Arial"/>
          <w:i/>
          <w:iCs/>
          <w:color w:val="000000"/>
          <w:shd w:val="clear" w:color="auto" w:fill="FFFFFF"/>
        </w:rPr>
        <w:t>Exclusion and Judgment in Fellowship Meals: The Socio-historical Background of 1 Corinthians 11: 17-34</w:t>
      </w:r>
      <w:r>
        <w:rPr>
          <w:rFonts w:ascii="Arial" w:hAnsi="Arial"/>
          <w:color w:val="000000"/>
          <w:shd w:val="clear" w:color="auto" w:fill="FFFFFF"/>
        </w:rPr>
        <w:t xml:space="preserve"> (Lutterworth Press, 2017)</w:t>
      </w:r>
    </w:p>
    <w:p w14:paraId="5B7A98F5" w14:textId="77777777" w:rsidR="00E5766A" w:rsidRDefault="00E5766A">
      <w:pPr>
        <w:rPr>
          <w:rFonts w:hint="eastAsia"/>
          <w:color w:val="000000"/>
          <w:shd w:val="clear" w:color="auto" w:fill="FFFFFF"/>
        </w:rPr>
      </w:pPr>
    </w:p>
    <w:p w14:paraId="094ACA7F" w14:textId="77777777" w:rsidR="00E5766A" w:rsidRDefault="00000000">
      <w:pPr>
        <w:rPr>
          <w:rFonts w:hint="eastAsia"/>
          <w:color w:val="000000"/>
        </w:rPr>
      </w:pPr>
      <w:r>
        <w:rPr>
          <w:rFonts w:ascii="Arial" w:hAnsi="Arial"/>
          <w:color w:val="000000"/>
          <w:shd w:val="clear" w:color="auto" w:fill="FFFFFF"/>
        </w:rPr>
        <w:t xml:space="preserve">Stiff, Anthony J., ‘Keeping the Feast: The Socializing Dynamics of the Eucharist, 1 Corinthians 11: 17-34, and Enabling Boundaries for Individuals with Disabilities.’ </w:t>
      </w:r>
      <w:r>
        <w:rPr>
          <w:rFonts w:ascii="Arial" w:hAnsi="Arial"/>
          <w:i/>
          <w:iCs/>
          <w:color w:val="000000"/>
          <w:shd w:val="clear" w:color="auto" w:fill="FFFFFF"/>
        </w:rPr>
        <w:t>Journal of Disability &amp; religion 26</w:t>
      </w:r>
      <w:r>
        <w:rPr>
          <w:rFonts w:ascii="Arial" w:hAnsi="Arial"/>
          <w:color w:val="000000"/>
          <w:shd w:val="clear" w:color="auto" w:fill="FFFFFF"/>
        </w:rPr>
        <w:t>, no. 3 (2022), pp. 265-279.</w:t>
      </w:r>
    </w:p>
    <w:p w14:paraId="1547154C" w14:textId="77777777" w:rsidR="00E5766A" w:rsidRDefault="00E5766A">
      <w:pPr>
        <w:rPr>
          <w:rFonts w:hint="eastAsia"/>
          <w:color w:val="000000"/>
          <w:shd w:val="clear" w:color="auto" w:fill="FFFFFF"/>
        </w:rPr>
      </w:pPr>
    </w:p>
    <w:p w14:paraId="6308D00F" w14:textId="77777777" w:rsidR="00E5766A" w:rsidRDefault="00000000">
      <w:pPr>
        <w:rPr>
          <w:rFonts w:hint="eastAsia"/>
          <w:color w:val="000000"/>
        </w:rPr>
      </w:pPr>
      <w:r>
        <w:rPr>
          <w:rFonts w:ascii="Arial" w:hAnsi="Arial"/>
          <w:color w:val="000000"/>
          <w:shd w:val="clear" w:color="auto" w:fill="FFFFFF"/>
        </w:rPr>
        <w:t xml:space="preserve">Surburg, Mark P., ‘The Situation at the Corinthian Lord's Supper in Light of 1 Corinthians 11: 21: A Reconsideration.’ </w:t>
      </w:r>
      <w:r>
        <w:rPr>
          <w:rFonts w:ascii="Arial" w:hAnsi="Arial"/>
          <w:i/>
          <w:iCs/>
          <w:color w:val="000000"/>
          <w:shd w:val="clear" w:color="auto" w:fill="FFFFFF"/>
        </w:rPr>
        <w:t>Concordia Journal 32</w:t>
      </w:r>
      <w:r>
        <w:rPr>
          <w:rFonts w:ascii="Arial" w:hAnsi="Arial"/>
          <w:color w:val="000000"/>
          <w:shd w:val="clear" w:color="auto" w:fill="FFFFFF"/>
        </w:rPr>
        <w:t>, no. 1 (2006), pp. 17-37.</w:t>
      </w:r>
    </w:p>
    <w:p w14:paraId="6422CC47" w14:textId="77777777" w:rsidR="00E5766A" w:rsidRDefault="00E5766A">
      <w:pPr>
        <w:rPr>
          <w:rFonts w:ascii="Arial" w:hAnsi="Arial"/>
          <w:color w:val="000000"/>
          <w:shd w:val="clear" w:color="auto" w:fill="FFFF00"/>
        </w:rPr>
      </w:pPr>
    </w:p>
    <w:p w14:paraId="2603B129" w14:textId="77777777" w:rsidR="00E5766A" w:rsidRDefault="00000000">
      <w:pPr>
        <w:rPr>
          <w:rFonts w:ascii="Arial" w:hAnsi="Arial"/>
          <w:color w:val="000000"/>
          <w:shd w:val="clear" w:color="auto" w:fill="FFFF00"/>
        </w:rPr>
      </w:pPr>
      <w:r>
        <w:br w:type="page"/>
      </w:r>
    </w:p>
    <w:p w14:paraId="76B044E9" w14:textId="77777777" w:rsidR="00E5766A" w:rsidRDefault="00000000">
      <w:pPr>
        <w:spacing w:line="480" w:lineRule="auto"/>
        <w:jc w:val="center"/>
        <w:rPr>
          <w:rFonts w:hint="eastAsia"/>
          <w:color w:val="000000"/>
        </w:rPr>
      </w:pPr>
      <w:r>
        <w:rPr>
          <w:rFonts w:ascii="Arial" w:eastAsia="Arial" w:hAnsi="Arial" w:cs="Arial"/>
          <w:b/>
          <w:bCs/>
          <w:color w:val="000000"/>
        </w:rPr>
        <w:lastRenderedPageBreak/>
        <w:t>Part B - Romans 7:7-13 – The Law and Sin</w:t>
      </w:r>
    </w:p>
    <w:p w14:paraId="6350A8BC" w14:textId="77777777" w:rsidR="00E5766A" w:rsidRDefault="00E5766A">
      <w:pPr>
        <w:spacing w:line="480" w:lineRule="auto"/>
        <w:jc w:val="center"/>
        <w:rPr>
          <w:rFonts w:ascii="Arial" w:eastAsia="Arial" w:hAnsi="Arial" w:cs="Arial"/>
          <w:b/>
          <w:bCs/>
          <w:color w:val="000000"/>
        </w:rPr>
      </w:pPr>
    </w:p>
    <w:p w14:paraId="28662B82" w14:textId="77777777" w:rsidR="00E5766A" w:rsidRDefault="00000000">
      <w:pPr>
        <w:spacing w:line="480" w:lineRule="auto"/>
        <w:jc w:val="center"/>
        <w:rPr>
          <w:rFonts w:hint="eastAsia"/>
          <w:color w:val="000000"/>
        </w:rPr>
      </w:pPr>
      <w:r>
        <w:rPr>
          <w:rFonts w:ascii="Arial" w:hAnsi="Arial"/>
          <w:b/>
          <w:bCs/>
          <w:color w:val="000000"/>
        </w:rPr>
        <w:t xml:space="preserve">Introduction </w:t>
      </w:r>
    </w:p>
    <w:p w14:paraId="729FF3B0" w14:textId="77777777" w:rsidR="00E5766A" w:rsidRDefault="00000000">
      <w:pPr>
        <w:spacing w:line="480" w:lineRule="auto"/>
        <w:rPr>
          <w:rFonts w:hint="eastAsia"/>
        </w:rPr>
      </w:pPr>
      <w:r>
        <w:rPr>
          <w:rFonts w:ascii="Arial" w:hAnsi="Arial" w:cs="Arial"/>
          <w:color w:val="000000"/>
          <w:shd w:val="clear" w:color="auto" w:fill="FFFFFF"/>
        </w:rPr>
        <w:t>Paul’s letter to the Romans is different from his others, he is not addressing one particular church, but instead gives an outline of the theology that would have a huge impact on Christianity. This passage looks at the relationship between the law and sin. As Dunn states, they are associated so closely in Romans, the question “Is the law sin?” must be asked.</w:t>
      </w:r>
      <w:r>
        <w:rPr>
          <w:rStyle w:val="FootnoteAnchor"/>
          <w:rFonts w:ascii="Arial" w:hAnsi="Arial" w:cs="Arial"/>
          <w:color w:val="000000"/>
          <w:shd w:val="clear" w:color="auto" w:fill="FFFFFF"/>
        </w:rPr>
        <w:footnoteReference w:id="13"/>
      </w:r>
      <w:r>
        <w:rPr>
          <w:rFonts w:ascii="Arial" w:hAnsi="Arial" w:cs="Arial"/>
          <w:color w:val="000000"/>
          <w:shd w:val="clear" w:color="auto" w:fill="FFFFFF"/>
        </w:rPr>
        <w:t xml:space="preserve"> The verses looked at here are part of a longer passage from verses 7-25, described by readers such as Augustine, Luther and Barth as a “centrepiece of reflection on sin, human nature and subjectivity,”</w:t>
      </w:r>
      <w:r>
        <w:rPr>
          <w:rStyle w:val="FootnoteAnchor"/>
          <w:rFonts w:ascii="Arial" w:hAnsi="Arial" w:cs="Arial"/>
          <w:color w:val="000000"/>
          <w:shd w:val="clear" w:color="auto" w:fill="FFFFFF"/>
        </w:rPr>
        <w:footnoteReference w:id="14"/>
      </w:r>
      <w:r>
        <w:rPr>
          <w:rFonts w:ascii="Arial" w:hAnsi="Arial" w:cs="Arial"/>
          <w:color w:val="000000"/>
          <w:shd w:val="clear" w:color="auto" w:fill="FFFFFF"/>
        </w:rPr>
        <w:t xml:space="preserve"> and a “human will confessing its incapacity for goodness.”</w:t>
      </w:r>
      <w:r>
        <w:rPr>
          <w:rStyle w:val="FootnoteAnchor"/>
          <w:rFonts w:ascii="Arial" w:hAnsi="Arial" w:cs="Arial"/>
          <w:color w:val="000000"/>
          <w:shd w:val="clear" w:color="auto" w:fill="FFFFFF"/>
        </w:rPr>
        <w:footnoteReference w:id="15"/>
      </w:r>
      <w:r>
        <w:rPr>
          <w:rFonts w:ascii="Arial" w:hAnsi="Arial" w:cs="Arial"/>
          <w:color w:val="000000"/>
          <w:shd w:val="clear" w:color="auto" w:fill="FFFFFF"/>
        </w:rPr>
        <w:t xml:space="preserve"> The passage reads like an epic drama involving three actors – the law, personified sin and “I”,</w:t>
      </w:r>
      <w:r>
        <w:rPr>
          <w:rStyle w:val="FootnoteAnchor"/>
          <w:rFonts w:ascii="Arial" w:hAnsi="Arial" w:cs="Arial"/>
          <w:color w:val="000000"/>
          <w:shd w:val="clear" w:color="auto" w:fill="FFFFFF"/>
        </w:rPr>
        <w:footnoteReference w:id="16"/>
      </w:r>
      <w:r>
        <w:rPr>
          <w:rFonts w:ascii="Arial" w:hAnsi="Arial" w:cs="Arial"/>
          <w:color w:val="000000"/>
          <w:shd w:val="clear" w:color="auto" w:fill="FFFFFF"/>
        </w:rPr>
        <w:t xml:space="preserve"> with the purpose of describing the function of the law, and distinguishing its function from its nature.</w:t>
      </w:r>
      <w:r>
        <w:rPr>
          <w:rStyle w:val="FootnoteAnchor"/>
          <w:rFonts w:ascii="Arial" w:hAnsi="Arial" w:cs="Arial"/>
          <w:color w:val="000000"/>
          <w:shd w:val="clear" w:color="auto" w:fill="FFFFFF"/>
        </w:rPr>
        <w:footnoteReference w:id="17"/>
      </w:r>
      <w:r>
        <w:rPr>
          <w:rFonts w:ascii="Arial" w:hAnsi="Arial" w:cs="Arial"/>
          <w:color w:val="000000"/>
          <w:shd w:val="clear" w:color="auto" w:fill="FFFFFF"/>
        </w:rPr>
        <w:t xml:space="preserve"> But what the law is, and who is meant by “I” make it a confusing passage to interpret. Making a verse-by-verse analysis of this passage helps find possible meanings of “I” and the role of the law. </w:t>
      </w:r>
    </w:p>
    <w:p w14:paraId="7D54A27E" w14:textId="77777777" w:rsidR="00E5766A" w:rsidRDefault="00E5766A">
      <w:pPr>
        <w:spacing w:line="480" w:lineRule="auto"/>
        <w:rPr>
          <w:rFonts w:ascii="Arial" w:hAnsi="Arial" w:cs="Arial"/>
          <w:b/>
          <w:bCs/>
          <w:color w:val="000000"/>
          <w:shd w:val="clear" w:color="auto" w:fill="FFFFFF"/>
        </w:rPr>
      </w:pPr>
    </w:p>
    <w:p w14:paraId="32EAA9D8" w14:textId="77777777" w:rsidR="00E5766A" w:rsidRDefault="00000000">
      <w:pPr>
        <w:spacing w:line="480" w:lineRule="auto"/>
        <w:jc w:val="center"/>
        <w:rPr>
          <w:rFonts w:hint="eastAsia"/>
          <w:color w:val="000000"/>
        </w:rPr>
      </w:pPr>
      <w:r>
        <w:rPr>
          <w:rFonts w:ascii="Arial" w:hAnsi="Arial" w:cs="Arial"/>
          <w:b/>
          <w:bCs/>
          <w:color w:val="000000"/>
          <w:shd w:val="clear" w:color="auto" w:fill="FFFFFF"/>
        </w:rPr>
        <w:t>Textual Analysis</w:t>
      </w:r>
    </w:p>
    <w:p w14:paraId="6F8296DD" w14:textId="7A1F60E5" w:rsidR="00E5766A" w:rsidRDefault="00000000">
      <w:pPr>
        <w:spacing w:line="480" w:lineRule="auto"/>
        <w:rPr>
          <w:rFonts w:hint="eastAsia"/>
          <w:color w:val="000000"/>
        </w:rPr>
      </w:pPr>
      <w:r>
        <w:rPr>
          <w:rFonts w:ascii="Arial" w:hAnsi="Arial" w:cs="Arial"/>
          <w:color w:val="000000"/>
          <w:shd w:val="clear" w:color="auto" w:fill="FFFFFF"/>
        </w:rPr>
        <w:t xml:space="preserve">The passage starts with the question of if the law is sinful. Paul answers strongly that it is not, that instead sin </w:t>
      </w:r>
      <w:r w:rsidR="008E3945">
        <w:rPr>
          <w:rFonts w:ascii="Arial" w:hAnsi="Arial" w:cs="Arial"/>
          <w:color w:val="000000"/>
          <w:shd w:val="clear" w:color="auto" w:fill="FFFFFF"/>
        </w:rPr>
        <w:t>comes to</w:t>
      </w:r>
      <w:r>
        <w:rPr>
          <w:rFonts w:ascii="Arial" w:hAnsi="Arial" w:cs="Arial"/>
          <w:color w:val="000000"/>
          <w:shd w:val="clear" w:color="auto" w:fill="FFFFFF"/>
        </w:rPr>
        <w:t xml:space="preserve"> attention because of the law. He begins with two short questions in </w:t>
      </w:r>
      <w:r>
        <w:rPr>
          <w:rFonts w:ascii="Arial" w:hAnsi="Arial" w:cs="Arial"/>
          <w:b/>
          <w:bCs/>
          <w:color w:val="000000"/>
          <w:shd w:val="clear" w:color="auto" w:fill="FFFFFF"/>
        </w:rPr>
        <w:t>verse 7</w:t>
      </w:r>
      <w:r>
        <w:rPr>
          <w:rFonts w:ascii="Arial" w:hAnsi="Arial" w:cs="Arial"/>
          <w:color w:val="000000"/>
          <w:shd w:val="clear" w:color="auto" w:fill="FFFFFF"/>
        </w:rPr>
        <w:t>. This style is something that Paul has used in Romans before (3:1-8 and 6:1-2) and is described as a diatribe style, used for rhetorical effect.</w:t>
      </w:r>
      <w:r>
        <w:rPr>
          <w:rStyle w:val="FootnoteAnchor"/>
          <w:rFonts w:ascii="Arial" w:hAnsi="Arial" w:cs="Arial"/>
          <w:color w:val="000000"/>
          <w:shd w:val="clear" w:color="auto" w:fill="FFFFFF"/>
        </w:rPr>
        <w:footnoteReference w:id="18"/>
      </w:r>
      <w:r>
        <w:rPr>
          <w:rFonts w:ascii="Arial" w:hAnsi="Arial" w:cs="Arial"/>
          <w:color w:val="000000"/>
          <w:shd w:val="clear" w:color="auto" w:fill="FFFFFF"/>
        </w:rPr>
        <w:t xml:space="preserve"> As a rhetorical device, he writes in the past tense, before switching to the present tense later in the </w:t>
      </w:r>
      <w:r>
        <w:rPr>
          <w:rFonts w:ascii="Arial" w:hAnsi="Arial" w:cs="Arial"/>
          <w:color w:val="000000"/>
          <w:shd w:val="clear" w:color="auto" w:fill="FFFFFF"/>
        </w:rPr>
        <w:lastRenderedPageBreak/>
        <w:t>chapter (v14-25), creating a monologue to show inner turmoil.</w:t>
      </w:r>
      <w:r>
        <w:rPr>
          <w:rStyle w:val="FootnoteAnchor"/>
          <w:rFonts w:ascii="Arial" w:hAnsi="Arial" w:cs="Arial"/>
          <w:color w:val="000000"/>
          <w:shd w:val="clear" w:color="auto" w:fill="FFFFFF"/>
        </w:rPr>
        <w:footnoteReference w:id="19"/>
      </w:r>
      <w:r>
        <w:rPr>
          <w:rFonts w:ascii="Arial" w:hAnsi="Arial" w:cs="Arial"/>
          <w:color w:val="000000"/>
          <w:shd w:val="clear" w:color="auto" w:fill="FFFFFF"/>
        </w:rPr>
        <w:t xml:space="preserve"> Writing in the first person may also be part of this rhetorical device, it was a technique widely used in Greco-Roman rhetoric to make an argument, but it has left a lot of confusion as to who the “I” that Paul refers to is.  </w:t>
      </w:r>
    </w:p>
    <w:p w14:paraId="7FE27C7D" w14:textId="77777777" w:rsidR="00E5766A" w:rsidRDefault="00E5766A">
      <w:pPr>
        <w:spacing w:line="480" w:lineRule="auto"/>
        <w:rPr>
          <w:rFonts w:ascii="Arial" w:hAnsi="Arial" w:cs="Arial"/>
          <w:color w:val="000000"/>
          <w:shd w:val="clear" w:color="auto" w:fill="FFFFFF"/>
        </w:rPr>
      </w:pPr>
    </w:p>
    <w:p w14:paraId="2ECED04E" w14:textId="5DF79429" w:rsidR="00E5766A" w:rsidRDefault="00000000">
      <w:pPr>
        <w:spacing w:line="480" w:lineRule="auto"/>
        <w:rPr>
          <w:rFonts w:hint="eastAsia"/>
        </w:rPr>
      </w:pPr>
      <w:r>
        <w:rPr>
          <w:rFonts w:ascii="Arial" w:hAnsi="Arial" w:cs="Arial"/>
          <w:color w:val="000000"/>
          <w:shd w:val="clear" w:color="auto" w:fill="FFFFFF"/>
        </w:rPr>
        <w:t>Reumann lays out various arguments that have been made for “I”, including Paul as a younger man, Paul’s life as a Christian, writing as Adam (or Eve), as Israel, as a general representative of humanity, or as a mixture of two or more of the above.</w:t>
      </w:r>
      <w:r>
        <w:rPr>
          <w:rStyle w:val="FootnoteAnchor"/>
          <w:rFonts w:ascii="Arial" w:hAnsi="Arial" w:cs="Arial"/>
          <w:color w:val="000000"/>
          <w:shd w:val="clear" w:color="auto" w:fill="FFFFFF"/>
        </w:rPr>
        <w:footnoteReference w:id="20"/>
      </w:r>
      <w:r>
        <w:rPr>
          <w:rFonts w:ascii="Arial" w:hAnsi="Arial" w:cs="Arial"/>
          <w:color w:val="000000"/>
          <w:shd w:val="clear" w:color="auto" w:fill="FFFFFF"/>
        </w:rPr>
        <w:t xml:space="preserve"> </w:t>
      </w:r>
      <w:r w:rsidR="007E7B58">
        <w:rPr>
          <w:rFonts w:ascii="Arial" w:hAnsi="Arial" w:cs="Arial"/>
          <w:color w:val="000000"/>
          <w:shd w:val="clear" w:color="auto" w:fill="FFFFFF"/>
        </w:rPr>
        <w:t xml:space="preserve">He </w:t>
      </w:r>
      <w:r>
        <w:rPr>
          <w:rFonts w:ascii="Arial" w:hAnsi="Arial" w:cs="Arial"/>
          <w:color w:val="000000"/>
          <w:shd w:val="clear" w:color="auto" w:fill="FFFFFF"/>
        </w:rPr>
        <w:t>is perhaps speaking partially from his experience, through the problems of living the life of a Pharisee. However</w:t>
      </w:r>
      <w:r w:rsidR="008E3945">
        <w:rPr>
          <w:rFonts w:ascii="Arial" w:hAnsi="Arial" w:cs="Arial"/>
          <w:color w:val="000000"/>
          <w:shd w:val="clear" w:color="auto" w:fill="FFFFFF"/>
        </w:rPr>
        <w:t>,</w:t>
      </w:r>
      <w:r>
        <w:rPr>
          <w:rFonts w:ascii="Arial" w:hAnsi="Arial" w:cs="Arial"/>
          <w:color w:val="000000"/>
          <w:shd w:val="clear" w:color="auto" w:fill="FFFFFF"/>
        </w:rPr>
        <w:t xml:space="preserve"> it is difficult to see it referring to Paul. As a younger Jewish man, indeed a Pharisee, his life would never have been apart from the law. Instead, some studies have turned to the idea that Adam and Eve in the Garden of Eden lie behind verses 7-13, and the reason for this will be explored later in the analysis.  </w:t>
      </w:r>
    </w:p>
    <w:p w14:paraId="4F1A14C8" w14:textId="77777777" w:rsidR="00E5766A" w:rsidRDefault="00E5766A">
      <w:pPr>
        <w:spacing w:line="480" w:lineRule="auto"/>
        <w:rPr>
          <w:rFonts w:ascii="Arial" w:hAnsi="Arial" w:cs="Arial"/>
          <w:color w:val="000000"/>
          <w:shd w:val="clear" w:color="auto" w:fill="FF8000"/>
        </w:rPr>
      </w:pPr>
    </w:p>
    <w:p w14:paraId="369C0B55" w14:textId="77777777" w:rsidR="00E5766A" w:rsidRDefault="00000000">
      <w:pPr>
        <w:spacing w:line="480" w:lineRule="auto"/>
        <w:rPr>
          <w:rFonts w:hint="eastAsia"/>
          <w:color w:val="000000"/>
        </w:rPr>
      </w:pPr>
      <w:r>
        <w:rPr>
          <w:rFonts w:ascii="Arial" w:hAnsi="Arial" w:cs="Arial"/>
          <w:color w:val="000000"/>
          <w:shd w:val="clear" w:color="auto" w:fill="FFFFFF"/>
        </w:rPr>
        <w:t>The second question that stands out in verse 7 is what is “the law”? It was an important issue as attitudes to the law could divide Jew and gentile Christians and it dominates the passage here, being mentioned six times within the seven verses. Again, Reumann lays out different options that can be debated – the Mosaic law, the Roman law, a more moral sense of law, or a general reference to scripture.</w:t>
      </w:r>
      <w:r>
        <w:rPr>
          <w:rStyle w:val="FootnoteAnchor"/>
          <w:rFonts w:ascii="Arial" w:hAnsi="Arial" w:cs="Arial"/>
          <w:color w:val="000000"/>
          <w:shd w:val="clear" w:color="auto" w:fill="FFFFFF"/>
        </w:rPr>
        <w:footnoteReference w:id="21"/>
      </w:r>
      <w:r>
        <w:rPr>
          <w:rFonts w:ascii="Arial" w:hAnsi="Arial" w:cs="Arial"/>
          <w:color w:val="000000"/>
          <w:shd w:val="clear" w:color="auto" w:fill="FFFFFF"/>
        </w:rPr>
        <w:t xml:space="preserve"> There is less debate on this, with general agreement that the law is related to the Mosaic law,</w:t>
      </w:r>
      <w:r>
        <w:rPr>
          <w:rStyle w:val="FootnoteAnchor"/>
          <w:rFonts w:ascii="Arial" w:hAnsi="Arial" w:cs="Arial"/>
          <w:color w:val="000000"/>
          <w:shd w:val="clear" w:color="auto" w:fill="FFFFFF"/>
        </w:rPr>
        <w:footnoteReference w:id="22"/>
      </w:r>
      <w:r>
        <w:rPr>
          <w:rFonts w:ascii="Arial" w:hAnsi="Arial" w:cs="Arial"/>
          <w:color w:val="000000"/>
          <w:shd w:val="clear" w:color="auto" w:fill="FFFFFF"/>
        </w:rPr>
        <w:t xml:space="preserve"> and even if not, the general term being used perhaps argues that the principle is the same, no matter if it is scriptural or Roman law. It does lead however to the further question of why only the law of covetousness is used.</w:t>
      </w:r>
    </w:p>
    <w:p w14:paraId="1B6B8B15" w14:textId="77777777" w:rsidR="00E5766A" w:rsidRDefault="00E5766A">
      <w:pPr>
        <w:spacing w:line="480" w:lineRule="auto"/>
        <w:rPr>
          <w:rFonts w:ascii="Arial" w:hAnsi="Arial" w:cs="Arial"/>
          <w:color w:val="000000"/>
        </w:rPr>
      </w:pPr>
    </w:p>
    <w:p w14:paraId="07C357E2" w14:textId="087F9818" w:rsidR="00E5766A" w:rsidRDefault="00000000">
      <w:pPr>
        <w:spacing w:line="480" w:lineRule="auto"/>
        <w:rPr>
          <w:rFonts w:ascii="Arial" w:hAnsi="Arial" w:cs="Arial"/>
          <w:color w:val="000000"/>
          <w:shd w:val="clear" w:color="auto" w:fill="FFFFFF"/>
        </w:rPr>
      </w:pPr>
      <w:r>
        <w:rPr>
          <w:rFonts w:ascii="Arial" w:hAnsi="Arial" w:cs="Arial"/>
          <w:color w:val="000000"/>
          <w:shd w:val="clear" w:color="auto" w:fill="FFFFFF"/>
        </w:rPr>
        <w:lastRenderedPageBreak/>
        <w:t>In some Jewish interpretations and traditions, covetousness is the sin that all others flowed from and in Maccabees it is used as an abbreviation of the ten commandments (4 Mac</w:t>
      </w:r>
      <w:r w:rsidR="001E35A3">
        <w:rPr>
          <w:rFonts w:ascii="Arial" w:hAnsi="Arial" w:cs="Arial"/>
          <w:color w:val="000000"/>
          <w:shd w:val="clear" w:color="auto" w:fill="FFFFFF"/>
        </w:rPr>
        <w:t>.</w:t>
      </w:r>
      <w:r>
        <w:rPr>
          <w:rFonts w:ascii="Arial" w:hAnsi="Arial" w:cs="Arial"/>
          <w:color w:val="000000"/>
          <w:shd w:val="clear" w:color="auto" w:fill="FFFFFF"/>
        </w:rPr>
        <w:t xml:space="preserve"> 2:6). Ziesler argues that it is the best example of a law that commands but is unable to produce change</w:t>
      </w:r>
      <w:r w:rsidR="008E3945">
        <w:rPr>
          <w:rFonts w:ascii="Arial" w:hAnsi="Arial" w:cs="Arial"/>
          <w:color w:val="000000"/>
          <w:shd w:val="clear" w:color="auto" w:fill="FFFFFF"/>
        </w:rPr>
        <w:t>. U</w:t>
      </w:r>
      <w:r>
        <w:rPr>
          <w:rFonts w:ascii="Arial" w:hAnsi="Arial" w:cs="Arial"/>
          <w:color w:val="000000"/>
          <w:shd w:val="clear" w:color="auto" w:fill="FFFFFF"/>
        </w:rPr>
        <w:t>nlike murder or stealing</w:t>
      </w:r>
      <w:r w:rsidR="008E3945">
        <w:rPr>
          <w:rFonts w:ascii="Arial" w:hAnsi="Arial" w:cs="Arial"/>
          <w:color w:val="000000"/>
          <w:shd w:val="clear" w:color="auto" w:fill="FFFFFF"/>
        </w:rPr>
        <w:t xml:space="preserve">, </w:t>
      </w:r>
      <w:r>
        <w:rPr>
          <w:rFonts w:ascii="Arial" w:hAnsi="Arial" w:cs="Arial"/>
          <w:color w:val="000000"/>
          <w:shd w:val="clear" w:color="auto" w:fill="FFFFFF"/>
        </w:rPr>
        <w:t xml:space="preserve">it is a law that deals with behaviours that are </w:t>
      </w:r>
      <w:r w:rsidR="008E3945">
        <w:rPr>
          <w:rFonts w:ascii="Arial" w:hAnsi="Arial" w:cs="Arial"/>
          <w:color w:val="000000"/>
          <w:shd w:val="clear" w:color="auto" w:fill="FFFFFF"/>
        </w:rPr>
        <w:t xml:space="preserve">often </w:t>
      </w:r>
      <w:r>
        <w:rPr>
          <w:rFonts w:ascii="Arial" w:hAnsi="Arial" w:cs="Arial"/>
          <w:color w:val="000000"/>
          <w:shd w:val="clear" w:color="auto" w:fill="FFFFFF"/>
        </w:rPr>
        <w:t>accepted in our society, such as the desire to get on or to improve our position.</w:t>
      </w:r>
      <w:r>
        <w:rPr>
          <w:rStyle w:val="FootnoteAnchor"/>
          <w:rFonts w:ascii="Arial" w:hAnsi="Arial" w:cs="Arial"/>
          <w:color w:val="000000"/>
          <w:shd w:val="clear" w:color="auto" w:fill="FFFFFF"/>
        </w:rPr>
        <w:footnoteReference w:id="23"/>
      </w:r>
      <w:r>
        <w:rPr>
          <w:rFonts w:ascii="Arial" w:hAnsi="Arial" w:cs="Arial"/>
          <w:color w:val="000000"/>
          <w:shd w:val="clear" w:color="auto" w:fill="FFFFFF"/>
        </w:rPr>
        <w:t xml:space="preserve"> The same was true in the competitive environment of the Greco-Roman world where coveting superiority over others was normal, and therefore unacknowledged as sin.</w:t>
      </w:r>
      <w:r w:rsidR="00CC5F22">
        <w:rPr>
          <w:rStyle w:val="FootnoteReference"/>
          <w:rFonts w:ascii="Arial" w:hAnsi="Arial" w:cs="Arial"/>
          <w:color w:val="000000"/>
          <w:shd w:val="clear" w:color="auto" w:fill="FFFFFF"/>
        </w:rPr>
        <w:footnoteReference w:id="24"/>
      </w:r>
      <w:r>
        <w:rPr>
          <w:rFonts w:ascii="Arial" w:hAnsi="Arial" w:cs="Arial"/>
          <w:color w:val="000000"/>
          <w:shd w:val="clear" w:color="auto" w:fill="FFFFFF"/>
        </w:rPr>
        <w:t xml:space="preserve"> In addition, it is also a commandment that is more about attitude than action, and therefore is one that the law can turn from attitude into an actual act of wrongdoing. It’s not about one kind of desire or lust, it can be seen that in </w:t>
      </w:r>
      <w:r>
        <w:rPr>
          <w:rFonts w:ascii="Arial" w:hAnsi="Arial" w:cs="Arial"/>
          <w:b/>
          <w:bCs/>
          <w:color w:val="000000"/>
          <w:shd w:val="clear" w:color="auto" w:fill="FFFFFF"/>
        </w:rPr>
        <w:t>verse 8</w:t>
      </w:r>
      <w:r>
        <w:rPr>
          <w:rFonts w:ascii="Arial" w:hAnsi="Arial" w:cs="Arial"/>
          <w:color w:val="000000"/>
          <w:shd w:val="clear" w:color="auto" w:fill="FFFFFF"/>
        </w:rPr>
        <w:t xml:space="preserve"> it covers “all kinds of covetousness”. The example of covetousness also is perhaps the first of the reasons why this passage can be related to the garden of Eden, as both contain a desire for the forbidden. In Jewish tradition the command to not covet is connected to not eating from the tree of knowledge, although whether Jewish readers would easily have been able to make this connection is debatable. Jewett argues that an interpretation of Genesis where Adam and Eve lived without the commandment before eating the fruit</w:t>
      </w:r>
      <w:r w:rsidR="007E7B58">
        <w:rPr>
          <w:rFonts w:ascii="Arial" w:hAnsi="Arial" w:cs="Arial"/>
          <w:color w:val="000000"/>
          <w:shd w:val="clear" w:color="auto" w:fill="FFFFFF"/>
        </w:rPr>
        <w:t xml:space="preserve"> is one </w:t>
      </w:r>
      <w:r w:rsidR="007E7B58">
        <w:rPr>
          <w:rFonts w:ascii="Arial" w:hAnsi="Arial" w:cs="Arial"/>
          <w:color w:val="000000"/>
          <w:shd w:val="clear" w:color="auto" w:fill="FFFFFF"/>
        </w:rPr>
        <w:t>no ancient Jewish reader would make</w:t>
      </w:r>
      <w:r>
        <w:rPr>
          <w:rFonts w:ascii="Arial" w:hAnsi="Arial" w:cs="Arial"/>
          <w:color w:val="000000"/>
          <w:shd w:val="clear" w:color="auto" w:fill="FFFFFF"/>
        </w:rPr>
        <w:t>.</w:t>
      </w:r>
      <w:r w:rsidR="00CC5F22">
        <w:rPr>
          <w:rStyle w:val="FootnoteReference"/>
          <w:rFonts w:ascii="Arial" w:hAnsi="Arial" w:cs="Arial"/>
          <w:color w:val="000000"/>
          <w:shd w:val="clear" w:color="auto" w:fill="FFFFFF"/>
        </w:rPr>
        <w:footnoteReference w:id="25"/>
      </w:r>
      <w:r w:rsidR="00CC5F22">
        <w:rPr>
          <w:rFonts w:ascii="Arial" w:hAnsi="Arial" w:cs="Arial"/>
          <w:color w:val="000000"/>
          <w:shd w:val="clear" w:color="auto" w:fill="FFFFFF"/>
        </w:rPr>
        <w:t xml:space="preserve"> </w:t>
      </w:r>
      <w:r>
        <w:rPr>
          <w:rFonts w:ascii="Arial" w:hAnsi="Arial" w:cs="Arial"/>
          <w:color w:val="000000"/>
          <w:shd w:val="clear" w:color="auto" w:fill="FFFFFF"/>
        </w:rPr>
        <w:t xml:space="preserve"> Sin also takes on a lot of personification in this passage that can be compared to the serpent in the garden of Eden. It </w:t>
      </w:r>
      <w:r w:rsidR="008E3945">
        <w:rPr>
          <w:rFonts w:ascii="Arial" w:hAnsi="Arial" w:cs="Arial"/>
          <w:color w:val="000000"/>
          <w:shd w:val="clear" w:color="auto" w:fill="FFFFFF"/>
        </w:rPr>
        <w:t>‘</w:t>
      </w:r>
      <w:r>
        <w:rPr>
          <w:rFonts w:ascii="Arial" w:hAnsi="Arial" w:cs="Arial"/>
          <w:color w:val="000000"/>
          <w:shd w:val="clear" w:color="auto" w:fill="FFFFFF"/>
        </w:rPr>
        <w:t>takes opportunity</w:t>
      </w:r>
      <w:r w:rsidR="008E3945">
        <w:rPr>
          <w:rFonts w:ascii="Arial" w:hAnsi="Arial" w:cs="Arial"/>
          <w:color w:val="000000"/>
          <w:shd w:val="clear" w:color="auto" w:fill="FFFFFF"/>
        </w:rPr>
        <w:t>’</w:t>
      </w:r>
      <w:r>
        <w:rPr>
          <w:rFonts w:ascii="Arial" w:hAnsi="Arial" w:cs="Arial"/>
          <w:color w:val="000000"/>
          <w:shd w:val="clear" w:color="auto" w:fill="FFFFFF"/>
        </w:rPr>
        <w:t xml:space="preserve"> (v8), </w:t>
      </w:r>
      <w:r w:rsidR="008E3945">
        <w:rPr>
          <w:rFonts w:ascii="Arial" w:hAnsi="Arial" w:cs="Arial"/>
          <w:color w:val="000000"/>
          <w:shd w:val="clear" w:color="auto" w:fill="FFFFFF"/>
        </w:rPr>
        <w:t>‘</w:t>
      </w:r>
      <w:r>
        <w:rPr>
          <w:rFonts w:ascii="Arial" w:hAnsi="Arial" w:cs="Arial"/>
          <w:color w:val="000000"/>
          <w:shd w:val="clear" w:color="auto" w:fill="FFFFFF"/>
        </w:rPr>
        <w:t>revives from slumber</w:t>
      </w:r>
      <w:r w:rsidR="008E3945">
        <w:rPr>
          <w:rFonts w:ascii="Arial" w:hAnsi="Arial" w:cs="Arial"/>
          <w:color w:val="000000"/>
          <w:shd w:val="clear" w:color="auto" w:fill="FFFFFF"/>
        </w:rPr>
        <w:t>’</w:t>
      </w:r>
      <w:r>
        <w:rPr>
          <w:rFonts w:ascii="Arial" w:hAnsi="Arial" w:cs="Arial"/>
          <w:color w:val="000000"/>
          <w:shd w:val="clear" w:color="auto" w:fill="FFFFFF"/>
        </w:rPr>
        <w:t xml:space="preserve"> (v9) and </w:t>
      </w:r>
      <w:r w:rsidR="008E3945">
        <w:rPr>
          <w:rFonts w:ascii="Arial" w:hAnsi="Arial" w:cs="Arial"/>
          <w:color w:val="000000"/>
          <w:shd w:val="clear" w:color="auto" w:fill="FFFFFF"/>
        </w:rPr>
        <w:t>‘</w:t>
      </w:r>
      <w:r>
        <w:rPr>
          <w:rFonts w:ascii="Arial" w:hAnsi="Arial" w:cs="Arial"/>
          <w:color w:val="000000"/>
          <w:shd w:val="clear" w:color="auto" w:fill="FFFFFF"/>
        </w:rPr>
        <w:t>deceives</w:t>
      </w:r>
      <w:r w:rsidR="008E3945">
        <w:rPr>
          <w:rFonts w:ascii="Arial" w:hAnsi="Arial" w:cs="Arial"/>
          <w:color w:val="000000"/>
          <w:shd w:val="clear" w:color="auto" w:fill="FFFFFF"/>
        </w:rPr>
        <w:t>’</w:t>
      </w:r>
      <w:r>
        <w:rPr>
          <w:rFonts w:ascii="Arial" w:hAnsi="Arial" w:cs="Arial"/>
          <w:color w:val="000000"/>
          <w:shd w:val="clear" w:color="auto" w:fill="FFFFFF"/>
        </w:rPr>
        <w:t xml:space="preserve"> (v11).</w:t>
      </w:r>
      <w:r>
        <w:rPr>
          <w:rStyle w:val="FootnoteAnchor"/>
          <w:rFonts w:ascii="Arial" w:hAnsi="Arial" w:cs="Arial"/>
          <w:color w:val="000000"/>
          <w:shd w:val="clear" w:color="auto" w:fill="FFFFFF"/>
        </w:rPr>
        <w:footnoteReference w:id="26"/>
      </w:r>
      <w:r>
        <w:rPr>
          <w:rFonts w:ascii="Arial" w:hAnsi="Arial" w:cs="Arial"/>
          <w:color w:val="000000"/>
          <w:shd w:val="clear" w:color="auto" w:fill="FFFFFF"/>
        </w:rPr>
        <w:t xml:space="preserve"> It can also be added that to </w:t>
      </w:r>
      <w:r w:rsidR="008E3945">
        <w:rPr>
          <w:rFonts w:ascii="Arial" w:hAnsi="Arial" w:cs="Arial"/>
          <w:color w:val="000000"/>
          <w:shd w:val="clear" w:color="auto" w:fill="FFFFFF"/>
        </w:rPr>
        <w:t>‘</w:t>
      </w:r>
      <w:r>
        <w:rPr>
          <w:rFonts w:ascii="Arial" w:hAnsi="Arial" w:cs="Arial"/>
          <w:color w:val="000000"/>
          <w:shd w:val="clear" w:color="auto" w:fill="FFFFFF"/>
        </w:rPr>
        <w:t>take opportunity</w:t>
      </w:r>
      <w:r w:rsidR="008E3945">
        <w:rPr>
          <w:rFonts w:ascii="Arial" w:hAnsi="Arial" w:cs="Arial"/>
          <w:color w:val="000000"/>
          <w:shd w:val="clear" w:color="auto" w:fill="FFFFFF"/>
        </w:rPr>
        <w:t>’</w:t>
      </w:r>
      <w:r>
        <w:rPr>
          <w:rFonts w:ascii="Arial" w:hAnsi="Arial" w:cs="Arial"/>
          <w:color w:val="000000"/>
          <w:shd w:val="clear" w:color="auto" w:fill="FFFFFF"/>
        </w:rPr>
        <w:t xml:space="preserve"> was often used in the context of war. </w:t>
      </w:r>
    </w:p>
    <w:p w14:paraId="6C0F35DE" w14:textId="77777777" w:rsidR="00E5766A" w:rsidRDefault="00E5766A">
      <w:pPr>
        <w:spacing w:line="480" w:lineRule="auto"/>
        <w:rPr>
          <w:rFonts w:ascii="Arial" w:hAnsi="Arial" w:cs="Arial"/>
          <w:color w:val="000000"/>
          <w:shd w:val="clear" w:color="auto" w:fill="7B3D00"/>
        </w:rPr>
      </w:pPr>
    </w:p>
    <w:p w14:paraId="1E926B67" w14:textId="77777777" w:rsidR="00E5766A" w:rsidRDefault="00000000">
      <w:pPr>
        <w:spacing w:line="480" w:lineRule="auto"/>
        <w:rPr>
          <w:rFonts w:hint="eastAsia"/>
          <w:color w:val="000000"/>
        </w:rPr>
      </w:pPr>
      <w:r>
        <w:rPr>
          <w:rFonts w:ascii="Arial" w:hAnsi="Arial" w:cs="Arial"/>
          <w:color w:val="000000"/>
          <w:shd w:val="clear" w:color="auto" w:fill="FFFFFF"/>
        </w:rPr>
        <w:t xml:space="preserve">Paul drives home his point about how desperate a position sin leaves us in in </w:t>
      </w:r>
      <w:r>
        <w:rPr>
          <w:rFonts w:ascii="Arial" w:hAnsi="Arial" w:cs="Arial"/>
          <w:b/>
          <w:bCs/>
          <w:color w:val="000000"/>
          <w:shd w:val="clear" w:color="auto" w:fill="FFFFFF"/>
        </w:rPr>
        <w:t>verse 9</w:t>
      </w:r>
      <w:r>
        <w:rPr>
          <w:rFonts w:ascii="Arial" w:hAnsi="Arial" w:cs="Arial"/>
          <w:color w:val="000000"/>
          <w:shd w:val="clear" w:color="auto" w:fill="FFFFFF"/>
        </w:rPr>
        <w:t xml:space="preserve">. If this passage is considered as at least partially autobiographical, then Paul was right to </w:t>
      </w:r>
      <w:r>
        <w:rPr>
          <w:rFonts w:ascii="Arial" w:hAnsi="Arial" w:cs="Arial"/>
          <w:color w:val="000000"/>
          <w:shd w:val="clear" w:color="auto" w:fill="FFFFFF"/>
        </w:rPr>
        <w:lastRenderedPageBreak/>
        <w:t>have a good opinion of his condition in regard to the law. Henry argues that he had “the letter of the law, but had not the spiritual meaning of it, the shell but not the kernel.”</w:t>
      </w:r>
      <w:r>
        <w:rPr>
          <w:rStyle w:val="FootnoteAnchor"/>
          <w:rFonts w:ascii="Arial" w:hAnsi="Arial" w:cs="Arial"/>
          <w:color w:val="000000"/>
          <w:shd w:val="clear" w:color="auto" w:fill="FFFFFF"/>
        </w:rPr>
        <w:footnoteReference w:id="27"/>
      </w:r>
      <w:r>
        <w:rPr>
          <w:rFonts w:ascii="Arial" w:hAnsi="Arial" w:cs="Arial"/>
          <w:color w:val="000000"/>
          <w:shd w:val="clear" w:color="auto" w:fill="FFFFFF"/>
        </w:rPr>
        <w:t xml:space="preserve"> This is the humbling part of the message that Paul wants to get across. Nickle proposes substituting the word “religion” for “law” to help show the problem more clearly, that when we divert our allegiance to religion instead of God, we are sinning.</w:t>
      </w:r>
      <w:r>
        <w:rPr>
          <w:rStyle w:val="FootnoteAnchor"/>
          <w:rFonts w:ascii="Arial" w:hAnsi="Arial" w:cs="Arial"/>
          <w:color w:val="000000"/>
          <w:shd w:val="clear" w:color="auto" w:fill="FFFFFF"/>
        </w:rPr>
        <w:footnoteReference w:id="28"/>
      </w:r>
    </w:p>
    <w:p w14:paraId="722F1BAB" w14:textId="77777777" w:rsidR="00E5766A" w:rsidRDefault="00E5766A">
      <w:pPr>
        <w:spacing w:line="480" w:lineRule="auto"/>
        <w:rPr>
          <w:rFonts w:ascii="Arial" w:hAnsi="Arial" w:cs="Arial"/>
          <w:color w:val="000000"/>
          <w:shd w:val="clear" w:color="auto" w:fill="FFFFFF"/>
        </w:rPr>
      </w:pPr>
    </w:p>
    <w:p w14:paraId="14455361" w14:textId="77777777" w:rsidR="00E5766A" w:rsidRDefault="00000000">
      <w:pPr>
        <w:spacing w:line="480" w:lineRule="auto"/>
        <w:rPr>
          <w:rFonts w:hint="eastAsia"/>
          <w:color w:val="000000"/>
        </w:rPr>
      </w:pPr>
      <w:r>
        <w:rPr>
          <w:rFonts w:ascii="Arial" w:hAnsi="Arial" w:cs="Arial"/>
          <w:color w:val="000000"/>
          <w:shd w:val="clear" w:color="auto" w:fill="FFFFFF"/>
        </w:rPr>
        <w:t>One of the difficulties in the passage, is how someone is dead while still alive. Wassermann propounds that the death referred to here is not a physical death and is related instead to a death of the soul. Before we know the law, we are not put to death through sin, but the law leaves us all dead in sin. She suggests that while Paul’s writing is mostly informed by the Hebrew bible, he is influenced by Greek philosophy too. Particularly influential was Plato who stated that the death of the soul occurred when a mind was so killed by passions that it did what it did not want to do. Greek writers would describe this as enslaving, conquering, imprisoning and killing of the soul.</w:t>
      </w:r>
      <w:r>
        <w:rPr>
          <w:rStyle w:val="FootnoteAnchor"/>
          <w:rFonts w:ascii="Arial" w:hAnsi="Arial" w:cs="Arial"/>
          <w:color w:val="000000"/>
          <w:shd w:val="clear" w:color="auto" w:fill="FFFFFF"/>
        </w:rPr>
        <w:footnoteReference w:id="29"/>
      </w:r>
      <w:r>
        <w:rPr>
          <w:rFonts w:ascii="Arial" w:hAnsi="Arial" w:cs="Arial"/>
          <w:color w:val="000000"/>
          <w:shd w:val="clear" w:color="auto" w:fill="FFFFFF"/>
        </w:rPr>
        <w:t xml:space="preserve"> In this context, “Once I was alive…” (v9) could mean a time when the mind was ignorant about its condition, before the law brought understanding that it is truly dead.</w:t>
      </w:r>
      <w:r>
        <w:rPr>
          <w:rStyle w:val="FootnoteAnchor"/>
          <w:rFonts w:ascii="Arial" w:hAnsi="Arial" w:cs="Arial"/>
          <w:color w:val="000000"/>
          <w:shd w:val="clear" w:color="auto" w:fill="FFFFFF"/>
        </w:rPr>
        <w:footnoteReference w:id="30"/>
      </w:r>
    </w:p>
    <w:p w14:paraId="429C6536" w14:textId="77777777" w:rsidR="00E5766A" w:rsidRDefault="00E5766A">
      <w:pPr>
        <w:spacing w:line="480" w:lineRule="auto"/>
        <w:rPr>
          <w:rFonts w:ascii="Arial" w:hAnsi="Arial" w:cs="Arial"/>
          <w:color w:val="000000"/>
          <w:shd w:val="clear" w:color="auto" w:fill="FFFFFF"/>
        </w:rPr>
      </w:pPr>
    </w:p>
    <w:p w14:paraId="56ED6A3B" w14:textId="01A8860B" w:rsidR="00E5766A" w:rsidRDefault="00000000" w:rsidP="007E7B58">
      <w:pPr>
        <w:spacing w:line="480" w:lineRule="auto"/>
        <w:rPr>
          <w:rFonts w:hint="eastAsia"/>
          <w:color w:val="000000"/>
        </w:rPr>
      </w:pPr>
      <w:r>
        <w:rPr>
          <w:rFonts w:ascii="Arial" w:hAnsi="Arial" w:cs="Arial"/>
          <w:color w:val="000000"/>
          <w:shd w:val="clear" w:color="auto" w:fill="FFFFFF"/>
        </w:rPr>
        <w:t>As previously stated, this passage is often related to the Garden of Eden, contending that Adam is the “I”.</w:t>
      </w:r>
      <w:r>
        <w:rPr>
          <w:rStyle w:val="FootnoteAnchor"/>
          <w:rFonts w:ascii="Arial" w:hAnsi="Arial" w:cs="Arial"/>
          <w:color w:val="000000"/>
          <w:shd w:val="clear" w:color="auto" w:fill="FFFFFF"/>
        </w:rPr>
        <w:footnoteReference w:id="31"/>
      </w:r>
      <w:r>
        <w:rPr>
          <w:rFonts w:ascii="Arial" w:hAnsi="Arial" w:cs="Arial"/>
          <w:color w:val="000000"/>
          <w:shd w:val="clear" w:color="auto" w:fill="FFFFFF"/>
        </w:rPr>
        <w:t xml:space="preserve"> More recent work though gives evidence to the “I” being Eve. The passage wrestles with the paradox of recognising God’s law and in this recognition, sin being brought alive. Busch puts forward that this complex relationship between law, knowledge and sin first comes to light in Eve.</w:t>
      </w:r>
      <w:r>
        <w:rPr>
          <w:rStyle w:val="FootnoteAnchor"/>
          <w:rFonts w:ascii="Arial" w:hAnsi="Arial" w:cs="Arial"/>
          <w:color w:val="000000"/>
          <w:shd w:val="clear" w:color="auto" w:fill="FFFFFF"/>
        </w:rPr>
        <w:footnoteReference w:id="32"/>
      </w:r>
      <w:r>
        <w:rPr>
          <w:rFonts w:ascii="Arial" w:hAnsi="Arial" w:cs="Arial"/>
          <w:color w:val="000000"/>
          <w:shd w:val="clear" w:color="auto" w:fill="FFFFFF"/>
        </w:rPr>
        <w:t xml:space="preserve"> “The very commandment that was </w:t>
      </w:r>
      <w:r>
        <w:rPr>
          <w:rFonts w:ascii="Arial" w:hAnsi="Arial" w:cs="Arial"/>
          <w:color w:val="000000"/>
          <w:shd w:val="clear" w:color="auto" w:fill="FFFFFF"/>
        </w:rPr>
        <w:lastRenderedPageBreak/>
        <w:t>intended to bring life actually brought death” echoes the scene of Adam and Eve tasting the fruit of knowledge. Elder points to how quotes from ‘the Life of Adam and Eve’ imply sin and death are through Eve in a similar manner to verses 9-11 here. Adding that Greek laments were characteristically female speeches, with a tragic character being used to provoke pity.</w:t>
      </w:r>
      <w:r>
        <w:rPr>
          <w:rStyle w:val="FootnoteAnchor"/>
          <w:rFonts w:ascii="Arial" w:hAnsi="Arial" w:cs="Arial"/>
          <w:color w:val="000000"/>
          <w:shd w:val="clear" w:color="auto" w:fill="FFFFFF"/>
        </w:rPr>
        <w:footnoteReference w:id="33"/>
      </w:r>
      <w:r w:rsidR="007E7B58">
        <w:rPr>
          <w:rFonts w:ascii="Arial" w:hAnsi="Arial" w:cs="Arial"/>
          <w:color w:val="000000"/>
          <w:shd w:val="clear" w:color="auto" w:fill="FFFFFF"/>
        </w:rPr>
        <w:t xml:space="preserve"> </w:t>
      </w:r>
      <w:r>
        <w:rPr>
          <w:rFonts w:ascii="Arial" w:hAnsi="Arial" w:cs="Arial"/>
          <w:color w:val="000000"/>
          <w:shd w:val="clear" w:color="auto" w:fill="FFFFFF"/>
        </w:rPr>
        <w:t xml:space="preserve">Passing over verse 10 for the moment, in </w:t>
      </w:r>
      <w:r>
        <w:rPr>
          <w:rFonts w:ascii="Arial" w:hAnsi="Arial" w:cs="Arial"/>
          <w:b/>
          <w:bCs/>
          <w:color w:val="000000"/>
          <w:shd w:val="clear" w:color="auto" w:fill="FFFFFF"/>
        </w:rPr>
        <w:t>verse 11</w:t>
      </w:r>
      <w:r>
        <w:rPr>
          <w:rFonts w:ascii="Arial" w:hAnsi="Arial" w:cs="Arial"/>
          <w:color w:val="000000"/>
          <w:shd w:val="clear" w:color="auto" w:fill="FFFFFF"/>
        </w:rPr>
        <w:t xml:space="preserve"> </w:t>
      </w:r>
      <w:r w:rsidR="008E3945">
        <w:rPr>
          <w:rFonts w:ascii="Arial" w:hAnsi="Arial" w:cs="Arial"/>
          <w:color w:val="000000"/>
          <w:shd w:val="clear" w:color="auto" w:fill="FFFFFF"/>
        </w:rPr>
        <w:t>the</w:t>
      </w:r>
      <w:r>
        <w:rPr>
          <w:rFonts w:ascii="Arial" w:hAnsi="Arial" w:cs="Arial"/>
          <w:color w:val="000000"/>
          <w:shd w:val="clear" w:color="auto" w:fill="FFFFFF"/>
        </w:rPr>
        <w:t xml:space="preserve"> biggest clue that this passage relates to Eve is found in the parallel between “for sin deceived me and I died” (v11) and “the serpent deceived me, and I ate” (Gen. 3:13). Elder suggesting therefore that Paul is presenting Adam and Eve jointly responsible for sin entering the world – Adam in Romans 5 and Eve in Romans 7.</w:t>
      </w:r>
      <w:r>
        <w:rPr>
          <w:rStyle w:val="FootnoteAnchor"/>
          <w:rFonts w:ascii="Arial" w:hAnsi="Arial" w:cs="Arial"/>
          <w:color w:val="000000"/>
          <w:shd w:val="clear" w:color="auto" w:fill="FFFFFF"/>
        </w:rPr>
        <w:footnoteReference w:id="34"/>
      </w:r>
    </w:p>
    <w:p w14:paraId="6D112B7A" w14:textId="77777777" w:rsidR="00E5766A" w:rsidRDefault="00E5766A">
      <w:pPr>
        <w:spacing w:line="480" w:lineRule="auto"/>
        <w:rPr>
          <w:rFonts w:ascii="Arial" w:hAnsi="Arial" w:cs="Arial"/>
          <w:color w:val="000000"/>
          <w:shd w:val="clear" w:color="auto" w:fill="FFFFFF"/>
        </w:rPr>
      </w:pPr>
    </w:p>
    <w:p w14:paraId="46BDE38D" w14:textId="77777777" w:rsidR="00E5766A" w:rsidRDefault="00000000">
      <w:pPr>
        <w:pStyle w:val="BodyText"/>
        <w:spacing w:line="480" w:lineRule="auto"/>
        <w:rPr>
          <w:rFonts w:hint="eastAsia"/>
          <w:color w:val="000000"/>
        </w:rPr>
      </w:pPr>
      <w:r>
        <w:rPr>
          <w:rFonts w:ascii="Arial" w:hAnsi="Arial" w:cs="Arial"/>
          <w:color w:val="000000"/>
          <w:shd w:val="clear" w:color="auto" w:fill="FFFFFF"/>
        </w:rPr>
        <w:t xml:space="preserve">Returning to </w:t>
      </w:r>
      <w:r>
        <w:rPr>
          <w:rFonts w:ascii="Arial" w:hAnsi="Arial" w:cs="Arial"/>
          <w:b/>
          <w:bCs/>
          <w:color w:val="000000"/>
          <w:shd w:val="clear" w:color="auto" w:fill="FFFFFF"/>
        </w:rPr>
        <w:t>verse 10</w:t>
      </w:r>
      <w:r>
        <w:rPr>
          <w:rFonts w:ascii="Arial" w:hAnsi="Arial" w:cs="Arial"/>
          <w:color w:val="000000"/>
          <w:shd w:val="clear" w:color="auto" w:fill="FFFFFF"/>
        </w:rPr>
        <w:t xml:space="preserve">, Paul recognises that it is the law that puts people to death, but makes it clear that it is sin that causes it, concluding therefore that the law is good. While there is a paradox in something good bringing death, it is sin that is the culprit, not the law. The law in itself should bring a relationship with God, if it were not for the corrupting influence of sin. The law is far from unique in being something good that instead enables evil. For example, Nobel and his invention of dynamite was designed to make mining safer, yet caused advancement in arms. Paul takes the holiness of the law for granted, while highlighting the evilness of sin. Because sin has corrupted the law, our only chance of life is to die to both. The law therefore has both the negative of leading to death, but also the positive of showing the need for Christ.  </w:t>
      </w:r>
    </w:p>
    <w:p w14:paraId="7DCF785A" w14:textId="77777777" w:rsidR="00E5766A" w:rsidRDefault="00E5766A">
      <w:pPr>
        <w:pStyle w:val="BodyText"/>
        <w:spacing w:line="480" w:lineRule="auto"/>
        <w:rPr>
          <w:rFonts w:ascii="Arial" w:hAnsi="Arial" w:cs="Arial"/>
          <w:color w:val="000000"/>
        </w:rPr>
      </w:pPr>
    </w:p>
    <w:p w14:paraId="5DF5AA66" w14:textId="1FDDB5E4" w:rsidR="00E5766A" w:rsidRDefault="00000000">
      <w:pPr>
        <w:pStyle w:val="BodyText"/>
        <w:spacing w:line="480" w:lineRule="auto"/>
        <w:rPr>
          <w:rFonts w:ascii="Arial" w:hAnsi="Arial" w:cs="Arial"/>
          <w:color w:val="000000"/>
          <w:shd w:val="clear" w:color="auto" w:fill="FFFFFF"/>
        </w:rPr>
      </w:pPr>
      <w:r>
        <w:rPr>
          <w:rFonts w:ascii="Arial" w:hAnsi="Arial" w:cs="Arial"/>
          <w:color w:val="000000"/>
          <w:shd w:val="clear" w:color="auto" w:fill="FFFFFF"/>
        </w:rPr>
        <w:t xml:space="preserve">The positive of the law showing what sin is, is accented in </w:t>
      </w:r>
      <w:r>
        <w:rPr>
          <w:rFonts w:ascii="Arial" w:hAnsi="Arial" w:cs="Arial"/>
          <w:b/>
          <w:bCs/>
          <w:color w:val="000000"/>
          <w:shd w:val="clear" w:color="auto" w:fill="FFFFFF"/>
        </w:rPr>
        <w:t xml:space="preserve">verse 12. </w:t>
      </w:r>
      <w:r>
        <w:rPr>
          <w:rFonts w:ascii="Arial" w:hAnsi="Arial" w:cs="Arial"/>
          <w:color w:val="000000"/>
          <w:shd w:val="clear" w:color="auto" w:fill="FFFFFF"/>
        </w:rPr>
        <w:t>Henry suggests that the laws are as the lawmakers are, so just as God is holy, just and good, so his laws must be.</w:t>
      </w:r>
      <w:r>
        <w:rPr>
          <w:rStyle w:val="FootnoteAnchor"/>
          <w:rFonts w:ascii="Arial" w:hAnsi="Arial" w:cs="Arial"/>
          <w:color w:val="000000"/>
          <w:shd w:val="clear" w:color="auto" w:fill="FFFFFF"/>
        </w:rPr>
        <w:footnoteReference w:id="35"/>
      </w:r>
      <w:r>
        <w:rPr>
          <w:rFonts w:ascii="Arial" w:hAnsi="Arial" w:cs="Arial"/>
          <w:color w:val="000000"/>
          <w:shd w:val="clear" w:color="auto" w:fill="FFFFFF"/>
        </w:rPr>
        <w:t xml:space="preserve"> The law has been manipulated by sin, but not from the power, or indeed the purpose </w:t>
      </w:r>
      <w:r>
        <w:rPr>
          <w:rFonts w:ascii="Arial" w:hAnsi="Arial" w:cs="Arial"/>
          <w:color w:val="000000"/>
          <w:shd w:val="clear" w:color="auto" w:fill="FFFFFF"/>
        </w:rPr>
        <w:lastRenderedPageBreak/>
        <w:t xml:space="preserve">of God. The law therefore cannot be evil, as sin is evil, and instead remains good. It remains useful too, if not as a covenant, then at least as a guide. Paul therefore rejects the idea that law is equal to sin. </w:t>
      </w:r>
    </w:p>
    <w:p w14:paraId="449F098D" w14:textId="77777777" w:rsidR="007E7B58" w:rsidRDefault="007E7B58">
      <w:pPr>
        <w:pStyle w:val="BodyText"/>
        <w:spacing w:line="480" w:lineRule="auto"/>
        <w:rPr>
          <w:rFonts w:hint="eastAsia"/>
          <w:color w:val="000000"/>
        </w:rPr>
      </w:pPr>
    </w:p>
    <w:p w14:paraId="20E85C8A" w14:textId="7EA54372" w:rsidR="00E5766A" w:rsidRDefault="00000000" w:rsidP="00CC5F22">
      <w:pPr>
        <w:pStyle w:val="BodyText"/>
        <w:spacing w:line="480" w:lineRule="auto"/>
        <w:rPr>
          <w:rFonts w:ascii="Arial" w:hAnsi="Arial" w:cs="Arial"/>
          <w:color w:val="000000"/>
          <w:shd w:val="clear" w:color="auto" w:fill="FFFFFF"/>
        </w:rPr>
      </w:pPr>
      <w:r>
        <w:rPr>
          <w:rFonts w:ascii="Arial" w:hAnsi="Arial" w:cs="Arial"/>
          <w:color w:val="000000"/>
          <w:shd w:val="clear" w:color="auto" w:fill="FFFFFF"/>
        </w:rPr>
        <w:t xml:space="preserve">The final verse </w:t>
      </w:r>
      <w:r>
        <w:rPr>
          <w:rFonts w:ascii="Arial" w:hAnsi="Arial" w:cs="Arial"/>
          <w:b/>
          <w:bCs/>
          <w:color w:val="000000"/>
          <w:shd w:val="clear" w:color="auto" w:fill="FFFFFF"/>
        </w:rPr>
        <w:t>(v13)</w:t>
      </w:r>
      <w:r>
        <w:rPr>
          <w:rFonts w:ascii="Arial" w:hAnsi="Arial" w:cs="Arial"/>
          <w:color w:val="000000"/>
          <w:shd w:val="clear" w:color="auto" w:fill="FFFFFF"/>
        </w:rPr>
        <w:t xml:space="preserve"> follows the same style as the first verse, with short questions and answers.  It shows that sin hides in us, and as Spurgeon, quoted in </w:t>
      </w:r>
      <w:r w:rsidR="008E3945">
        <w:rPr>
          <w:rFonts w:ascii="Arial" w:hAnsi="Arial" w:cs="Arial"/>
          <w:color w:val="000000"/>
          <w:shd w:val="clear" w:color="auto" w:fill="FFFFFF"/>
        </w:rPr>
        <w:t>Guzik</w:t>
      </w:r>
      <w:r>
        <w:rPr>
          <w:rFonts w:ascii="Arial" w:hAnsi="Arial" w:cs="Arial"/>
          <w:color w:val="000000"/>
          <w:shd w:val="clear" w:color="auto" w:fill="FFFFFF"/>
        </w:rPr>
        <w:t>, declares “It injures us most by taking from us the capacity to know just how much we are injured.”</w:t>
      </w:r>
      <w:r>
        <w:rPr>
          <w:rStyle w:val="FootnoteAnchor"/>
          <w:rFonts w:ascii="Arial" w:hAnsi="Arial" w:cs="Arial"/>
          <w:color w:val="000000"/>
          <w:shd w:val="clear" w:color="auto" w:fill="FFFFFF"/>
        </w:rPr>
        <w:footnoteReference w:id="36"/>
      </w:r>
      <w:r>
        <w:rPr>
          <w:rFonts w:ascii="Arial" w:hAnsi="Arial" w:cs="Arial"/>
          <w:color w:val="000000"/>
          <w:shd w:val="clear" w:color="auto" w:fill="FFFFFF"/>
        </w:rPr>
        <w:t xml:space="preserve"> The law exposes that sin and therefore is good. It summarises the argument given from verse 8-11 and concludes the idea that God is at work, that the law is good and has been used to show the evil of sin.</w:t>
      </w:r>
    </w:p>
    <w:p w14:paraId="01E4C63B" w14:textId="77777777" w:rsidR="007E7B58" w:rsidRPr="00CC5F22" w:rsidRDefault="007E7B58" w:rsidP="00CC5F22">
      <w:pPr>
        <w:pStyle w:val="BodyText"/>
        <w:spacing w:line="480" w:lineRule="auto"/>
      </w:pPr>
    </w:p>
    <w:p w14:paraId="42A544CD" w14:textId="594D3AB2" w:rsidR="007E7B58" w:rsidRPr="007E7B58" w:rsidRDefault="00000000" w:rsidP="007E7B58">
      <w:pPr>
        <w:spacing w:line="480" w:lineRule="auto"/>
        <w:jc w:val="center"/>
        <w:rPr>
          <w:b/>
          <w:bCs/>
          <w:color w:val="000000"/>
        </w:rPr>
      </w:pPr>
      <w:r>
        <w:rPr>
          <w:rFonts w:ascii="Arial" w:hAnsi="Arial" w:cs="Arial"/>
          <w:b/>
          <w:bCs/>
          <w:color w:val="000000"/>
          <w:shd w:val="clear" w:color="auto" w:fill="FFFFFF"/>
        </w:rPr>
        <w:t>Conclusion</w:t>
      </w:r>
    </w:p>
    <w:p w14:paraId="6BAA9695" w14:textId="409581E7" w:rsidR="00E5766A" w:rsidRPr="00991A37" w:rsidRDefault="00000000" w:rsidP="00CC5F22">
      <w:pPr>
        <w:spacing w:line="480" w:lineRule="auto"/>
      </w:pPr>
      <w:r>
        <w:rPr>
          <w:rFonts w:ascii="Arial" w:hAnsi="Arial" w:cs="Arial"/>
          <w:color w:val="000000"/>
          <w:shd w:val="clear" w:color="auto" w:fill="FFFFFF"/>
        </w:rPr>
        <w:t>In this short passage from Romans, Paul defends the law from accusations of being equal to sin, instead showing how it provokes sin to show itself. He uses rhetorical devices to make his points,</w:t>
      </w:r>
      <w:r w:rsidR="00991A37">
        <w:rPr>
          <w:rFonts w:ascii="Arial" w:hAnsi="Arial" w:cs="Arial"/>
          <w:color w:val="000000"/>
          <w:shd w:val="clear" w:color="auto" w:fill="FFFFFF"/>
        </w:rPr>
        <w:t xml:space="preserve"> which are influenced by Greek writing alongside scripture</w:t>
      </w:r>
      <w:r>
        <w:rPr>
          <w:rFonts w:ascii="Arial" w:hAnsi="Arial" w:cs="Arial"/>
          <w:color w:val="000000"/>
          <w:shd w:val="clear" w:color="auto" w:fill="FFFFFF"/>
        </w:rPr>
        <w:t>. An analysis of the passage shows that there is still a lot of debate over who “I” is, with some evidence pointing to the Garden of Eden, and in particular Eve. Chang suggests that the passage shows Paul’s belief that as Christians we are already saved, but not yet.</w:t>
      </w:r>
      <w:r>
        <w:rPr>
          <w:rStyle w:val="FootnoteAnchor"/>
          <w:rFonts w:ascii="Arial" w:hAnsi="Arial" w:cs="Arial"/>
          <w:color w:val="000000"/>
          <w:shd w:val="clear" w:color="auto" w:fill="FFFFFF"/>
        </w:rPr>
        <w:footnoteReference w:id="37"/>
      </w:r>
      <w:r>
        <w:rPr>
          <w:rFonts w:ascii="Arial" w:hAnsi="Arial" w:cs="Arial"/>
          <w:color w:val="000000"/>
          <w:shd w:val="clear" w:color="auto" w:fill="FFFFFF"/>
        </w:rPr>
        <w:t xml:space="preserve"> Paul </w:t>
      </w:r>
      <w:r w:rsidR="00991A37">
        <w:rPr>
          <w:rFonts w:ascii="Arial" w:hAnsi="Arial" w:cs="Arial"/>
          <w:color w:val="000000"/>
          <w:shd w:val="clear" w:color="auto" w:fill="FFFFFF"/>
        </w:rPr>
        <w:t xml:space="preserve">therefore </w:t>
      </w:r>
      <w:r>
        <w:rPr>
          <w:rFonts w:ascii="Arial" w:hAnsi="Arial" w:cs="Arial"/>
          <w:color w:val="000000"/>
          <w:shd w:val="clear" w:color="auto" w:fill="FFFFFF"/>
        </w:rPr>
        <w:t xml:space="preserve">encourages Christians to die to sin while the process completes itself. The law is good because it reveals sin’s true nature, allowing us to turn to what truly saves. </w:t>
      </w:r>
      <w:r>
        <w:br w:type="page"/>
      </w:r>
    </w:p>
    <w:p w14:paraId="0A5FD226" w14:textId="77777777" w:rsidR="00E5766A" w:rsidRDefault="00000000">
      <w:pPr>
        <w:spacing w:line="480" w:lineRule="auto"/>
        <w:rPr>
          <w:rFonts w:hint="eastAsia"/>
          <w:color w:val="000000"/>
        </w:rPr>
      </w:pPr>
      <w:r>
        <w:rPr>
          <w:rFonts w:ascii="Arial" w:hAnsi="Arial" w:cs="Arial"/>
          <w:b/>
          <w:bCs/>
          <w:color w:val="000000"/>
          <w:shd w:val="clear" w:color="auto" w:fill="FFFFFF"/>
        </w:rPr>
        <w:lastRenderedPageBreak/>
        <w:t xml:space="preserve">Bibliography </w:t>
      </w:r>
    </w:p>
    <w:p w14:paraId="190DA8FD"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Busch, Austin, ‘The figure of Eve in Romans 7: 5-25’, </w:t>
      </w:r>
      <w:r>
        <w:rPr>
          <w:rFonts w:ascii="Arial" w:hAnsi="Arial" w:cs="Arial"/>
          <w:i/>
          <w:iCs/>
          <w:color w:val="000000"/>
          <w:shd w:val="clear" w:color="auto" w:fill="FFFFFF"/>
        </w:rPr>
        <w:t>Biblical Interpretation 12</w:t>
      </w:r>
      <w:r>
        <w:rPr>
          <w:rFonts w:ascii="Arial" w:hAnsi="Arial" w:cs="Arial"/>
          <w:color w:val="000000"/>
          <w:shd w:val="clear" w:color="auto" w:fill="FFFFFF"/>
        </w:rPr>
        <w:t>, no. 1 (2004), pp. 1-36.</w:t>
      </w:r>
    </w:p>
    <w:p w14:paraId="3C18B9B1"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Chang, Hae-Kyung, ‘The Christian life in a dialectical tension? Romans 7: 7-25 reconsidered’, </w:t>
      </w:r>
      <w:r>
        <w:rPr>
          <w:rFonts w:ascii="Arial" w:hAnsi="Arial" w:cs="Arial"/>
          <w:i/>
          <w:iCs/>
          <w:color w:val="000000"/>
          <w:shd w:val="clear" w:color="auto" w:fill="FFFFFF"/>
        </w:rPr>
        <w:t>Novum Testamentum 49</w:t>
      </w:r>
      <w:r>
        <w:rPr>
          <w:rFonts w:ascii="Arial" w:hAnsi="Arial" w:cs="Arial"/>
          <w:color w:val="000000"/>
          <w:shd w:val="clear" w:color="auto" w:fill="FFFFFF"/>
        </w:rPr>
        <w:t>, no. 3 (2007), pp. 257-280.</w:t>
      </w:r>
    </w:p>
    <w:p w14:paraId="1B989598"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Dunn, James D.G., </w:t>
      </w:r>
      <w:r>
        <w:rPr>
          <w:rFonts w:ascii="Arial" w:hAnsi="Arial" w:cs="Arial"/>
          <w:i/>
          <w:iCs/>
          <w:color w:val="000000"/>
          <w:shd w:val="clear" w:color="auto" w:fill="FFFFFF"/>
        </w:rPr>
        <w:t xml:space="preserve">‘Romans 1–8’ </w:t>
      </w:r>
      <w:r>
        <w:rPr>
          <w:rFonts w:ascii="Arial" w:hAnsi="Arial" w:cs="Arial"/>
          <w:color w:val="000000"/>
          <w:shd w:val="clear" w:color="auto" w:fill="FFFFFF"/>
        </w:rPr>
        <w:t>(Dallas: Word Books,1988).</w:t>
      </w:r>
    </w:p>
    <w:p w14:paraId="47AF96F9"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Elder, Nicholas, ‘“Wretch I Am!” Eve’s Tragic Speech-in-Character in Romans 7: 7–25’, </w:t>
      </w:r>
      <w:r>
        <w:rPr>
          <w:rFonts w:ascii="Arial" w:hAnsi="Arial" w:cs="Arial"/>
          <w:i/>
          <w:iCs/>
          <w:color w:val="000000"/>
          <w:shd w:val="clear" w:color="auto" w:fill="FFFFFF"/>
        </w:rPr>
        <w:t>Journal of Biblical Literature 137</w:t>
      </w:r>
      <w:r>
        <w:rPr>
          <w:rFonts w:ascii="Arial" w:hAnsi="Arial" w:cs="Arial"/>
          <w:color w:val="000000"/>
          <w:shd w:val="clear" w:color="auto" w:fill="FFFFFF"/>
        </w:rPr>
        <w:t>, no. 3 (2018), pp. 743-763.</w:t>
      </w:r>
    </w:p>
    <w:p w14:paraId="363FB57C" w14:textId="77777777" w:rsidR="00E5766A" w:rsidRDefault="00000000">
      <w:pPr>
        <w:pStyle w:val="BodyText"/>
        <w:spacing w:line="240" w:lineRule="auto"/>
        <w:rPr>
          <w:rFonts w:hint="eastAsia"/>
        </w:rPr>
      </w:pPr>
      <w:r>
        <w:rPr>
          <w:rFonts w:ascii="Arial" w:hAnsi="Arial" w:cs="Arial"/>
          <w:bCs/>
          <w:color w:val="000000"/>
          <w:shd w:val="clear" w:color="auto" w:fill="FFFFFF"/>
        </w:rPr>
        <w:t xml:space="preserve">Guzik, David. ‘Romans 7 – Exposing the Weakness of the Law’,  </w:t>
      </w:r>
      <w:hyperlink r:id="rId6">
        <w:r>
          <w:rPr>
            <w:rStyle w:val="Hyperlink"/>
            <w:rFonts w:ascii="Arial" w:hAnsi="Arial" w:cs="Arial"/>
            <w:bCs/>
            <w:color w:val="000000"/>
            <w:shd w:val="clear" w:color="auto" w:fill="FFFFFF"/>
          </w:rPr>
          <w:t>https://enduringword.com/bible-commentary/romans-7/</w:t>
        </w:r>
      </w:hyperlink>
      <w:r>
        <w:rPr>
          <w:rFonts w:ascii="Arial" w:hAnsi="Arial" w:cs="Arial"/>
          <w:bCs/>
          <w:color w:val="000000"/>
          <w:shd w:val="clear" w:color="auto" w:fill="FFFFFF"/>
        </w:rPr>
        <w:t>, 15 February 2023.</w:t>
      </w:r>
    </w:p>
    <w:p w14:paraId="45222685" w14:textId="77777777" w:rsidR="00E5766A" w:rsidRDefault="00000000">
      <w:pPr>
        <w:pStyle w:val="BodyText"/>
        <w:spacing w:line="240" w:lineRule="auto"/>
        <w:rPr>
          <w:rFonts w:hint="eastAsia"/>
          <w:color w:val="000000"/>
        </w:rPr>
      </w:pPr>
      <w:r>
        <w:rPr>
          <w:rFonts w:ascii="Arial" w:hAnsi="Arial" w:cs="Arial"/>
          <w:bCs/>
          <w:color w:val="000000"/>
          <w:shd w:val="clear" w:color="auto" w:fill="FFFFFF"/>
        </w:rPr>
        <w:t>Henry, Matthew</w:t>
      </w:r>
      <w:r>
        <w:rPr>
          <w:rFonts w:ascii="Arial" w:hAnsi="Arial" w:cs="Arial"/>
          <w:color w:val="000000"/>
          <w:shd w:val="clear" w:color="auto" w:fill="FFFFFF"/>
        </w:rPr>
        <w:t>. ‘</w:t>
      </w:r>
      <w:r>
        <w:rPr>
          <w:rFonts w:ascii="Arial" w:hAnsi="Arial" w:cs="Arial"/>
          <w:bCs/>
          <w:color w:val="000000"/>
          <w:shd w:val="clear" w:color="auto" w:fill="FFFFFF"/>
        </w:rPr>
        <w:t>Commentary on Romans 7’</w:t>
      </w:r>
      <w:r>
        <w:rPr>
          <w:rFonts w:ascii="Arial" w:hAnsi="Arial" w:cs="Arial"/>
          <w:color w:val="000000"/>
          <w:shd w:val="clear" w:color="auto" w:fill="FFFFFF"/>
        </w:rPr>
        <w:t>, https://www.blueletterbible.org/Comm/mhc/Rom/Rom_007.cfm, 15 February 2023.</w:t>
      </w:r>
    </w:p>
    <w:p w14:paraId="3656BFB2" w14:textId="6084648D" w:rsidR="000F75E5" w:rsidRPr="000F75E5" w:rsidRDefault="000F75E5">
      <w:pPr>
        <w:pStyle w:val="BodyText"/>
        <w:spacing w:line="240" w:lineRule="auto"/>
        <w:rPr>
          <w:rFonts w:ascii="Arial" w:hAnsi="Arial" w:cs="Arial" w:hint="eastAsia"/>
          <w:color w:val="000000"/>
          <w:shd w:val="clear" w:color="auto" w:fill="FFFFFF"/>
        </w:rPr>
      </w:pPr>
      <w:r w:rsidRPr="000F75E5">
        <w:rPr>
          <w:rFonts w:ascii="Arial" w:hAnsi="Arial" w:cs="Arial"/>
          <w:color w:val="222222"/>
          <w:shd w:val="clear" w:color="auto" w:fill="FFFFFF"/>
        </w:rPr>
        <w:t>Jewett, Robert, and Eldon Jay Epp</w:t>
      </w:r>
      <w:r>
        <w:rPr>
          <w:rFonts w:ascii="Arial" w:hAnsi="Arial" w:cs="Arial"/>
          <w:color w:val="222222"/>
          <w:shd w:val="clear" w:color="auto" w:fill="FFFFFF"/>
        </w:rPr>
        <w:t>,</w:t>
      </w:r>
      <w:r w:rsidRPr="000F75E5">
        <w:rPr>
          <w:rStyle w:val="apple-converted-space"/>
          <w:rFonts w:ascii="Arial" w:hAnsi="Arial" w:cs="Arial"/>
          <w:color w:val="222222"/>
          <w:shd w:val="clear" w:color="auto" w:fill="FFFFFF"/>
        </w:rPr>
        <w:t> </w:t>
      </w:r>
      <w:r w:rsidRPr="000F75E5">
        <w:rPr>
          <w:rFonts w:ascii="Arial" w:hAnsi="Arial" w:cs="Arial"/>
          <w:i/>
          <w:iCs/>
          <w:color w:val="222222"/>
        </w:rPr>
        <w:t>Romans: A commentary</w:t>
      </w:r>
      <w:r>
        <w:rPr>
          <w:rFonts w:ascii="Arial" w:hAnsi="Arial" w:cs="Arial"/>
          <w:color w:val="222222"/>
          <w:shd w:val="clear" w:color="auto" w:fill="FFFFFF"/>
        </w:rPr>
        <w:t xml:space="preserve"> (</w:t>
      </w:r>
      <w:r w:rsidRPr="000F75E5">
        <w:rPr>
          <w:rFonts w:ascii="Arial" w:hAnsi="Arial" w:cs="Arial"/>
          <w:color w:val="222222"/>
          <w:shd w:val="clear" w:color="auto" w:fill="FFFFFF"/>
        </w:rPr>
        <w:t>Augsburg Fortress Publishers, 2006</w:t>
      </w:r>
      <w:r>
        <w:rPr>
          <w:rFonts w:ascii="Arial" w:hAnsi="Arial" w:cs="Arial"/>
          <w:color w:val="222222"/>
          <w:shd w:val="clear" w:color="auto" w:fill="FFFFFF"/>
        </w:rPr>
        <w:t>)</w:t>
      </w:r>
      <w:r w:rsidRPr="000F75E5">
        <w:rPr>
          <w:rFonts w:ascii="Arial" w:hAnsi="Arial" w:cs="Arial"/>
          <w:color w:val="222222"/>
          <w:shd w:val="clear" w:color="auto" w:fill="FFFFFF"/>
        </w:rPr>
        <w:t>.</w:t>
      </w:r>
    </w:p>
    <w:p w14:paraId="2C0208C6"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Keener, Craig S., </w:t>
      </w:r>
      <w:r>
        <w:rPr>
          <w:rFonts w:ascii="Arial" w:hAnsi="Arial" w:cs="Arial"/>
          <w:i/>
          <w:iCs/>
          <w:color w:val="000000"/>
          <w:shd w:val="clear" w:color="auto" w:fill="FFFFFF"/>
        </w:rPr>
        <w:t>Romans: a new covenant commentary Romans</w:t>
      </w:r>
      <w:r>
        <w:rPr>
          <w:rFonts w:ascii="Arial" w:hAnsi="Arial" w:cs="Arial"/>
          <w:color w:val="000000"/>
          <w:shd w:val="clear" w:color="auto" w:fill="FFFFFF"/>
        </w:rPr>
        <w:t xml:space="preserve"> (Cambridge: Lutterworth Press, 2011).</w:t>
      </w:r>
    </w:p>
    <w:p w14:paraId="651759B0"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Lambrecht, Jan, </w:t>
      </w:r>
      <w:r>
        <w:rPr>
          <w:rFonts w:ascii="Arial" w:hAnsi="Arial" w:cs="Arial"/>
          <w:i/>
          <w:iCs/>
          <w:color w:val="000000"/>
          <w:shd w:val="clear" w:color="auto" w:fill="FFFFFF"/>
        </w:rPr>
        <w:t>The wretched" I" and its Liberation: Paul in Romans 7 and 8</w:t>
      </w:r>
      <w:r>
        <w:rPr>
          <w:rFonts w:ascii="Arial" w:hAnsi="Arial" w:cs="Arial"/>
          <w:color w:val="000000"/>
          <w:shd w:val="clear" w:color="auto" w:fill="FFFFFF"/>
        </w:rPr>
        <w:t xml:space="preserve"> </w:t>
      </w:r>
      <w:r>
        <w:rPr>
          <w:rFonts w:ascii="Arial" w:hAnsi="Arial" w:cs="Arial"/>
          <w:i/>
          <w:iCs/>
          <w:color w:val="000000"/>
          <w:shd w:val="clear" w:color="auto" w:fill="FFFFFF"/>
        </w:rPr>
        <w:t>Vol. 14</w:t>
      </w:r>
      <w:r>
        <w:rPr>
          <w:rFonts w:ascii="Arial" w:hAnsi="Arial" w:cs="Arial"/>
          <w:color w:val="000000"/>
          <w:shd w:val="clear" w:color="auto" w:fill="FFFFFF"/>
        </w:rPr>
        <w:t xml:space="preserve"> (Peeters Publishers, 1992).</w:t>
      </w:r>
    </w:p>
    <w:p w14:paraId="4BD892E6"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Nickle, Keith F., ‘Romans 7: 7–25’, </w:t>
      </w:r>
      <w:r>
        <w:rPr>
          <w:rFonts w:ascii="Arial" w:hAnsi="Arial" w:cs="Arial"/>
          <w:i/>
          <w:iCs/>
          <w:color w:val="000000"/>
          <w:shd w:val="clear" w:color="auto" w:fill="FFFFFF"/>
        </w:rPr>
        <w:t>Interpretation 33</w:t>
      </w:r>
      <w:r>
        <w:rPr>
          <w:rFonts w:ascii="Arial" w:hAnsi="Arial" w:cs="Arial"/>
          <w:color w:val="000000"/>
          <w:shd w:val="clear" w:color="auto" w:fill="FFFFFF"/>
        </w:rPr>
        <w:t xml:space="preserve"> no. 2 (1979), pp. 181-187.</w:t>
      </w:r>
    </w:p>
    <w:p w14:paraId="4E8852DA"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Reumann, John, </w:t>
      </w:r>
      <w:r>
        <w:rPr>
          <w:rFonts w:ascii="Arial" w:hAnsi="Arial" w:cs="Arial"/>
          <w:i/>
          <w:iCs/>
          <w:color w:val="000000"/>
          <w:shd w:val="clear" w:color="auto" w:fill="FFFFFF"/>
        </w:rPr>
        <w:t>Eerdmans Commentary on the Bible: Romans</w:t>
      </w:r>
      <w:r>
        <w:rPr>
          <w:rFonts w:ascii="Arial" w:hAnsi="Arial" w:cs="Arial"/>
          <w:color w:val="000000"/>
          <w:shd w:val="clear" w:color="auto" w:fill="FFFFFF"/>
        </w:rPr>
        <w:t xml:space="preserve"> (Eerdmans Kindle Edition, 2019).</w:t>
      </w:r>
    </w:p>
    <w:p w14:paraId="5EDF521B"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Stowers, S.K., A</w:t>
      </w:r>
      <w:r>
        <w:rPr>
          <w:rFonts w:ascii="Arial" w:hAnsi="Arial" w:cs="Arial"/>
          <w:i/>
          <w:iCs/>
          <w:color w:val="000000"/>
          <w:shd w:val="clear" w:color="auto" w:fill="FFFFFF"/>
        </w:rPr>
        <w:t xml:space="preserve"> rereading of Romans: Justice, Jews, and Gentiles</w:t>
      </w:r>
      <w:r>
        <w:rPr>
          <w:rFonts w:ascii="Arial" w:hAnsi="Arial" w:cs="Arial"/>
          <w:color w:val="000000"/>
          <w:shd w:val="clear" w:color="auto" w:fill="FFFFFF"/>
        </w:rPr>
        <w:t xml:space="preserve"> (New Haven: Yale University Press, 1994).</w:t>
      </w:r>
    </w:p>
    <w:p w14:paraId="385DB8A4"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Timmins, Will N., </w:t>
      </w:r>
      <w:r>
        <w:rPr>
          <w:rFonts w:ascii="Arial" w:hAnsi="Arial" w:cs="Arial"/>
          <w:i/>
          <w:iCs/>
          <w:color w:val="000000"/>
          <w:shd w:val="clear" w:color="auto" w:fill="FFFFFF"/>
        </w:rPr>
        <w:t>Romans 7 and Christian Identity: A Study of the ‘I’ in its Literary Context Vol. 170</w:t>
      </w:r>
      <w:r>
        <w:rPr>
          <w:rFonts w:ascii="Arial" w:hAnsi="Arial" w:cs="Arial"/>
          <w:color w:val="000000"/>
          <w:shd w:val="clear" w:color="auto" w:fill="FFFFFF"/>
        </w:rPr>
        <w:t xml:space="preserve"> (Cambridge University Press, 2017).</w:t>
      </w:r>
    </w:p>
    <w:p w14:paraId="7E813574"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Wasserman, Emma, ‘The death of the soul in Romans 7: revisiting Paul's anthropology in light of Hellenistic moral psychology’, </w:t>
      </w:r>
      <w:r>
        <w:rPr>
          <w:rFonts w:ascii="Arial" w:hAnsi="Arial" w:cs="Arial"/>
          <w:i/>
          <w:iCs/>
          <w:color w:val="000000"/>
          <w:shd w:val="clear" w:color="auto" w:fill="FFFFFF"/>
        </w:rPr>
        <w:t>Journal of Biblical Literature 126</w:t>
      </w:r>
      <w:r>
        <w:rPr>
          <w:rFonts w:ascii="Arial" w:hAnsi="Arial" w:cs="Arial"/>
          <w:color w:val="000000"/>
          <w:shd w:val="clear" w:color="auto" w:fill="FFFFFF"/>
        </w:rPr>
        <w:t>, no. 4 (2007), pp. 793-816.</w:t>
      </w:r>
    </w:p>
    <w:p w14:paraId="3DECA717"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Wasserman, Emma, ‘Paul among the Ancient Philosophers: The Case of Romans 7’, in </w:t>
      </w:r>
      <w:r>
        <w:rPr>
          <w:rFonts w:ascii="Arial" w:hAnsi="Arial" w:cs="Arial"/>
          <w:i/>
          <w:iCs/>
          <w:color w:val="000000"/>
          <w:shd w:val="clear" w:color="auto" w:fill="FFFFFF"/>
        </w:rPr>
        <w:t>Paul and the Philosophers</w:t>
      </w:r>
      <w:r>
        <w:rPr>
          <w:rFonts w:ascii="Arial" w:hAnsi="Arial" w:cs="Arial"/>
          <w:color w:val="000000"/>
          <w:shd w:val="clear" w:color="auto" w:fill="FFFFFF"/>
        </w:rPr>
        <w:t>, eds. Ward Blanton &amp; Hent De Vries (Fordham University Press, 2013), pp. 69-84.</w:t>
      </w:r>
    </w:p>
    <w:p w14:paraId="3AD2F240" w14:textId="77777777" w:rsidR="00E5766A" w:rsidRDefault="00000000">
      <w:pPr>
        <w:pStyle w:val="BodyText"/>
        <w:spacing w:line="240" w:lineRule="auto"/>
        <w:rPr>
          <w:rFonts w:hint="eastAsia"/>
          <w:color w:val="000000"/>
        </w:rPr>
      </w:pPr>
      <w:r>
        <w:rPr>
          <w:rFonts w:ascii="Arial" w:hAnsi="Arial" w:cs="Arial"/>
          <w:color w:val="000000"/>
          <w:shd w:val="clear" w:color="auto" w:fill="FFFFFF"/>
        </w:rPr>
        <w:t xml:space="preserve">Ziesler, John A., ‘The role of the tenth commandment in Romans 7’, </w:t>
      </w:r>
      <w:r>
        <w:rPr>
          <w:rFonts w:ascii="Arial" w:hAnsi="Arial" w:cs="Arial"/>
          <w:i/>
          <w:iCs/>
          <w:color w:val="000000"/>
          <w:shd w:val="clear" w:color="auto" w:fill="FFFFFF"/>
        </w:rPr>
        <w:t>Journal for the Study of the New Testament 10</w:t>
      </w:r>
      <w:r>
        <w:rPr>
          <w:rFonts w:ascii="Arial" w:hAnsi="Arial" w:cs="Arial"/>
          <w:color w:val="000000"/>
          <w:shd w:val="clear" w:color="auto" w:fill="FFFFFF"/>
        </w:rPr>
        <w:t>, no. 33 (1988), pp. 41-56.</w:t>
      </w:r>
    </w:p>
    <w:p w14:paraId="49A4535F" w14:textId="77777777" w:rsidR="00E5766A" w:rsidRDefault="00E5766A">
      <w:pPr>
        <w:spacing w:line="480" w:lineRule="auto"/>
        <w:rPr>
          <w:rFonts w:hint="eastAsia"/>
          <w:color w:val="000000"/>
        </w:rPr>
      </w:pPr>
    </w:p>
    <w:sectPr w:rsidR="00E5766A">
      <w:pgSz w:w="11906" w:h="16838"/>
      <w:pgMar w:top="1134" w:right="1134" w:bottom="1134" w:left="1134"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782A1" w14:textId="77777777" w:rsidR="00937D1B" w:rsidRDefault="00937D1B">
      <w:pPr>
        <w:rPr>
          <w:rFonts w:hint="eastAsia"/>
        </w:rPr>
      </w:pPr>
      <w:r>
        <w:separator/>
      </w:r>
    </w:p>
  </w:endnote>
  <w:endnote w:type="continuationSeparator" w:id="0">
    <w:p w14:paraId="36A08746" w14:textId="77777777" w:rsidR="00937D1B" w:rsidRDefault="00937D1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Songti SC">
    <w:panose1 w:val="02010600040101010101"/>
    <w:charset w:val="86"/>
    <w:family w:val="auto"/>
    <w:pitch w:val="variable"/>
    <w:sig w:usb0="00000287" w:usb1="080F0000" w:usb2="00000010" w:usb3="00000000" w:csb0="000400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roman"/>
    <w:pitch w:val="variable"/>
  </w:font>
  <w:font w:name="PingFang SC">
    <w:panose1 w:val="020B0400000000000000"/>
    <w:charset w:val="86"/>
    <w:family w:val="swiss"/>
    <w:pitch w:val="variable"/>
    <w:sig w:usb0="A00002FF" w:usb1="7ACFFDFB" w:usb2="00000017"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F157E" w14:textId="77777777" w:rsidR="00937D1B" w:rsidRDefault="00937D1B">
      <w:pPr>
        <w:rPr>
          <w:rFonts w:hint="eastAsia"/>
          <w:sz w:val="12"/>
        </w:rPr>
      </w:pPr>
      <w:r>
        <w:separator/>
      </w:r>
    </w:p>
  </w:footnote>
  <w:footnote w:type="continuationSeparator" w:id="0">
    <w:p w14:paraId="2FFBBA5D" w14:textId="77777777" w:rsidR="00937D1B" w:rsidRDefault="00937D1B">
      <w:pPr>
        <w:rPr>
          <w:rFonts w:hint="eastAsia"/>
          <w:sz w:val="12"/>
        </w:rPr>
      </w:pPr>
      <w:r>
        <w:continuationSeparator/>
      </w:r>
    </w:p>
  </w:footnote>
  <w:footnote w:id="1">
    <w:p w14:paraId="4764F2EB" w14:textId="721EFB73" w:rsidR="00E5766A" w:rsidRPr="00CA74D9" w:rsidRDefault="00000000" w:rsidP="00CA74D9">
      <w:pPr>
        <w:pStyle w:val="Heading2"/>
        <w:spacing w:before="0" w:after="0"/>
        <w:ind w:left="339" w:hanging="339"/>
        <w:rPr>
          <w:rFonts w:ascii="Arial" w:hAnsi="Arial" w:cs="Arial"/>
          <w:sz w:val="18"/>
          <w:szCs w:val="18"/>
        </w:rPr>
      </w:pPr>
      <w:r>
        <w:rPr>
          <w:rFonts w:ascii="Arial" w:eastAsia="Arial" w:hAnsi="Arial" w:cs="Arial"/>
          <w:b w:val="0"/>
          <w:bCs w:val="0"/>
          <w:color w:val="231F20"/>
          <w:sz w:val="18"/>
          <w:szCs w:val="18"/>
        </w:rPr>
        <w:tab/>
      </w:r>
      <w:r w:rsidRPr="00CA74D9">
        <w:rPr>
          <w:rFonts w:ascii="Arial" w:eastAsia="Arial" w:hAnsi="Arial" w:cs="Arial"/>
          <w:b w:val="0"/>
          <w:bCs w:val="0"/>
          <w:color w:val="231F20"/>
          <w:sz w:val="18"/>
          <w:szCs w:val="18"/>
        </w:rPr>
        <w:t>1 Matthew Henry, ‘Commentary on 1 Corinthians 11’, https://www.blueletterbible.org/Comm/mhc/1Cr/1Cr_011.cfm, 16 February 2023.</w:t>
      </w:r>
    </w:p>
  </w:footnote>
  <w:footnote w:id="2">
    <w:p w14:paraId="06C80747" w14:textId="77777777" w:rsidR="00E5766A" w:rsidRDefault="00000000" w:rsidP="00CA74D9">
      <w:pPr>
        <w:pStyle w:val="FootnoteText"/>
        <w:ind w:firstLine="0"/>
        <w:rPr>
          <w:rFonts w:ascii="Arial" w:hAnsi="Arial"/>
          <w:sz w:val="22"/>
          <w:szCs w:val="22"/>
        </w:rPr>
      </w:pPr>
      <w:r w:rsidRPr="00CA74D9">
        <w:rPr>
          <w:rStyle w:val="FootnoteCharacters"/>
          <w:rFonts w:ascii="Arial" w:hAnsi="Arial" w:cs="Arial"/>
          <w:sz w:val="18"/>
          <w:szCs w:val="18"/>
        </w:rPr>
        <w:footnoteRef/>
      </w:r>
      <w:r w:rsidRPr="00CA74D9">
        <w:rPr>
          <w:rFonts w:ascii="Arial" w:eastAsia="Arial" w:hAnsi="Arial" w:cs="Arial"/>
          <w:sz w:val="18"/>
          <w:szCs w:val="18"/>
        </w:rPr>
        <w:t xml:space="preserve"> </w:t>
      </w:r>
      <w:r w:rsidRPr="00CA74D9">
        <w:rPr>
          <w:rFonts w:ascii="Arial" w:eastAsia="Arial" w:hAnsi="Arial" w:cs="Arial"/>
          <w:color w:val="231F20"/>
          <w:sz w:val="18"/>
          <w:szCs w:val="18"/>
        </w:rPr>
        <w:t xml:space="preserve">Paul Gardener, </w:t>
      </w:r>
      <w:r w:rsidRPr="00CA74D9">
        <w:rPr>
          <w:rFonts w:ascii="Arial" w:eastAsia="Arial" w:hAnsi="Arial" w:cs="Arial"/>
          <w:i/>
          <w:iCs/>
          <w:color w:val="231F20"/>
          <w:sz w:val="18"/>
          <w:szCs w:val="18"/>
        </w:rPr>
        <w:t xml:space="preserve">1-2 Corinthians </w:t>
      </w:r>
      <w:r w:rsidRPr="00CA74D9">
        <w:rPr>
          <w:rFonts w:ascii="Arial" w:eastAsia="Arial" w:hAnsi="Arial" w:cs="Arial"/>
          <w:color w:val="231F20"/>
          <w:sz w:val="18"/>
          <w:szCs w:val="18"/>
        </w:rPr>
        <w:t>(Cambridge University Press, 2005), p. 503.</w:t>
      </w:r>
    </w:p>
  </w:footnote>
  <w:footnote w:id="3">
    <w:p w14:paraId="42CBE378" w14:textId="77777777" w:rsidR="00E5766A" w:rsidRPr="00CA74D9" w:rsidRDefault="00000000">
      <w:pPr>
        <w:pStyle w:val="FootnoteText"/>
        <w:ind w:left="0" w:firstLine="339"/>
        <w:rPr>
          <w:rFonts w:ascii="Arial" w:hAnsi="Arial" w:cs="Arial"/>
          <w:sz w:val="18"/>
          <w:szCs w:val="18"/>
        </w:rPr>
      </w:pPr>
      <w:r w:rsidRPr="00CA74D9">
        <w:rPr>
          <w:rStyle w:val="FootnoteCharacters"/>
          <w:rFonts w:ascii="Arial" w:hAnsi="Arial" w:cs="Arial"/>
          <w:sz w:val="18"/>
          <w:szCs w:val="18"/>
        </w:rPr>
        <w:footnoteRef/>
      </w:r>
      <w:r w:rsidRPr="00CA74D9">
        <w:rPr>
          <w:rFonts w:ascii="Arial" w:eastAsia="Arial" w:hAnsi="Arial" w:cs="Arial"/>
          <w:sz w:val="18"/>
          <w:szCs w:val="18"/>
        </w:rPr>
        <w:t xml:space="preserve"> </w:t>
      </w:r>
      <w:r w:rsidRPr="00CA74D9">
        <w:rPr>
          <w:rFonts w:ascii="Arial" w:eastAsia="Arial" w:hAnsi="Arial" w:cs="Arial"/>
          <w:color w:val="231F20"/>
          <w:sz w:val="18"/>
          <w:szCs w:val="18"/>
        </w:rPr>
        <w:t xml:space="preserve">James D.G. Dunn, </w:t>
      </w:r>
      <w:r w:rsidRPr="00CA74D9">
        <w:rPr>
          <w:rFonts w:ascii="Arial" w:eastAsia="Arial" w:hAnsi="Arial" w:cs="Arial"/>
          <w:i/>
          <w:iCs/>
          <w:color w:val="231F20"/>
          <w:sz w:val="18"/>
          <w:szCs w:val="18"/>
        </w:rPr>
        <w:t xml:space="preserve">1 Corinthians </w:t>
      </w:r>
      <w:r w:rsidRPr="00CA74D9">
        <w:rPr>
          <w:rFonts w:ascii="Arial" w:eastAsia="Arial" w:hAnsi="Arial" w:cs="Arial"/>
          <w:color w:val="231F20"/>
          <w:sz w:val="18"/>
          <w:szCs w:val="18"/>
        </w:rPr>
        <w:t>(A&amp;C Black, 2003), p. 76.</w:t>
      </w:r>
    </w:p>
  </w:footnote>
  <w:footnote w:id="4">
    <w:p w14:paraId="22E240AC" w14:textId="2E4FA9AF" w:rsidR="00E5766A" w:rsidRPr="00CA74D9" w:rsidRDefault="00000000" w:rsidP="00CA74D9">
      <w:pPr>
        <w:pStyle w:val="BodyText"/>
        <w:spacing w:after="0" w:line="240" w:lineRule="auto"/>
        <w:ind w:left="339"/>
        <w:rPr>
          <w:rFonts w:ascii="Arial" w:hAnsi="Arial" w:cs="Arial"/>
          <w:sz w:val="18"/>
          <w:szCs w:val="18"/>
        </w:rPr>
      </w:pPr>
      <w:r w:rsidRPr="00CA74D9">
        <w:rPr>
          <w:rStyle w:val="FootnoteCharacters"/>
          <w:rFonts w:ascii="Arial" w:hAnsi="Arial" w:cs="Arial"/>
          <w:sz w:val="18"/>
          <w:szCs w:val="18"/>
        </w:rPr>
        <w:footnoteRef/>
      </w:r>
      <w:r w:rsidR="00CA74D9">
        <w:rPr>
          <w:rFonts w:ascii="Arial" w:eastAsia="Arial" w:hAnsi="Arial" w:cs="Arial"/>
          <w:color w:val="231F20"/>
          <w:sz w:val="18"/>
          <w:szCs w:val="18"/>
        </w:rPr>
        <w:t xml:space="preserve"> </w:t>
      </w:r>
      <w:r w:rsidRPr="00CA74D9">
        <w:rPr>
          <w:rFonts w:ascii="Arial" w:eastAsia="Arial" w:hAnsi="Arial" w:cs="Arial"/>
          <w:color w:val="231F20"/>
          <w:sz w:val="18"/>
          <w:szCs w:val="18"/>
        </w:rPr>
        <w:t xml:space="preserve">Anthony J. Stiff, ‘Keeping the Feast: The Socializing Dynamics of the Eucharist, 1 Corinthians 11: 17-34, and Enabling Boundaries for Individuals with Disabilities.’ </w:t>
      </w:r>
      <w:r w:rsidRPr="00CA74D9">
        <w:rPr>
          <w:rFonts w:ascii="Arial" w:eastAsia="Arial" w:hAnsi="Arial" w:cs="Arial"/>
          <w:i/>
          <w:iCs/>
          <w:color w:val="231F20"/>
          <w:sz w:val="18"/>
          <w:szCs w:val="18"/>
        </w:rPr>
        <w:t>Journal of Disability &amp; religion 26</w:t>
      </w:r>
      <w:r w:rsidRPr="00CA74D9">
        <w:rPr>
          <w:rFonts w:ascii="Arial" w:eastAsia="Arial" w:hAnsi="Arial" w:cs="Arial"/>
          <w:color w:val="231F20"/>
          <w:sz w:val="18"/>
          <w:szCs w:val="18"/>
        </w:rPr>
        <w:t>, no. 3 (2022), p. 266.</w:t>
      </w:r>
    </w:p>
  </w:footnote>
  <w:footnote w:id="5">
    <w:p w14:paraId="5CD7C44C" w14:textId="77777777" w:rsidR="00E5766A" w:rsidRDefault="00000000" w:rsidP="00CA74D9">
      <w:pPr>
        <w:pStyle w:val="FootnoteText"/>
        <w:ind w:firstLine="0"/>
        <w:rPr>
          <w:rFonts w:ascii="Arial" w:hAnsi="Arial" w:cs="Arial"/>
          <w:sz w:val="18"/>
          <w:szCs w:val="18"/>
        </w:rPr>
      </w:pPr>
      <w:r w:rsidRPr="00CA74D9">
        <w:rPr>
          <w:rStyle w:val="FootnoteCharacters"/>
          <w:rFonts w:ascii="Arial" w:hAnsi="Arial" w:cs="Arial"/>
          <w:sz w:val="18"/>
          <w:szCs w:val="18"/>
        </w:rPr>
        <w:footnoteRef/>
      </w:r>
      <w:r w:rsidRPr="00CA74D9">
        <w:rPr>
          <w:rFonts w:ascii="Arial" w:eastAsia="Arial" w:hAnsi="Arial" w:cs="Arial"/>
          <w:sz w:val="18"/>
          <w:szCs w:val="18"/>
        </w:rPr>
        <w:t xml:space="preserve"> </w:t>
      </w:r>
      <w:r w:rsidRPr="00CA74D9">
        <w:rPr>
          <w:rFonts w:ascii="Arial" w:eastAsia="Arial" w:hAnsi="Arial" w:cs="Arial"/>
          <w:color w:val="231F20"/>
          <w:sz w:val="18"/>
          <w:szCs w:val="18"/>
        </w:rPr>
        <w:t xml:space="preserve">Mark P. Surburg, ‘The Situation at the Corinthian Lord's Supper in Light of 1 Corinthians 11: 21: A Reconsideration.’ </w:t>
      </w:r>
      <w:r w:rsidRPr="00CA74D9">
        <w:rPr>
          <w:rFonts w:ascii="Arial" w:eastAsia="Arial" w:hAnsi="Arial" w:cs="Arial"/>
          <w:i/>
          <w:iCs/>
          <w:color w:val="231F20"/>
          <w:sz w:val="18"/>
          <w:szCs w:val="18"/>
        </w:rPr>
        <w:t>Concordia Journal 32</w:t>
      </w:r>
      <w:r w:rsidRPr="00CA74D9">
        <w:rPr>
          <w:rFonts w:ascii="Arial" w:eastAsia="Arial" w:hAnsi="Arial" w:cs="Arial"/>
          <w:color w:val="231F20"/>
          <w:sz w:val="18"/>
          <w:szCs w:val="18"/>
        </w:rPr>
        <w:t>, no. 1 (2006), p. 18.</w:t>
      </w:r>
    </w:p>
  </w:footnote>
  <w:footnote w:id="6">
    <w:p w14:paraId="5C929231" w14:textId="77777777" w:rsidR="00E5766A" w:rsidRDefault="00000000">
      <w:pPr>
        <w:pStyle w:val="FootnoteText"/>
        <w:ind w:firstLine="0"/>
        <w:rPr>
          <w:rFonts w:ascii="Arial" w:hAnsi="Arial" w:cs="Arial"/>
          <w:sz w:val="18"/>
          <w:szCs w:val="18"/>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Jamir Lanuwabang, </w:t>
      </w:r>
      <w:r>
        <w:rPr>
          <w:rFonts w:ascii="Arial" w:eastAsia="Arial" w:hAnsi="Arial" w:cs="Arial"/>
          <w:i/>
          <w:iCs/>
          <w:color w:val="231F20"/>
          <w:sz w:val="18"/>
          <w:szCs w:val="18"/>
        </w:rPr>
        <w:t>Exclusion and Judgment in Fellowship Meals:</w:t>
      </w:r>
      <w:r>
        <w:rPr>
          <w:rFonts w:ascii="Arial" w:eastAsia="Arial" w:hAnsi="Arial" w:cs="Arial"/>
          <w:color w:val="231F20"/>
          <w:sz w:val="18"/>
          <w:szCs w:val="18"/>
        </w:rPr>
        <w:t xml:space="preserve"> </w:t>
      </w:r>
      <w:r>
        <w:rPr>
          <w:rFonts w:ascii="Arial" w:eastAsia="Arial" w:hAnsi="Arial" w:cs="Arial"/>
          <w:i/>
          <w:iCs/>
          <w:color w:val="231F20"/>
          <w:sz w:val="18"/>
          <w:szCs w:val="18"/>
        </w:rPr>
        <w:t>The Socio-historical Background of 1 Corinthians 11: 17-34</w:t>
      </w:r>
      <w:r>
        <w:rPr>
          <w:rFonts w:ascii="Arial" w:eastAsia="Arial" w:hAnsi="Arial" w:cs="Arial"/>
          <w:color w:val="231F20"/>
          <w:sz w:val="18"/>
          <w:szCs w:val="18"/>
        </w:rPr>
        <w:t xml:space="preserve"> (Lutterworth Press, 2017), p. 135.</w:t>
      </w:r>
    </w:p>
  </w:footnote>
  <w:footnote w:id="7">
    <w:p w14:paraId="7DFF41EE" w14:textId="77777777" w:rsidR="00E5766A" w:rsidRDefault="00000000">
      <w:pPr>
        <w:pStyle w:val="FootnoteText"/>
        <w:ind w:firstLine="0"/>
        <w:rPr>
          <w:rFonts w:ascii="Arial" w:hAnsi="Arial" w:cs="Arial"/>
          <w:sz w:val="18"/>
          <w:szCs w:val="18"/>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Peter Lampe, ‘The Corinthian eucharistic dinner party: exegesis of a cultural context (1 Cor. 11: 17-34).’ </w:t>
      </w:r>
      <w:r>
        <w:rPr>
          <w:rFonts w:ascii="Arial" w:eastAsia="Arial" w:hAnsi="Arial" w:cs="Arial"/>
          <w:i/>
          <w:iCs/>
          <w:color w:val="231F20"/>
          <w:sz w:val="18"/>
          <w:szCs w:val="18"/>
        </w:rPr>
        <w:t>Affirmation 4</w:t>
      </w:r>
      <w:r>
        <w:rPr>
          <w:rFonts w:ascii="Arial" w:eastAsia="Arial" w:hAnsi="Arial" w:cs="Arial"/>
          <w:color w:val="231F20"/>
          <w:sz w:val="18"/>
          <w:szCs w:val="18"/>
        </w:rPr>
        <w:t>, no. 2 (1991), p. 3.</w:t>
      </w:r>
    </w:p>
  </w:footnote>
  <w:footnote w:id="8">
    <w:p w14:paraId="44914963" w14:textId="77777777" w:rsidR="00E5766A" w:rsidRDefault="00000000">
      <w:pPr>
        <w:pStyle w:val="FootnoteText"/>
        <w:ind w:firstLine="0"/>
        <w:rPr>
          <w:rFonts w:ascii="Arial" w:hAnsi="Arial" w:cs="Arial"/>
          <w:sz w:val="18"/>
          <w:szCs w:val="18"/>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Craig S. Keener, </w:t>
      </w:r>
      <w:r>
        <w:rPr>
          <w:rFonts w:ascii="Arial" w:eastAsia="Arial" w:hAnsi="Arial" w:cs="Arial"/>
          <w:i/>
          <w:iCs/>
          <w:color w:val="231F20"/>
          <w:sz w:val="18"/>
          <w:szCs w:val="18"/>
        </w:rPr>
        <w:t xml:space="preserve">1-2 Corinthians </w:t>
      </w:r>
      <w:r>
        <w:rPr>
          <w:rFonts w:ascii="Arial" w:eastAsia="Arial" w:hAnsi="Arial" w:cs="Arial"/>
          <w:color w:val="231F20"/>
          <w:sz w:val="18"/>
          <w:szCs w:val="18"/>
        </w:rPr>
        <w:t>(Cambridge University Press, 2005), pp. 96-97.</w:t>
      </w:r>
    </w:p>
  </w:footnote>
  <w:footnote w:id="9">
    <w:p w14:paraId="14B9339C" w14:textId="77777777" w:rsidR="00E5766A" w:rsidRDefault="00000000">
      <w:pPr>
        <w:pStyle w:val="FootnoteText"/>
        <w:ind w:firstLine="0"/>
        <w:rPr>
          <w:rFonts w:ascii="Arial" w:hAnsi="Arial" w:cs="Arial"/>
          <w:sz w:val="18"/>
          <w:szCs w:val="18"/>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Surburg, ‘The Situation at the Corinthian Lord's Supper in Light of 1 Corinthians 11: 21: A Reconsideration.’, p. 22.</w:t>
      </w:r>
    </w:p>
  </w:footnote>
  <w:footnote w:id="10">
    <w:p w14:paraId="1FFD9694" w14:textId="77777777" w:rsidR="00E5766A" w:rsidRDefault="00000000">
      <w:pPr>
        <w:pStyle w:val="FootnoteText"/>
        <w:ind w:firstLine="0"/>
        <w:rPr>
          <w:rFonts w:ascii="Arial" w:hAnsi="Arial" w:cs="Arial"/>
          <w:color w:val="231F20"/>
          <w:sz w:val="18"/>
          <w:szCs w:val="18"/>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Keener, </w:t>
      </w:r>
      <w:r>
        <w:rPr>
          <w:rFonts w:ascii="Arial" w:eastAsia="Arial" w:hAnsi="Arial" w:cs="Arial"/>
          <w:i/>
          <w:iCs/>
          <w:color w:val="231F20"/>
          <w:sz w:val="18"/>
          <w:szCs w:val="18"/>
        </w:rPr>
        <w:t>1-2 Corinthians</w:t>
      </w:r>
      <w:r>
        <w:rPr>
          <w:rFonts w:ascii="Arial" w:eastAsia="Arial" w:hAnsi="Arial" w:cs="Arial"/>
          <w:color w:val="231F20"/>
          <w:sz w:val="18"/>
          <w:szCs w:val="18"/>
        </w:rPr>
        <w:t>, p. 96.</w:t>
      </w:r>
    </w:p>
  </w:footnote>
  <w:footnote w:id="11">
    <w:p w14:paraId="5E867A5D" w14:textId="77777777" w:rsidR="00E5766A" w:rsidRDefault="00000000">
      <w:pPr>
        <w:pStyle w:val="FootnoteText"/>
        <w:ind w:firstLine="0"/>
        <w:rPr>
          <w:rFonts w:ascii="Arial" w:hAnsi="Arial" w:cs="Arial"/>
          <w:color w:val="231F20"/>
          <w:sz w:val="18"/>
          <w:szCs w:val="18"/>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Keener, </w:t>
      </w:r>
      <w:r>
        <w:rPr>
          <w:rFonts w:ascii="Arial" w:eastAsia="Arial" w:hAnsi="Arial" w:cs="Arial"/>
          <w:i/>
          <w:iCs/>
          <w:color w:val="231F20"/>
          <w:sz w:val="18"/>
          <w:szCs w:val="18"/>
        </w:rPr>
        <w:t>1-2 Corinthians</w:t>
      </w:r>
      <w:r>
        <w:rPr>
          <w:rFonts w:ascii="Arial" w:eastAsia="Arial" w:hAnsi="Arial" w:cs="Arial"/>
          <w:color w:val="231F20"/>
          <w:sz w:val="18"/>
          <w:szCs w:val="18"/>
        </w:rPr>
        <w:t>, p. 98.</w:t>
      </w:r>
    </w:p>
  </w:footnote>
  <w:footnote w:id="12">
    <w:p w14:paraId="68113061" w14:textId="77777777" w:rsidR="00E5766A" w:rsidRDefault="00000000">
      <w:pPr>
        <w:pStyle w:val="FootnoteText"/>
        <w:ind w:firstLine="0"/>
        <w:rPr>
          <w:rFonts w:ascii="Arial" w:hAnsi="Arial"/>
          <w:color w:val="231F20"/>
          <w:sz w:val="22"/>
          <w:szCs w:val="22"/>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Beverly Roberts Gaventa, ‘“You Proclaim the Lord's Death”: 1 Corinthians 11: 26 and Paul's Understanding of Worship.’ </w:t>
      </w:r>
      <w:r>
        <w:rPr>
          <w:rFonts w:ascii="Arial" w:eastAsia="Arial" w:hAnsi="Arial" w:cs="Arial"/>
          <w:i/>
          <w:iCs/>
          <w:color w:val="231F20"/>
          <w:sz w:val="18"/>
          <w:szCs w:val="18"/>
        </w:rPr>
        <w:t>Review &amp; Expositor 80</w:t>
      </w:r>
      <w:r>
        <w:rPr>
          <w:rFonts w:ascii="Arial" w:eastAsia="Arial" w:hAnsi="Arial" w:cs="Arial"/>
          <w:color w:val="231F20"/>
          <w:sz w:val="18"/>
          <w:szCs w:val="18"/>
        </w:rPr>
        <w:t>, no. 3 (1983), p. 382.</w:t>
      </w:r>
    </w:p>
  </w:footnote>
  <w:footnote w:id="13">
    <w:p w14:paraId="7679D6F8" w14:textId="517AE5FA" w:rsidR="00E5766A" w:rsidRPr="00CC5F22" w:rsidRDefault="00000000" w:rsidP="00CC5F22">
      <w:pPr>
        <w:pStyle w:val="BodyText"/>
        <w:spacing w:after="0"/>
        <w:rPr>
          <w:rFonts w:ascii="Arial" w:hAnsi="Arial" w:cs="Arial"/>
          <w:color w:val="231F20"/>
          <w:sz w:val="18"/>
          <w:szCs w:val="18"/>
          <w:shd w:val="clear" w:color="auto" w:fill="FFFFFF"/>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James D.G. Dunn, </w:t>
      </w:r>
      <w:r w:rsidRPr="00CC5F22">
        <w:rPr>
          <w:rFonts w:ascii="Arial" w:hAnsi="Arial" w:cs="Arial"/>
          <w:i/>
          <w:iCs/>
          <w:color w:val="231F20"/>
          <w:sz w:val="18"/>
          <w:szCs w:val="18"/>
          <w:shd w:val="clear" w:color="auto" w:fill="FFFFFF"/>
        </w:rPr>
        <w:t xml:space="preserve">‘Romans 1–8’ </w:t>
      </w:r>
      <w:r w:rsidRPr="00CC5F22">
        <w:rPr>
          <w:rFonts w:ascii="Arial" w:hAnsi="Arial" w:cs="Arial"/>
          <w:color w:val="231F20"/>
          <w:sz w:val="18"/>
          <w:szCs w:val="18"/>
          <w:shd w:val="clear" w:color="auto" w:fill="FFFFFF"/>
        </w:rPr>
        <w:t>(Dallas: Word Books,1988), p. 399.</w:t>
      </w:r>
    </w:p>
  </w:footnote>
  <w:footnote w:id="14">
    <w:p w14:paraId="3B38F137" w14:textId="399E5D42" w:rsidR="00E5766A" w:rsidRPr="00CC5F22" w:rsidRDefault="00000000" w:rsidP="00CC5F22">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Emma Wasserman, ‘Paul among the Ancient Philosophers: The Case of Romans 7’, in </w:t>
      </w:r>
      <w:r w:rsidRPr="00CC5F22">
        <w:rPr>
          <w:rFonts w:ascii="Arial" w:hAnsi="Arial" w:cs="Arial"/>
          <w:i/>
          <w:iCs/>
          <w:color w:val="231F20"/>
          <w:sz w:val="18"/>
          <w:szCs w:val="18"/>
          <w:shd w:val="clear" w:color="auto" w:fill="FFFFFF"/>
        </w:rPr>
        <w:t>Paul and the Philosophers</w:t>
      </w:r>
      <w:r w:rsidRPr="00CC5F22">
        <w:rPr>
          <w:rFonts w:ascii="Arial" w:hAnsi="Arial" w:cs="Arial"/>
          <w:color w:val="231F20"/>
          <w:sz w:val="18"/>
          <w:szCs w:val="18"/>
          <w:shd w:val="clear" w:color="auto" w:fill="FFFFFF"/>
        </w:rPr>
        <w:t>, eds. Ward Blanton &amp; Hent De Vries (Fordham University Press, 2013), p. 69.</w:t>
      </w:r>
    </w:p>
  </w:footnote>
  <w:footnote w:id="15">
    <w:p w14:paraId="128A8E0B" w14:textId="167BB2CE"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Emma Wasserman, ‘The death of the soul in Romans 7: revisiting Paul's anthropology in light of Hellenistic moral psychology’, </w:t>
      </w:r>
      <w:r w:rsidRPr="00CC5F22">
        <w:rPr>
          <w:rFonts w:ascii="Arial" w:hAnsi="Arial" w:cs="Arial"/>
          <w:i/>
          <w:iCs/>
          <w:color w:val="231F20"/>
          <w:sz w:val="18"/>
          <w:szCs w:val="18"/>
          <w:shd w:val="clear" w:color="auto" w:fill="FFFFFF"/>
        </w:rPr>
        <w:t>Journal of Biblical Literature 126</w:t>
      </w:r>
      <w:r w:rsidRPr="00CC5F22">
        <w:rPr>
          <w:rFonts w:ascii="Arial" w:hAnsi="Arial" w:cs="Arial"/>
          <w:color w:val="231F20"/>
          <w:sz w:val="18"/>
          <w:szCs w:val="18"/>
          <w:shd w:val="clear" w:color="auto" w:fill="FFFFFF"/>
        </w:rPr>
        <w:t>, no. 4 (2007), p. 793.</w:t>
      </w:r>
    </w:p>
  </w:footnote>
  <w:footnote w:id="16">
    <w:p w14:paraId="68780546" w14:textId="0A79D4C9"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Will N. Timmins, </w:t>
      </w:r>
      <w:r w:rsidRPr="00CC5F22">
        <w:rPr>
          <w:rFonts w:ascii="Arial" w:hAnsi="Arial" w:cs="Arial"/>
          <w:i/>
          <w:iCs/>
          <w:color w:val="231F20"/>
          <w:sz w:val="18"/>
          <w:szCs w:val="18"/>
          <w:shd w:val="clear" w:color="auto" w:fill="FFFFFF"/>
        </w:rPr>
        <w:t>Romans 7 and Christian Identity: A Study of the ‘I' in its Literary Context Vol. 170</w:t>
      </w:r>
      <w:r w:rsidRPr="00CC5F22">
        <w:rPr>
          <w:rFonts w:ascii="Arial" w:hAnsi="Arial" w:cs="Arial"/>
          <w:color w:val="231F20"/>
          <w:sz w:val="18"/>
          <w:szCs w:val="18"/>
          <w:shd w:val="clear" w:color="auto" w:fill="FFFFFF"/>
        </w:rPr>
        <w:t xml:space="preserve"> (Cambridge University Press, 2017), p. 92.</w:t>
      </w:r>
    </w:p>
  </w:footnote>
  <w:footnote w:id="17">
    <w:p w14:paraId="5F6F40FE" w14:textId="624E78A0" w:rsidR="00E5766A" w:rsidRPr="00CC5F22" w:rsidRDefault="00000000" w:rsidP="00CC5F22">
      <w:pPr>
        <w:pStyle w:val="BodyText"/>
        <w:spacing w:after="0" w:line="240" w:lineRule="auto"/>
        <w:rPr>
          <w:rFonts w:ascii="Arial" w:hAnsi="Arial" w:cs="Arial"/>
          <w:sz w:val="18"/>
          <w:szCs w:val="18"/>
          <w:shd w:val="clear" w:color="auto" w:fill="FFFF00"/>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Keith F. Nickle, ‘Romans 7: 7–25’, </w:t>
      </w:r>
      <w:r w:rsidRPr="00CC5F22">
        <w:rPr>
          <w:rFonts w:ascii="Arial" w:hAnsi="Arial" w:cs="Arial"/>
          <w:i/>
          <w:iCs/>
          <w:color w:val="231F20"/>
          <w:sz w:val="18"/>
          <w:szCs w:val="18"/>
          <w:shd w:val="clear" w:color="auto" w:fill="FFFFFF"/>
        </w:rPr>
        <w:t>Interpretation 33</w:t>
      </w:r>
      <w:r w:rsidRPr="00CC5F22">
        <w:rPr>
          <w:rFonts w:ascii="Arial" w:hAnsi="Arial" w:cs="Arial"/>
          <w:color w:val="231F20"/>
          <w:sz w:val="18"/>
          <w:szCs w:val="18"/>
          <w:shd w:val="clear" w:color="auto" w:fill="FFFFFF"/>
        </w:rPr>
        <w:t xml:space="preserve"> no. 2 (1979), p. 183.</w:t>
      </w:r>
    </w:p>
  </w:footnote>
  <w:footnote w:id="18">
    <w:p w14:paraId="4A1D460F" w14:textId="3CCB6DC4" w:rsidR="00E5766A" w:rsidRDefault="00000000" w:rsidP="00CC5F22">
      <w:pPr>
        <w:pStyle w:val="FootnoteText"/>
        <w:rPr>
          <w:rFonts w:hint="eastAsia"/>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Jan Lambrecht, </w:t>
      </w:r>
      <w:r w:rsidRPr="00CC5F22">
        <w:rPr>
          <w:rFonts w:ascii="Arial" w:hAnsi="Arial" w:cs="Arial"/>
          <w:i/>
          <w:iCs/>
          <w:color w:val="231F20"/>
          <w:sz w:val="18"/>
          <w:szCs w:val="18"/>
          <w:shd w:val="clear" w:color="auto" w:fill="FFFFFF"/>
        </w:rPr>
        <w:t>The wretched "I" and its Liberation: Paul in Romans 7 and 8</w:t>
      </w:r>
      <w:r w:rsidRPr="00CC5F22">
        <w:rPr>
          <w:rFonts w:ascii="Arial" w:hAnsi="Arial" w:cs="Arial"/>
          <w:color w:val="231F20"/>
          <w:sz w:val="18"/>
          <w:szCs w:val="18"/>
          <w:shd w:val="clear" w:color="auto" w:fill="FFFFFF"/>
        </w:rPr>
        <w:t xml:space="preserve"> </w:t>
      </w:r>
      <w:r w:rsidRPr="00CC5F22">
        <w:rPr>
          <w:rFonts w:ascii="Arial" w:hAnsi="Arial" w:cs="Arial"/>
          <w:i/>
          <w:iCs/>
          <w:color w:val="231F20"/>
          <w:sz w:val="18"/>
          <w:szCs w:val="18"/>
          <w:shd w:val="clear" w:color="auto" w:fill="FFFFFF"/>
        </w:rPr>
        <w:t>Vol. 14</w:t>
      </w:r>
      <w:r w:rsidRPr="00CC5F22">
        <w:rPr>
          <w:rFonts w:ascii="Arial" w:hAnsi="Arial" w:cs="Arial"/>
          <w:color w:val="231F20"/>
          <w:sz w:val="18"/>
          <w:szCs w:val="18"/>
          <w:shd w:val="clear" w:color="auto" w:fill="FFFFFF"/>
        </w:rPr>
        <w:t xml:space="preserve"> (Peeters Publishers, 1992), p. 31.</w:t>
      </w:r>
    </w:p>
  </w:footnote>
  <w:footnote w:id="19">
    <w:p w14:paraId="60159BF8" w14:textId="106E9684"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Hae-Kyung Chang, ‘The Christian life in a dialectical tension? Romans 7: 7-25 reconsidered’, </w:t>
      </w:r>
      <w:r w:rsidRPr="00CC5F22">
        <w:rPr>
          <w:rFonts w:ascii="Arial" w:hAnsi="Arial" w:cs="Arial"/>
          <w:i/>
          <w:iCs/>
          <w:color w:val="231F20"/>
          <w:sz w:val="18"/>
          <w:szCs w:val="18"/>
          <w:shd w:val="clear" w:color="auto" w:fill="FFFFFF"/>
        </w:rPr>
        <w:t>Novum Testamentum 49</w:t>
      </w:r>
      <w:r w:rsidRPr="00CC5F22">
        <w:rPr>
          <w:rFonts w:ascii="Arial" w:hAnsi="Arial" w:cs="Arial"/>
          <w:color w:val="231F20"/>
          <w:sz w:val="18"/>
          <w:szCs w:val="18"/>
          <w:shd w:val="clear" w:color="auto" w:fill="FFFFFF"/>
        </w:rPr>
        <w:t>, no. 3 (2007), p. 272.</w:t>
      </w:r>
    </w:p>
  </w:footnote>
  <w:footnote w:id="20">
    <w:p w14:paraId="380D4FDD" w14:textId="4EA1CB86" w:rsidR="00E5766A" w:rsidRPr="00CC5F22" w:rsidRDefault="00000000" w:rsidP="00CC5F22">
      <w:pPr>
        <w:pStyle w:val="BodyText"/>
        <w:spacing w:after="0" w:line="240" w:lineRule="auto"/>
        <w:rPr>
          <w:rFonts w:ascii="Arial" w:hAnsi="Arial" w:cs="Arial"/>
          <w:sz w:val="18"/>
          <w:szCs w:val="18"/>
          <w:shd w:val="clear" w:color="auto" w:fill="FFFF00"/>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John Reumann, </w:t>
      </w:r>
      <w:r w:rsidRPr="00CC5F22">
        <w:rPr>
          <w:rFonts w:ascii="Arial" w:hAnsi="Arial" w:cs="Arial"/>
          <w:i/>
          <w:iCs/>
          <w:color w:val="231F20"/>
          <w:sz w:val="18"/>
          <w:szCs w:val="18"/>
          <w:shd w:val="clear" w:color="auto" w:fill="FFFFFF"/>
        </w:rPr>
        <w:t>Eerdmans Commentary on the Bible: Romans</w:t>
      </w:r>
      <w:r w:rsidRPr="00CC5F22">
        <w:rPr>
          <w:rFonts w:ascii="Arial" w:hAnsi="Arial" w:cs="Arial"/>
          <w:color w:val="231F20"/>
          <w:sz w:val="18"/>
          <w:szCs w:val="18"/>
          <w:shd w:val="clear" w:color="auto" w:fill="FFFFFF"/>
        </w:rPr>
        <w:t xml:space="preserve"> (Eerdmans Kindle Edition, 2019), pp. 99-100.</w:t>
      </w:r>
    </w:p>
  </w:footnote>
  <w:footnote w:id="21">
    <w:p w14:paraId="71BD91CC" w14:textId="6D4F2C33" w:rsidR="00E5766A" w:rsidRPr="00CC5F22" w:rsidRDefault="00000000" w:rsidP="00CC5F22">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Reumann, </w:t>
      </w:r>
      <w:r w:rsidRPr="00CC5F22">
        <w:rPr>
          <w:rFonts w:ascii="Arial" w:hAnsi="Arial" w:cs="Arial"/>
          <w:i/>
          <w:iCs/>
          <w:color w:val="231F20"/>
          <w:sz w:val="18"/>
          <w:szCs w:val="18"/>
          <w:shd w:val="clear" w:color="auto" w:fill="FFFFFF"/>
        </w:rPr>
        <w:t xml:space="preserve">Eerdmans Commentary on the Bible: Romans, </w:t>
      </w:r>
      <w:r w:rsidRPr="00CC5F22">
        <w:rPr>
          <w:rFonts w:ascii="Arial" w:hAnsi="Arial" w:cs="Arial"/>
          <w:color w:val="231F20"/>
          <w:sz w:val="18"/>
          <w:szCs w:val="18"/>
          <w:shd w:val="clear" w:color="auto" w:fill="FFFFFF"/>
        </w:rPr>
        <w:t>p.97.</w:t>
      </w:r>
    </w:p>
  </w:footnote>
  <w:footnote w:id="22">
    <w:p w14:paraId="108F2803" w14:textId="364BB7F0" w:rsidR="00E5766A" w:rsidRDefault="00000000">
      <w:pPr>
        <w:pStyle w:val="FootnoteText"/>
        <w:rPr>
          <w:rFonts w:hint="eastAsia"/>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Chang, ‘The Christian life in a dialectical tension? Romans 7: 7-25 reconsidered’, p. 268.</w:t>
      </w:r>
    </w:p>
  </w:footnote>
  <w:footnote w:id="23">
    <w:p w14:paraId="5EFEB9F4" w14:textId="50FB4B33" w:rsidR="00E5766A" w:rsidRPr="00CC5F22" w:rsidRDefault="00000000" w:rsidP="00CC5F22">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John A. Ziesler, ‘The role of the tenth commandment in Romans 7’, </w:t>
      </w:r>
      <w:r w:rsidRPr="00CC5F22">
        <w:rPr>
          <w:rFonts w:ascii="Arial" w:hAnsi="Arial" w:cs="Arial"/>
          <w:i/>
          <w:iCs/>
          <w:color w:val="231F20"/>
          <w:sz w:val="18"/>
          <w:szCs w:val="18"/>
          <w:shd w:val="clear" w:color="auto" w:fill="FFFFFF"/>
        </w:rPr>
        <w:t>Journal for the Study of the New Testament 10</w:t>
      </w:r>
      <w:r w:rsidRPr="00CC5F22">
        <w:rPr>
          <w:rFonts w:ascii="Arial" w:hAnsi="Arial" w:cs="Arial"/>
          <w:color w:val="231F20"/>
          <w:sz w:val="18"/>
          <w:szCs w:val="18"/>
          <w:shd w:val="clear" w:color="auto" w:fill="FFFFFF"/>
        </w:rPr>
        <w:t>, no. 33 (1988), p. 48.</w:t>
      </w:r>
    </w:p>
  </w:footnote>
  <w:footnote w:id="24">
    <w:p w14:paraId="6A69D832" w14:textId="0013939F" w:rsidR="00CC5F22" w:rsidRPr="00CC5F22" w:rsidRDefault="00CC5F22" w:rsidP="00CC5F22">
      <w:pPr>
        <w:pStyle w:val="western"/>
        <w:spacing w:before="0" w:beforeAutospacing="0" w:after="0" w:line="240" w:lineRule="auto"/>
        <w:rPr>
          <w:rFonts w:ascii="Arial" w:hAnsi="Arial" w:cs="Arial"/>
          <w:sz w:val="18"/>
          <w:szCs w:val="18"/>
          <w:lang w:val="en-GB"/>
        </w:rPr>
      </w:pPr>
      <w:r w:rsidRPr="00CC5F22">
        <w:rPr>
          <w:rStyle w:val="FootnoteReference"/>
          <w:rFonts w:ascii="Arial" w:hAnsi="Arial" w:cs="Arial"/>
          <w:sz w:val="18"/>
          <w:szCs w:val="18"/>
        </w:rPr>
        <w:footnoteRef/>
      </w:r>
      <w:r>
        <w:rPr>
          <w:rFonts w:ascii="Arial" w:hAnsi="Arial" w:cs="Arial"/>
          <w:sz w:val="18"/>
          <w:szCs w:val="18"/>
          <w:lang w:val="en-US"/>
        </w:rPr>
        <w:t xml:space="preserve"> </w:t>
      </w:r>
      <w:r w:rsidR="000F75E5">
        <w:rPr>
          <w:rFonts w:ascii="Arial" w:hAnsi="Arial" w:cs="Arial"/>
          <w:sz w:val="18"/>
          <w:szCs w:val="18"/>
          <w:lang w:val="en-US"/>
        </w:rPr>
        <w:t>Robert</w:t>
      </w:r>
      <w:r>
        <w:rPr>
          <w:rFonts w:ascii="Arial" w:hAnsi="Arial" w:cs="Arial"/>
          <w:sz w:val="18"/>
          <w:szCs w:val="18"/>
          <w:lang w:val="en-US"/>
        </w:rPr>
        <w:t xml:space="preserve"> </w:t>
      </w:r>
      <w:r w:rsidRPr="00CC5F22">
        <w:rPr>
          <w:rFonts w:ascii="Arial" w:hAnsi="Arial" w:cs="Arial"/>
          <w:sz w:val="18"/>
          <w:szCs w:val="18"/>
          <w:shd w:val="clear" w:color="auto" w:fill="FFFFFF"/>
          <w:lang w:val="en-GB"/>
        </w:rPr>
        <w:t>Jewett</w:t>
      </w:r>
      <w:r w:rsidR="000F75E5">
        <w:rPr>
          <w:rFonts w:ascii="Arial" w:hAnsi="Arial" w:cs="Arial"/>
          <w:sz w:val="18"/>
          <w:szCs w:val="18"/>
          <w:shd w:val="clear" w:color="auto" w:fill="FFFFFF"/>
          <w:lang w:val="en-GB"/>
        </w:rPr>
        <w:t xml:space="preserve"> and Eldon Jay Epp</w:t>
      </w:r>
      <w:r w:rsidRPr="00CC5F22">
        <w:rPr>
          <w:rFonts w:ascii="Arial" w:hAnsi="Arial" w:cs="Arial"/>
          <w:sz w:val="18"/>
          <w:szCs w:val="18"/>
          <w:shd w:val="clear" w:color="auto" w:fill="FFFFFF"/>
          <w:lang w:val="en-GB"/>
        </w:rPr>
        <w:t xml:space="preserve">, </w:t>
      </w:r>
      <w:r w:rsidRPr="00CC5F22">
        <w:rPr>
          <w:rFonts w:ascii="Arial" w:hAnsi="Arial" w:cs="Arial"/>
          <w:i/>
          <w:iCs/>
          <w:sz w:val="18"/>
          <w:szCs w:val="18"/>
          <w:shd w:val="clear" w:color="auto" w:fill="FFFFFF"/>
          <w:lang w:val="en-GB"/>
        </w:rPr>
        <w:t xml:space="preserve">Romans: </w:t>
      </w:r>
      <w:r w:rsidR="000F75E5">
        <w:rPr>
          <w:rFonts w:ascii="Arial" w:hAnsi="Arial" w:cs="Arial"/>
          <w:i/>
          <w:iCs/>
          <w:sz w:val="18"/>
          <w:szCs w:val="18"/>
          <w:shd w:val="clear" w:color="auto" w:fill="FFFFFF"/>
          <w:lang w:val="en-GB"/>
        </w:rPr>
        <w:t>A</w:t>
      </w:r>
      <w:r w:rsidRPr="00CC5F22">
        <w:rPr>
          <w:rFonts w:ascii="Arial" w:hAnsi="Arial" w:cs="Arial"/>
          <w:i/>
          <w:iCs/>
          <w:sz w:val="18"/>
          <w:szCs w:val="18"/>
          <w:shd w:val="clear" w:color="auto" w:fill="FFFFFF"/>
          <w:lang w:val="en-GB"/>
        </w:rPr>
        <w:t xml:space="preserve"> commentary</w:t>
      </w:r>
      <w:r w:rsidRPr="00CC5F22">
        <w:rPr>
          <w:rFonts w:ascii="Arial" w:hAnsi="Arial" w:cs="Arial"/>
          <w:sz w:val="18"/>
          <w:szCs w:val="18"/>
          <w:shd w:val="clear" w:color="auto" w:fill="FFFFFF"/>
          <w:lang w:val="en-GB"/>
        </w:rPr>
        <w:t xml:space="preserve"> (</w:t>
      </w:r>
      <w:r w:rsidR="000F75E5">
        <w:rPr>
          <w:rFonts w:ascii="Arial" w:hAnsi="Arial" w:cs="Arial"/>
          <w:sz w:val="18"/>
          <w:szCs w:val="18"/>
          <w:shd w:val="clear" w:color="auto" w:fill="FFFFFF"/>
          <w:lang w:val="en-GB"/>
        </w:rPr>
        <w:t>Augsburg Fortress Publishers</w:t>
      </w:r>
      <w:r w:rsidRPr="00CC5F22">
        <w:rPr>
          <w:rFonts w:ascii="Arial" w:hAnsi="Arial" w:cs="Arial"/>
          <w:sz w:val="18"/>
          <w:szCs w:val="18"/>
          <w:shd w:val="clear" w:color="auto" w:fill="FFFFFF"/>
          <w:lang w:val="en-GB"/>
        </w:rPr>
        <w:t>, 20</w:t>
      </w:r>
      <w:r w:rsidR="000F75E5">
        <w:rPr>
          <w:rFonts w:ascii="Arial" w:hAnsi="Arial" w:cs="Arial"/>
          <w:sz w:val="18"/>
          <w:szCs w:val="18"/>
          <w:shd w:val="clear" w:color="auto" w:fill="FFFFFF"/>
          <w:lang w:val="en-GB"/>
        </w:rPr>
        <w:t>06</w:t>
      </w:r>
      <w:r w:rsidRPr="00CC5F22">
        <w:rPr>
          <w:rFonts w:ascii="Arial" w:hAnsi="Arial" w:cs="Arial"/>
          <w:sz w:val="18"/>
          <w:szCs w:val="18"/>
          <w:shd w:val="clear" w:color="auto" w:fill="FFFFFF"/>
          <w:lang w:val="en-GB"/>
        </w:rPr>
        <w:t>)</w:t>
      </w:r>
      <w:r>
        <w:rPr>
          <w:rFonts w:ascii="Arial" w:hAnsi="Arial" w:cs="Arial"/>
          <w:sz w:val="18"/>
          <w:szCs w:val="18"/>
          <w:shd w:val="clear" w:color="auto" w:fill="FFFFFF"/>
          <w:lang w:val="en-GB"/>
        </w:rPr>
        <w:t>, p450.</w:t>
      </w:r>
    </w:p>
  </w:footnote>
  <w:footnote w:id="25">
    <w:p w14:paraId="4E10CA72" w14:textId="78B34FCC" w:rsidR="00CC5F22" w:rsidRPr="00CC5F22" w:rsidRDefault="00CC5F22" w:rsidP="00CC5F22">
      <w:pPr>
        <w:pStyle w:val="FootnoteText"/>
        <w:rPr>
          <w:lang w:val="en-US"/>
        </w:rPr>
      </w:pPr>
      <w:r>
        <w:rPr>
          <w:rStyle w:val="FootnoteReference"/>
          <w:rFonts w:hint="eastAsia"/>
        </w:rPr>
        <w:footnoteRef/>
      </w:r>
      <w:r>
        <w:t xml:space="preserve"> </w:t>
      </w:r>
      <w:r w:rsidRPr="00CC5F22">
        <w:rPr>
          <w:rFonts w:ascii="Arial" w:hAnsi="Arial" w:cs="Arial"/>
          <w:sz w:val="18"/>
          <w:szCs w:val="18"/>
          <w:shd w:val="clear" w:color="auto" w:fill="FFFFFF"/>
        </w:rPr>
        <w:t>Jewett</w:t>
      </w:r>
      <w:r w:rsidR="000F75E5">
        <w:rPr>
          <w:rFonts w:ascii="Arial" w:hAnsi="Arial" w:cs="Arial"/>
          <w:sz w:val="18"/>
          <w:szCs w:val="18"/>
          <w:shd w:val="clear" w:color="auto" w:fill="FFFFFF"/>
        </w:rPr>
        <w:t xml:space="preserve"> and Epp</w:t>
      </w:r>
      <w:r w:rsidRPr="00CC5F22">
        <w:rPr>
          <w:rFonts w:ascii="Arial" w:hAnsi="Arial" w:cs="Arial"/>
          <w:sz w:val="18"/>
          <w:szCs w:val="18"/>
          <w:shd w:val="clear" w:color="auto" w:fill="FFFFFF"/>
        </w:rPr>
        <w:t xml:space="preserve">, </w:t>
      </w:r>
      <w:r w:rsidRPr="00CC5F22">
        <w:rPr>
          <w:rFonts w:ascii="Arial" w:hAnsi="Arial" w:cs="Arial"/>
          <w:i/>
          <w:iCs/>
          <w:sz w:val="18"/>
          <w:szCs w:val="18"/>
          <w:shd w:val="clear" w:color="auto" w:fill="FFFFFF"/>
        </w:rPr>
        <w:t>Romans</w:t>
      </w:r>
      <w:r w:rsidR="000F75E5">
        <w:rPr>
          <w:rFonts w:ascii="Arial" w:hAnsi="Arial" w:cs="Arial"/>
          <w:i/>
          <w:iCs/>
          <w:sz w:val="18"/>
          <w:szCs w:val="18"/>
          <w:shd w:val="clear" w:color="auto" w:fill="FFFFFF"/>
        </w:rPr>
        <w:t>: A</w:t>
      </w:r>
      <w:r w:rsidRPr="00CC5F22">
        <w:rPr>
          <w:rFonts w:ascii="Arial" w:hAnsi="Arial" w:cs="Arial"/>
          <w:i/>
          <w:iCs/>
          <w:sz w:val="18"/>
          <w:szCs w:val="18"/>
          <w:shd w:val="clear" w:color="auto" w:fill="FFFFFF"/>
        </w:rPr>
        <w:t xml:space="preserve"> commentary</w:t>
      </w:r>
      <w:r>
        <w:rPr>
          <w:rFonts w:ascii="Arial" w:hAnsi="Arial" w:cs="Arial"/>
          <w:sz w:val="18"/>
          <w:szCs w:val="18"/>
          <w:shd w:val="clear" w:color="auto" w:fill="FFFFFF"/>
        </w:rPr>
        <w:t>, p45</w:t>
      </w:r>
      <w:r>
        <w:rPr>
          <w:rFonts w:ascii="Arial" w:hAnsi="Arial" w:cs="Arial"/>
          <w:sz w:val="18"/>
          <w:szCs w:val="18"/>
          <w:shd w:val="clear" w:color="auto" w:fill="FFFFFF"/>
        </w:rPr>
        <w:t>1</w:t>
      </w:r>
      <w:r>
        <w:rPr>
          <w:rFonts w:ascii="Arial" w:hAnsi="Arial" w:cs="Arial"/>
          <w:sz w:val="18"/>
          <w:szCs w:val="18"/>
          <w:shd w:val="clear" w:color="auto" w:fill="FFFFFF"/>
        </w:rPr>
        <w:t>.</w:t>
      </w:r>
    </w:p>
  </w:footnote>
  <w:footnote w:id="26">
    <w:p w14:paraId="6D30AEB0" w14:textId="6AA31DA4" w:rsidR="00E5766A" w:rsidRDefault="00000000" w:rsidP="00CC5F22">
      <w:pPr>
        <w:pStyle w:val="FootnoteText"/>
        <w:ind w:left="0" w:firstLine="0"/>
        <w:rPr>
          <w:rFonts w:hint="eastAsia"/>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Timmins, </w:t>
      </w:r>
      <w:r w:rsidRPr="00CC5F22">
        <w:rPr>
          <w:rFonts w:ascii="Arial" w:hAnsi="Arial" w:cs="Arial"/>
          <w:i/>
          <w:iCs/>
          <w:color w:val="231F20"/>
          <w:sz w:val="18"/>
          <w:szCs w:val="18"/>
          <w:shd w:val="clear" w:color="auto" w:fill="FFFFFF"/>
        </w:rPr>
        <w:t xml:space="preserve">Romans 7 and Christian Identity: A Study of the ‘I’ in its Literary Context Vol. 170, </w:t>
      </w:r>
      <w:r w:rsidRPr="00CC5F22">
        <w:rPr>
          <w:rFonts w:ascii="Arial" w:hAnsi="Arial" w:cs="Arial"/>
          <w:color w:val="231F20"/>
          <w:sz w:val="18"/>
          <w:szCs w:val="18"/>
          <w:shd w:val="clear" w:color="auto" w:fill="FFFFFF"/>
        </w:rPr>
        <w:t>p. 124.</w:t>
      </w:r>
    </w:p>
  </w:footnote>
  <w:footnote w:id="27">
    <w:p w14:paraId="7FAA8919" w14:textId="614F9ED1"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000F75E5">
        <w:rPr>
          <w:rFonts w:ascii="Arial" w:hAnsi="Arial" w:cs="Arial"/>
          <w:sz w:val="18"/>
          <w:szCs w:val="18"/>
        </w:rPr>
        <w:t xml:space="preserve">Matthew </w:t>
      </w:r>
      <w:r w:rsidRPr="00CC5F22">
        <w:rPr>
          <w:rFonts w:ascii="Arial" w:hAnsi="Arial" w:cs="Arial"/>
          <w:bCs/>
          <w:color w:val="231F20"/>
          <w:sz w:val="18"/>
          <w:szCs w:val="18"/>
          <w:shd w:val="clear" w:color="auto" w:fill="FFFFFF"/>
        </w:rPr>
        <w:t>Henry,</w:t>
      </w:r>
      <w:r w:rsidRPr="00CC5F22">
        <w:rPr>
          <w:rFonts w:ascii="Arial" w:hAnsi="Arial" w:cs="Arial"/>
          <w:color w:val="231F20"/>
          <w:sz w:val="18"/>
          <w:szCs w:val="18"/>
          <w:shd w:val="clear" w:color="auto" w:fill="FFFFFF"/>
        </w:rPr>
        <w:t xml:space="preserve"> ‘</w:t>
      </w:r>
      <w:r w:rsidRPr="00CC5F22">
        <w:rPr>
          <w:rFonts w:ascii="Arial" w:hAnsi="Arial" w:cs="Arial"/>
          <w:bCs/>
          <w:color w:val="231F20"/>
          <w:sz w:val="18"/>
          <w:szCs w:val="18"/>
          <w:shd w:val="clear" w:color="auto" w:fill="FFFFFF"/>
        </w:rPr>
        <w:t>Commentary on Romans 7’</w:t>
      </w:r>
      <w:r w:rsidRPr="00CC5F22">
        <w:rPr>
          <w:rFonts w:ascii="Arial" w:hAnsi="Arial" w:cs="Arial"/>
          <w:color w:val="231F20"/>
          <w:sz w:val="18"/>
          <w:szCs w:val="18"/>
          <w:shd w:val="clear" w:color="auto" w:fill="FFFFFF"/>
        </w:rPr>
        <w:t>, https://www.blueletterbible.org/Comm/mhc/Rom/Rom_007.cfm, 15 February 2023.</w:t>
      </w:r>
    </w:p>
  </w:footnote>
  <w:footnote w:id="28">
    <w:p w14:paraId="4C5A8B54" w14:textId="03B1B0BF"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Nickle, ‘Romans 7: 7–25’, p. 185.</w:t>
      </w:r>
    </w:p>
  </w:footnote>
  <w:footnote w:id="29">
    <w:p w14:paraId="489FEA1C" w14:textId="7F5FFA82"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Wasserman, ‘The death of the soul in Romans 7: revisiting Paul's anthropology in light of Hellenistic moral psychology’, p. 799.</w:t>
      </w:r>
    </w:p>
  </w:footnote>
  <w:footnote w:id="30">
    <w:p w14:paraId="39E510C9" w14:textId="2A98180A" w:rsidR="00E5766A" w:rsidRPr="00CC5F22" w:rsidRDefault="00000000">
      <w:pPr>
        <w:pStyle w:val="FootnoteText"/>
        <w:rPr>
          <w:rFonts w:ascii="Arial" w:hAnsi="Arial" w:cs="Arial"/>
          <w:sz w:val="18"/>
          <w:szCs w:val="18"/>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Wasserman, ‘Paul among the Ancient Philosophers: The Case of Romans 7’, p. 78.</w:t>
      </w:r>
    </w:p>
  </w:footnote>
  <w:footnote w:id="31">
    <w:p w14:paraId="23C1B5FB" w14:textId="2AD05C43" w:rsidR="00E5766A" w:rsidRDefault="00000000" w:rsidP="00CC5F22">
      <w:pPr>
        <w:pStyle w:val="BodyText"/>
        <w:spacing w:after="0" w:line="240" w:lineRule="auto"/>
        <w:rPr>
          <w:rFonts w:ascii="Arial" w:hAnsi="Arial" w:cs="Arial"/>
          <w:color w:val="231F20"/>
          <w:sz w:val="18"/>
          <w:szCs w:val="18"/>
          <w:shd w:val="clear" w:color="auto" w:fill="FFFFFF"/>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Pr="00CC5F22">
        <w:rPr>
          <w:rFonts w:ascii="Arial" w:hAnsi="Arial" w:cs="Arial"/>
          <w:color w:val="231F20"/>
          <w:sz w:val="18"/>
          <w:szCs w:val="18"/>
          <w:shd w:val="clear" w:color="auto" w:fill="FFFFFF"/>
        </w:rPr>
        <w:t xml:space="preserve">Nicholas Elder, ‘“Wretch I Am!” Eve’s Tragic Speech-in-Character in Romans 7: 7–25’, </w:t>
      </w:r>
      <w:r w:rsidRPr="00CC5F22">
        <w:rPr>
          <w:rFonts w:ascii="Arial" w:hAnsi="Arial" w:cs="Arial"/>
          <w:i/>
          <w:iCs/>
          <w:color w:val="231F20"/>
          <w:sz w:val="18"/>
          <w:szCs w:val="18"/>
          <w:shd w:val="clear" w:color="auto" w:fill="FFFFFF"/>
        </w:rPr>
        <w:t>Journal of Biblical Literature 137</w:t>
      </w:r>
      <w:r w:rsidRPr="00CC5F22">
        <w:rPr>
          <w:rFonts w:ascii="Arial" w:hAnsi="Arial" w:cs="Arial"/>
          <w:color w:val="231F20"/>
          <w:sz w:val="18"/>
          <w:szCs w:val="18"/>
          <w:shd w:val="clear" w:color="auto" w:fill="FFFFFF"/>
        </w:rPr>
        <w:t>, no. 3 (2018), p. 747.</w:t>
      </w:r>
    </w:p>
  </w:footnote>
  <w:footnote w:id="32">
    <w:p w14:paraId="596F122F" w14:textId="4B6CBF1E" w:rsidR="00E5766A" w:rsidRPr="00CC5F22" w:rsidRDefault="00000000" w:rsidP="00CC5F22">
      <w:pPr>
        <w:pStyle w:val="BodyText"/>
        <w:spacing w:after="0" w:line="240" w:lineRule="auto"/>
        <w:rPr>
          <w:rFonts w:ascii="Arial" w:hAnsi="Arial" w:cs="Arial"/>
          <w:color w:val="231F20"/>
          <w:sz w:val="18"/>
          <w:szCs w:val="18"/>
          <w:shd w:val="clear" w:color="auto" w:fill="FFFFFF"/>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000F75E5">
        <w:rPr>
          <w:rFonts w:ascii="Arial" w:hAnsi="Arial" w:cs="Arial"/>
          <w:sz w:val="18"/>
          <w:szCs w:val="18"/>
        </w:rPr>
        <w:t xml:space="preserve">Austin </w:t>
      </w:r>
      <w:r w:rsidRPr="00CC5F22">
        <w:rPr>
          <w:rFonts w:ascii="Arial" w:hAnsi="Arial" w:cs="Arial"/>
          <w:color w:val="231F20"/>
          <w:sz w:val="18"/>
          <w:szCs w:val="18"/>
          <w:shd w:val="clear" w:color="auto" w:fill="FFFFFF"/>
        </w:rPr>
        <w:t xml:space="preserve">Busch, ‘The figure of Eve in Romans 7: 5-25’, </w:t>
      </w:r>
      <w:r w:rsidRPr="00CC5F22">
        <w:rPr>
          <w:rFonts w:ascii="Arial" w:hAnsi="Arial" w:cs="Arial"/>
          <w:i/>
          <w:iCs/>
          <w:color w:val="231F20"/>
          <w:sz w:val="18"/>
          <w:szCs w:val="18"/>
          <w:shd w:val="clear" w:color="auto" w:fill="FFFFFF"/>
        </w:rPr>
        <w:t>Biblical Interpretation 12</w:t>
      </w:r>
      <w:r w:rsidRPr="00CC5F22">
        <w:rPr>
          <w:rFonts w:ascii="Arial" w:hAnsi="Arial" w:cs="Arial"/>
          <w:color w:val="231F20"/>
          <w:sz w:val="18"/>
          <w:szCs w:val="18"/>
          <w:shd w:val="clear" w:color="auto" w:fill="FFFFFF"/>
        </w:rPr>
        <w:t>, no. 1 (2004), p. 35.</w:t>
      </w:r>
    </w:p>
  </w:footnote>
  <w:footnote w:id="33">
    <w:p w14:paraId="1519712A" w14:textId="62CC8A11" w:rsidR="00E5766A" w:rsidRPr="00CC5F22" w:rsidRDefault="00000000" w:rsidP="00CC5F22">
      <w:pPr>
        <w:pStyle w:val="BodyText"/>
        <w:spacing w:after="0" w:line="240" w:lineRule="auto"/>
        <w:rPr>
          <w:rFonts w:ascii="Arial" w:hAnsi="Arial" w:cs="Arial"/>
          <w:color w:val="231F20"/>
          <w:sz w:val="18"/>
          <w:szCs w:val="18"/>
          <w:shd w:val="clear" w:color="auto" w:fill="FFFFFF"/>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Pr="00CC5F22">
        <w:rPr>
          <w:rFonts w:ascii="Arial" w:hAnsi="Arial" w:cs="Arial"/>
          <w:color w:val="231F20"/>
          <w:sz w:val="18"/>
          <w:szCs w:val="18"/>
          <w:shd w:val="clear" w:color="auto" w:fill="FFFFFF"/>
        </w:rPr>
        <w:t>Elder, ‘“Wretch I Am!” Eve’s Tragic Speech-in-Character in Romans 7: 7–25’, p. 754.</w:t>
      </w:r>
    </w:p>
  </w:footnote>
  <w:footnote w:id="34">
    <w:p w14:paraId="0C1714CE" w14:textId="198A1ECE" w:rsidR="00E5766A" w:rsidRDefault="00000000" w:rsidP="00CC5F22">
      <w:pPr>
        <w:pStyle w:val="FootnoteText"/>
        <w:rPr>
          <w:rFonts w:hint="eastAsia"/>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Elder, ‘“Wretch I Am!” Eve’s Tragic Speech-in-Character in Romans 7: 7–25’, p. 763.</w:t>
      </w:r>
    </w:p>
  </w:footnote>
  <w:footnote w:id="35">
    <w:p w14:paraId="6C85CD51" w14:textId="1751006D" w:rsidR="00E5766A" w:rsidRPr="00CC5F22" w:rsidRDefault="00000000" w:rsidP="00CC5F22">
      <w:pPr>
        <w:pStyle w:val="FootnoteText"/>
        <w:ind w:left="0" w:firstLine="0"/>
        <w:rPr>
          <w:rFonts w:ascii="Arial" w:hAnsi="Arial" w:cs="Arial"/>
          <w:sz w:val="18"/>
          <w:szCs w:val="18"/>
          <w:lang w:val="en-US"/>
        </w:rPr>
      </w:pPr>
      <w:r w:rsidRPr="00CC5F22">
        <w:rPr>
          <w:rStyle w:val="FootnoteCharacters"/>
          <w:rFonts w:ascii="Arial" w:hAnsi="Arial" w:cs="Arial"/>
          <w:sz w:val="18"/>
          <w:szCs w:val="18"/>
        </w:rPr>
        <w:footnoteRef/>
      </w:r>
      <w:r w:rsidR="00CC5F22" w:rsidRPr="00CC5F22">
        <w:rPr>
          <w:rFonts w:ascii="Arial" w:hAnsi="Arial" w:cs="Arial"/>
          <w:sz w:val="18"/>
          <w:szCs w:val="18"/>
        </w:rPr>
        <w:t xml:space="preserve"> </w:t>
      </w:r>
      <w:r w:rsidRPr="00CC5F22">
        <w:rPr>
          <w:rFonts w:ascii="Arial" w:hAnsi="Arial" w:cs="Arial"/>
          <w:bCs/>
          <w:color w:val="231F20"/>
          <w:sz w:val="18"/>
          <w:szCs w:val="18"/>
          <w:shd w:val="clear" w:color="auto" w:fill="FFFFFF"/>
        </w:rPr>
        <w:t>Henry,</w:t>
      </w:r>
      <w:r w:rsidRPr="00CC5F22">
        <w:rPr>
          <w:rFonts w:ascii="Arial" w:hAnsi="Arial" w:cs="Arial"/>
          <w:color w:val="231F20"/>
          <w:sz w:val="18"/>
          <w:szCs w:val="18"/>
          <w:shd w:val="clear" w:color="auto" w:fill="FFFFFF"/>
        </w:rPr>
        <w:t xml:space="preserve"> ‘</w:t>
      </w:r>
      <w:r w:rsidRPr="00CC5F22">
        <w:rPr>
          <w:rFonts w:ascii="Arial" w:hAnsi="Arial" w:cs="Arial"/>
          <w:bCs/>
          <w:color w:val="231F20"/>
          <w:sz w:val="18"/>
          <w:szCs w:val="18"/>
          <w:shd w:val="clear" w:color="auto" w:fill="FFFFFF"/>
        </w:rPr>
        <w:t>Commentary on Romans 7’</w:t>
      </w:r>
      <w:r w:rsidRPr="00CC5F22">
        <w:rPr>
          <w:rFonts w:ascii="Arial" w:hAnsi="Arial" w:cs="Arial"/>
          <w:color w:val="231F20"/>
          <w:sz w:val="18"/>
          <w:szCs w:val="18"/>
          <w:shd w:val="clear" w:color="auto" w:fill="FFFFFF"/>
        </w:rPr>
        <w:t>.</w:t>
      </w:r>
    </w:p>
  </w:footnote>
  <w:footnote w:id="36">
    <w:p w14:paraId="64229C40" w14:textId="77777777" w:rsidR="00E5766A" w:rsidRPr="00CC5F22" w:rsidRDefault="00000000" w:rsidP="00CC5F22">
      <w:pPr>
        <w:pStyle w:val="BodyText"/>
        <w:spacing w:after="0" w:line="240" w:lineRule="auto"/>
        <w:rPr>
          <w:rFonts w:ascii="Arial" w:hAnsi="Arial" w:cs="Arial"/>
          <w:color w:val="231F20"/>
          <w:sz w:val="18"/>
          <w:szCs w:val="18"/>
          <w:shd w:val="clear" w:color="auto" w:fill="FFFFFF"/>
        </w:rPr>
      </w:pPr>
      <w:r w:rsidRPr="00CC5F22">
        <w:rPr>
          <w:rStyle w:val="FootnoteCharacters"/>
          <w:rFonts w:ascii="Arial" w:hAnsi="Arial" w:cs="Arial"/>
          <w:sz w:val="18"/>
          <w:szCs w:val="18"/>
        </w:rPr>
        <w:footnoteRef/>
      </w:r>
      <w:r w:rsidRPr="00CC5F22">
        <w:rPr>
          <w:rFonts w:ascii="Arial" w:hAnsi="Arial" w:cs="Arial"/>
          <w:sz w:val="18"/>
          <w:szCs w:val="18"/>
        </w:rPr>
        <w:t xml:space="preserve"> </w:t>
      </w:r>
      <w:r w:rsidRPr="00CC5F22">
        <w:rPr>
          <w:rFonts w:ascii="Arial" w:hAnsi="Arial" w:cs="Arial"/>
          <w:bCs/>
          <w:color w:val="231F20"/>
          <w:sz w:val="18"/>
          <w:szCs w:val="18"/>
          <w:shd w:val="clear" w:color="auto" w:fill="FFFFFF"/>
        </w:rPr>
        <w:t xml:space="preserve">David Guzik, ‘Romans 7 – Exposing the Weakness of the Law’,  </w:t>
      </w:r>
      <w:hyperlink r:id="rId1">
        <w:r w:rsidRPr="00CC5F22">
          <w:rPr>
            <w:rStyle w:val="Hyperlink"/>
            <w:rFonts w:ascii="Arial" w:hAnsi="Arial" w:cs="Arial"/>
            <w:bCs/>
            <w:color w:val="231F20"/>
            <w:sz w:val="18"/>
            <w:szCs w:val="18"/>
            <w:shd w:val="clear" w:color="auto" w:fill="FFFFFF"/>
          </w:rPr>
          <w:t>https://enduring</w:t>
        </w:r>
        <w:r w:rsidRPr="00CC5F22">
          <w:rPr>
            <w:rStyle w:val="Hyperlink"/>
            <w:rFonts w:ascii="Arial" w:hAnsi="Arial" w:cs="Arial"/>
            <w:bCs/>
            <w:color w:val="231F20"/>
            <w:sz w:val="18"/>
            <w:szCs w:val="18"/>
            <w:shd w:val="clear" w:color="auto" w:fill="FFFFFF"/>
          </w:rPr>
          <w:t>w</w:t>
        </w:r>
        <w:r w:rsidRPr="00CC5F22">
          <w:rPr>
            <w:rStyle w:val="Hyperlink"/>
            <w:rFonts w:ascii="Arial" w:hAnsi="Arial" w:cs="Arial"/>
            <w:bCs/>
            <w:color w:val="231F20"/>
            <w:sz w:val="18"/>
            <w:szCs w:val="18"/>
            <w:shd w:val="clear" w:color="auto" w:fill="FFFFFF"/>
          </w:rPr>
          <w:t>ord.com/bible-commentary/romans-7</w:t>
        </w:r>
        <w:r w:rsidRPr="00CC5F22">
          <w:rPr>
            <w:rStyle w:val="Hyperlink"/>
            <w:rFonts w:ascii="Arial" w:hAnsi="Arial" w:cs="Arial"/>
            <w:bCs/>
            <w:color w:val="231F20"/>
            <w:sz w:val="18"/>
            <w:szCs w:val="18"/>
            <w:shd w:val="clear" w:color="auto" w:fill="FFFFFF"/>
          </w:rPr>
          <w:t>/</w:t>
        </w:r>
      </w:hyperlink>
      <w:r w:rsidRPr="00CC5F22">
        <w:rPr>
          <w:rFonts w:ascii="Arial" w:hAnsi="Arial" w:cs="Arial"/>
          <w:bCs/>
          <w:color w:val="231F20"/>
          <w:sz w:val="18"/>
          <w:szCs w:val="18"/>
          <w:shd w:val="clear" w:color="auto" w:fill="FFFFFF"/>
        </w:rPr>
        <w:t>, 15 February 2023.</w:t>
      </w:r>
    </w:p>
  </w:footnote>
  <w:footnote w:id="37">
    <w:p w14:paraId="1ED13EF5" w14:textId="786C7B10" w:rsidR="00E5766A" w:rsidRDefault="00000000" w:rsidP="00CC5F22">
      <w:pPr>
        <w:pStyle w:val="FootnoteText"/>
        <w:rPr>
          <w:rFonts w:hint="eastAsia"/>
          <w:lang w:val="en-US"/>
        </w:rPr>
      </w:pPr>
      <w:r w:rsidRPr="00CC5F22">
        <w:rPr>
          <w:rStyle w:val="FootnoteCharacters"/>
          <w:rFonts w:ascii="Arial" w:hAnsi="Arial" w:cs="Arial"/>
          <w:sz w:val="18"/>
          <w:szCs w:val="18"/>
        </w:rPr>
        <w:footnoteRef/>
      </w:r>
      <w:r w:rsidR="00CC5F22">
        <w:rPr>
          <w:rFonts w:ascii="Arial" w:hAnsi="Arial" w:cs="Arial"/>
          <w:sz w:val="18"/>
          <w:szCs w:val="18"/>
        </w:rPr>
        <w:t xml:space="preserve"> </w:t>
      </w:r>
      <w:r w:rsidRPr="00CC5F22">
        <w:rPr>
          <w:rFonts w:ascii="Arial" w:hAnsi="Arial" w:cs="Arial"/>
          <w:color w:val="231F20"/>
          <w:sz w:val="18"/>
          <w:szCs w:val="18"/>
          <w:shd w:val="clear" w:color="auto" w:fill="FFFFFF"/>
        </w:rPr>
        <w:t>Chang, ‘The Christian life in a dialectical tension? Romans 7: 7-25 reconsidered’, p. 261.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66A"/>
    <w:rsid w:val="000F75E5"/>
    <w:rsid w:val="001E35A3"/>
    <w:rsid w:val="007E7B58"/>
    <w:rsid w:val="008E3945"/>
    <w:rsid w:val="00937D1B"/>
    <w:rsid w:val="00991A37"/>
    <w:rsid w:val="00CA74D9"/>
    <w:rsid w:val="00CC5F22"/>
    <w:rsid w:val="00E5766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2FAF60B3"/>
  <w15:docId w15:val="{7F786566-5FFC-8447-A862-5D9405C6A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ongti SC"/>
    </w:rPr>
  </w:style>
  <w:style w:type="paragraph" w:styleId="Heading1">
    <w:name w:val="heading 1"/>
    <w:basedOn w:val="Heading"/>
    <w:next w:val="BodyText"/>
    <w:uiPriority w:val="9"/>
    <w:qFormat/>
    <w:pPr>
      <w:outlineLvl w:val="0"/>
    </w:pPr>
    <w:rPr>
      <w:rFonts w:ascii="Liberation Serif" w:eastAsia="Songti SC" w:hAnsi="Liberation Serif"/>
      <w:b/>
      <w:bCs/>
      <w:sz w:val="48"/>
      <w:szCs w:val="48"/>
    </w:rPr>
  </w:style>
  <w:style w:type="paragraph" w:styleId="Heading2">
    <w:name w:val="heading 2"/>
    <w:basedOn w:val="Heading"/>
    <w:next w:val="BodyText"/>
    <w:uiPriority w:val="9"/>
    <w:unhideWhenUsed/>
    <w:qFormat/>
    <w:pPr>
      <w:spacing w:before="200"/>
      <w:outlineLvl w:val="1"/>
    </w:pPr>
    <w:rPr>
      <w:rFonts w:ascii="Liberation Serif" w:eastAsia="Songti SC"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FootnoteCharacters">
    <w:name w:val="Footnote Characters"/>
    <w:basedOn w:val="DefaultParagraphFont"/>
    <w:uiPriority w:val="99"/>
    <w:semiHidden/>
    <w:unhideWhenUsed/>
    <w:qFormat/>
    <w:rsid w:val="00CA65D8"/>
    <w:rPr>
      <w:vertAlign w:val="superscript"/>
    </w:rPr>
  </w:style>
  <w:style w:type="character" w:customStyle="1" w:styleId="FootnoteAnchor">
    <w:name w:val="Footnote Anchor"/>
    <w:rPr>
      <w:vertAlign w:val="superscript"/>
    </w:rPr>
  </w:style>
  <w:style w:type="character" w:customStyle="1" w:styleId="StrongEmphasis">
    <w:name w:val="Strong Emphasis"/>
    <w:qFormat/>
    <w:rPr>
      <w:b/>
      <w:bCs/>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 w:type="character" w:styleId="FootnoteReference">
    <w:name w:val="footnote reference"/>
    <w:basedOn w:val="DefaultParagraphFont"/>
    <w:uiPriority w:val="99"/>
    <w:semiHidden/>
    <w:unhideWhenUsed/>
    <w:rsid w:val="00CC5F22"/>
    <w:rPr>
      <w:vertAlign w:val="superscript"/>
    </w:rPr>
  </w:style>
  <w:style w:type="paragraph" w:customStyle="1" w:styleId="western">
    <w:name w:val="western"/>
    <w:basedOn w:val="Normal"/>
    <w:rsid w:val="00CC5F22"/>
    <w:pPr>
      <w:suppressAutoHyphens w:val="0"/>
      <w:spacing w:before="100" w:beforeAutospacing="1" w:after="142" w:line="276" w:lineRule="auto"/>
    </w:pPr>
    <w:rPr>
      <w:rFonts w:eastAsia="Times New Roman" w:cs="Times New Roman"/>
      <w:color w:val="000000"/>
      <w:kern w:val="0"/>
      <w:lang w:val="en-KR" w:eastAsia="ko-KR" w:bidi="ar-SA"/>
    </w:rPr>
  </w:style>
  <w:style w:type="character" w:customStyle="1" w:styleId="apple-converted-space">
    <w:name w:val="apple-converted-space"/>
    <w:basedOn w:val="DefaultParagraphFont"/>
    <w:rsid w:val="000F7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751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duringword.com/bible-commentary/romans-7/"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enduringword.com/bible-commentary/romans-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1191</TotalTime>
  <Pages>14</Pages>
  <Words>3137</Words>
  <Characters>17886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David Speirs (2123050)</cp:lastModifiedBy>
  <cp:revision>110</cp:revision>
  <dcterms:created xsi:type="dcterms:W3CDTF">2022-11-12T17:38:00Z</dcterms:created>
  <dcterms:modified xsi:type="dcterms:W3CDTF">2023-03-28T01:20:00Z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