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1459D" w:rsidR="00F1459D" w:rsidP="00EA4113" w:rsidRDefault="00F1459D" w14:paraId="14852FFB" w14:textId="77777777">
      <w:pPr>
        <w:spacing w:line="360" w:lineRule="auto"/>
        <w:jc w:val="center"/>
        <w:rPr>
          <w:rFonts w:ascii="Arial" w:hAnsi="Arial" w:cs="Arial"/>
          <w:lang w:eastAsia="en-GB"/>
        </w:rPr>
      </w:pPr>
    </w:p>
    <w:p w:rsidR="00F1459D" w:rsidP="00EA4113" w:rsidRDefault="00F1459D" w14:paraId="77E8012A" w14:textId="77777777">
      <w:pPr>
        <w:spacing w:line="360" w:lineRule="auto"/>
        <w:jc w:val="center"/>
        <w:rPr>
          <w:rFonts w:ascii="Arial" w:hAnsi="Arial" w:cs="Arial"/>
          <w:lang w:eastAsia="en-GB"/>
        </w:rPr>
      </w:pPr>
    </w:p>
    <w:p w:rsidR="00F1459D" w:rsidP="00EA4113" w:rsidRDefault="00F1459D" w14:paraId="6A9D86C9" w14:textId="77777777">
      <w:pPr>
        <w:spacing w:line="360" w:lineRule="auto"/>
        <w:jc w:val="center"/>
        <w:rPr>
          <w:rFonts w:ascii="Arial" w:hAnsi="Arial" w:cs="Arial"/>
          <w:lang w:eastAsia="en-GB"/>
        </w:rPr>
      </w:pPr>
    </w:p>
    <w:p w:rsidR="00F1459D" w:rsidP="00EA4113" w:rsidRDefault="00F1459D" w14:paraId="56CD00C4" w14:textId="77777777">
      <w:pPr>
        <w:spacing w:line="360" w:lineRule="auto"/>
        <w:jc w:val="center"/>
        <w:rPr>
          <w:rFonts w:ascii="Arial" w:hAnsi="Arial" w:cs="Arial"/>
          <w:lang w:eastAsia="en-GB"/>
        </w:rPr>
      </w:pPr>
    </w:p>
    <w:p w:rsidR="00F1459D" w:rsidP="00EA4113" w:rsidRDefault="00F1459D" w14:paraId="3F4B9B99" w14:textId="77777777">
      <w:pPr>
        <w:spacing w:line="360" w:lineRule="auto"/>
        <w:jc w:val="center"/>
        <w:rPr>
          <w:rFonts w:ascii="Arial" w:hAnsi="Arial" w:cs="Arial"/>
          <w:lang w:eastAsia="en-GB"/>
        </w:rPr>
      </w:pPr>
    </w:p>
    <w:p w:rsidRPr="00F1459D" w:rsidR="00F1459D" w:rsidP="00EA4113" w:rsidRDefault="00F1459D" w14:paraId="6E584B94" w14:textId="77777777">
      <w:pPr>
        <w:spacing w:line="360" w:lineRule="auto"/>
        <w:jc w:val="center"/>
        <w:rPr>
          <w:rFonts w:ascii="Arial" w:hAnsi="Arial" w:cs="Arial"/>
          <w:lang w:eastAsia="en-GB"/>
        </w:rPr>
      </w:pPr>
    </w:p>
    <w:p w:rsidRPr="00F1459D" w:rsidR="00F1459D" w:rsidP="00EA4113" w:rsidRDefault="00F1459D" w14:paraId="791D6026" w14:textId="77777777">
      <w:pPr>
        <w:spacing w:line="360" w:lineRule="auto"/>
        <w:jc w:val="center"/>
        <w:rPr>
          <w:rFonts w:ascii="Arial" w:hAnsi="Arial" w:cs="Arial"/>
          <w:lang w:eastAsia="en-GB"/>
        </w:rPr>
      </w:pPr>
    </w:p>
    <w:p w:rsidRPr="00F1459D" w:rsidR="00F1459D" w:rsidP="00EA4113" w:rsidRDefault="00F1459D" w14:paraId="1D991AE5" w14:textId="77777777">
      <w:pPr>
        <w:spacing w:line="360" w:lineRule="auto"/>
        <w:jc w:val="center"/>
        <w:rPr>
          <w:rFonts w:ascii="Arial" w:hAnsi="Arial" w:cs="Arial"/>
          <w:lang w:eastAsia="en-GB"/>
        </w:rPr>
      </w:pPr>
    </w:p>
    <w:p w:rsidRPr="00F1459D" w:rsidR="00F1459D" w:rsidP="00EA4113" w:rsidRDefault="00F1459D" w14:paraId="233FB884" w14:textId="77777777">
      <w:pPr>
        <w:spacing w:line="360" w:lineRule="auto"/>
        <w:jc w:val="center"/>
        <w:rPr>
          <w:rFonts w:ascii="Arial" w:hAnsi="Arial" w:cs="Arial"/>
          <w:lang w:eastAsia="en-GB"/>
        </w:rPr>
      </w:pPr>
    </w:p>
    <w:p w:rsidRPr="00F1459D" w:rsidR="00363A81" w:rsidP="00EA4113" w:rsidRDefault="00363A81" w14:paraId="56F68120" w14:textId="15A98428">
      <w:pPr>
        <w:spacing w:line="360" w:lineRule="auto"/>
        <w:jc w:val="center"/>
        <w:rPr>
          <w:rFonts w:ascii="Arial" w:hAnsi="Arial" w:cs="Arial"/>
          <w:b/>
          <w:bCs/>
          <w:lang w:eastAsia="en-GB"/>
        </w:rPr>
      </w:pPr>
      <w:r w:rsidRPr="00F1459D">
        <w:rPr>
          <w:rFonts w:ascii="Arial" w:hAnsi="Arial" w:cs="Arial"/>
          <w:b/>
          <w:bCs/>
          <w:lang w:eastAsia="en-GB"/>
        </w:rPr>
        <w:t>Evaluation of Person-Centred Care and Partnership Working in Health and Social Care</w:t>
      </w:r>
    </w:p>
    <w:p w:rsidRPr="00F1459D" w:rsidR="00363A81" w:rsidP="00EA4113" w:rsidRDefault="00363A81" w14:paraId="49C47BDF" w14:textId="77777777">
      <w:pPr>
        <w:spacing w:line="360" w:lineRule="auto"/>
        <w:jc w:val="center"/>
        <w:rPr>
          <w:rFonts w:ascii="Arial" w:hAnsi="Arial" w:cs="Arial"/>
          <w:kern w:val="0"/>
          <w:lang w:eastAsia="en-GB"/>
        </w:rPr>
      </w:pPr>
      <w:r w:rsidRPr="00F1459D" w:rsidR="05A9FA3A">
        <w:rPr>
          <w:rFonts w:ascii="Arial" w:hAnsi="Arial" w:cs="Arial"/>
          <w:kern w:val="0"/>
          <w:lang w:eastAsia="en-GB"/>
        </w:rPr>
        <w:t xml:space="preserve">Mariam Karim</w:t>
      </w:r>
    </w:p>
    <w:p w:rsidRPr="00F1459D" w:rsidR="00363A81" w:rsidP="00EA4113" w:rsidRDefault="00363A81" w14:paraId="11D0EC49" w14:textId="77777777">
      <w:pPr>
        <w:spacing w:line="360" w:lineRule="auto"/>
        <w:jc w:val="center"/>
        <w:rPr>
          <w:rFonts w:ascii="Arial" w:hAnsi="Arial" w:cs="Arial"/>
          <w:kern w:val="0"/>
          <w:lang w:eastAsia="en-GB"/>
        </w:rPr>
      </w:pPr>
      <w:r w:rsidRPr="00F1459D" w:rsidR="05A9FA3A">
        <w:rPr>
          <w:rFonts w:ascii="Arial" w:hAnsi="Arial" w:cs="Arial"/>
          <w:kern w:val="0"/>
          <w:bdr w:val="none" w:color="auto" w:sz="0" w:space="0" w:frame="1"/>
          <w:lang w:eastAsia="en-GB"/>
        </w:rPr>
        <w:t>2407469</w:t>
      </w:r>
    </w:p>
    <w:p w:rsidRPr="00F1459D" w:rsidR="00363A81" w:rsidP="00EA4113" w:rsidRDefault="00363A81" w14:paraId="46CA2E15" w14:textId="77777777">
      <w:pPr>
        <w:spacing w:line="360" w:lineRule="auto"/>
        <w:jc w:val="center"/>
        <w:rPr>
          <w:rFonts w:ascii="Arial" w:hAnsi="Arial" w:cs="Arial"/>
          <w:kern w:val="0"/>
          <w:lang w:eastAsia="en-GB"/>
        </w:rPr>
      </w:pPr>
      <w:r w:rsidRPr="00F1459D">
        <w:rPr>
          <w:rFonts w:ascii="Arial" w:hAnsi="Arial" w:cs="Arial"/>
          <w:kern w:val="0"/>
          <w:bdr w:val="none" w:color="auto" w:sz="0" w:space="0" w:frame="1"/>
          <w:lang w:eastAsia="en-GB"/>
        </w:rPr>
        <w:t>Assignment Title:</w:t>
      </w:r>
      <w:r w:rsidRPr="00F1459D">
        <w:rPr>
          <w:rFonts w:ascii="Arial" w:hAnsi="Arial" w:cs="Arial"/>
          <w:kern w:val="0"/>
          <w:lang w:eastAsia="en-GB"/>
        </w:rPr>
        <w:t xml:space="preserve"> Component 2 – Written Assignment (Report)</w:t>
      </w:r>
    </w:p>
    <w:p w:rsidRPr="00F1459D" w:rsidR="00F1459D" w:rsidP="00EA4113" w:rsidRDefault="00F1459D" w14:paraId="1A71E904" w14:textId="77777777">
      <w:pPr>
        <w:spacing w:line="360" w:lineRule="auto"/>
        <w:jc w:val="center"/>
        <w:rPr>
          <w:rFonts w:ascii="Arial" w:hAnsi="Arial" w:cs="Arial"/>
          <w:kern w:val="0"/>
          <w:lang w:eastAsia="en-GB"/>
        </w:rPr>
      </w:pPr>
      <w:r w:rsidRPr="43E7D8AF">
        <w:rPr>
          <w:rFonts w:ascii="Arial" w:hAnsi="Arial" w:cs="Arial"/>
          <w:lang w:eastAsia="en-GB"/>
        </w:rPr>
        <w:br w:type="page"/>
      </w:r>
    </w:p>
    <w:p w:rsidR="00EA4113" w:rsidRDefault="00EA4113" w14:paraId="70984F28" w14:textId="77777777">
      <w:pPr>
        <w:rPr>
          <w:rFonts w:ascii="Arial" w:hAnsi="Arial" w:eastAsia="Times New Roman" w:cs="Arial"/>
          <w:b/>
          <w:bCs/>
          <w:color w:val="1F1F1F"/>
          <w:kern w:val="0"/>
          <w:lang w:eastAsia="en-GB"/>
          <w14:ligatures w14:val="none"/>
        </w:rPr>
      </w:pPr>
      <w:r>
        <w:rPr>
          <w:rFonts w:ascii="Arial" w:hAnsi="Arial" w:eastAsia="Times New Roman" w:cs="Arial"/>
          <w:b/>
          <w:bCs/>
          <w:color w:val="1F1F1F"/>
          <w:kern w:val="0"/>
          <w:lang w:eastAsia="en-GB"/>
          <w14:ligatures w14:val="none"/>
        </w:rPr>
        <w:br w:type="page"/>
      </w:r>
    </w:p>
    <w:p w:rsidRPr="00363A81" w:rsidR="00363A81" w:rsidP="00EA4113" w:rsidRDefault="00363A81" w14:paraId="5556AA61" w14:textId="695803D7">
      <w:pPr>
        <w:spacing w:after="120" w:line="360" w:lineRule="auto"/>
        <w:jc w:val="both"/>
        <w:outlineLvl w:val="1"/>
        <w:rPr>
          <w:rFonts w:ascii="Arial" w:hAnsi="Arial" w:eastAsia="Times New Roman" w:cs="Arial"/>
          <w:b w:val="1"/>
          <w:bCs w:val="1"/>
          <w:color w:val="1F1F1F"/>
          <w:kern w:val="0"/>
          <w:lang w:eastAsia="en-GB"/>
          <w14:ligatures w14:val="none"/>
        </w:rPr>
      </w:pPr>
      <w:r w:rsidRPr="00363A81" w:rsidR="00363A81">
        <w:rPr>
          <w:rFonts w:ascii="Arial" w:hAnsi="Arial" w:eastAsia="Times New Roman" w:cs="Arial"/>
          <w:b w:val="1"/>
          <w:bCs w:val="1"/>
          <w:color w:val="1F1F1F"/>
          <w:kern w:val="0"/>
          <w:lang w:eastAsia="en-GB"/>
          <w14:ligatures w14:val="none"/>
        </w:rPr>
        <w:lastRenderedPageBreak/>
        <w:t>1. Introduction</w:t>
      </w:r>
    </w:p>
    <w:p w:rsidR="00363A81" w:rsidP="00EA4113" w:rsidRDefault="00FA3947" w14:paraId="78D32167" w14:textId="14222836">
      <w:pPr>
        <w:spacing w:after="0" w:line="360" w:lineRule="auto"/>
        <w:ind w:firstLine="720"/>
        <w:jc w:val="both"/>
        <w:rPr>
          <w:rFonts w:ascii="Arial" w:hAnsi="Arial" w:eastAsia="Times New Roman" w:cs="Arial"/>
          <w:color w:val="1F1F1F"/>
          <w:kern w:val="0"/>
          <w:bdr w:val="none" w:color="auto" w:sz="0" w:space="0" w:frame="1"/>
          <w:lang w:eastAsia="en-GB"/>
          <w14:ligatures w14:val="none"/>
        </w:rPr>
      </w:pPr>
      <w:r w:rsidRPr="00FA3947">
        <w:rPr>
          <w:rFonts w:ascii="Arial" w:hAnsi="Arial" w:eastAsia="Times New Roman" w:cs="Arial"/>
          <w:color w:val="1F1F1F"/>
          <w:kern w:val="0"/>
          <w:bdr w:val="none" w:color="auto" w:sz="0" w:space="0" w:frame="1"/>
          <w:lang w:eastAsia="en-GB"/>
          <w14:ligatures w14:val="none"/>
        </w:rPr>
        <w:t xml:space="preserve">Contemporary health and social care in the United Kingdom </w:t>
      </w:r>
      <w:proofErr w:type="gramStart"/>
      <w:r w:rsidRPr="00FA3947">
        <w:rPr>
          <w:rFonts w:ascii="Arial" w:hAnsi="Arial" w:eastAsia="Times New Roman" w:cs="Arial"/>
          <w:color w:val="1F1F1F"/>
          <w:kern w:val="0"/>
          <w:bdr w:val="none" w:color="auto" w:sz="0" w:space="0" w:frame="1"/>
          <w:lang w:eastAsia="en-GB"/>
          <w14:ligatures w14:val="none"/>
        </w:rPr>
        <w:t>has</w:t>
      </w:r>
      <w:proofErr w:type="gramEnd"/>
      <w:r w:rsidRPr="00FA3947">
        <w:rPr>
          <w:rFonts w:ascii="Arial" w:hAnsi="Arial" w:eastAsia="Times New Roman" w:cs="Arial"/>
          <w:color w:val="1F1F1F"/>
          <w:kern w:val="0"/>
          <w:bdr w:val="none" w:color="auto" w:sz="0" w:space="0" w:frame="1"/>
          <w:lang w:eastAsia="en-GB"/>
          <w14:ligatures w14:val="none"/>
        </w:rPr>
        <w:t xml:space="preserve"> shifted to a paradigm shift transitioning away from clinician-led and paternalistic models towards one that is characterised by Person-Centred Care (PCC) and Partnership Working (PW) (Scourfield, 2021). In this report, the two pillars were critically assessed and their contact points in professional policy and practice have been reviewed. The article starts with the definition of PCC and a critical analysis of its advantages and limitations. It further explores the Person-Centred Theory by Carl Rogers as one of the basic approaches to practice, and then elaborates the basic principles of ethics, namely autonomy, beneficence, non-maleficence and justice that apply to professional practice. In addition to this, the report examines the effectiveness of partnership working, investigating its use in a real environment of dementia care. Last but not least, it discusses the legislative environment such as the Care Act 2014 and the Health and Care Act 2022 and has ended with strategic suggestions on how these practices can evolve in future in the UK</w:t>
      </w:r>
      <w:r w:rsidRPr="00363A81" w:rsidR="00363A81">
        <w:rPr>
          <w:rFonts w:ascii="Arial" w:hAnsi="Arial" w:eastAsia="Times New Roman" w:cs="Arial"/>
          <w:color w:val="1F1F1F"/>
          <w:kern w:val="0"/>
          <w:bdr w:val="none" w:color="auto" w:sz="0" w:space="0" w:frame="1"/>
          <w:lang w:eastAsia="en-GB"/>
          <w14:ligatures w14:val="none"/>
        </w:rPr>
        <w:t>.</w:t>
      </w:r>
    </w:p>
    <w:p w:rsidRPr="00363A81" w:rsidR="0099637D" w:rsidP="00EA4113" w:rsidRDefault="0099637D" w14:paraId="336D3A00" w14:textId="77777777">
      <w:pPr>
        <w:spacing w:after="0" w:line="360" w:lineRule="auto"/>
        <w:jc w:val="both"/>
        <w:rPr>
          <w:rFonts w:ascii="Arial" w:hAnsi="Arial" w:eastAsia="Times New Roman" w:cs="Arial"/>
          <w:color w:val="1F1F1F"/>
          <w:kern w:val="0"/>
          <w:lang w:eastAsia="en-GB"/>
          <w14:ligatures w14:val="none"/>
        </w:rPr>
      </w:pPr>
    </w:p>
    <w:p w:rsidRPr="00363A81" w:rsidR="00363A81" w:rsidP="00EA4113" w:rsidRDefault="00363A81" w14:paraId="56B56846" w14:textId="77777777">
      <w:pPr>
        <w:spacing w:after="120" w:line="360" w:lineRule="auto"/>
        <w:jc w:val="both"/>
        <w:outlineLvl w:val="1"/>
        <w:rPr>
          <w:rFonts w:ascii="Arial" w:hAnsi="Arial" w:eastAsia="Times New Roman" w:cs="Arial"/>
          <w:b w:val="1"/>
          <w:bCs w:val="1"/>
          <w:color w:val="1F1F1F"/>
          <w:kern w:val="0"/>
          <w:lang w:eastAsia="en-GB"/>
          <w14:ligatures w14:val="none"/>
        </w:rPr>
      </w:pPr>
      <w:r w:rsidRPr="00363A81" w:rsidR="00363A81">
        <w:rPr>
          <w:rFonts w:ascii="Arial" w:hAnsi="Arial" w:eastAsia="Times New Roman" w:cs="Arial"/>
          <w:b w:val="1"/>
          <w:bCs w:val="1"/>
          <w:color w:val="1F1F1F"/>
          <w:kern w:val="0"/>
          <w:lang w:eastAsia="en-GB"/>
          <w14:ligatures w14:val="none"/>
        </w:rPr>
        <w:t>2. Defining Person-Centred Care (PCC)</w:t>
      </w:r>
    </w:p>
    <w:p w:rsidR="00363A81" w:rsidP="00EA4113" w:rsidRDefault="00FA3947" w14:paraId="086E2903" w14:textId="303896D9">
      <w:pPr>
        <w:spacing w:after="0" w:line="360" w:lineRule="auto"/>
        <w:ind w:firstLine="720"/>
        <w:jc w:val="both"/>
        <w:rPr>
          <w:rFonts w:ascii="Arial" w:hAnsi="Arial" w:eastAsia="Times New Roman" w:cs="Arial"/>
          <w:color w:val="1F1F1F"/>
          <w:kern w:val="0"/>
          <w:bdr w:val="none" w:color="auto" w:sz="0" w:space="0" w:frame="1"/>
          <w:lang w:eastAsia="en-GB"/>
          <w14:ligatures w14:val="none"/>
        </w:rPr>
      </w:pPr>
      <w:r w:rsidRPr="00FA3947">
        <w:rPr>
          <w:rFonts w:ascii="Arial" w:hAnsi="Arial" w:eastAsia="Times New Roman" w:cs="Arial"/>
          <w:color w:val="1F1F1F"/>
          <w:kern w:val="0"/>
          <w:lang w:eastAsia="en-GB"/>
          <w14:ligatures w14:val="none"/>
        </w:rPr>
        <w:t>Person-centred care is a practice that goes beyond the provision of clinical activities; a philosophy that considers the needs of every individual, his or her preferences in life, and his or her life values (Moody et al., 2018). The Health Foundation (2016) states that PCC guarantees the preservation of personhood, irrespective of how serious a disease or disability is in a person. This strategy demands that health and social care professionals should consider the service user as more than a bundle of symptoms or a passive recipient of care and should rather see him as an active partner who possesses a rich repository of lived experience, which is critical in the care-planning process. It indicates a radical change in regard to the concept of the traditional medical model, whereby its major consideration is on pathology and deficit to a social model where the central consideration is on the empowerment and environmental adaptation</w:t>
      </w:r>
      <w:r w:rsidRPr="00363A81" w:rsidR="00363A81">
        <w:rPr>
          <w:rFonts w:ascii="Arial" w:hAnsi="Arial" w:eastAsia="Times New Roman" w:cs="Arial"/>
          <w:color w:val="1F1F1F"/>
          <w:kern w:val="0"/>
          <w:bdr w:val="none" w:color="auto" w:sz="0" w:space="0" w:frame="1"/>
          <w:lang w:eastAsia="en-GB"/>
          <w14:ligatures w14:val="none"/>
        </w:rPr>
        <w:t>.</w:t>
      </w:r>
    </w:p>
    <w:p w:rsidR="00FA3947" w:rsidP="00EA4113" w:rsidRDefault="00FA3947" w14:paraId="29ADA27E" w14:textId="77777777">
      <w:pPr>
        <w:keepNext/>
        <w:spacing w:after="0" w:line="360" w:lineRule="auto"/>
        <w:jc w:val="center"/>
      </w:pPr>
      <w:r>
        <w:rPr>
          <w:noProof/>
        </w:rPr>
        <w:lastRenderedPageBreak/>
        <w:drawing>
          <wp:inline distT="0" distB="0" distL="0" distR="0" wp14:anchorId="73ABF615" wp14:editId="30C3535B">
            <wp:extent cx="3213068" cy="2410691"/>
            <wp:effectExtent l="0" t="0" r="6985" b="8890"/>
            <wp:docPr id="1257008000" name="Picture 1" descr="What is Person-Centred Care (PCC)? | Gert Koekemoer posted on the top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rson-Centred Care (PCC)? | Gert Koekemoer posted on the topic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5068" cy="2412192"/>
                    </a:xfrm>
                    <a:prstGeom prst="rect">
                      <a:avLst/>
                    </a:prstGeom>
                    <a:noFill/>
                    <a:ln>
                      <a:noFill/>
                    </a:ln>
                  </pic:spPr>
                </pic:pic>
              </a:graphicData>
            </a:graphic>
          </wp:inline>
        </w:drawing>
      </w:r>
    </w:p>
    <w:p w:rsidR="00FA3947" w:rsidP="00EA4113" w:rsidRDefault="00FA3947" w14:paraId="053F97B7" w14:textId="47DF8CAB">
      <w:pPr>
        <w:pStyle w:val="Caption"/>
        <w:spacing w:line="360" w:lineRule="auto"/>
        <w:jc w:val="center"/>
        <w:rPr>
          <w:rFonts w:ascii="Arial" w:hAnsi="Arial" w:eastAsia="Times New Roman" w:cs="Arial"/>
          <w:color w:val="1F1F1F"/>
          <w:kern w:val="0"/>
          <w:bdr w:val="none" w:color="auto" w:sz="0" w:space="0" w:frame="1"/>
          <w:lang w:eastAsia="en-GB"/>
          <w14:ligatures w14:val="none"/>
        </w:rPr>
      </w:pPr>
      <w:r>
        <w:t xml:space="preserve">Figure </w:t>
      </w:r>
      <w:r>
        <w:fldChar w:fldCharType="begin"/>
      </w:r>
      <w:r>
        <w:instrText xml:space="preserve"> SEQ Figure \* ARABIC </w:instrText>
      </w:r>
      <w:r>
        <w:fldChar w:fldCharType="separate"/>
      </w:r>
      <w:r>
        <w:rPr>
          <w:noProof/>
        </w:rPr>
        <w:t>1</w:t>
      </w:r>
      <w:r>
        <w:fldChar w:fldCharType="end"/>
      </w:r>
      <w:r>
        <w:t>: PCC</w:t>
      </w:r>
    </w:p>
    <w:p w:rsidR="00FA3947" w:rsidP="00EA4113" w:rsidRDefault="00FA3947" w14:paraId="54B057E6" w14:textId="77777777">
      <w:pPr>
        <w:spacing w:after="0" w:line="360" w:lineRule="auto"/>
        <w:jc w:val="both"/>
        <w:rPr>
          <w:rFonts w:ascii="Arial" w:hAnsi="Arial" w:eastAsia="Times New Roman" w:cs="Arial"/>
          <w:color w:val="1F1F1F"/>
          <w:kern w:val="0"/>
          <w:bdr w:val="none" w:color="auto" w:sz="0" w:space="0" w:frame="1"/>
          <w:lang w:eastAsia="en-GB"/>
          <w14:ligatures w14:val="none"/>
        </w:rPr>
      </w:pPr>
    </w:p>
    <w:p w:rsidRPr="00363A81" w:rsidR="0099637D" w:rsidP="00EA4113" w:rsidRDefault="0099637D" w14:paraId="63939656" w14:textId="77777777">
      <w:pPr>
        <w:spacing w:after="0" w:line="360" w:lineRule="auto"/>
        <w:jc w:val="both"/>
        <w:rPr>
          <w:rFonts w:ascii="Arial" w:hAnsi="Arial" w:eastAsia="Times New Roman" w:cs="Arial"/>
          <w:color w:val="1F1F1F"/>
          <w:kern w:val="0"/>
          <w:lang w:eastAsia="en-GB"/>
          <w14:ligatures w14:val="none"/>
        </w:rPr>
      </w:pPr>
    </w:p>
    <w:p w:rsidRPr="00363A81" w:rsidR="00363A81" w:rsidP="00EA4113" w:rsidRDefault="00363A81" w14:paraId="05281AEE" w14:textId="77777777">
      <w:pPr>
        <w:spacing w:after="0" w:line="360" w:lineRule="auto"/>
        <w:jc w:val="both"/>
        <w:outlineLvl w:val="2"/>
        <w:rPr>
          <w:rFonts w:ascii="Arial" w:hAnsi="Arial" w:eastAsia="Times New Roman" w:cs="Arial"/>
          <w:b w:val="1"/>
          <w:bCs w:val="1"/>
          <w:color w:val="1F1F1F"/>
          <w:kern w:val="0"/>
          <w:lang w:eastAsia="en-GB"/>
          <w14:ligatures w14:val="none"/>
        </w:rPr>
      </w:pPr>
      <w:r w:rsidRPr="00363A81" w:rsidR="00363A81">
        <w:rPr>
          <w:rFonts w:ascii="Arial" w:hAnsi="Arial" w:eastAsia="Times New Roman" w:cs="Arial"/>
          <w:b w:val="1"/>
          <w:bCs w:val="1"/>
          <w:color w:val="1F1F1F"/>
          <w:kern w:val="0"/>
          <w:bdr w:val="none" w:color="auto" w:sz="0" w:space="0" w:frame="1"/>
          <w:lang w:eastAsia="en-GB"/>
          <w14:ligatures w14:val="none"/>
        </w:rPr>
        <w:t>2.1 Benefits of PCC Practice</w:t>
      </w:r>
    </w:p>
    <w:p w:rsidR="00363A81" w:rsidP="00EA4113" w:rsidRDefault="00FA3947" w14:paraId="6E9DD0D5" w14:textId="567D480D">
      <w:pPr>
        <w:spacing w:after="0" w:line="360" w:lineRule="auto"/>
        <w:ind w:firstLine="720"/>
        <w:jc w:val="both"/>
        <w:rPr>
          <w:rFonts w:ascii="Arial" w:hAnsi="Arial" w:eastAsia="Times New Roman" w:cs="Arial"/>
          <w:color w:val="1F1F1F"/>
          <w:kern w:val="0"/>
          <w:bdr w:val="none" w:color="auto" w:sz="0" w:space="0" w:frame="1"/>
          <w:lang w:eastAsia="en-GB"/>
          <w14:ligatures w14:val="none"/>
        </w:rPr>
      </w:pPr>
      <w:r w:rsidRPr="00FA3947">
        <w:rPr>
          <w:rFonts w:ascii="Arial" w:hAnsi="Arial" w:eastAsia="Times New Roman" w:cs="Arial"/>
          <w:color w:val="1F1F1F"/>
          <w:kern w:val="0"/>
          <w:bdr w:val="none" w:color="auto" w:sz="0" w:space="0" w:frame="1"/>
          <w:lang w:eastAsia="en-GB"/>
          <w14:ligatures w14:val="none"/>
        </w:rPr>
        <w:t>The main advantage of person-centred care is the crucial enhancement of the clinical and psychological outcomes. The patients also tend to follow the treatment plans better when it is based on an individual, as they feel that their voices can be heard and their decisions are respected. Such a collaborative solution identifies an increase in patient satisfaction and the decrease in revolving door (where patients report back to acute care because of the poorly managed chronic conditions) phenomena (Santana et al., 2018). Besides, PCC also promotes dignity and autonomy. Since ill people in the long-term maintain a sense of control in daily life, this is crucial in maintaining their mental well-being and self-worth (Skills for Care, 2020). Organ</w:t>
      </w:r>
      <w:r w:rsidR="00EA4113">
        <w:rPr>
          <w:rFonts w:ascii="Arial" w:hAnsi="Arial" w:eastAsia="Times New Roman" w:cs="Arial"/>
          <w:color w:val="1F1F1F"/>
          <w:kern w:val="0"/>
          <w:bdr w:val="none" w:color="auto" w:sz="0" w:space="0" w:frame="1"/>
          <w:lang w:eastAsia="en-GB"/>
          <w14:ligatures w14:val="none"/>
        </w:rPr>
        <w:t>isa</w:t>
      </w:r>
      <w:r w:rsidRPr="00FA3947">
        <w:rPr>
          <w:rFonts w:ascii="Arial" w:hAnsi="Arial" w:eastAsia="Times New Roman" w:cs="Arial"/>
          <w:color w:val="1F1F1F"/>
          <w:kern w:val="0"/>
          <w:bdr w:val="none" w:color="auto" w:sz="0" w:space="0" w:frame="1"/>
          <w:lang w:eastAsia="en-GB"/>
          <w14:ligatures w14:val="none"/>
        </w:rPr>
        <w:t>tionally PCC may result in a more efficient organ</w:t>
      </w:r>
      <w:r w:rsidR="00EA4113">
        <w:rPr>
          <w:rFonts w:ascii="Arial" w:hAnsi="Arial" w:eastAsia="Times New Roman" w:cs="Arial"/>
          <w:color w:val="1F1F1F"/>
          <w:kern w:val="0"/>
          <w:bdr w:val="none" w:color="auto" w:sz="0" w:space="0" w:frame="1"/>
          <w:lang w:eastAsia="en-GB"/>
          <w14:ligatures w14:val="none"/>
        </w:rPr>
        <w:t>isa</w:t>
      </w:r>
      <w:r w:rsidRPr="00FA3947">
        <w:rPr>
          <w:rFonts w:ascii="Arial" w:hAnsi="Arial" w:eastAsia="Times New Roman" w:cs="Arial"/>
          <w:color w:val="1F1F1F"/>
          <w:kern w:val="0"/>
          <w:bdr w:val="none" w:color="auto" w:sz="0" w:space="0" w:frame="1"/>
          <w:lang w:eastAsia="en-GB"/>
          <w14:ligatures w14:val="none"/>
        </w:rPr>
        <w:t>tion; resources are spent on what the individual actually values and needs; this is in contrast to the wastage of generic interventions (one-</w:t>
      </w:r>
      <w:proofErr w:type="spellStart"/>
      <w:r w:rsidRPr="00FA3947">
        <w:rPr>
          <w:rFonts w:ascii="Arial" w:hAnsi="Arial" w:eastAsia="Times New Roman" w:cs="Arial"/>
          <w:color w:val="1F1F1F"/>
          <w:kern w:val="0"/>
          <w:bdr w:val="none" w:color="auto" w:sz="0" w:space="0" w:frame="1"/>
          <w:lang w:eastAsia="en-GB"/>
          <w14:ligatures w14:val="none"/>
        </w:rPr>
        <w:t>s</w:t>
      </w:r>
      <w:r w:rsidR="00EA4113">
        <w:rPr>
          <w:rFonts w:ascii="Arial" w:hAnsi="Arial" w:eastAsia="Times New Roman" w:cs="Arial"/>
          <w:color w:val="1F1F1F"/>
          <w:kern w:val="0"/>
          <w:bdr w:val="none" w:color="auto" w:sz="0" w:space="0" w:frame="1"/>
          <w:lang w:eastAsia="en-GB"/>
          <w14:ligatures w14:val="none"/>
        </w:rPr>
        <w:t>ise</w:t>
      </w:r>
      <w:proofErr w:type="spellEnd"/>
      <w:r w:rsidRPr="00FA3947">
        <w:rPr>
          <w:rFonts w:ascii="Arial" w:hAnsi="Arial" w:eastAsia="Times New Roman" w:cs="Arial"/>
          <w:color w:val="1F1F1F"/>
          <w:kern w:val="0"/>
          <w:bdr w:val="none" w:color="auto" w:sz="0" w:space="0" w:frame="1"/>
          <w:lang w:eastAsia="en-GB"/>
          <w14:ligatures w14:val="none"/>
        </w:rPr>
        <w:t>-fits-all) which inefficiently addresses the underlying causes of the distress of the service user</w:t>
      </w:r>
      <w:r w:rsidRPr="00363A81" w:rsidR="00363A81">
        <w:rPr>
          <w:rFonts w:ascii="Arial" w:hAnsi="Arial" w:eastAsia="Times New Roman" w:cs="Arial"/>
          <w:color w:val="1F1F1F"/>
          <w:kern w:val="0"/>
          <w:bdr w:val="none" w:color="auto" w:sz="0" w:space="0" w:frame="1"/>
          <w:lang w:eastAsia="en-GB"/>
          <w14:ligatures w14:val="none"/>
        </w:rPr>
        <w:t>.</w:t>
      </w:r>
    </w:p>
    <w:p w:rsidRPr="00363A81" w:rsidR="0099637D" w:rsidP="00EA4113" w:rsidRDefault="0099637D" w14:paraId="1B656B7E" w14:textId="77777777">
      <w:pPr>
        <w:spacing w:after="0" w:line="360" w:lineRule="auto"/>
        <w:jc w:val="both"/>
        <w:rPr>
          <w:rFonts w:ascii="Arial" w:hAnsi="Arial" w:eastAsia="Times New Roman" w:cs="Arial"/>
          <w:color w:val="1F1F1F"/>
          <w:kern w:val="0"/>
          <w:lang w:eastAsia="en-GB"/>
          <w14:ligatures w14:val="none"/>
        </w:rPr>
      </w:pPr>
    </w:p>
    <w:p w:rsidRPr="00363A81" w:rsidR="00363A81" w:rsidP="00EA4113" w:rsidRDefault="00363A81" w14:paraId="37617A4F" w14:textId="77777777">
      <w:pPr>
        <w:spacing w:after="0" w:line="360" w:lineRule="auto"/>
        <w:jc w:val="both"/>
        <w:outlineLvl w:val="2"/>
        <w:rPr>
          <w:rFonts w:ascii="Arial" w:hAnsi="Arial" w:eastAsia="Times New Roman" w:cs="Arial"/>
          <w:b w:val="1"/>
          <w:bCs w:val="1"/>
          <w:color w:val="1F1F1F"/>
          <w:kern w:val="0"/>
          <w:lang w:eastAsia="en-GB"/>
          <w14:ligatures w14:val="none"/>
        </w:rPr>
      </w:pPr>
      <w:r w:rsidRPr="00363A81" w:rsidR="00363A81">
        <w:rPr>
          <w:rFonts w:ascii="Arial" w:hAnsi="Arial" w:eastAsia="Times New Roman" w:cs="Arial"/>
          <w:b w:val="1"/>
          <w:bCs w:val="1"/>
          <w:color w:val="1F1F1F"/>
          <w:kern w:val="0"/>
          <w:bdr w:val="none" w:color="auto" w:sz="0" w:space="0" w:frame="1"/>
          <w:lang w:eastAsia="en-GB"/>
          <w14:ligatures w14:val="none"/>
        </w:rPr>
        <w:t>2.2 Limitations of PCC Practice</w:t>
      </w:r>
    </w:p>
    <w:p w:rsidR="00363A81" w:rsidP="00EA4113" w:rsidRDefault="00FA3947" w14:paraId="319DF726" w14:textId="72FCE3C2">
      <w:pPr>
        <w:spacing w:after="0" w:line="360" w:lineRule="auto"/>
        <w:ind w:firstLine="720"/>
        <w:jc w:val="both"/>
        <w:rPr>
          <w:rFonts w:ascii="Arial" w:hAnsi="Arial" w:eastAsia="Times New Roman" w:cs="Arial"/>
          <w:color w:val="1F1F1F"/>
          <w:kern w:val="0"/>
          <w:bdr w:val="none" w:color="auto" w:sz="0" w:space="0" w:frame="1"/>
          <w:lang w:eastAsia="en-GB"/>
          <w14:ligatures w14:val="none"/>
        </w:rPr>
      </w:pPr>
      <w:r w:rsidRPr="00FA3947">
        <w:rPr>
          <w:rFonts w:ascii="Arial" w:hAnsi="Arial" w:eastAsia="Times New Roman" w:cs="Arial"/>
          <w:color w:val="1F1F1F"/>
          <w:kern w:val="0"/>
          <w:bdr w:val="none" w:color="auto" w:sz="0" w:space="0" w:frame="1"/>
          <w:lang w:eastAsia="en-GB"/>
          <w14:ligatures w14:val="none"/>
        </w:rPr>
        <w:t xml:space="preserve">PCC has massive practical constraints in implementation despite its supportive overwhelming aspect in policy. Resource constraint is the greatest challenge. Practitioners working in underfunded, constantly staffing short systems may frequently find themselves time-poor, with little time to focus on the relational nature of care that PCC requires, and instead focus on physical aspects of the job (CQC, 2023). Then, </w:t>
      </w:r>
      <w:r w:rsidRPr="00FA3947">
        <w:rPr>
          <w:rFonts w:ascii="Arial" w:hAnsi="Arial" w:eastAsia="Times New Roman" w:cs="Arial"/>
          <w:color w:val="1F1F1F"/>
          <w:kern w:val="0"/>
          <w:bdr w:val="none" w:color="auto" w:sz="0" w:space="0" w:frame="1"/>
          <w:lang w:eastAsia="en-GB"/>
          <w14:ligatures w14:val="none"/>
        </w:rPr>
        <w:lastRenderedPageBreak/>
        <w:t>there is the problem of professional resistance; some practitioners have been trained in traditional hierarchies, so it is difficult to distribute power with the service users or credit the service user on her/his own life expertise. There is further risk management that poses an intricate restriction. The legal obligation of a professional to provide the so-called care, and the right of an individual to take unwise decisions, which is one of the main facets of autonomy, is a conflict to be expected. The positive take of risk is a pillar of PCC, but the fear of litigation or failure in protection may drive organ</w:t>
      </w:r>
      <w:r w:rsidR="00EA4113">
        <w:rPr>
          <w:rFonts w:ascii="Arial" w:hAnsi="Arial" w:eastAsia="Times New Roman" w:cs="Arial"/>
          <w:color w:val="1F1F1F"/>
          <w:kern w:val="0"/>
          <w:bdr w:val="none" w:color="auto" w:sz="0" w:space="0" w:frame="1"/>
          <w:lang w:eastAsia="en-GB"/>
          <w14:ligatures w14:val="none"/>
        </w:rPr>
        <w:t>isa</w:t>
      </w:r>
      <w:r w:rsidRPr="00FA3947">
        <w:rPr>
          <w:rFonts w:ascii="Arial" w:hAnsi="Arial" w:eastAsia="Times New Roman" w:cs="Arial"/>
          <w:color w:val="1F1F1F"/>
          <w:kern w:val="0"/>
          <w:bdr w:val="none" w:color="auto" w:sz="0" w:space="0" w:frame="1"/>
          <w:lang w:eastAsia="en-GB"/>
          <w14:ligatures w14:val="none"/>
        </w:rPr>
        <w:t>tions back to the restrictive and protective practices, which inhibit person-centredness (Fridberg et al., 2022)</w:t>
      </w:r>
      <w:r w:rsidRPr="00363A81" w:rsidR="00363A81">
        <w:rPr>
          <w:rFonts w:ascii="Arial" w:hAnsi="Arial" w:eastAsia="Times New Roman" w:cs="Arial"/>
          <w:color w:val="1F1F1F"/>
          <w:kern w:val="0"/>
          <w:bdr w:val="none" w:color="auto" w:sz="0" w:space="0" w:frame="1"/>
          <w:lang w:eastAsia="en-GB"/>
          <w14:ligatures w14:val="none"/>
        </w:rPr>
        <w:t>.</w:t>
      </w:r>
    </w:p>
    <w:p w:rsidRPr="00363A81" w:rsidR="0099637D" w:rsidP="00EA4113" w:rsidRDefault="0099637D" w14:paraId="50EE34E4" w14:textId="77777777">
      <w:pPr>
        <w:spacing w:after="0" w:line="360" w:lineRule="auto"/>
        <w:jc w:val="both"/>
        <w:rPr>
          <w:rFonts w:ascii="Arial" w:hAnsi="Arial" w:eastAsia="Times New Roman" w:cs="Arial"/>
          <w:color w:val="1F1F1F"/>
          <w:kern w:val="0"/>
          <w:lang w:eastAsia="en-GB"/>
          <w14:ligatures w14:val="none"/>
        </w:rPr>
      </w:pPr>
    </w:p>
    <w:p w:rsidRPr="00363A81" w:rsidR="00363A81" w:rsidP="00EA4113" w:rsidRDefault="00363A81" w14:paraId="141F4D77" w14:textId="77777777">
      <w:pPr>
        <w:spacing w:after="0" w:line="360" w:lineRule="auto"/>
        <w:jc w:val="both"/>
        <w:outlineLvl w:val="1"/>
        <w:rPr>
          <w:rFonts w:ascii="Arial" w:hAnsi="Arial" w:eastAsia="Times New Roman" w:cs="Arial"/>
          <w:b w:val="1"/>
          <w:bCs w:val="1"/>
          <w:color w:val="1F1F1F"/>
          <w:kern w:val="0"/>
          <w:lang w:eastAsia="en-GB"/>
          <w14:ligatures w14:val="none"/>
        </w:rPr>
      </w:pPr>
      <w:r w:rsidRPr="00363A81" w:rsidR="00363A81">
        <w:rPr>
          <w:rFonts w:ascii="Arial" w:hAnsi="Arial" w:eastAsia="Times New Roman" w:cs="Arial"/>
          <w:b w:val="1"/>
          <w:bCs w:val="1"/>
          <w:color w:val="1F1F1F"/>
          <w:kern w:val="0"/>
          <w:lang w:eastAsia="en-GB"/>
          <w14:ligatures w14:val="none"/>
        </w:rPr>
        <w:t>3. Theoretical Underpinnings:</w:t>
      </w:r>
      <w:r w:rsidRPr="00363A81" w:rsidR="00363A81">
        <w:rPr>
          <w:rFonts w:ascii="Arial" w:hAnsi="Arial" w:eastAsia="Times New Roman" w:cs="Arial"/>
          <w:b w:val="1"/>
          <w:bCs w:val="1"/>
          <w:color w:val="1F1F1F"/>
          <w:kern w:val="0"/>
          <w:bdr w:val="none" w:color="auto" w:sz="0" w:space="0" w:frame="1"/>
          <w:lang w:eastAsia="en-GB"/>
          <w14:ligatures w14:val="none"/>
        </w:rPr>
        <w:t xml:space="preserve"> Carl Rogers’ Person-Centred Theory</w:t>
      </w:r>
    </w:p>
    <w:p w:rsidRPr="00FA3947" w:rsidR="00FA3947" w:rsidP="00EA4113" w:rsidRDefault="00FA3947" w14:paraId="0CEEC0BC" w14:textId="42301463">
      <w:pPr>
        <w:spacing w:after="0" w:line="360" w:lineRule="auto"/>
        <w:ind w:firstLine="720"/>
        <w:jc w:val="both"/>
        <w:rPr>
          <w:rFonts w:ascii="Arial" w:hAnsi="Arial" w:eastAsia="Times New Roman" w:cs="Arial"/>
          <w:color w:val="1F1F1F"/>
          <w:kern w:val="0"/>
          <w:bdr w:val="none" w:color="auto" w:sz="0" w:space="0" w:frame="1"/>
          <w:lang w:eastAsia="en-GB"/>
          <w14:ligatures w14:val="none"/>
        </w:rPr>
      </w:pPr>
      <w:r w:rsidRPr="00FA3947">
        <w:rPr>
          <w:rFonts w:ascii="Arial" w:hAnsi="Arial" w:eastAsia="Times New Roman" w:cs="Arial"/>
          <w:color w:val="1F1F1F"/>
          <w:kern w:val="0"/>
          <w:bdr w:val="none" w:color="auto" w:sz="0" w:space="0" w:frame="1"/>
          <w:lang w:eastAsia="en-GB"/>
          <w14:ligatures w14:val="none"/>
        </w:rPr>
        <w:t>The basics of person-centred care can only be comprehended by looking at the Person-Centred Theory of Carl Rogers (also referred to as Client centred treatment). Overall, the theories formulated by Rogers have formed the foundation of current health and social care despite the fact that they were initially evolved in the context of psychotherapy. In his research, Rogers hypothes</w:t>
      </w:r>
      <w:r w:rsidR="00EA4113">
        <w:rPr>
          <w:rFonts w:ascii="Arial" w:hAnsi="Arial" w:eastAsia="Times New Roman" w:cs="Arial"/>
          <w:color w:val="1F1F1F"/>
          <w:kern w:val="0"/>
          <w:bdr w:val="none" w:color="auto" w:sz="0" w:space="0" w:frame="1"/>
          <w:lang w:eastAsia="en-GB"/>
          <w14:ligatures w14:val="none"/>
        </w:rPr>
        <w:t>ise</w:t>
      </w:r>
      <w:r w:rsidRPr="00FA3947">
        <w:rPr>
          <w:rFonts w:ascii="Arial" w:hAnsi="Arial" w:eastAsia="Times New Roman" w:cs="Arial"/>
          <w:color w:val="1F1F1F"/>
          <w:kern w:val="0"/>
          <w:bdr w:val="none" w:color="auto" w:sz="0" w:space="0" w:frame="1"/>
          <w:lang w:eastAsia="en-GB"/>
          <w14:ligatures w14:val="none"/>
        </w:rPr>
        <w:t>d that to develop and reach their full potential, a person needed to be placed in an environment, which would provide him or her with three key conditions known as congruence (genuineness), unconditional positive regard (acceptance), and empathetic understanding (Rodgers and Tudor, 2020).</w:t>
      </w:r>
    </w:p>
    <w:p w:rsidR="00FA3947" w:rsidP="00EA4113" w:rsidRDefault="00FA3947" w14:paraId="01E16E35" w14:textId="72FFD446">
      <w:pPr>
        <w:spacing w:after="0" w:line="360" w:lineRule="auto"/>
        <w:ind w:firstLine="720"/>
        <w:jc w:val="both"/>
        <w:rPr>
          <w:rFonts w:ascii="Arial" w:hAnsi="Arial" w:eastAsia="Times New Roman" w:cs="Arial"/>
          <w:color w:val="1F1F1F"/>
          <w:kern w:val="0"/>
          <w:bdr w:val="none" w:color="auto" w:sz="0" w:space="0" w:frame="1"/>
          <w:lang w:eastAsia="en-GB"/>
          <w14:ligatures w14:val="none"/>
        </w:rPr>
      </w:pPr>
      <w:r w:rsidRPr="00FA3947">
        <w:rPr>
          <w:rFonts w:ascii="Arial" w:hAnsi="Arial" w:eastAsia="Times New Roman" w:cs="Arial"/>
          <w:color w:val="1F1F1F"/>
          <w:kern w:val="0"/>
          <w:bdr w:val="none" w:color="auto" w:sz="0" w:space="0" w:frame="1"/>
          <w:lang w:eastAsia="en-GB"/>
          <w14:ligatures w14:val="none"/>
        </w:rPr>
        <w:t xml:space="preserve">Congruence in a health and social care setting would require that the professional should be open and sincere and that he/she should develop rapport with the caregiver founded in trust and not in a detached, professional </w:t>
      </w:r>
      <w:proofErr w:type="spellStart"/>
      <w:r w:rsidRPr="00FA3947">
        <w:rPr>
          <w:rFonts w:ascii="Arial" w:hAnsi="Arial" w:eastAsia="Times New Roman" w:cs="Arial"/>
          <w:color w:val="1F1F1F"/>
          <w:kern w:val="0"/>
          <w:bdr w:val="none" w:color="auto" w:sz="0" w:space="0" w:frame="1"/>
          <w:lang w:eastAsia="en-GB"/>
          <w14:ligatures w14:val="none"/>
        </w:rPr>
        <w:t>demeanor</w:t>
      </w:r>
      <w:proofErr w:type="spellEnd"/>
      <w:r w:rsidRPr="00FA3947">
        <w:rPr>
          <w:rFonts w:ascii="Arial" w:hAnsi="Arial" w:eastAsia="Times New Roman" w:cs="Arial"/>
          <w:color w:val="1F1F1F"/>
          <w:kern w:val="0"/>
          <w:bdr w:val="none" w:color="auto" w:sz="0" w:space="0" w:frame="1"/>
          <w:lang w:eastAsia="en-GB"/>
          <w14:ligatures w14:val="none"/>
        </w:rPr>
        <w:t>. Unconditional positive regard is non-judgmental acceptance of the service user as he is without exception, which is especially crucial in cases of work with marginal</w:t>
      </w:r>
      <w:r w:rsidR="00EA4113">
        <w:rPr>
          <w:rFonts w:ascii="Arial" w:hAnsi="Arial" w:eastAsia="Times New Roman" w:cs="Arial"/>
          <w:color w:val="1F1F1F"/>
          <w:kern w:val="0"/>
          <w:bdr w:val="none" w:color="auto" w:sz="0" w:space="0" w:frame="1"/>
          <w:lang w:eastAsia="en-GB"/>
          <w14:ligatures w14:val="none"/>
        </w:rPr>
        <w:t>ise</w:t>
      </w:r>
      <w:r w:rsidRPr="00FA3947">
        <w:rPr>
          <w:rFonts w:ascii="Arial" w:hAnsi="Arial" w:eastAsia="Times New Roman" w:cs="Arial"/>
          <w:color w:val="1F1F1F"/>
          <w:kern w:val="0"/>
          <w:bdr w:val="none" w:color="auto" w:sz="0" w:space="0" w:frame="1"/>
          <w:lang w:eastAsia="en-GB"/>
          <w14:ligatures w14:val="none"/>
        </w:rPr>
        <w:t xml:space="preserve">d populations or with people with complicated </w:t>
      </w:r>
      <w:proofErr w:type="spellStart"/>
      <w:r w:rsidRPr="00FA3947">
        <w:rPr>
          <w:rFonts w:ascii="Arial" w:hAnsi="Arial" w:eastAsia="Times New Roman" w:cs="Arial"/>
          <w:color w:val="1F1F1F"/>
          <w:kern w:val="0"/>
          <w:bdr w:val="none" w:color="auto" w:sz="0" w:space="0" w:frame="1"/>
          <w:lang w:eastAsia="en-GB"/>
          <w14:ligatures w14:val="none"/>
        </w:rPr>
        <w:t>behavioral</w:t>
      </w:r>
      <w:proofErr w:type="spellEnd"/>
      <w:r w:rsidRPr="00FA3947">
        <w:rPr>
          <w:rFonts w:ascii="Arial" w:hAnsi="Arial" w:eastAsia="Times New Roman" w:cs="Arial"/>
          <w:color w:val="1F1F1F"/>
          <w:kern w:val="0"/>
          <w:bdr w:val="none" w:color="auto" w:sz="0" w:space="0" w:frame="1"/>
          <w:lang w:eastAsia="en-GB"/>
          <w14:ligatures w14:val="none"/>
        </w:rPr>
        <w:t xml:space="preserve"> issues (Cave et al., 2024). </w:t>
      </w:r>
    </w:p>
    <w:p w:rsidR="00363A81" w:rsidP="00EA4113" w:rsidRDefault="00FA3947" w14:paraId="5AAD7979" w14:textId="137B726D">
      <w:pPr>
        <w:spacing w:after="0" w:line="360" w:lineRule="auto"/>
        <w:ind w:firstLine="720"/>
        <w:jc w:val="both"/>
        <w:rPr>
          <w:rFonts w:ascii="Arial" w:hAnsi="Arial" w:eastAsia="Times New Roman" w:cs="Arial"/>
          <w:color w:val="1F1F1F"/>
          <w:kern w:val="0"/>
          <w:bdr w:val="none" w:color="auto" w:sz="0" w:space="0" w:frame="1"/>
          <w:lang w:eastAsia="en-GB"/>
          <w14:ligatures w14:val="none"/>
        </w:rPr>
      </w:pPr>
      <w:r w:rsidRPr="00FA3947">
        <w:rPr>
          <w:rFonts w:ascii="Arial" w:hAnsi="Arial" w:eastAsia="Times New Roman" w:cs="Arial"/>
          <w:color w:val="1F1F1F"/>
          <w:kern w:val="0"/>
          <w:bdr w:val="none" w:color="auto" w:sz="0" w:space="0" w:frame="1"/>
          <w:lang w:eastAsia="en-GB"/>
          <w14:ligatures w14:val="none"/>
        </w:rPr>
        <w:t>Last, empathy permits the practitioner to perceive the world as the service user perceives it and no longer are they limited to the acknowledgment of the clinical observation but she has come in closer to the emotional reality of the person. According to the theory presented by Rogers, under the following conditions the person is safe enough and that is why he or she can actively contribute to his/her own recovery or care management. This is the core of the person-centred practice of switching in theory (doing) to the person to being with the person (Katz and Keyes, 2020</w:t>
      </w:r>
      <w:r w:rsidR="0099637D">
        <w:rPr>
          <w:rFonts w:ascii="Arial" w:hAnsi="Arial" w:eastAsia="Times New Roman" w:cs="Arial"/>
          <w:color w:val="1F1F1F"/>
          <w:kern w:val="0"/>
          <w:bdr w:val="none" w:color="auto" w:sz="0" w:space="0" w:frame="1"/>
          <w:lang w:eastAsia="en-GB"/>
          <w14:ligatures w14:val="none"/>
        </w:rPr>
        <w:t>)</w:t>
      </w:r>
      <w:r w:rsidRPr="00363A81" w:rsidR="00363A81">
        <w:rPr>
          <w:rFonts w:ascii="Arial" w:hAnsi="Arial" w:eastAsia="Times New Roman" w:cs="Arial"/>
          <w:color w:val="1F1F1F"/>
          <w:kern w:val="0"/>
          <w:bdr w:val="none" w:color="auto" w:sz="0" w:space="0" w:frame="1"/>
          <w:lang w:eastAsia="en-GB"/>
          <w14:ligatures w14:val="none"/>
        </w:rPr>
        <w:t>.</w:t>
      </w:r>
    </w:p>
    <w:p w:rsidR="00FA3947" w:rsidP="00EA4113" w:rsidRDefault="00FA3947" w14:paraId="0A9F0B1C" w14:textId="77777777">
      <w:pPr>
        <w:keepNext/>
        <w:spacing w:after="0" w:line="360" w:lineRule="auto"/>
        <w:jc w:val="center"/>
      </w:pPr>
      <w:r w:rsidRPr="00FA3947">
        <w:rPr>
          <w:rFonts w:ascii="Arial" w:hAnsi="Arial" w:eastAsia="Times New Roman" w:cs="Arial"/>
          <w:color w:val="1F1F1F"/>
          <w:kern w:val="0"/>
          <w:bdr w:val="none" w:color="auto" w:sz="0" w:space="0" w:frame="1"/>
          <w:lang w:eastAsia="en-GB"/>
          <w14:ligatures w14:val="none"/>
        </w:rPr>
        <w:lastRenderedPageBreak/>
        <w:drawing>
          <wp:inline distT="0" distB="0" distL="0" distR="0" wp14:anchorId="108ACCEF" wp14:editId="37E4B642">
            <wp:extent cx="4724400" cy="4105275"/>
            <wp:effectExtent l="0" t="0" r="0" b="9525"/>
            <wp:docPr id="99661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61044" name=""/>
                    <pic:cNvPicPr/>
                  </pic:nvPicPr>
                  <pic:blipFill>
                    <a:blip r:embed="rId9"/>
                    <a:stretch>
                      <a:fillRect/>
                    </a:stretch>
                  </pic:blipFill>
                  <pic:spPr>
                    <a:xfrm>
                      <a:off x="0" y="0"/>
                      <a:ext cx="4724400" cy="4105275"/>
                    </a:xfrm>
                    <a:prstGeom prst="rect">
                      <a:avLst/>
                    </a:prstGeom>
                  </pic:spPr>
                </pic:pic>
              </a:graphicData>
            </a:graphic>
          </wp:inline>
        </w:drawing>
      </w:r>
    </w:p>
    <w:p w:rsidR="00FA3947" w:rsidP="00EA4113" w:rsidRDefault="00FA3947" w14:paraId="7C190AE6" w14:textId="6CB5EDB7">
      <w:pPr>
        <w:pStyle w:val="Caption"/>
        <w:spacing w:line="360" w:lineRule="auto"/>
        <w:jc w:val="center"/>
        <w:rPr>
          <w:rFonts w:ascii="Arial" w:hAnsi="Arial" w:eastAsia="Times New Roman" w:cs="Arial"/>
          <w:color w:val="1F1F1F"/>
          <w:kern w:val="0"/>
          <w:bdr w:val="none" w:color="auto" w:sz="0" w:space="0" w:frame="1"/>
          <w:lang w:eastAsia="en-GB"/>
          <w14:ligatures w14:val="none"/>
        </w:rPr>
      </w:pPr>
      <w:r>
        <w:t xml:space="preserve">Figure </w:t>
      </w:r>
      <w:r>
        <w:fldChar w:fldCharType="begin"/>
      </w:r>
      <w:r>
        <w:instrText xml:space="preserve"> SEQ Figure \* ARABIC </w:instrText>
      </w:r>
      <w:r>
        <w:fldChar w:fldCharType="separate"/>
      </w:r>
      <w:r>
        <w:rPr>
          <w:noProof/>
        </w:rPr>
        <w:t>2</w:t>
      </w:r>
      <w:r>
        <w:fldChar w:fldCharType="end"/>
      </w:r>
      <w:r>
        <w:t xml:space="preserve">: Carl Rogers </w:t>
      </w:r>
      <w:proofErr w:type="spellStart"/>
      <w:r>
        <w:t>Teory</w:t>
      </w:r>
      <w:proofErr w:type="spellEnd"/>
    </w:p>
    <w:p w:rsidR="00FA3947" w:rsidP="00EA4113" w:rsidRDefault="00FA3947" w14:paraId="0C191913" w14:textId="77777777">
      <w:pPr>
        <w:spacing w:after="0" w:line="360" w:lineRule="auto"/>
        <w:jc w:val="both"/>
        <w:rPr>
          <w:rFonts w:ascii="Arial" w:hAnsi="Arial" w:eastAsia="Times New Roman" w:cs="Arial"/>
          <w:color w:val="1F1F1F"/>
          <w:kern w:val="0"/>
          <w:bdr w:val="none" w:color="auto" w:sz="0" w:space="0" w:frame="1"/>
          <w:lang w:eastAsia="en-GB"/>
          <w14:ligatures w14:val="none"/>
        </w:rPr>
      </w:pPr>
    </w:p>
    <w:p w:rsidRPr="00363A81" w:rsidR="0099637D" w:rsidP="00EA4113" w:rsidRDefault="0099637D" w14:paraId="3889EA6F" w14:textId="77777777">
      <w:pPr>
        <w:spacing w:after="0" w:line="360" w:lineRule="auto"/>
        <w:jc w:val="both"/>
        <w:rPr>
          <w:rFonts w:ascii="Arial" w:hAnsi="Arial" w:eastAsia="Times New Roman" w:cs="Arial"/>
          <w:color w:val="1F1F1F"/>
          <w:kern w:val="0"/>
          <w:lang w:eastAsia="en-GB"/>
          <w14:ligatures w14:val="none"/>
        </w:rPr>
      </w:pPr>
    </w:p>
    <w:p w:rsidRPr="00363A81" w:rsidR="00363A81" w:rsidP="00EA4113" w:rsidRDefault="00363A81" w14:paraId="4C1A0746" w14:textId="77777777">
      <w:pPr>
        <w:spacing w:after="120" w:line="360" w:lineRule="auto"/>
        <w:jc w:val="both"/>
        <w:outlineLvl w:val="1"/>
        <w:rPr>
          <w:rFonts w:ascii="Arial" w:hAnsi="Arial" w:eastAsia="Times New Roman" w:cs="Arial"/>
          <w:b w:val="1"/>
          <w:bCs w:val="1"/>
          <w:color w:val="1F1F1F"/>
          <w:kern w:val="0"/>
          <w:lang w:eastAsia="en-GB"/>
          <w14:ligatures w14:val="none"/>
        </w:rPr>
      </w:pPr>
      <w:r w:rsidRPr="00363A81" w:rsidR="00363A81">
        <w:rPr>
          <w:rFonts w:ascii="Arial" w:hAnsi="Arial" w:eastAsia="Times New Roman" w:cs="Arial"/>
          <w:b w:val="1"/>
          <w:bCs w:val="1"/>
          <w:color w:val="1F1F1F"/>
          <w:kern w:val="0"/>
          <w:lang w:eastAsia="en-GB"/>
          <w14:ligatures w14:val="none"/>
        </w:rPr>
        <w:t>4. Ethical Fundamentals of Health and Social Care</w:t>
      </w:r>
    </w:p>
    <w:p w:rsidRPr="00FA3947" w:rsidR="00FA3947" w:rsidP="00EA4113" w:rsidRDefault="00FA3947" w14:paraId="0F4AE0C0" w14:textId="77777777">
      <w:pPr>
        <w:spacing w:after="0" w:line="360" w:lineRule="auto"/>
        <w:ind w:firstLine="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The moral code governing health and social care underpins both PCC and partnership working. The most known structure is the Four Principles approach that was created by Childress and Beauchamp, (2022). These are the principles that include autonomy, beneficence, non-maleficence, and justice inseparably associated with person-centredness.</w:t>
      </w:r>
    </w:p>
    <w:p w:rsidR="00FA3947" w:rsidP="00EA4113" w:rsidRDefault="00FA3947" w14:paraId="54EE008B" w14:textId="77777777">
      <w:pPr>
        <w:spacing w:after="0" w:line="360" w:lineRule="auto"/>
        <w:ind w:firstLine="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 xml:space="preserve">The most essential principle in the setting of PCC is autonomy because it requires a respect to the right of a person to self-determination. It also involves professionals to give all information needed because the service users will be able to make informed decisions regarding their care. Non-maleficence and beneficence demand a practitioner to act in the best interest of the person without causing harm (Koskinen et al., 2020). In a </w:t>
      </w:r>
      <w:proofErr w:type="gramStart"/>
      <w:r w:rsidRPr="00FA3947">
        <w:rPr>
          <w:rFonts w:ascii="Arial" w:hAnsi="Arial" w:eastAsia="Times New Roman" w:cs="Arial"/>
          <w:color w:val="1F1F1F"/>
          <w:kern w:val="0"/>
          <w:lang w:eastAsia="en-GB"/>
          <w14:ligatures w14:val="none"/>
        </w:rPr>
        <w:t>person centred</w:t>
      </w:r>
      <w:proofErr w:type="gramEnd"/>
      <w:r w:rsidRPr="00FA3947">
        <w:rPr>
          <w:rFonts w:ascii="Arial" w:hAnsi="Arial" w:eastAsia="Times New Roman" w:cs="Arial"/>
          <w:color w:val="1F1F1F"/>
          <w:kern w:val="0"/>
          <w:lang w:eastAsia="en-GB"/>
          <w14:ligatures w14:val="none"/>
        </w:rPr>
        <w:t xml:space="preserve"> model </w:t>
      </w:r>
      <w:proofErr w:type="gramStart"/>
      <w:r w:rsidRPr="00FA3947">
        <w:rPr>
          <w:rFonts w:ascii="Arial" w:hAnsi="Arial" w:eastAsia="Times New Roman" w:cs="Arial"/>
          <w:color w:val="1F1F1F"/>
          <w:kern w:val="0"/>
          <w:lang w:eastAsia="en-GB"/>
          <w14:ligatures w14:val="none"/>
        </w:rPr>
        <w:t>however</w:t>
      </w:r>
      <w:proofErr w:type="gramEnd"/>
      <w:r w:rsidRPr="00FA3947">
        <w:rPr>
          <w:rFonts w:ascii="Arial" w:hAnsi="Arial" w:eastAsia="Times New Roman" w:cs="Arial"/>
          <w:color w:val="1F1F1F"/>
          <w:kern w:val="0"/>
          <w:lang w:eastAsia="en-GB"/>
          <w14:ligatures w14:val="none"/>
        </w:rPr>
        <w:t xml:space="preserve"> the best interest is no longer determined by the professional but should be a co-determination between the professional and the service user. </w:t>
      </w:r>
    </w:p>
    <w:p w:rsidR="00363A81" w:rsidP="00EA4113" w:rsidRDefault="00FA3947" w14:paraId="1BB1503F" w14:textId="25875C55">
      <w:pPr>
        <w:spacing w:after="0" w:line="360" w:lineRule="auto"/>
        <w:ind w:firstLine="720"/>
        <w:jc w:val="both"/>
        <w:rPr>
          <w:rFonts w:ascii="Arial" w:hAnsi="Arial" w:eastAsia="Times New Roman" w:cs="Arial"/>
          <w:color w:val="1F1F1F"/>
          <w:kern w:val="0"/>
          <w:bdr w:val="none" w:color="auto" w:sz="0" w:space="0" w:frame="1"/>
          <w:lang w:eastAsia="en-GB"/>
          <w14:ligatures w14:val="none"/>
        </w:rPr>
      </w:pPr>
      <w:r w:rsidRPr="00FA3947">
        <w:rPr>
          <w:rFonts w:ascii="Arial" w:hAnsi="Arial" w:eastAsia="Times New Roman" w:cs="Arial"/>
          <w:color w:val="1F1F1F"/>
          <w:kern w:val="0"/>
          <w:lang w:eastAsia="en-GB"/>
          <w14:ligatures w14:val="none"/>
        </w:rPr>
        <w:lastRenderedPageBreak/>
        <w:t xml:space="preserve">Considering the case in point, a medical intervention that prolongs life but importantly diminishes the quality of life may be deemed as being harmful in the eyes of a service user, yet may be deemed as being clinically beneficial. Lastly, justice is used to spread care reasonably and nobody is exempt because of their background or condition. Ethical collaboration tasks involve the dissemination of these principles throughout the agencies to ensure that </w:t>
      </w:r>
      <w:proofErr w:type="gramStart"/>
      <w:r w:rsidRPr="00FA3947">
        <w:rPr>
          <w:rFonts w:ascii="Arial" w:hAnsi="Arial" w:eastAsia="Times New Roman" w:cs="Arial"/>
          <w:color w:val="1F1F1F"/>
          <w:kern w:val="0"/>
          <w:lang w:eastAsia="en-GB"/>
          <w14:ligatures w14:val="none"/>
        </w:rPr>
        <w:t>an</w:t>
      </w:r>
      <w:proofErr w:type="gramEnd"/>
      <w:r w:rsidRPr="00FA3947">
        <w:rPr>
          <w:rFonts w:ascii="Arial" w:hAnsi="Arial" w:eastAsia="Times New Roman" w:cs="Arial"/>
          <w:color w:val="1F1F1F"/>
          <w:kern w:val="0"/>
          <w:lang w:eastAsia="en-GB"/>
          <w14:ligatures w14:val="none"/>
        </w:rPr>
        <w:t xml:space="preserve"> social worker and a GP both pursue the same ethical objectives when dealing with one service user (Reamer, 2018</w:t>
      </w:r>
      <w:r w:rsidR="0099637D">
        <w:rPr>
          <w:rFonts w:ascii="Arial" w:hAnsi="Arial" w:eastAsia="Times New Roman" w:cs="Arial"/>
          <w:color w:val="1F1F1F"/>
          <w:kern w:val="0"/>
          <w:bdr w:val="none" w:color="auto" w:sz="0" w:space="0" w:frame="1"/>
          <w:lang w:eastAsia="en-GB"/>
          <w14:ligatures w14:val="none"/>
        </w:rPr>
        <w:t>)</w:t>
      </w:r>
      <w:r w:rsidRPr="00363A81" w:rsidR="00363A81">
        <w:rPr>
          <w:rFonts w:ascii="Arial" w:hAnsi="Arial" w:eastAsia="Times New Roman" w:cs="Arial"/>
          <w:color w:val="1F1F1F"/>
          <w:kern w:val="0"/>
          <w:bdr w:val="none" w:color="auto" w:sz="0" w:space="0" w:frame="1"/>
          <w:lang w:eastAsia="en-GB"/>
          <w14:ligatures w14:val="none"/>
        </w:rPr>
        <w:t>.</w:t>
      </w:r>
    </w:p>
    <w:p w:rsidR="00FA3947" w:rsidP="00EA4113" w:rsidRDefault="00FA3947" w14:paraId="27353E10" w14:textId="77777777">
      <w:pPr>
        <w:keepNext/>
        <w:spacing w:after="0" w:line="360" w:lineRule="auto"/>
        <w:jc w:val="center"/>
      </w:pPr>
      <w:r>
        <w:rPr>
          <w:rFonts w:ascii="Arial" w:hAnsi="Arial" w:eastAsia="Times New Roman" w:cs="Arial"/>
          <w:noProof/>
          <w:color w:val="1F1F1F"/>
          <w:kern w:val="0"/>
          <w:bdr w:val="none" w:color="auto" w:sz="0" w:space="0" w:frame="1"/>
          <w:lang w:eastAsia="en-GB"/>
          <w14:ligatures w14:val="none"/>
        </w:rPr>
        <w:drawing>
          <wp:inline distT="0" distB="0" distL="0" distR="0" wp14:anchorId="3FDBCFF6" wp14:editId="12C1B24A">
            <wp:extent cx="4514850" cy="3381375"/>
            <wp:effectExtent l="0" t="0" r="0" b="9525"/>
            <wp:docPr id="4483629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14850" cy="3381375"/>
                    </a:xfrm>
                    <a:prstGeom prst="rect">
                      <a:avLst/>
                    </a:prstGeom>
                    <a:noFill/>
                  </pic:spPr>
                </pic:pic>
              </a:graphicData>
            </a:graphic>
          </wp:inline>
        </w:drawing>
      </w:r>
    </w:p>
    <w:p w:rsidR="00FA3947" w:rsidP="00EA4113" w:rsidRDefault="00FA3947" w14:paraId="21C5B3C0" w14:textId="6D1D7531">
      <w:pPr>
        <w:pStyle w:val="Caption"/>
        <w:spacing w:line="360" w:lineRule="auto"/>
        <w:jc w:val="center"/>
        <w:rPr>
          <w:rFonts w:ascii="Arial" w:hAnsi="Arial" w:eastAsia="Times New Roman" w:cs="Arial"/>
          <w:color w:val="1F1F1F"/>
          <w:kern w:val="0"/>
          <w:bdr w:val="none" w:color="auto" w:sz="0" w:space="0" w:frame="1"/>
          <w:lang w:eastAsia="en-GB"/>
          <w14:ligatures w14:val="none"/>
        </w:rPr>
      </w:pPr>
      <w:r>
        <w:t xml:space="preserve">Figure </w:t>
      </w:r>
      <w:r>
        <w:fldChar w:fldCharType="begin"/>
      </w:r>
      <w:r>
        <w:instrText xml:space="preserve"> SEQ Figure \* ARABIC </w:instrText>
      </w:r>
      <w:r>
        <w:fldChar w:fldCharType="separate"/>
      </w:r>
      <w:r>
        <w:rPr>
          <w:noProof/>
        </w:rPr>
        <w:t>3</w:t>
      </w:r>
      <w:r>
        <w:fldChar w:fldCharType="end"/>
      </w:r>
      <w:r>
        <w:t>: Principles</w:t>
      </w:r>
    </w:p>
    <w:p w:rsidR="00FA3947" w:rsidP="00EA4113" w:rsidRDefault="00FA3947" w14:paraId="722EB741" w14:textId="77777777">
      <w:pPr>
        <w:spacing w:after="0" w:line="360" w:lineRule="auto"/>
        <w:jc w:val="both"/>
        <w:rPr>
          <w:rFonts w:ascii="Arial" w:hAnsi="Arial" w:eastAsia="Times New Roman" w:cs="Arial"/>
          <w:color w:val="1F1F1F"/>
          <w:kern w:val="0"/>
          <w:bdr w:val="none" w:color="auto" w:sz="0" w:space="0" w:frame="1"/>
          <w:lang w:eastAsia="en-GB"/>
          <w14:ligatures w14:val="none"/>
        </w:rPr>
      </w:pPr>
    </w:p>
    <w:p w:rsidRPr="00363A81" w:rsidR="0099637D" w:rsidP="00EA4113" w:rsidRDefault="0099637D" w14:paraId="5E8C0030" w14:textId="77777777">
      <w:pPr>
        <w:spacing w:after="0" w:line="360" w:lineRule="auto"/>
        <w:jc w:val="both"/>
        <w:rPr>
          <w:rFonts w:ascii="Arial" w:hAnsi="Arial" w:eastAsia="Times New Roman" w:cs="Arial"/>
          <w:color w:val="1F1F1F"/>
          <w:kern w:val="0"/>
          <w:lang w:eastAsia="en-GB"/>
          <w14:ligatures w14:val="none"/>
        </w:rPr>
      </w:pPr>
    </w:p>
    <w:p w:rsidRPr="00363A81" w:rsidR="00363A81" w:rsidP="00EA4113" w:rsidRDefault="00363A81" w14:paraId="7C604C69" w14:textId="77777777">
      <w:pPr>
        <w:spacing w:after="0" w:line="360" w:lineRule="auto"/>
        <w:jc w:val="both"/>
        <w:outlineLvl w:val="1"/>
        <w:rPr>
          <w:rFonts w:ascii="Arial" w:hAnsi="Arial" w:eastAsia="Times New Roman" w:cs="Arial"/>
          <w:b w:val="1"/>
          <w:bCs w:val="1"/>
          <w:color w:val="1F1F1F"/>
          <w:kern w:val="0"/>
          <w:lang w:eastAsia="en-GB"/>
          <w14:ligatures w14:val="none"/>
        </w:rPr>
      </w:pPr>
      <w:r w:rsidRPr="00363A81" w:rsidR="00363A81">
        <w:rPr>
          <w:rFonts w:ascii="Arial" w:hAnsi="Arial" w:eastAsia="Times New Roman" w:cs="Arial"/>
          <w:b w:val="1"/>
          <w:bCs w:val="1"/>
          <w:color w:val="1F1F1F"/>
          <w:kern w:val="0"/>
          <w:bdr w:val="none" w:color="auto" w:sz="0" w:space="0" w:frame="1"/>
          <w:lang w:eastAsia="en-GB"/>
          <w14:ligatures w14:val="none"/>
        </w:rPr>
        <w:t>5. Evaluating</w:t>
      </w:r>
      <w:r w:rsidRPr="00363A81" w:rsidR="00363A81">
        <w:rPr>
          <w:rFonts w:ascii="Arial" w:hAnsi="Arial" w:eastAsia="Times New Roman" w:cs="Arial"/>
          <w:b w:val="1"/>
          <w:bCs w:val="1"/>
          <w:color w:val="1F1F1F"/>
          <w:kern w:val="0"/>
          <w:lang w:eastAsia="en-GB"/>
          <w14:ligatures w14:val="none"/>
        </w:rPr>
        <w:t xml:space="preserve"> Partnership Working (PW)</w:t>
      </w:r>
    </w:p>
    <w:p w:rsidRPr="00EA4113" w:rsidR="00EA4113" w:rsidP="00EA4113" w:rsidRDefault="00EA4113" w14:paraId="7880AEAB" w14:textId="77777777">
      <w:pPr>
        <w:spacing w:after="0" w:line="360" w:lineRule="auto"/>
        <w:ind w:firstLine="720"/>
        <w:jc w:val="both"/>
        <w:rPr>
          <w:rFonts w:ascii="Arial" w:hAnsi="Arial" w:eastAsia="Times New Roman" w:cs="Arial"/>
          <w:color w:val="1F1F1F"/>
          <w:kern w:val="0"/>
          <w:lang w:eastAsia="en-GB"/>
          <w14:ligatures w14:val="none"/>
        </w:rPr>
      </w:pPr>
      <w:r w:rsidRPr="00EA4113">
        <w:rPr>
          <w:rFonts w:ascii="Arial" w:hAnsi="Arial" w:eastAsia="Times New Roman" w:cs="Arial"/>
          <w:color w:val="1F1F1F"/>
          <w:kern w:val="0"/>
          <w:lang w:eastAsia="en-GB"/>
          <w14:ligatures w14:val="none"/>
        </w:rPr>
        <w:t>Partnership working which is also known as integrated or collaborative care is the process in which various groups and agencies of professionals collaborate with the service user and his family to present a smooth care journey. According to the Department of Health (2014), partnership does not simply entail being part of a common conversation, but rather entails a mutual dedication to the common goal and sharing of resources.</w:t>
      </w:r>
    </w:p>
    <w:p w:rsidR="00EA4113" w:rsidP="00EA4113" w:rsidRDefault="00EA4113" w14:paraId="7569EA7B" w14:textId="419AC3D8">
      <w:pPr>
        <w:spacing w:after="0" w:line="360" w:lineRule="auto"/>
        <w:ind w:firstLine="720"/>
        <w:jc w:val="both"/>
        <w:rPr>
          <w:rFonts w:ascii="Arial" w:hAnsi="Arial" w:eastAsia="Times New Roman" w:cs="Arial"/>
          <w:color w:val="1F1F1F"/>
          <w:kern w:val="0"/>
          <w:lang w:eastAsia="en-GB"/>
          <w14:ligatures w14:val="none"/>
        </w:rPr>
      </w:pPr>
      <w:r w:rsidRPr="00EA4113">
        <w:rPr>
          <w:rFonts w:ascii="Arial" w:hAnsi="Arial" w:eastAsia="Times New Roman" w:cs="Arial"/>
          <w:color w:val="1F1F1F"/>
          <w:kern w:val="0"/>
          <w:lang w:eastAsia="en-GB"/>
          <w14:ligatures w14:val="none"/>
        </w:rPr>
        <w:t xml:space="preserve">The main advantage of the partnership working is that it offers a holistic perspective of the person. Housing quality, social isolation, and financial stability also form a category of social determinants of healthcare, which predetermine the health </w:t>
      </w:r>
      <w:r w:rsidRPr="00EA4113">
        <w:rPr>
          <w:rFonts w:ascii="Arial" w:hAnsi="Arial" w:eastAsia="Times New Roman" w:cs="Arial"/>
          <w:color w:val="1F1F1F"/>
          <w:kern w:val="0"/>
          <w:lang w:eastAsia="en-GB"/>
          <w14:ligatures w14:val="none"/>
        </w:rPr>
        <w:lastRenderedPageBreak/>
        <w:t>of a service user. Through collaborative efforts, a GP is able to meet the clinical needs jointly with a social worker who meets the housing and a third-sector organ</w:t>
      </w:r>
      <w:r>
        <w:rPr>
          <w:rFonts w:ascii="Arial" w:hAnsi="Arial" w:eastAsia="Times New Roman" w:cs="Arial"/>
          <w:color w:val="1F1F1F"/>
          <w:kern w:val="0"/>
          <w:lang w:eastAsia="en-GB"/>
          <w14:ligatures w14:val="none"/>
        </w:rPr>
        <w:t>isa</w:t>
      </w:r>
      <w:r w:rsidRPr="00EA4113">
        <w:rPr>
          <w:rFonts w:ascii="Arial" w:hAnsi="Arial" w:eastAsia="Times New Roman" w:cs="Arial"/>
          <w:color w:val="1F1F1F"/>
          <w:kern w:val="0"/>
          <w:lang w:eastAsia="en-GB"/>
          <w14:ligatures w14:val="none"/>
        </w:rPr>
        <w:t>tion meeting social support. This minim</w:t>
      </w:r>
      <w:r>
        <w:rPr>
          <w:rFonts w:ascii="Arial" w:hAnsi="Arial" w:eastAsia="Times New Roman" w:cs="Arial"/>
          <w:color w:val="1F1F1F"/>
          <w:kern w:val="0"/>
          <w:lang w:eastAsia="en-GB"/>
          <w14:ligatures w14:val="none"/>
        </w:rPr>
        <w:t>ise</w:t>
      </w:r>
      <w:r w:rsidRPr="00EA4113">
        <w:rPr>
          <w:rFonts w:ascii="Arial" w:hAnsi="Arial" w:eastAsia="Times New Roman" w:cs="Arial"/>
          <w:color w:val="1F1F1F"/>
          <w:kern w:val="0"/>
          <w:lang w:eastAsia="en-GB"/>
          <w14:ligatures w14:val="none"/>
        </w:rPr>
        <w:t xml:space="preserve">s the chances of people encountering the loopholes of a broken system. The PW assessment, however, also demonstrates major obstacles. </w:t>
      </w:r>
    </w:p>
    <w:p w:rsidR="00363A81" w:rsidP="00EA4113" w:rsidRDefault="00EA4113" w14:paraId="2CB419DF" w14:textId="7B789D24">
      <w:pPr>
        <w:spacing w:after="0" w:line="360" w:lineRule="auto"/>
        <w:ind w:firstLine="720"/>
        <w:jc w:val="both"/>
        <w:rPr>
          <w:rFonts w:ascii="Arial" w:hAnsi="Arial" w:eastAsia="Times New Roman" w:cs="Arial"/>
          <w:color w:val="1F1F1F"/>
          <w:kern w:val="0"/>
          <w:bdr w:val="none" w:color="auto" w:sz="0" w:space="0" w:frame="1"/>
          <w:lang w:eastAsia="en-GB"/>
          <w14:ligatures w14:val="none"/>
        </w:rPr>
      </w:pPr>
      <w:r w:rsidRPr="00EA4113">
        <w:rPr>
          <w:rFonts w:ascii="Arial" w:hAnsi="Arial" w:eastAsia="Times New Roman" w:cs="Arial"/>
          <w:color w:val="1F1F1F"/>
          <w:kern w:val="0"/>
          <w:lang w:eastAsia="en-GB"/>
          <w14:ligatures w14:val="none"/>
        </w:rPr>
        <w:t>Glasby (2019) singles out professional silos, in which various fields of expertise employ dissimilar terms, and possess mismatched organ</w:t>
      </w:r>
      <w:r>
        <w:rPr>
          <w:rFonts w:ascii="Arial" w:hAnsi="Arial" w:eastAsia="Times New Roman" w:cs="Arial"/>
          <w:color w:val="1F1F1F"/>
          <w:kern w:val="0"/>
          <w:lang w:eastAsia="en-GB"/>
          <w14:ligatures w14:val="none"/>
        </w:rPr>
        <w:t>isa</w:t>
      </w:r>
      <w:r w:rsidRPr="00EA4113">
        <w:rPr>
          <w:rFonts w:ascii="Arial" w:hAnsi="Arial" w:eastAsia="Times New Roman" w:cs="Arial"/>
          <w:color w:val="1F1F1F"/>
          <w:kern w:val="0"/>
          <w:lang w:eastAsia="en-GB"/>
          <w14:ligatures w14:val="none"/>
        </w:rPr>
        <w:t>tional cultures, as a significant barrier. Lack of free-flow of information, not because of incompatible IT infrastructure but through excessive safety with the laws that guard data protection, is yet another barricade to effective cooperation. The success of the partnership working requires that an individual should change to ec0-system thinking (thinking of the entire system) rather than ego-system (protecting his or her department</w:t>
      </w:r>
      <w:r w:rsidRPr="00363A81" w:rsidR="00363A81">
        <w:rPr>
          <w:rFonts w:ascii="Arial" w:hAnsi="Arial" w:eastAsia="Times New Roman" w:cs="Arial"/>
          <w:color w:val="1F1F1F"/>
          <w:kern w:val="0"/>
          <w:bdr w:val="none" w:color="auto" w:sz="0" w:space="0" w:frame="1"/>
          <w:lang w:eastAsia="en-GB"/>
          <w14:ligatures w14:val="none"/>
        </w:rPr>
        <w:t>).</w:t>
      </w:r>
    </w:p>
    <w:p w:rsidRPr="00363A81" w:rsidR="0099637D" w:rsidP="00EA4113" w:rsidRDefault="0099637D" w14:paraId="675DF27D" w14:textId="77777777">
      <w:pPr>
        <w:spacing w:after="0" w:line="360" w:lineRule="auto"/>
        <w:jc w:val="both"/>
        <w:rPr>
          <w:rFonts w:ascii="Arial" w:hAnsi="Arial" w:eastAsia="Times New Roman" w:cs="Arial"/>
          <w:color w:val="1F1F1F"/>
          <w:kern w:val="0"/>
          <w:lang w:eastAsia="en-GB"/>
          <w14:ligatures w14:val="none"/>
        </w:rPr>
      </w:pPr>
    </w:p>
    <w:p w:rsidRPr="00363A81" w:rsidR="00363A81" w:rsidP="00EA4113" w:rsidRDefault="00363A81" w14:paraId="14515A61" w14:textId="77777777">
      <w:pPr>
        <w:spacing w:after="0" w:line="360" w:lineRule="auto"/>
        <w:jc w:val="both"/>
        <w:outlineLvl w:val="1"/>
        <w:rPr>
          <w:rFonts w:ascii="Arial" w:hAnsi="Arial" w:eastAsia="Times New Roman" w:cs="Arial"/>
          <w:b w:val="1"/>
          <w:bCs w:val="1"/>
          <w:color w:val="1F1F1F"/>
          <w:kern w:val="0"/>
          <w:lang w:eastAsia="en-GB"/>
          <w14:ligatures w14:val="none"/>
        </w:rPr>
      </w:pPr>
      <w:r w:rsidRPr="00363A81" w:rsidR="00363A81">
        <w:rPr>
          <w:rFonts w:ascii="Arial" w:hAnsi="Arial" w:eastAsia="Times New Roman" w:cs="Arial"/>
          <w:b w:val="1"/>
          <w:bCs w:val="1"/>
          <w:color w:val="1F1F1F"/>
          <w:kern w:val="0"/>
          <w:lang w:eastAsia="en-GB"/>
          <w14:ligatures w14:val="none"/>
        </w:rPr>
        <w:t>6. Practical Application:</w:t>
      </w:r>
      <w:r w:rsidRPr="00363A81" w:rsidR="00363A81">
        <w:rPr>
          <w:rFonts w:ascii="Arial" w:hAnsi="Arial" w:eastAsia="Times New Roman" w:cs="Arial"/>
          <w:b w:val="1"/>
          <w:bCs w:val="1"/>
          <w:color w:val="1F1F1F"/>
          <w:kern w:val="0"/>
          <w:bdr w:val="none" w:color="auto" w:sz="0" w:space="0" w:frame="1"/>
          <w:lang w:eastAsia="en-GB"/>
          <w14:ligatures w14:val="none"/>
        </w:rPr>
        <w:t xml:space="preserve"> A</w:t>
      </w:r>
      <w:r w:rsidRPr="00363A81" w:rsidR="00363A81">
        <w:rPr>
          <w:rFonts w:ascii="Arial" w:hAnsi="Arial" w:eastAsia="Times New Roman" w:cs="Arial"/>
          <w:b w:val="1"/>
          <w:bCs w:val="1"/>
          <w:color w:val="1F1F1F"/>
          <w:kern w:val="0"/>
          <w:lang w:eastAsia="en-GB"/>
          <w14:ligatures w14:val="none"/>
        </w:rPr>
        <w:t xml:space="preserve"> Dementia Care Setting</w:t>
      </w:r>
    </w:p>
    <w:p w:rsidRPr="00EA4113" w:rsidR="00EA4113" w:rsidP="00EA4113" w:rsidRDefault="00EA4113" w14:paraId="7A8AAEE8" w14:textId="77777777">
      <w:pPr>
        <w:spacing w:after="0" w:line="360" w:lineRule="auto"/>
        <w:ind w:firstLine="720"/>
        <w:jc w:val="both"/>
        <w:rPr>
          <w:rFonts w:ascii="Arial" w:hAnsi="Arial" w:eastAsia="Times New Roman" w:cs="Arial"/>
          <w:color w:val="1F1F1F"/>
          <w:kern w:val="0"/>
          <w:lang w:eastAsia="en-GB"/>
          <w14:ligatures w14:val="none"/>
        </w:rPr>
      </w:pPr>
      <w:r w:rsidRPr="00EA4113">
        <w:rPr>
          <w:rFonts w:ascii="Arial" w:hAnsi="Arial" w:eastAsia="Times New Roman" w:cs="Arial"/>
          <w:color w:val="1F1F1F"/>
          <w:kern w:val="0"/>
          <w:lang w:eastAsia="en-GB"/>
          <w14:ligatures w14:val="none"/>
        </w:rPr>
        <w:t>Partnership working is crucial to the provision of person-centred care in a working environment, like a residential care home where individuals living with advanced dementia are supposed to stay. The Multi-Disciplinary Team (MDT) is the main tool of collaboration within this environment. The resident, his/her family, care assistants, Registered nurses, GPs, and Allied health professionals such as an Occupational therapist (OTs) or Speech and language therapists (SLTs) are usually referred to as the MDT.</w:t>
      </w:r>
    </w:p>
    <w:p w:rsidR="00EA4113" w:rsidP="00EA4113" w:rsidRDefault="00EA4113" w14:paraId="2B05A0E0" w14:textId="77777777">
      <w:pPr>
        <w:spacing w:after="0" w:line="360" w:lineRule="auto"/>
        <w:ind w:firstLine="720"/>
        <w:jc w:val="both"/>
        <w:rPr>
          <w:rFonts w:ascii="Arial" w:hAnsi="Arial" w:eastAsia="Times New Roman" w:cs="Arial"/>
          <w:color w:val="1F1F1F"/>
          <w:kern w:val="0"/>
          <w:lang w:eastAsia="en-GB"/>
          <w14:ligatures w14:val="none"/>
        </w:rPr>
      </w:pPr>
      <w:r w:rsidRPr="00EA4113">
        <w:rPr>
          <w:rFonts w:ascii="Arial" w:hAnsi="Arial" w:eastAsia="Times New Roman" w:cs="Arial"/>
          <w:color w:val="1F1F1F"/>
          <w:kern w:val="0"/>
          <w:lang w:eastAsia="en-GB"/>
          <w14:ligatures w14:val="none"/>
        </w:rPr>
        <w:t xml:space="preserve">The collaborative effort in this context is aimed at preserving personhood of the resident via a joint care plan. As an example, when a resident displays a case of distressed </w:t>
      </w:r>
      <w:proofErr w:type="spellStart"/>
      <w:r w:rsidRPr="00EA4113">
        <w:rPr>
          <w:rFonts w:ascii="Arial" w:hAnsi="Arial" w:eastAsia="Times New Roman" w:cs="Arial"/>
          <w:color w:val="1F1F1F"/>
          <w:kern w:val="0"/>
          <w:lang w:eastAsia="en-GB"/>
          <w14:ligatures w14:val="none"/>
        </w:rPr>
        <w:t>behavior</w:t>
      </w:r>
      <w:proofErr w:type="spellEnd"/>
      <w:r w:rsidRPr="00EA4113">
        <w:rPr>
          <w:rFonts w:ascii="Arial" w:hAnsi="Arial" w:eastAsia="Times New Roman" w:cs="Arial"/>
          <w:color w:val="1F1F1F"/>
          <w:kern w:val="0"/>
          <w:lang w:eastAsia="en-GB"/>
          <w14:ligatures w14:val="none"/>
        </w:rPr>
        <w:t xml:space="preserve">, a person-centred strategy would not transfer to direct sedation, as a person might be encouraged with the help of the theory presented by Rogers. Rather the collaboration would probe into the cause of it. The family information includes the biographical details of the past triggers of the person to that specific situation; the OT includes the assessment of the sensory environment; the GP includes checking on the underlying infections; the care staff include observation of the emotional state of the person on a daily basis. </w:t>
      </w:r>
    </w:p>
    <w:p w:rsidR="00363A81" w:rsidP="00EA4113" w:rsidRDefault="00EA4113" w14:paraId="289CF046" w14:textId="17FEF4E5">
      <w:pPr>
        <w:spacing w:after="0" w:line="360" w:lineRule="auto"/>
        <w:ind w:firstLine="720"/>
        <w:jc w:val="both"/>
        <w:rPr>
          <w:rFonts w:ascii="Arial" w:hAnsi="Arial" w:eastAsia="Times New Roman" w:cs="Arial"/>
          <w:color w:val="1F1F1F"/>
          <w:kern w:val="0"/>
          <w:bdr w:val="none" w:color="auto" w:sz="0" w:space="0" w:frame="1"/>
          <w:lang w:eastAsia="en-GB"/>
          <w14:ligatures w14:val="none"/>
        </w:rPr>
      </w:pPr>
      <w:r w:rsidRPr="00EA4113">
        <w:rPr>
          <w:rFonts w:ascii="Arial" w:hAnsi="Arial" w:eastAsia="Times New Roman" w:cs="Arial"/>
          <w:color w:val="1F1F1F"/>
          <w:kern w:val="0"/>
          <w:lang w:eastAsia="en-GB"/>
          <w14:ligatures w14:val="none"/>
        </w:rPr>
        <w:t>Through the accumulation of this experience, the team is able to come up with a non-pharmacological intervention method which gives the client dignity. Such an interdisciplinary methodology guarantees that the resident is viewed as a complete individual as opposed to a combination of symptoms to be controlled</w:t>
      </w:r>
      <w:r w:rsidRPr="00363A81" w:rsidR="00363A81">
        <w:rPr>
          <w:rFonts w:ascii="Arial" w:hAnsi="Arial" w:eastAsia="Times New Roman" w:cs="Arial"/>
          <w:color w:val="1F1F1F"/>
          <w:kern w:val="0"/>
          <w:bdr w:val="none" w:color="auto" w:sz="0" w:space="0" w:frame="1"/>
          <w:lang w:eastAsia="en-GB"/>
          <w14:ligatures w14:val="none"/>
        </w:rPr>
        <w:t>.</w:t>
      </w:r>
    </w:p>
    <w:p w:rsidRPr="00363A81" w:rsidR="0099637D" w:rsidP="00EA4113" w:rsidRDefault="0099637D" w14:paraId="3CBAD6A4" w14:textId="77777777">
      <w:pPr>
        <w:spacing w:after="0" w:line="360" w:lineRule="auto"/>
        <w:jc w:val="both"/>
        <w:rPr>
          <w:rFonts w:ascii="Arial" w:hAnsi="Arial" w:eastAsia="Times New Roman" w:cs="Arial"/>
          <w:color w:val="1F1F1F"/>
          <w:kern w:val="0"/>
          <w:lang w:eastAsia="en-GB"/>
          <w14:ligatures w14:val="none"/>
        </w:rPr>
      </w:pPr>
    </w:p>
    <w:p w:rsidRPr="00363A81" w:rsidR="00363A81" w:rsidP="00EA4113" w:rsidRDefault="00363A81" w14:paraId="27BA7E47" w14:textId="77777777">
      <w:pPr>
        <w:spacing w:after="0" w:line="360" w:lineRule="auto"/>
        <w:jc w:val="both"/>
        <w:outlineLvl w:val="1"/>
        <w:rPr>
          <w:rFonts w:ascii="Arial" w:hAnsi="Arial" w:eastAsia="Times New Roman" w:cs="Arial"/>
          <w:b w:val="1"/>
          <w:bCs w:val="1"/>
          <w:color w:val="1F1F1F"/>
          <w:kern w:val="0"/>
          <w:lang w:eastAsia="en-GB"/>
          <w14:ligatures w14:val="none"/>
        </w:rPr>
      </w:pPr>
      <w:r w:rsidRPr="00363A81" w:rsidR="00363A81">
        <w:rPr>
          <w:rFonts w:ascii="Arial" w:hAnsi="Arial" w:eastAsia="Times New Roman" w:cs="Arial"/>
          <w:b w:val="1"/>
          <w:bCs w:val="1"/>
          <w:color w:val="1F1F1F"/>
          <w:kern w:val="0"/>
          <w:lang w:eastAsia="en-GB"/>
          <w14:ligatures w14:val="none"/>
        </w:rPr>
        <w:t>7. Policy and Legislation</w:t>
      </w:r>
      <w:r w:rsidRPr="00363A81" w:rsidR="00363A81">
        <w:rPr>
          <w:rFonts w:ascii="Arial" w:hAnsi="Arial" w:eastAsia="Times New Roman" w:cs="Arial"/>
          <w:b w:val="1"/>
          <w:bCs w:val="1"/>
          <w:color w:val="1F1F1F"/>
          <w:kern w:val="0"/>
          <w:bdr w:val="none" w:color="auto" w:sz="0" w:space="0" w:frame="1"/>
          <w:lang w:eastAsia="en-GB"/>
          <w14:ligatures w14:val="none"/>
        </w:rPr>
        <w:t xml:space="preserve"> in Relation to PCC and PW</w:t>
      </w:r>
    </w:p>
    <w:p w:rsidRPr="00EA4113" w:rsidR="00EA4113" w:rsidP="00EA4113" w:rsidRDefault="00EA4113" w14:paraId="3B3A9EC4" w14:textId="77777777">
      <w:pPr>
        <w:spacing w:after="0" w:line="360" w:lineRule="auto"/>
        <w:ind w:firstLine="720"/>
        <w:jc w:val="both"/>
        <w:rPr>
          <w:rFonts w:ascii="Arial" w:hAnsi="Arial" w:eastAsia="Times New Roman" w:cs="Arial"/>
          <w:color w:val="1F1F1F"/>
          <w:kern w:val="0"/>
          <w:bdr w:val="none" w:color="auto" w:sz="0" w:space="0" w:frame="1"/>
          <w:lang w:eastAsia="en-GB"/>
          <w14:ligatures w14:val="none"/>
        </w:rPr>
      </w:pPr>
      <w:r w:rsidRPr="00EA4113">
        <w:rPr>
          <w:rFonts w:ascii="Arial" w:hAnsi="Arial" w:eastAsia="Times New Roman" w:cs="Arial"/>
          <w:color w:val="1F1F1F"/>
          <w:kern w:val="0"/>
          <w:bdr w:val="none" w:color="auto" w:sz="0" w:space="0" w:frame="1"/>
          <w:lang w:eastAsia="en-GB"/>
          <w14:ligatures w14:val="none"/>
        </w:rPr>
        <w:t xml:space="preserve">Implementation of PCC and PW in the UK system is not a choice; it is provided by strict system of legislation. The Care Act 2014 is the most important social care reform in a long time. It puts a legal principle of well-being, which underlies all choices about care, at the </w:t>
      </w:r>
      <w:proofErr w:type="spellStart"/>
      <w:r w:rsidRPr="00EA4113">
        <w:rPr>
          <w:rFonts w:ascii="Arial" w:hAnsi="Arial" w:eastAsia="Times New Roman" w:cs="Arial"/>
          <w:color w:val="1F1F1F"/>
          <w:kern w:val="0"/>
          <w:bdr w:val="none" w:color="auto" w:sz="0" w:space="0" w:frame="1"/>
          <w:lang w:eastAsia="en-GB"/>
          <w14:ligatures w14:val="none"/>
        </w:rPr>
        <w:t>center</w:t>
      </w:r>
      <w:proofErr w:type="spellEnd"/>
      <w:r w:rsidRPr="00EA4113">
        <w:rPr>
          <w:rFonts w:ascii="Arial" w:hAnsi="Arial" w:eastAsia="Times New Roman" w:cs="Arial"/>
          <w:color w:val="1F1F1F"/>
          <w:kern w:val="0"/>
          <w:bdr w:val="none" w:color="auto" w:sz="0" w:space="0" w:frame="1"/>
          <w:lang w:eastAsia="en-GB"/>
          <w14:ligatures w14:val="none"/>
        </w:rPr>
        <w:t xml:space="preserve"> of the equation, in effect person-centredness became a statutory obligation concerning the local authorities. The second requirement of the Act is that the services of health and social care should be combined to enhance the quality of care that should be provided since they no longer need more intensive care.</w:t>
      </w:r>
    </w:p>
    <w:p w:rsidR="00363A81" w:rsidP="00EA4113" w:rsidRDefault="00EA4113" w14:paraId="51A0102B" w14:textId="6947A67E">
      <w:pPr>
        <w:spacing w:after="0" w:line="360" w:lineRule="auto"/>
        <w:ind w:firstLine="720"/>
        <w:jc w:val="both"/>
        <w:rPr>
          <w:rFonts w:ascii="Arial" w:hAnsi="Arial" w:eastAsia="Times New Roman" w:cs="Arial"/>
          <w:color w:val="1F1F1F"/>
          <w:kern w:val="0"/>
          <w:bdr w:val="none" w:color="auto" w:sz="0" w:space="0" w:frame="1"/>
          <w:lang w:eastAsia="en-GB"/>
          <w14:ligatures w14:val="none"/>
        </w:rPr>
      </w:pPr>
      <w:r w:rsidRPr="00EA4113">
        <w:rPr>
          <w:rFonts w:ascii="Arial" w:hAnsi="Arial" w:eastAsia="Times New Roman" w:cs="Arial"/>
          <w:color w:val="1F1F1F"/>
          <w:kern w:val="0"/>
          <w:bdr w:val="none" w:color="auto" w:sz="0" w:space="0" w:frame="1"/>
          <w:lang w:eastAsia="en-GB"/>
          <w14:ligatures w14:val="none"/>
        </w:rPr>
        <w:t>Alongside this is the Health and Care Act 2022 which established an Integrated Care System (ICS). ICS model makes the partnership working legal as the NHS together with the local authorities need to join hands at the regional level in an attempt to address the health inequalities. According to this legislation, health and social care are the two sides of the same coin and one cannot operate effectively without the other. The Mental Capacity Act 2005 (MCA) is also important in ensuring that the autonomy of service users is preserved. It makes sure that, even in the case when a person is unable to make a particular decision, the process of the best interests should still treat them as much as possible and take into account their known past values and wants. These policies combined make PCC and PW to be the anticipated standard of professional practice</w:t>
      </w:r>
      <w:r w:rsidRPr="00363A81" w:rsidR="00363A81">
        <w:rPr>
          <w:rFonts w:ascii="Arial" w:hAnsi="Arial" w:eastAsia="Times New Roman" w:cs="Arial"/>
          <w:color w:val="1F1F1F"/>
          <w:kern w:val="0"/>
          <w:bdr w:val="none" w:color="auto" w:sz="0" w:space="0" w:frame="1"/>
          <w:lang w:eastAsia="en-GB"/>
          <w14:ligatures w14:val="none"/>
        </w:rPr>
        <w:t>.</w:t>
      </w:r>
    </w:p>
    <w:p w:rsidRPr="00363A81" w:rsidR="00FA3947" w:rsidP="00EA4113" w:rsidRDefault="00FA3947" w14:paraId="2B56D2F1" w14:textId="77777777">
      <w:pPr>
        <w:spacing w:after="0" w:line="360" w:lineRule="auto"/>
        <w:jc w:val="both"/>
        <w:rPr>
          <w:rFonts w:ascii="Arial" w:hAnsi="Arial" w:eastAsia="Times New Roman" w:cs="Arial"/>
          <w:color w:val="1F1F1F"/>
          <w:kern w:val="0"/>
          <w:lang w:eastAsia="en-GB"/>
          <w14:ligatures w14:val="none"/>
        </w:rPr>
      </w:pPr>
    </w:p>
    <w:p w:rsidRPr="00363A81" w:rsidR="00363A81" w:rsidP="00EA4113" w:rsidRDefault="00363A81" w14:paraId="04992F9F" w14:textId="77777777">
      <w:pPr>
        <w:spacing w:after="120" w:line="360" w:lineRule="auto"/>
        <w:jc w:val="both"/>
        <w:outlineLvl w:val="1"/>
        <w:rPr>
          <w:rFonts w:ascii="Arial" w:hAnsi="Arial" w:eastAsia="Times New Roman" w:cs="Arial"/>
          <w:b w:val="1"/>
          <w:bCs w:val="1"/>
          <w:color w:val="1F1F1F"/>
          <w:kern w:val="0"/>
          <w:lang w:eastAsia="en-GB"/>
          <w14:ligatures w14:val="none"/>
        </w:rPr>
      </w:pPr>
      <w:r w:rsidRPr="00363A81" w:rsidR="00363A81">
        <w:rPr>
          <w:rFonts w:ascii="Arial" w:hAnsi="Arial" w:eastAsia="Times New Roman" w:cs="Arial"/>
          <w:b w:val="1"/>
          <w:bCs w:val="1"/>
          <w:color w:val="1F1F1F"/>
          <w:kern w:val="0"/>
          <w:lang w:eastAsia="en-GB"/>
          <w14:ligatures w14:val="none"/>
        </w:rPr>
        <w:t>8. Recommendations for Future Development</w:t>
      </w:r>
    </w:p>
    <w:p w:rsidRPr="00363A81" w:rsidR="00363A81" w:rsidP="00EA4113" w:rsidRDefault="00363A81" w14:paraId="03C48CC1" w14:textId="77777777">
      <w:pPr>
        <w:spacing w:after="0" w:line="360" w:lineRule="auto"/>
        <w:jc w:val="both"/>
        <w:rPr>
          <w:rFonts w:ascii="Arial" w:hAnsi="Arial" w:eastAsia="Times New Roman" w:cs="Arial"/>
          <w:color w:val="1F1F1F"/>
          <w:kern w:val="0"/>
          <w:lang w:eastAsia="en-GB"/>
          <w14:ligatures w14:val="none"/>
        </w:rPr>
      </w:pPr>
      <w:r w:rsidRPr="00363A81">
        <w:rPr>
          <w:rFonts w:ascii="Arial" w:hAnsi="Arial" w:eastAsia="Times New Roman" w:cs="Arial"/>
          <w:color w:val="1F1F1F"/>
          <w:kern w:val="0"/>
          <w:lang w:eastAsia="en-GB"/>
          <w14:ligatures w14:val="none"/>
        </w:rPr>
        <w:t>To</w:t>
      </w:r>
      <w:r w:rsidRPr="00363A81">
        <w:rPr>
          <w:rFonts w:ascii="Arial" w:hAnsi="Arial" w:eastAsia="Times New Roman" w:cs="Arial"/>
          <w:color w:val="1F1F1F"/>
          <w:kern w:val="0"/>
          <w:bdr w:val="none" w:color="auto" w:sz="0" w:space="0" w:frame="1"/>
          <w:lang w:eastAsia="en-GB"/>
          <w14:ligatures w14:val="none"/>
        </w:rPr>
        <w:t xml:space="preserve"> further develop and sustain person-centred care and partnership working in the UK, the following strategic recommendations are proposed:</w:t>
      </w:r>
    </w:p>
    <w:p w:rsidRPr="00363A81" w:rsidR="00363A81" w:rsidP="00EA4113" w:rsidRDefault="00363A81" w14:paraId="26587F1D" w14:textId="4B7D7C0B">
      <w:pPr>
        <w:numPr>
          <w:ilvl w:val="0"/>
          <w:numId w:val="2"/>
        </w:numPr>
        <w:spacing w:after="0" w:line="360" w:lineRule="auto"/>
        <w:jc w:val="both"/>
        <w:rPr>
          <w:rFonts w:ascii="Arial" w:hAnsi="Arial" w:eastAsia="Times New Roman" w:cs="Arial"/>
          <w:color w:val="1F1F1F"/>
          <w:kern w:val="0"/>
          <w:lang w:eastAsia="en-GB"/>
          <w14:ligatures w14:val="none"/>
        </w:rPr>
      </w:pPr>
      <w:r w:rsidRPr="00363A81">
        <w:rPr>
          <w:rFonts w:ascii="Arial" w:hAnsi="Arial" w:eastAsia="Times New Roman" w:cs="Arial"/>
          <w:b/>
          <w:bCs/>
          <w:color w:val="1F1F1F"/>
          <w:kern w:val="0"/>
          <w:bdr w:val="none" w:color="auto" w:sz="0" w:space="0" w:frame="1"/>
          <w:lang w:eastAsia="en-GB"/>
          <w14:ligatures w14:val="none"/>
        </w:rPr>
        <w:t>Investment in the Social Care Workforce:</w:t>
      </w:r>
      <w:r w:rsidRPr="00363A81">
        <w:rPr>
          <w:rFonts w:ascii="Arial" w:hAnsi="Arial" w:eastAsia="Times New Roman" w:cs="Arial"/>
          <w:color w:val="1F1F1F"/>
          <w:kern w:val="0"/>
          <w:bdr w:val="none" w:color="auto" w:sz="0" w:space="0" w:frame="1"/>
          <w:lang w:eastAsia="en-GB"/>
          <w14:ligatures w14:val="none"/>
        </w:rPr>
        <w:t xml:space="preserve"> </w:t>
      </w:r>
      <w:r w:rsidRPr="00EA4113" w:rsidR="00EA4113">
        <w:rPr>
          <w:rFonts w:ascii="Arial" w:hAnsi="Arial" w:eastAsia="Times New Roman" w:cs="Arial"/>
          <w:color w:val="1F1F1F"/>
          <w:kern w:val="0"/>
          <w:bdr w:val="none" w:color="auto" w:sz="0" w:space="0" w:frame="1"/>
          <w:lang w:eastAsia="en-GB"/>
          <w14:ligatures w14:val="none"/>
        </w:rPr>
        <w:t>Future development should focus on the professional</w:t>
      </w:r>
      <w:r w:rsidR="00EA4113">
        <w:rPr>
          <w:rFonts w:ascii="Arial" w:hAnsi="Arial" w:eastAsia="Times New Roman" w:cs="Arial"/>
          <w:color w:val="1F1F1F"/>
          <w:kern w:val="0"/>
          <w:bdr w:val="none" w:color="auto" w:sz="0" w:space="0" w:frame="1"/>
          <w:lang w:eastAsia="en-GB"/>
          <w14:ligatures w14:val="none"/>
        </w:rPr>
        <w:t>isa</w:t>
      </w:r>
      <w:r w:rsidRPr="00EA4113" w:rsidR="00EA4113">
        <w:rPr>
          <w:rFonts w:ascii="Arial" w:hAnsi="Arial" w:eastAsia="Times New Roman" w:cs="Arial"/>
          <w:color w:val="1F1F1F"/>
          <w:kern w:val="0"/>
          <w:bdr w:val="none" w:color="auto" w:sz="0" w:space="0" w:frame="1"/>
          <w:lang w:eastAsia="en-GB"/>
          <w14:ligatures w14:val="none"/>
        </w:rPr>
        <w:t>tion of social care personnel and workforce and their relative remuneration to ensure equity. In order to apply the essence of core conditions outlined by Carl Rogers, namely empathy and the presence, staff members should have manageable workload and quality training on the relational care. PCC can only be a dream but not a reality without a stable and valued workforce</w:t>
      </w:r>
      <w:r w:rsidRPr="00363A81">
        <w:rPr>
          <w:rFonts w:ascii="Arial" w:hAnsi="Arial" w:eastAsia="Times New Roman" w:cs="Arial"/>
          <w:color w:val="1F1F1F"/>
          <w:kern w:val="0"/>
          <w:bdr w:val="none" w:color="auto" w:sz="0" w:space="0" w:frame="1"/>
          <w:lang w:eastAsia="en-GB"/>
          <w14:ligatures w14:val="none"/>
        </w:rPr>
        <w:t>.</w:t>
      </w:r>
    </w:p>
    <w:p w:rsidRPr="00363A81" w:rsidR="00363A81" w:rsidP="00EA4113" w:rsidRDefault="00363A81" w14:paraId="2C113B73" w14:textId="0717E2FE">
      <w:pPr>
        <w:numPr>
          <w:ilvl w:val="0"/>
          <w:numId w:val="2"/>
        </w:numPr>
        <w:spacing w:after="0" w:line="360" w:lineRule="auto"/>
        <w:jc w:val="both"/>
        <w:rPr>
          <w:rFonts w:ascii="Arial" w:hAnsi="Arial" w:eastAsia="Times New Roman" w:cs="Arial"/>
          <w:color w:val="1F1F1F"/>
          <w:kern w:val="0"/>
          <w:lang w:eastAsia="en-GB"/>
          <w14:ligatures w14:val="none"/>
        </w:rPr>
      </w:pPr>
      <w:r w:rsidRPr="00363A81">
        <w:rPr>
          <w:rFonts w:ascii="Arial" w:hAnsi="Arial" w:eastAsia="Times New Roman" w:cs="Arial"/>
          <w:b/>
          <w:bCs/>
          <w:color w:val="1F1F1F"/>
          <w:kern w:val="0"/>
          <w:bdr w:val="none" w:color="auto" w:sz="0" w:space="0" w:frame="1"/>
          <w:lang w:eastAsia="en-GB"/>
          <w14:ligatures w14:val="none"/>
        </w:rPr>
        <w:t>Standard</w:t>
      </w:r>
      <w:r w:rsidR="00EA4113">
        <w:rPr>
          <w:rFonts w:ascii="Arial" w:hAnsi="Arial" w:eastAsia="Times New Roman" w:cs="Arial"/>
          <w:b/>
          <w:bCs/>
          <w:color w:val="1F1F1F"/>
          <w:kern w:val="0"/>
          <w:bdr w:val="none" w:color="auto" w:sz="0" w:space="0" w:frame="1"/>
          <w:lang w:eastAsia="en-GB"/>
          <w14:ligatures w14:val="none"/>
        </w:rPr>
        <w:t>isa</w:t>
      </w:r>
      <w:r w:rsidRPr="00363A81">
        <w:rPr>
          <w:rFonts w:ascii="Arial" w:hAnsi="Arial" w:eastAsia="Times New Roman" w:cs="Arial"/>
          <w:b/>
          <w:bCs/>
          <w:color w:val="1F1F1F"/>
          <w:kern w:val="0"/>
          <w:bdr w:val="none" w:color="auto" w:sz="0" w:space="0" w:frame="1"/>
          <w:lang w:eastAsia="en-GB"/>
          <w14:ligatures w14:val="none"/>
        </w:rPr>
        <w:t>tion of Digital Communication:</w:t>
      </w:r>
      <w:r w:rsidRPr="00363A81">
        <w:rPr>
          <w:rFonts w:ascii="Arial" w:hAnsi="Arial" w:eastAsia="Times New Roman" w:cs="Arial"/>
          <w:color w:val="1F1F1F"/>
          <w:kern w:val="0"/>
          <w:bdr w:val="none" w:color="auto" w:sz="0" w:space="0" w:frame="1"/>
          <w:lang w:eastAsia="en-GB"/>
          <w14:ligatures w14:val="none"/>
        </w:rPr>
        <w:t xml:space="preserve"> </w:t>
      </w:r>
      <w:r w:rsidRPr="00EA4113" w:rsidR="00EA4113">
        <w:rPr>
          <w:rFonts w:ascii="Arial" w:hAnsi="Arial" w:eastAsia="Times New Roman" w:cs="Arial"/>
          <w:color w:val="1F1F1F"/>
          <w:kern w:val="0"/>
          <w:bdr w:val="none" w:color="auto" w:sz="0" w:space="0" w:frame="1"/>
          <w:lang w:eastAsia="en-GB"/>
          <w14:ligatures w14:val="none"/>
        </w:rPr>
        <w:t xml:space="preserve">The government should invest in a single digital infrastructure to enable safe and real-time sharing of care </w:t>
      </w:r>
      <w:r w:rsidRPr="00EA4113" w:rsidR="00EA4113">
        <w:rPr>
          <w:rFonts w:ascii="Arial" w:hAnsi="Arial" w:eastAsia="Times New Roman" w:cs="Arial"/>
          <w:color w:val="1F1F1F"/>
          <w:kern w:val="0"/>
          <w:bdr w:val="none" w:color="auto" w:sz="0" w:space="0" w:frame="1"/>
          <w:lang w:eastAsia="en-GB"/>
          <w14:ligatures w14:val="none"/>
        </w:rPr>
        <w:lastRenderedPageBreak/>
        <w:t>records between the NHS, local authorities and the voluntary sector. Partnership working requires elimination of the information silos that is presently in place</w:t>
      </w:r>
      <w:r w:rsidRPr="00363A81">
        <w:rPr>
          <w:rFonts w:ascii="Arial" w:hAnsi="Arial" w:eastAsia="Times New Roman" w:cs="Arial"/>
          <w:color w:val="1F1F1F"/>
          <w:kern w:val="0"/>
          <w:bdr w:val="none" w:color="auto" w:sz="0" w:space="0" w:frame="1"/>
          <w:lang w:eastAsia="en-GB"/>
          <w14:ligatures w14:val="none"/>
        </w:rPr>
        <w:t>.</w:t>
      </w:r>
    </w:p>
    <w:p w:rsidRPr="00363A81" w:rsidR="00363A81" w:rsidP="00EA4113" w:rsidRDefault="00363A81" w14:paraId="2C22824C" w14:textId="21AA5DD9">
      <w:pPr>
        <w:numPr>
          <w:ilvl w:val="0"/>
          <w:numId w:val="2"/>
        </w:numPr>
        <w:spacing w:after="0" w:line="360" w:lineRule="auto"/>
        <w:jc w:val="both"/>
        <w:rPr>
          <w:rFonts w:ascii="Arial" w:hAnsi="Arial" w:eastAsia="Times New Roman" w:cs="Arial"/>
          <w:color w:val="1F1F1F"/>
          <w:kern w:val="0"/>
          <w:lang w:eastAsia="en-GB"/>
          <w14:ligatures w14:val="none"/>
        </w:rPr>
      </w:pPr>
      <w:r w:rsidRPr="00363A81">
        <w:rPr>
          <w:rFonts w:ascii="Arial" w:hAnsi="Arial" w:eastAsia="Times New Roman" w:cs="Arial"/>
          <w:b/>
          <w:bCs/>
          <w:color w:val="1F1F1F"/>
          <w:kern w:val="0"/>
          <w:bdr w:val="none" w:color="auto" w:sz="0" w:space="0" w:frame="1"/>
          <w:lang w:eastAsia="en-GB"/>
          <w14:ligatures w14:val="none"/>
        </w:rPr>
        <w:t>Meaningful Co-Production:</w:t>
      </w:r>
      <w:r w:rsidRPr="00363A81">
        <w:rPr>
          <w:rFonts w:ascii="Arial" w:hAnsi="Arial" w:eastAsia="Times New Roman" w:cs="Arial"/>
          <w:color w:val="1F1F1F"/>
          <w:kern w:val="0"/>
          <w:bdr w:val="none" w:color="auto" w:sz="0" w:space="0" w:frame="1"/>
          <w:lang w:eastAsia="en-GB"/>
          <w14:ligatures w14:val="none"/>
        </w:rPr>
        <w:t xml:space="preserve"> </w:t>
      </w:r>
      <w:r w:rsidRPr="00EA4113" w:rsidR="00EA4113">
        <w:rPr>
          <w:rFonts w:ascii="Arial" w:hAnsi="Arial" w:eastAsia="Times New Roman" w:cs="Arial"/>
          <w:color w:val="1F1F1F"/>
          <w:kern w:val="0"/>
          <w:bdr w:val="none" w:color="auto" w:sz="0" w:space="0" w:frame="1"/>
          <w:lang w:eastAsia="en-GB"/>
          <w14:ligatures w14:val="none"/>
        </w:rPr>
        <w:t xml:space="preserve">There must be the abandonment of consultation efforts in </w:t>
      </w:r>
      <w:proofErr w:type="spellStart"/>
      <w:r w:rsidRPr="00EA4113" w:rsidR="00EA4113">
        <w:rPr>
          <w:rFonts w:ascii="Arial" w:hAnsi="Arial" w:eastAsia="Times New Roman" w:cs="Arial"/>
          <w:color w:val="1F1F1F"/>
          <w:kern w:val="0"/>
          <w:bdr w:val="none" w:color="auto" w:sz="0" w:space="0" w:frame="1"/>
          <w:lang w:eastAsia="en-GB"/>
          <w14:ligatures w14:val="none"/>
        </w:rPr>
        <w:t>favor</w:t>
      </w:r>
      <w:proofErr w:type="spellEnd"/>
      <w:r w:rsidRPr="00EA4113" w:rsidR="00EA4113">
        <w:rPr>
          <w:rFonts w:ascii="Arial" w:hAnsi="Arial" w:eastAsia="Times New Roman" w:cs="Arial"/>
          <w:color w:val="1F1F1F"/>
          <w:kern w:val="0"/>
          <w:bdr w:val="none" w:color="auto" w:sz="0" w:space="0" w:frame="1"/>
          <w:lang w:eastAsia="en-GB"/>
          <w14:ligatures w14:val="none"/>
        </w:rPr>
        <w:t xml:space="preserve"> of co-production in which service users and their families actively participate in planning the services they consume. This makes the policy more realistic and based on lived experience, which in turn makes the services more person-centred</w:t>
      </w:r>
      <w:r w:rsidRPr="00363A81">
        <w:rPr>
          <w:rFonts w:ascii="Arial" w:hAnsi="Arial" w:eastAsia="Times New Roman" w:cs="Arial"/>
          <w:color w:val="1F1F1F"/>
          <w:kern w:val="0"/>
          <w:bdr w:val="none" w:color="auto" w:sz="0" w:space="0" w:frame="1"/>
          <w:lang w:eastAsia="en-GB"/>
          <w14:ligatures w14:val="none"/>
        </w:rPr>
        <w:t>.</w:t>
      </w:r>
    </w:p>
    <w:p w:rsidRPr="00FA3947" w:rsidR="00363A81" w:rsidP="00EA4113" w:rsidRDefault="00363A81" w14:paraId="42ED5714" w14:textId="72AF0B0F">
      <w:pPr>
        <w:numPr>
          <w:ilvl w:val="0"/>
          <w:numId w:val="2"/>
        </w:numPr>
        <w:spacing w:after="0" w:line="360" w:lineRule="auto"/>
        <w:jc w:val="both"/>
        <w:rPr>
          <w:rFonts w:ascii="Arial" w:hAnsi="Arial" w:eastAsia="Times New Roman" w:cs="Arial"/>
          <w:color w:val="1F1F1F"/>
          <w:kern w:val="0"/>
          <w:lang w:eastAsia="en-GB"/>
          <w14:ligatures w14:val="none"/>
        </w:rPr>
      </w:pPr>
      <w:r w:rsidRPr="00363A81">
        <w:rPr>
          <w:rFonts w:ascii="Arial" w:hAnsi="Arial" w:eastAsia="Times New Roman" w:cs="Arial"/>
          <w:b/>
          <w:bCs/>
          <w:color w:val="1F1F1F"/>
          <w:kern w:val="0"/>
          <w:bdr w:val="none" w:color="auto" w:sz="0" w:space="0" w:frame="1"/>
          <w:lang w:eastAsia="en-GB"/>
          <w14:ligatures w14:val="none"/>
        </w:rPr>
        <w:t>Cultural Shift in Professional Education:</w:t>
      </w:r>
      <w:r w:rsidRPr="00363A81">
        <w:rPr>
          <w:rFonts w:ascii="Arial" w:hAnsi="Arial" w:eastAsia="Times New Roman" w:cs="Arial"/>
          <w:color w:val="1F1F1F"/>
          <w:kern w:val="0"/>
          <w:bdr w:val="none" w:color="auto" w:sz="0" w:space="0" w:frame="1"/>
          <w:lang w:eastAsia="en-GB"/>
          <w14:ligatures w14:val="none"/>
        </w:rPr>
        <w:t xml:space="preserve"> </w:t>
      </w:r>
      <w:r w:rsidRPr="00EA4113" w:rsidR="00EA4113">
        <w:rPr>
          <w:rFonts w:ascii="Arial" w:hAnsi="Arial" w:eastAsia="Times New Roman" w:cs="Arial"/>
          <w:color w:val="1F1F1F"/>
          <w:kern w:val="0"/>
          <w:bdr w:val="none" w:color="auto" w:sz="0" w:space="0" w:frame="1"/>
          <w:lang w:eastAsia="en-GB"/>
          <w14:ligatures w14:val="none"/>
        </w:rPr>
        <w:t>Inter-disciplinary training in health and social care professionals has to be increased. The professional silos can be broken at the educational level by having doctors, nurses, and social workers train together to promote a culture of collaboration and respect across their entire lives</w:t>
      </w:r>
      <w:r w:rsidRPr="00363A81">
        <w:rPr>
          <w:rFonts w:ascii="Arial" w:hAnsi="Arial" w:eastAsia="Times New Roman" w:cs="Arial"/>
          <w:color w:val="1F1F1F"/>
          <w:kern w:val="0"/>
          <w:bdr w:val="none" w:color="auto" w:sz="0" w:space="0" w:frame="1"/>
          <w:lang w:eastAsia="en-GB"/>
          <w14:ligatures w14:val="none"/>
        </w:rPr>
        <w:t>.</w:t>
      </w:r>
    </w:p>
    <w:p w:rsidRPr="00363A81" w:rsidR="00FA3947" w:rsidP="00EA4113" w:rsidRDefault="00FA3947" w14:paraId="0CD6013F" w14:textId="77777777">
      <w:pPr>
        <w:spacing w:after="0" w:line="360" w:lineRule="auto"/>
        <w:ind w:left="720"/>
        <w:jc w:val="both"/>
        <w:rPr>
          <w:rFonts w:ascii="Arial" w:hAnsi="Arial" w:eastAsia="Times New Roman" w:cs="Arial"/>
          <w:color w:val="1F1F1F"/>
          <w:kern w:val="0"/>
          <w:lang w:eastAsia="en-GB"/>
          <w14:ligatures w14:val="none"/>
        </w:rPr>
      </w:pPr>
    </w:p>
    <w:p w:rsidRPr="00363A81" w:rsidR="00363A81" w:rsidP="00EA4113" w:rsidRDefault="00363A81" w14:paraId="26328052" w14:textId="77777777">
      <w:pPr>
        <w:spacing w:after="0" w:line="360" w:lineRule="auto"/>
        <w:jc w:val="both"/>
        <w:outlineLvl w:val="1"/>
        <w:rPr>
          <w:rFonts w:ascii="Arial" w:hAnsi="Arial" w:eastAsia="Times New Roman" w:cs="Arial"/>
          <w:b w:val="1"/>
          <w:bCs w:val="1"/>
          <w:color w:val="1F1F1F"/>
          <w:kern w:val="0"/>
          <w:lang w:eastAsia="en-GB"/>
          <w14:ligatures w14:val="none"/>
        </w:rPr>
      </w:pPr>
      <w:r w:rsidRPr="00363A81" w:rsidR="00363A81">
        <w:rPr>
          <w:rFonts w:ascii="Arial" w:hAnsi="Arial" w:eastAsia="Times New Roman" w:cs="Arial"/>
          <w:b w:val="1"/>
          <w:bCs w:val="1"/>
          <w:color w:val="1F1F1F"/>
          <w:kern w:val="0"/>
          <w:bdr w:val="none" w:color="auto" w:sz="0" w:space="0" w:frame="1"/>
          <w:lang w:eastAsia="en-GB"/>
          <w14:ligatures w14:val="none"/>
        </w:rPr>
        <w:t>9. Conclusion</w:t>
      </w:r>
    </w:p>
    <w:p w:rsidRPr="00363A81" w:rsidR="00363A81" w:rsidP="00EA4113" w:rsidRDefault="00EA4113" w14:paraId="7A718C66" w14:textId="0274064C">
      <w:pPr>
        <w:spacing w:after="0" w:line="360" w:lineRule="auto"/>
        <w:ind w:firstLine="720"/>
        <w:jc w:val="both"/>
        <w:rPr>
          <w:rFonts w:ascii="Arial" w:hAnsi="Arial" w:eastAsia="Times New Roman" w:cs="Arial"/>
          <w:color w:val="1F1F1F"/>
          <w:kern w:val="0"/>
          <w:lang w:eastAsia="en-GB"/>
          <w14:ligatures w14:val="none"/>
        </w:rPr>
      </w:pPr>
      <w:r w:rsidRPr="00EA4113">
        <w:rPr>
          <w:rFonts w:ascii="Arial" w:hAnsi="Arial" w:eastAsia="Times New Roman" w:cs="Arial"/>
          <w:color w:val="1F1F1F"/>
          <w:kern w:val="0"/>
          <w:bdr w:val="none" w:color="auto" w:sz="0" w:space="0" w:frame="1"/>
          <w:lang w:eastAsia="en-GB"/>
          <w14:ligatures w14:val="none"/>
        </w:rPr>
        <w:t xml:space="preserve">This report has already proven that Person-Centred Care and Partnership Working are the keystones to a modern, effective health and social care system. Using the theory of Carl Rogers, we understand that PCC has been based on the humanistic values that put a person above a patient. The analysis of partnership working shows that the advantages of holistic care are enormous, but such systemic obstacles as funding and culture are still present. Nevertheless, the legal (statutory) support of the Care Act 2014 and the Health and Care Act 2022 </w:t>
      </w:r>
      <w:proofErr w:type="gramStart"/>
      <w:r w:rsidRPr="00EA4113">
        <w:rPr>
          <w:rFonts w:ascii="Arial" w:hAnsi="Arial" w:eastAsia="Times New Roman" w:cs="Arial"/>
          <w:color w:val="1F1F1F"/>
          <w:kern w:val="0"/>
          <w:bdr w:val="none" w:color="auto" w:sz="0" w:space="0" w:frame="1"/>
          <w:lang w:eastAsia="en-GB"/>
          <w14:ligatures w14:val="none"/>
        </w:rPr>
        <w:t>offers</w:t>
      </w:r>
      <w:proofErr w:type="gramEnd"/>
      <w:r w:rsidRPr="00EA4113">
        <w:rPr>
          <w:rFonts w:ascii="Arial" w:hAnsi="Arial" w:eastAsia="Times New Roman" w:cs="Arial"/>
          <w:color w:val="1F1F1F"/>
          <w:kern w:val="0"/>
          <w:bdr w:val="none" w:color="auto" w:sz="0" w:space="0" w:frame="1"/>
          <w:lang w:eastAsia="en-GB"/>
          <w14:ligatures w14:val="none"/>
        </w:rPr>
        <w:t xml:space="preserve"> a tangible legal directive to eliminate these obstacles. With the suggested changes in investing in the workforce, integrating digital and co-producing, the UK will be able to enter the new era where all people obtain care that is not just clinically excellent but also respectful of their individual personhood</w:t>
      </w:r>
      <w:r w:rsidRPr="00363A81" w:rsidR="00363A81">
        <w:rPr>
          <w:rFonts w:ascii="Arial" w:hAnsi="Arial" w:eastAsia="Times New Roman" w:cs="Arial"/>
          <w:color w:val="1F1F1F"/>
          <w:kern w:val="0"/>
          <w:bdr w:val="none" w:color="auto" w:sz="0" w:space="0" w:frame="1"/>
          <w:lang w:eastAsia="en-GB"/>
          <w14:ligatures w14:val="none"/>
        </w:rPr>
        <w:t>.</w:t>
      </w:r>
    </w:p>
    <w:p w:rsidRPr="00F1459D" w:rsidR="00FD77EC" w:rsidP="00EA4113" w:rsidRDefault="00FD77EC" w14:paraId="1160D32E" w14:textId="77777777">
      <w:pPr>
        <w:spacing w:line="360" w:lineRule="auto"/>
        <w:rPr>
          <w:rFonts w:ascii="Arial" w:hAnsi="Arial" w:eastAsia="Times New Roman" w:cs="Arial"/>
          <w:b/>
          <w:bCs/>
          <w:color w:val="1F1F1F"/>
          <w:kern w:val="0"/>
          <w:lang w:eastAsia="en-GB"/>
          <w14:ligatures w14:val="none"/>
        </w:rPr>
      </w:pPr>
      <w:r w:rsidRPr="00F1459D">
        <w:rPr>
          <w:rFonts w:ascii="Arial" w:hAnsi="Arial" w:eastAsia="Times New Roman" w:cs="Arial"/>
          <w:b/>
          <w:bCs/>
          <w:color w:val="1F1F1F"/>
          <w:kern w:val="0"/>
          <w:lang w:eastAsia="en-GB"/>
          <w14:ligatures w14:val="none"/>
        </w:rPr>
        <w:br w:type="page"/>
      </w:r>
    </w:p>
    <w:p w:rsidRPr="00EA4113" w:rsidR="00FA3947" w:rsidP="00EA4113" w:rsidRDefault="00363A81" w14:paraId="79E02F8F" w14:textId="23F71CCB">
      <w:pPr>
        <w:spacing w:after="120" w:line="360" w:lineRule="auto"/>
        <w:jc w:val="both"/>
        <w:outlineLvl w:val="1"/>
        <w:rPr>
          <w:rFonts w:ascii="Arial" w:hAnsi="Arial" w:eastAsia="Times New Roman" w:cs="Arial"/>
          <w:b w:val="1"/>
          <w:bCs w:val="1"/>
          <w:color w:val="1F1F1F"/>
          <w:kern w:val="0"/>
          <w:lang w:eastAsia="en-GB"/>
          <w14:ligatures w14:val="none"/>
        </w:rPr>
      </w:pPr>
      <w:r w:rsidRPr="00363A81" w:rsidR="00363A81">
        <w:rPr>
          <w:rFonts w:ascii="Arial" w:hAnsi="Arial" w:eastAsia="Times New Roman" w:cs="Arial"/>
          <w:b w:val="1"/>
          <w:bCs w:val="1"/>
          <w:color w:val="1F1F1F"/>
          <w:kern w:val="0"/>
          <w:lang w:eastAsia="en-GB"/>
          <w14:ligatures w14:val="none"/>
        </w:rPr>
        <w:lastRenderedPageBreak/>
        <w:t>10. Reference List</w:t>
      </w:r>
    </w:p>
    <w:p w:rsidRPr="00FA3947" w:rsidR="00FA3947" w:rsidP="00EA4113" w:rsidRDefault="00FA3947" w14:paraId="05B437B8"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 xml:space="preserve">Care Quality Commission (CQC). (2023) The state of health care and adult social care in England 2022/23. Newcastle: CQC. Available at: https://www.cqc.org.uk/publications/state-care/state-care-202223 </w:t>
      </w:r>
    </w:p>
    <w:p w:rsidRPr="00FA3947" w:rsidR="00FA3947" w:rsidP="00EA4113" w:rsidRDefault="00FA3947" w14:paraId="6DCA473D" w14:textId="77777777">
      <w:pPr>
        <w:spacing w:after="0" w:line="360" w:lineRule="auto"/>
        <w:ind w:left="720" w:hanging="720"/>
        <w:jc w:val="both"/>
        <w:rPr>
          <w:rFonts w:ascii="Arial" w:hAnsi="Arial" w:eastAsia="Times New Roman" w:cs="Arial"/>
          <w:color w:val="1F1F1F"/>
          <w:kern w:val="0"/>
          <w:lang w:eastAsia="en-GB"/>
          <w14:ligatures w14:val="none"/>
        </w:rPr>
      </w:pPr>
      <w:proofErr w:type="spellStart"/>
      <w:r w:rsidRPr="00FA3947">
        <w:rPr>
          <w:rFonts w:ascii="Arial" w:hAnsi="Arial" w:eastAsia="Times New Roman" w:cs="Arial"/>
          <w:color w:val="1F1F1F"/>
          <w:kern w:val="0"/>
          <w:lang w:eastAsia="en-GB"/>
          <w14:ligatures w14:val="none"/>
        </w:rPr>
        <w:t>Cavé</w:t>
      </w:r>
      <w:proofErr w:type="spellEnd"/>
      <w:r w:rsidRPr="00FA3947">
        <w:rPr>
          <w:rFonts w:ascii="Arial" w:hAnsi="Arial" w:eastAsia="Times New Roman" w:cs="Arial"/>
          <w:color w:val="1F1F1F"/>
          <w:kern w:val="0"/>
          <w:lang w:eastAsia="en-GB"/>
          <w14:ligatures w14:val="none"/>
        </w:rPr>
        <w:t xml:space="preserve">, J., </w:t>
      </w:r>
      <w:proofErr w:type="spellStart"/>
      <w:r w:rsidRPr="00FA3947">
        <w:rPr>
          <w:rFonts w:ascii="Arial" w:hAnsi="Arial" w:eastAsia="Times New Roman" w:cs="Arial"/>
          <w:color w:val="1F1F1F"/>
          <w:kern w:val="0"/>
          <w:lang w:eastAsia="en-GB"/>
          <w14:ligatures w14:val="none"/>
        </w:rPr>
        <w:t>Katjene</w:t>
      </w:r>
      <w:proofErr w:type="spellEnd"/>
      <w:r w:rsidRPr="00FA3947">
        <w:rPr>
          <w:rFonts w:ascii="Arial" w:hAnsi="Arial" w:eastAsia="Times New Roman" w:cs="Arial"/>
          <w:color w:val="1F1F1F"/>
          <w:kern w:val="0"/>
          <w:lang w:eastAsia="en-GB"/>
          <w14:ligatures w14:val="none"/>
        </w:rPr>
        <w:t xml:space="preserve">, M. and </w:t>
      </w:r>
      <w:proofErr w:type="spellStart"/>
      <w:r w:rsidRPr="00FA3947">
        <w:rPr>
          <w:rFonts w:ascii="Arial" w:hAnsi="Arial" w:eastAsia="Times New Roman" w:cs="Arial"/>
          <w:color w:val="1F1F1F"/>
          <w:kern w:val="0"/>
          <w:lang w:eastAsia="en-GB"/>
          <w14:ligatures w14:val="none"/>
        </w:rPr>
        <w:t>Roos</w:t>
      </w:r>
      <w:proofErr w:type="spellEnd"/>
      <w:r w:rsidRPr="00FA3947">
        <w:rPr>
          <w:rFonts w:ascii="Arial" w:hAnsi="Arial" w:eastAsia="Times New Roman" w:cs="Arial"/>
          <w:color w:val="1F1F1F"/>
          <w:kern w:val="0"/>
          <w:lang w:eastAsia="en-GB"/>
          <w14:ligatures w14:val="none"/>
        </w:rPr>
        <w:t>, V., 2024. A scoping review of Rogers’ person-centred approach to identify constructs relevant to optimal intergenerational relationships. South African Journal of Psychology, 54(3), pp.402-414.</w:t>
      </w:r>
    </w:p>
    <w:p w:rsidRPr="00FA3947" w:rsidR="00FA3947" w:rsidP="00EA4113" w:rsidRDefault="00FA3947" w14:paraId="041BE53E"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Childress, J.F. and Beauchamp, T.L., 2022. Common morality principles in biomedical ethics: responses to critics. Cambridge Quarterly of Healthcare Ethics, 31(2), pp.164-176.</w:t>
      </w:r>
    </w:p>
    <w:p w:rsidRPr="00FA3947" w:rsidR="00FA3947" w:rsidP="00EA4113" w:rsidRDefault="00FA3947" w14:paraId="3D362A0E"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 xml:space="preserve">Department of Health. (2014) The Care Act 2014: Statutory guidance. London: The Stationery Office. Available at: https://www.gov.uk/government/publications/care-act-2014-statutory-guidance-for-implementation  </w:t>
      </w:r>
    </w:p>
    <w:p w:rsidRPr="00FA3947" w:rsidR="00FA3947" w:rsidP="00EA4113" w:rsidRDefault="00FA3947" w14:paraId="61F82D35"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 xml:space="preserve">Fridberg, H., Wallin, L. and </w:t>
      </w:r>
      <w:proofErr w:type="spellStart"/>
      <w:r w:rsidRPr="00FA3947">
        <w:rPr>
          <w:rFonts w:ascii="Arial" w:hAnsi="Arial" w:eastAsia="Times New Roman" w:cs="Arial"/>
          <w:color w:val="1F1F1F"/>
          <w:kern w:val="0"/>
          <w:lang w:eastAsia="en-GB"/>
          <w14:ligatures w14:val="none"/>
        </w:rPr>
        <w:t>Tistad</w:t>
      </w:r>
      <w:proofErr w:type="spellEnd"/>
      <w:r w:rsidRPr="00FA3947">
        <w:rPr>
          <w:rFonts w:ascii="Arial" w:hAnsi="Arial" w:eastAsia="Times New Roman" w:cs="Arial"/>
          <w:color w:val="1F1F1F"/>
          <w:kern w:val="0"/>
          <w:lang w:eastAsia="en-GB"/>
          <w14:ligatures w14:val="none"/>
        </w:rPr>
        <w:t>, M., 2022. Operationalisation of person-centred care in a real-world setting: a case study with six embedded units. BMC health services research, 22(1), p.1160.</w:t>
      </w:r>
    </w:p>
    <w:p w:rsidRPr="00FA3947" w:rsidR="00FA3947" w:rsidP="00EA4113" w:rsidRDefault="00FA3947" w14:paraId="08EB2718"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Glasby, J., 2019. The short guide to health and social care. Policy Press.</w:t>
      </w:r>
    </w:p>
    <w:p w:rsidRPr="00FA3947" w:rsidR="00FA3947" w:rsidP="00EA4113" w:rsidRDefault="00FA3947" w14:paraId="40477938"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 xml:space="preserve">Health Foundation. (2016) Person-centred care made simple. London: Health Foundation. Available at: https://www.health.org.uk/publications/person-centred-care-made-simple </w:t>
      </w:r>
    </w:p>
    <w:p w:rsidRPr="00FA3947" w:rsidR="00FA3947" w:rsidP="00EA4113" w:rsidRDefault="00FA3947" w14:paraId="11022759"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Katz, J. and Keyes, J., 2020. Person-centred approaches. In Applied sport, exercise, and performance psychology (pp. 31-52). Routledge.</w:t>
      </w:r>
    </w:p>
    <w:p w:rsidRPr="00FA3947" w:rsidR="00FA3947" w:rsidP="00EA4113" w:rsidRDefault="00FA3947" w14:paraId="1AAC382F"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 xml:space="preserve">Koskinen, C., Koskinen, M., Koivula, M., Korpi, H., </w:t>
      </w:r>
      <w:proofErr w:type="spellStart"/>
      <w:r w:rsidRPr="00FA3947">
        <w:rPr>
          <w:rFonts w:ascii="Arial" w:hAnsi="Arial" w:eastAsia="Times New Roman" w:cs="Arial"/>
          <w:color w:val="1F1F1F"/>
          <w:kern w:val="0"/>
          <w:lang w:eastAsia="en-GB"/>
          <w14:ligatures w14:val="none"/>
        </w:rPr>
        <w:t>Koskimäki</w:t>
      </w:r>
      <w:proofErr w:type="spellEnd"/>
      <w:r w:rsidRPr="00FA3947">
        <w:rPr>
          <w:rFonts w:ascii="Arial" w:hAnsi="Arial" w:eastAsia="Times New Roman" w:cs="Arial"/>
          <w:color w:val="1F1F1F"/>
          <w:kern w:val="0"/>
          <w:lang w:eastAsia="en-GB"/>
          <w14:ligatures w14:val="none"/>
        </w:rPr>
        <w:t xml:space="preserve">, M., Lähteenmäki, M.L., Mikkonen, K., </w:t>
      </w:r>
      <w:proofErr w:type="spellStart"/>
      <w:r w:rsidRPr="00FA3947">
        <w:rPr>
          <w:rFonts w:ascii="Arial" w:hAnsi="Arial" w:eastAsia="Times New Roman" w:cs="Arial"/>
          <w:color w:val="1F1F1F"/>
          <w:kern w:val="0"/>
          <w:lang w:eastAsia="en-GB"/>
          <w14:ligatures w14:val="none"/>
        </w:rPr>
        <w:t>Saaranen</w:t>
      </w:r>
      <w:proofErr w:type="spellEnd"/>
      <w:r w:rsidRPr="00FA3947">
        <w:rPr>
          <w:rFonts w:ascii="Arial" w:hAnsi="Arial" w:eastAsia="Times New Roman" w:cs="Arial"/>
          <w:color w:val="1F1F1F"/>
          <w:kern w:val="0"/>
          <w:lang w:eastAsia="en-GB"/>
          <w14:ligatures w14:val="none"/>
        </w:rPr>
        <w:t>, T., Salminen, L., Sjögren, T. and Sormunen, M., 2020. Health and social care educators' ethical competence. Nursing Ethics, 27(4), pp.1115-1126.</w:t>
      </w:r>
    </w:p>
    <w:p w:rsidRPr="00FA3947" w:rsidR="00FA3947" w:rsidP="00EA4113" w:rsidRDefault="00FA3947" w14:paraId="5BF4150D"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 xml:space="preserve">Moody, L., Nicholls, B., Shamji, H., Bridge, E., </w:t>
      </w:r>
      <w:proofErr w:type="spellStart"/>
      <w:r w:rsidRPr="00FA3947">
        <w:rPr>
          <w:rFonts w:ascii="Arial" w:hAnsi="Arial" w:eastAsia="Times New Roman" w:cs="Arial"/>
          <w:color w:val="1F1F1F"/>
          <w:kern w:val="0"/>
          <w:lang w:eastAsia="en-GB"/>
          <w14:ligatures w14:val="none"/>
        </w:rPr>
        <w:t>Dhanju</w:t>
      </w:r>
      <w:proofErr w:type="spellEnd"/>
      <w:r w:rsidRPr="00FA3947">
        <w:rPr>
          <w:rFonts w:ascii="Arial" w:hAnsi="Arial" w:eastAsia="Times New Roman" w:cs="Arial"/>
          <w:color w:val="1F1F1F"/>
          <w:kern w:val="0"/>
          <w:lang w:eastAsia="en-GB"/>
          <w14:ligatures w14:val="none"/>
        </w:rPr>
        <w:t>, S. and Singh, S., 2018. The person-centred care guideline: from principle to practice. Journal of patient experience, 5(4), pp.282-288.</w:t>
      </w:r>
    </w:p>
    <w:p w:rsidRPr="00FA3947" w:rsidR="00FA3947" w:rsidP="00EA4113" w:rsidRDefault="00FA3947" w14:paraId="3DD8737B"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 xml:space="preserve">National Institute for Health and Care Excellence (NICE). (2018) Dementia: assessment, management and support for people living with dementia and their </w:t>
      </w:r>
      <w:r w:rsidRPr="00FA3947">
        <w:rPr>
          <w:rFonts w:ascii="Arial" w:hAnsi="Arial" w:eastAsia="Times New Roman" w:cs="Arial"/>
          <w:color w:val="1F1F1F"/>
          <w:kern w:val="0"/>
          <w:lang w:eastAsia="en-GB"/>
          <w14:ligatures w14:val="none"/>
        </w:rPr>
        <w:lastRenderedPageBreak/>
        <w:t>carers [NG97]. London: NICE. Available at: https://www.nice.org.uk/guidance/ng97</w:t>
      </w:r>
    </w:p>
    <w:p w:rsidRPr="00FA3947" w:rsidR="00FA3947" w:rsidP="00EA4113" w:rsidRDefault="00FA3947" w14:paraId="33D314C5"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 xml:space="preserve">NHS England. (2019) The NHS Long Term Plan. London: NHS England. Available at: https://www.longtermplan.nhs.uk/ </w:t>
      </w:r>
    </w:p>
    <w:p w:rsidRPr="00FA3947" w:rsidR="00FA3947" w:rsidP="00EA4113" w:rsidRDefault="00FA3947" w14:paraId="43D0904C"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Nursing and Midwifery Council (NMC). (2018) The Code: Professional standards of practice and behaviour for nurses, midwives and nursing associates. London: NMC. Available at: https://www.nmc.org.uk/standards/code/</w:t>
      </w:r>
    </w:p>
    <w:p w:rsidRPr="00FA3947" w:rsidR="00FA3947" w:rsidP="00EA4113" w:rsidRDefault="00FA3947" w14:paraId="333C9F6F"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Oliver, M., 2023. The social model of disability. In Social work (pp. 137-140). Routledge.</w:t>
      </w:r>
    </w:p>
    <w:p w:rsidRPr="00FA3947" w:rsidR="00FA3947" w:rsidP="00EA4113" w:rsidRDefault="00FA3947" w14:paraId="37BD2769"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Reamer, F.G., 2018. Ethical issues in integrated health care: Implications for social workers. Health &amp; Social Work, 43(2), pp.118-124.</w:t>
      </w:r>
    </w:p>
    <w:p w:rsidRPr="00FA3947" w:rsidR="00FA3947" w:rsidP="00EA4113" w:rsidRDefault="00FA3947" w14:paraId="6E9DC8EC"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Rodgers, B. and Tudor, K., 2020. Person-centred therapy: A radical paradigm in a new world. New Zealand Journal of Counselling, 40(2), pp.21-35.</w:t>
      </w:r>
    </w:p>
    <w:p w:rsidRPr="00FA3947" w:rsidR="00FA3947" w:rsidP="00EA4113" w:rsidRDefault="00FA3947" w14:paraId="36320783"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Rogers, C.R., 1962. Toward becoming a fully functioning person. Perceiving, behaving, becoming: A new focus for education, pp.21-33.</w:t>
      </w:r>
    </w:p>
    <w:p w:rsidRPr="00FA3947" w:rsidR="00FA3947" w:rsidP="00EA4113" w:rsidRDefault="00FA3947" w14:paraId="3856F725"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Santana, M.J., Manalili, K., Jolley, R.J., Zelinsky, S., Quan, H. and Lu, M., 2018. How to practice person</w:t>
      </w:r>
      <w:r w:rsidRPr="00FA3947">
        <w:rPr>
          <w:rFonts w:ascii="Cambria Math" w:hAnsi="Cambria Math" w:eastAsia="Times New Roman" w:cs="Cambria Math"/>
          <w:color w:val="1F1F1F"/>
          <w:kern w:val="0"/>
          <w:lang w:eastAsia="en-GB"/>
          <w14:ligatures w14:val="none"/>
        </w:rPr>
        <w:t>‐</w:t>
      </w:r>
      <w:r w:rsidRPr="00FA3947">
        <w:rPr>
          <w:rFonts w:ascii="Arial" w:hAnsi="Arial" w:eastAsia="Times New Roman" w:cs="Arial"/>
          <w:color w:val="1F1F1F"/>
          <w:kern w:val="0"/>
          <w:lang w:eastAsia="en-GB"/>
          <w14:ligatures w14:val="none"/>
        </w:rPr>
        <w:t>centred care: A conceptual framework. Health Expectations, 21(2), pp.429-440.</w:t>
      </w:r>
    </w:p>
    <w:p w:rsidRPr="00FA3947" w:rsidR="00FA3947" w:rsidP="00EA4113" w:rsidRDefault="00FA3947" w14:paraId="7B541603"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 xml:space="preserve">Skills for Care. (2020) Person-centred care. Available at: https://www.skillsforcare.org.uk/adult-social-care-workforce-data/Workforce-intelligence/publications/topics/person-centred-care.aspx </w:t>
      </w:r>
    </w:p>
    <w:p w:rsidRPr="00FA3947" w:rsidR="00FA3947" w:rsidP="00EA4113" w:rsidRDefault="00FA3947" w14:paraId="63DD6D8B"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 xml:space="preserve">Social Care Institute for Excellence (SCIE). (2022) Integration and partnership working. London: SCIE. Available at: https://www.scie.org.uk/integrated-care/ </w:t>
      </w:r>
    </w:p>
    <w:p w:rsidRPr="00FA3947" w:rsidR="00FA3947" w:rsidP="00EA4113" w:rsidRDefault="00FA3947" w14:paraId="40C06276" w14:textId="77777777">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 xml:space="preserve">United Kingdom. (2022) Health and Care Act 2022. London: Queen’s Printer of Acts of Parliament. Available at: https://www.legislation.gov.uk/ukpga/2022/31/contents/enacted </w:t>
      </w:r>
    </w:p>
    <w:p w:rsidRPr="00FA3947" w:rsidR="00FA3947" w:rsidP="00EA4113" w:rsidRDefault="00FA3947" w14:paraId="2F8E1119" w14:textId="7274CB15">
      <w:pPr>
        <w:spacing w:after="0" w:line="360" w:lineRule="auto"/>
        <w:ind w:left="720" w:hanging="720"/>
        <w:jc w:val="both"/>
        <w:rPr>
          <w:rFonts w:ascii="Arial" w:hAnsi="Arial" w:eastAsia="Times New Roman" w:cs="Arial"/>
          <w:color w:val="1F1F1F"/>
          <w:kern w:val="0"/>
          <w:lang w:eastAsia="en-GB"/>
          <w14:ligatures w14:val="none"/>
        </w:rPr>
      </w:pPr>
      <w:r w:rsidRPr="00FA3947">
        <w:rPr>
          <w:rFonts w:ascii="Arial" w:hAnsi="Arial" w:eastAsia="Times New Roman" w:cs="Arial"/>
          <w:color w:val="1F1F1F"/>
          <w:kern w:val="0"/>
          <w:lang w:eastAsia="en-GB"/>
          <w14:ligatures w14:val="none"/>
        </w:rPr>
        <w:t>World Health Organ</w:t>
      </w:r>
      <w:r w:rsidR="00EA4113">
        <w:rPr>
          <w:rFonts w:ascii="Arial" w:hAnsi="Arial" w:eastAsia="Times New Roman" w:cs="Arial"/>
          <w:color w:val="1F1F1F"/>
          <w:kern w:val="0"/>
          <w:lang w:eastAsia="en-GB"/>
          <w14:ligatures w14:val="none"/>
        </w:rPr>
        <w:t>isa</w:t>
      </w:r>
      <w:r w:rsidRPr="00FA3947">
        <w:rPr>
          <w:rFonts w:ascii="Arial" w:hAnsi="Arial" w:eastAsia="Times New Roman" w:cs="Arial"/>
          <w:color w:val="1F1F1F"/>
          <w:kern w:val="0"/>
          <w:lang w:eastAsia="en-GB"/>
          <w14:ligatures w14:val="none"/>
        </w:rPr>
        <w:t xml:space="preserve">tion (WHO). (2015) Framework on integrated, people-centred health services. Geneva: WHO. Available at: https://www.who.int/servicedeliverysafety/areas/people-centred-care/framework/en/ </w:t>
      </w:r>
    </w:p>
    <w:sectPr w:rsidRPr="00FA3947" w:rsidR="00FA3947" w:rsidSect="004A218C">
      <w:headerReference w:type="default" r:id="rId11"/>
      <w:pgSz w:w="11906" w:h="16838" w:orient="portrait"/>
      <w:pgMar w:top="1440" w:right="1440" w:bottom="1440" w:left="1440" w:header="708" w:footer="708" w:gutter="0"/>
      <w:pgBorders w:display="firstPage" w:offsetFrom="page">
        <w:top w:val="thinThickThinMediumGap" w:color="auto" w:sz="12" w:space="24"/>
        <w:left w:val="thinThickThinMediumGap" w:color="auto" w:sz="12" w:space="24"/>
        <w:bottom w:val="thinThickThinMediumGap" w:color="auto" w:sz="12" w:space="24"/>
        <w:right w:val="thinThickThinMediumGap" w:color="auto" w:sz="12" w:space="24"/>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01C73" w:rsidP="004A218C" w:rsidRDefault="00101C73" w14:paraId="55F40501" w14:textId="77777777">
      <w:pPr>
        <w:spacing w:after="0" w:line="240" w:lineRule="auto"/>
      </w:pPr>
      <w:r>
        <w:separator/>
      </w:r>
    </w:p>
  </w:endnote>
  <w:endnote w:type="continuationSeparator" w:id="0">
    <w:p w:rsidR="00101C73" w:rsidP="004A218C" w:rsidRDefault="00101C73" w14:paraId="405AD86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01C73" w:rsidP="004A218C" w:rsidRDefault="00101C73" w14:paraId="1C652E91" w14:textId="77777777">
      <w:pPr>
        <w:spacing w:after="0" w:line="240" w:lineRule="auto"/>
      </w:pPr>
      <w:r>
        <w:separator/>
      </w:r>
    </w:p>
  </w:footnote>
  <w:footnote w:type="continuationSeparator" w:id="0">
    <w:p w:rsidR="00101C73" w:rsidP="004A218C" w:rsidRDefault="00101C73" w14:paraId="6404D5B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181253712"/>
      <w:docPartObj>
        <w:docPartGallery w:val="Page Numbers (Top of Page)"/>
        <w:docPartUnique/>
      </w:docPartObj>
    </w:sdtPr>
    <w:sdtEndPr>
      <w:rPr>
        <w:rFonts w:ascii="Times New Roman" w:hAnsi="Times New Roman" w:cs="Times New Roman"/>
        <w:noProof/>
      </w:rPr>
    </w:sdtEndPr>
    <w:sdtContent>
      <w:p w:rsidRPr="004A218C" w:rsidR="004A218C" w:rsidRDefault="004A218C" w14:paraId="1059C0E8" w14:textId="5EABF1C5">
        <w:pPr>
          <w:pStyle w:val="Header"/>
          <w:jc w:val="right"/>
          <w:rPr>
            <w:rFonts w:ascii="Times New Roman" w:hAnsi="Times New Roman" w:cs="Times New Roman"/>
          </w:rPr>
        </w:pPr>
        <w:r w:rsidRPr="004A218C">
          <w:rPr>
            <w:rFonts w:ascii="Times New Roman" w:hAnsi="Times New Roman" w:cs="Times New Roman"/>
          </w:rPr>
          <w:fldChar w:fldCharType="begin"/>
        </w:r>
        <w:r w:rsidRPr="004A218C">
          <w:rPr>
            <w:rFonts w:ascii="Times New Roman" w:hAnsi="Times New Roman" w:cs="Times New Roman"/>
          </w:rPr>
          <w:instrText xml:space="preserve"> PAGE   \* MERGEFORMAT </w:instrText>
        </w:r>
        <w:r w:rsidRPr="004A218C">
          <w:rPr>
            <w:rFonts w:ascii="Times New Roman" w:hAnsi="Times New Roman" w:cs="Times New Roman"/>
          </w:rPr>
          <w:fldChar w:fldCharType="separate"/>
        </w:r>
        <w:r w:rsidRPr="004A218C">
          <w:rPr>
            <w:rFonts w:ascii="Times New Roman" w:hAnsi="Times New Roman" w:cs="Times New Roman"/>
            <w:noProof/>
          </w:rPr>
          <w:t>2</w:t>
        </w:r>
        <w:r w:rsidRPr="004A218C">
          <w:rPr>
            <w:rFonts w:ascii="Times New Roman" w:hAnsi="Times New Roman" w:cs="Times New Roman"/>
            <w:noProof/>
          </w:rPr>
          <w:fldChar w:fldCharType="end"/>
        </w:r>
      </w:p>
    </w:sdtContent>
  </w:sdt>
  <w:p w:rsidRPr="004A218C" w:rsidR="004A218C" w:rsidRDefault="004A218C" w14:paraId="6DCF2086" w14:textId="77777777">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82DF0"/>
    <w:multiLevelType w:val="hybridMultilevel"/>
    <w:tmpl w:val="18DCF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DD5B5B"/>
    <w:multiLevelType w:val="multilevel"/>
    <w:tmpl w:val="F3C215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7620C9"/>
    <w:multiLevelType w:val="multilevel"/>
    <w:tmpl w:val="F7F4D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6D922CC"/>
    <w:multiLevelType w:val="multilevel"/>
    <w:tmpl w:val="3A0092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6612756">
    <w:abstractNumId w:val="1"/>
  </w:num>
  <w:num w:numId="2" w16cid:durableId="889532898">
    <w:abstractNumId w:val="2"/>
  </w:num>
  <w:num w:numId="3" w16cid:durableId="504828796">
    <w:abstractNumId w:val="3"/>
  </w:num>
  <w:num w:numId="4" w16cid:durableId="367414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A81"/>
    <w:rsid w:val="00101C73"/>
    <w:rsid w:val="00363A81"/>
    <w:rsid w:val="004A218C"/>
    <w:rsid w:val="00962D29"/>
    <w:rsid w:val="0099637D"/>
    <w:rsid w:val="00EA4113"/>
    <w:rsid w:val="00F1459D"/>
    <w:rsid w:val="00FA3947"/>
    <w:rsid w:val="00FC5A1D"/>
    <w:rsid w:val="00FD77EC"/>
    <w:rsid w:val="05A9FA3A"/>
    <w:rsid w:val="43E7D8AF"/>
    <w:rsid w:val="503D60CF"/>
    <w:rsid w:val="5EC72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D7C26"/>
  <w15:chartTrackingRefBased/>
  <w15:docId w15:val="{E572DA5B-5078-4343-B822-56AFBE5E1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63A81"/>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63A81"/>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63A8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63A8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63A8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63A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3A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3A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3A8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63A81"/>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363A81"/>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363A81"/>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363A81"/>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363A81"/>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363A8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63A8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63A8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63A81"/>
    <w:rPr>
      <w:rFonts w:eastAsiaTheme="majorEastAsia" w:cstheme="majorBidi"/>
      <w:color w:val="272727" w:themeColor="text1" w:themeTint="D8"/>
    </w:rPr>
  </w:style>
  <w:style w:type="paragraph" w:styleId="Title">
    <w:name w:val="Title"/>
    <w:basedOn w:val="Normal"/>
    <w:next w:val="Normal"/>
    <w:link w:val="TitleChar"/>
    <w:uiPriority w:val="10"/>
    <w:qFormat/>
    <w:rsid w:val="00363A8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63A8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63A8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63A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3A81"/>
    <w:pPr>
      <w:spacing w:before="160"/>
      <w:jc w:val="center"/>
    </w:pPr>
    <w:rPr>
      <w:i/>
      <w:iCs/>
      <w:color w:val="404040" w:themeColor="text1" w:themeTint="BF"/>
    </w:rPr>
  </w:style>
  <w:style w:type="character" w:styleId="QuoteChar" w:customStyle="1">
    <w:name w:val="Quote Char"/>
    <w:basedOn w:val="DefaultParagraphFont"/>
    <w:link w:val="Quote"/>
    <w:uiPriority w:val="29"/>
    <w:rsid w:val="00363A81"/>
    <w:rPr>
      <w:i/>
      <w:iCs/>
      <w:color w:val="404040" w:themeColor="text1" w:themeTint="BF"/>
    </w:rPr>
  </w:style>
  <w:style w:type="paragraph" w:styleId="ListParagraph">
    <w:name w:val="List Paragraph"/>
    <w:basedOn w:val="Normal"/>
    <w:uiPriority w:val="34"/>
    <w:qFormat/>
    <w:rsid w:val="00363A81"/>
    <w:pPr>
      <w:ind w:left="720"/>
      <w:contextualSpacing/>
    </w:pPr>
  </w:style>
  <w:style w:type="character" w:styleId="IntenseEmphasis">
    <w:name w:val="Intense Emphasis"/>
    <w:basedOn w:val="DefaultParagraphFont"/>
    <w:uiPriority w:val="21"/>
    <w:qFormat/>
    <w:rsid w:val="00363A81"/>
    <w:rPr>
      <w:i/>
      <w:iCs/>
      <w:color w:val="2F5496" w:themeColor="accent1" w:themeShade="BF"/>
    </w:rPr>
  </w:style>
  <w:style w:type="paragraph" w:styleId="IntenseQuote">
    <w:name w:val="Intense Quote"/>
    <w:basedOn w:val="Normal"/>
    <w:next w:val="Normal"/>
    <w:link w:val="IntenseQuoteChar"/>
    <w:uiPriority w:val="30"/>
    <w:qFormat/>
    <w:rsid w:val="00363A81"/>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363A81"/>
    <w:rPr>
      <w:i/>
      <w:iCs/>
      <w:color w:val="2F5496" w:themeColor="accent1" w:themeShade="BF"/>
    </w:rPr>
  </w:style>
  <w:style w:type="character" w:styleId="IntenseReference">
    <w:name w:val="Intense Reference"/>
    <w:basedOn w:val="DefaultParagraphFont"/>
    <w:uiPriority w:val="32"/>
    <w:qFormat/>
    <w:rsid w:val="00363A81"/>
    <w:rPr>
      <w:b/>
      <w:bCs/>
      <w:smallCaps/>
      <w:color w:val="2F5496" w:themeColor="accent1" w:themeShade="BF"/>
      <w:spacing w:val="5"/>
    </w:rPr>
  </w:style>
  <w:style w:type="paragraph" w:styleId="Caption">
    <w:name w:val="caption"/>
    <w:basedOn w:val="Normal"/>
    <w:next w:val="Normal"/>
    <w:uiPriority w:val="35"/>
    <w:unhideWhenUsed/>
    <w:qFormat/>
    <w:rsid w:val="00FA394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A4113"/>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A4113"/>
    <w:pPr>
      <w:spacing w:after="100"/>
      <w:ind w:left="240"/>
    </w:pPr>
  </w:style>
  <w:style w:type="paragraph" w:styleId="TOC3">
    <w:name w:val="toc 3"/>
    <w:basedOn w:val="Normal"/>
    <w:next w:val="Normal"/>
    <w:autoRedefine/>
    <w:uiPriority w:val="39"/>
    <w:unhideWhenUsed/>
    <w:rsid w:val="00EA4113"/>
    <w:pPr>
      <w:spacing w:after="100"/>
      <w:ind w:left="480"/>
    </w:pPr>
  </w:style>
  <w:style w:type="character" w:styleId="Hyperlink">
    <w:name w:val="Hyperlink"/>
    <w:basedOn w:val="DefaultParagraphFont"/>
    <w:uiPriority w:val="99"/>
    <w:unhideWhenUsed/>
    <w:rsid w:val="00EA4113"/>
    <w:rPr>
      <w:color w:val="0563C1" w:themeColor="hyperlink"/>
      <w:u w:val="single"/>
    </w:rPr>
  </w:style>
  <w:style w:type="paragraph" w:styleId="Header">
    <w:name w:val="header"/>
    <w:basedOn w:val="Normal"/>
    <w:link w:val="HeaderChar"/>
    <w:uiPriority w:val="99"/>
    <w:unhideWhenUsed/>
    <w:rsid w:val="004A218C"/>
    <w:pPr>
      <w:tabs>
        <w:tab w:val="center" w:pos="4513"/>
        <w:tab w:val="right" w:pos="9026"/>
      </w:tabs>
      <w:spacing w:after="0" w:line="240" w:lineRule="auto"/>
    </w:pPr>
  </w:style>
  <w:style w:type="character" w:styleId="HeaderChar" w:customStyle="1">
    <w:name w:val="Header Char"/>
    <w:basedOn w:val="DefaultParagraphFont"/>
    <w:link w:val="Header"/>
    <w:uiPriority w:val="99"/>
    <w:rsid w:val="004A218C"/>
  </w:style>
  <w:style w:type="paragraph" w:styleId="Footer">
    <w:name w:val="footer"/>
    <w:basedOn w:val="Normal"/>
    <w:link w:val="FooterChar"/>
    <w:uiPriority w:val="99"/>
    <w:unhideWhenUsed/>
    <w:rsid w:val="004A218C"/>
    <w:pPr>
      <w:tabs>
        <w:tab w:val="center" w:pos="4513"/>
        <w:tab w:val="right" w:pos="9026"/>
      </w:tabs>
      <w:spacing w:after="0" w:line="240" w:lineRule="auto"/>
    </w:pPr>
  </w:style>
  <w:style w:type="character" w:styleId="FooterChar" w:customStyle="1">
    <w:name w:val="Footer Char"/>
    <w:basedOn w:val="DefaultParagraphFont"/>
    <w:link w:val="Footer"/>
    <w:uiPriority w:val="99"/>
    <w:rsid w:val="004A21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1.xml"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097A5C-E6B0-4C54-AAA0-255CDB8C8E1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Muskan Makhija</dc:creator>
  <keywords/>
  <dc:description/>
  <lastModifiedBy>Mariam Karim (2407469)</lastModifiedBy>
  <revision>7</revision>
  <dcterms:created xsi:type="dcterms:W3CDTF">2026-02-16T20:02:00.0000000Z</dcterms:created>
  <dcterms:modified xsi:type="dcterms:W3CDTF">2026-02-23T10:17:04.2520486Z</dcterms:modified>
</coreProperties>
</file>