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1517CA" w:rsidRDefault="00EC0562" w14:paraId="6BACE710" w14:textId="7353D646">
      <w:r>
        <w:rPr>
          <w:noProof/>
        </w:rPr>
        <w:drawing>
          <wp:inline distT="0" distB="0" distL="0" distR="0" wp14:anchorId="3F3926A4" wp14:editId="0E8C43BD">
            <wp:extent cx="3406140" cy="1419225"/>
            <wp:effectExtent l="0" t="0" r="3810" b="9525"/>
            <wp:docPr id="2"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06140" cy="1419225"/>
                    </a:xfrm>
                    <a:prstGeom prst="rect">
                      <a:avLst/>
                    </a:prstGeom>
                    <a:noFill/>
                    <a:ln>
                      <a:noFill/>
                    </a:ln>
                  </pic:spPr>
                </pic:pic>
              </a:graphicData>
            </a:graphic>
          </wp:inline>
        </w:drawing>
      </w:r>
    </w:p>
    <w:p w:rsidR="00EC0562" w:rsidRDefault="00EC0562" w14:paraId="72502513" w14:textId="07AB4E9B"/>
    <w:p w:rsidRPr="002A6D6E" w:rsidR="002A6D6E" w:rsidP="002A6D6E" w:rsidRDefault="002A6D6E" w14:paraId="08FFDA59" w14:textId="2F681CF6">
      <w:pPr>
        <w:tabs>
          <w:tab w:val="left" w:pos="6540"/>
        </w:tabs>
        <w:spacing w:line="360" w:lineRule="auto"/>
        <w:jc w:val="center"/>
        <w:rPr>
          <w:rFonts w:ascii="Arial" w:hAnsi="Arial" w:cs="Arial"/>
          <w:b/>
          <w:bCs/>
          <w:sz w:val="32"/>
          <w:szCs w:val="32"/>
        </w:rPr>
      </w:pPr>
      <w:r w:rsidRPr="002A6D6E">
        <w:rPr>
          <w:rFonts w:ascii="Arial" w:hAnsi="Arial" w:cs="Arial"/>
          <w:b/>
          <w:bCs/>
          <w:sz w:val="32"/>
          <w:szCs w:val="32"/>
        </w:rPr>
        <w:t>Component 2</w:t>
      </w:r>
    </w:p>
    <w:p w:rsidRPr="002A6D6E" w:rsidR="00EC0562" w:rsidP="002A6D6E" w:rsidRDefault="002A6D6E" w14:paraId="7950C9A0" w14:textId="482BE1DB">
      <w:pPr>
        <w:tabs>
          <w:tab w:val="left" w:pos="6540"/>
        </w:tabs>
        <w:spacing w:line="360" w:lineRule="auto"/>
        <w:jc w:val="center"/>
        <w:rPr>
          <w:rFonts w:ascii="Arial" w:hAnsi="Arial" w:cs="Arial" w:eastAsiaTheme="minorHAnsi"/>
          <w:sz w:val="32"/>
          <w:szCs w:val="32"/>
          <w:lang w:eastAsia="en-US"/>
        </w:rPr>
      </w:pPr>
      <w:r w:rsidRPr="002A6D6E">
        <w:rPr>
          <w:rFonts w:ascii="Arial" w:hAnsi="Arial" w:cs="Arial"/>
          <w:sz w:val="32"/>
          <w:szCs w:val="32"/>
        </w:rPr>
        <w:t>Major Health Issue</w:t>
      </w:r>
    </w:p>
    <w:p w:rsidR="002A6D6E" w:rsidP="002A6D6E" w:rsidRDefault="002A6D6E" w14:paraId="770CB31D" w14:textId="56847C41">
      <w:pPr>
        <w:tabs>
          <w:tab w:val="left" w:pos="6540"/>
        </w:tabs>
        <w:spacing w:line="360" w:lineRule="auto"/>
        <w:jc w:val="center"/>
        <w:rPr>
          <w:rFonts w:ascii="Arial" w:hAnsi="Arial" w:cs="Arial" w:eastAsiaTheme="minorHAnsi"/>
          <w:sz w:val="32"/>
          <w:szCs w:val="32"/>
          <w:lang w:eastAsia="en-US"/>
        </w:rPr>
      </w:pPr>
      <w:r w:rsidRPr="002A6D6E">
        <w:rPr>
          <w:rFonts w:ascii="Arial" w:hAnsi="Arial" w:cs="Arial" w:eastAsiaTheme="minorHAnsi"/>
          <w:sz w:val="32"/>
          <w:szCs w:val="32"/>
          <w:lang w:eastAsia="en-US"/>
        </w:rPr>
        <w:t>Written Report</w:t>
      </w:r>
    </w:p>
    <w:p w:rsidRPr="00EC0562" w:rsidR="002A6D6E" w:rsidP="00EC0562" w:rsidRDefault="002A6D6E" w14:paraId="7AADCC83" w14:textId="77777777">
      <w:pPr>
        <w:tabs>
          <w:tab w:val="left" w:pos="6540"/>
        </w:tabs>
        <w:spacing w:line="360" w:lineRule="auto"/>
        <w:rPr>
          <w:rFonts w:ascii="Arial" w:hAnsi="Arial" w:cs="Arial" w:eastAsiaTheme="minorHAnsi"/>
          <w:sz w:val="32"/>
          <w:szCs w:val="32"/>
          <w:lang w:eastAsia="en-US"/>
        </w:rPr>
      </w:pPr>
    </w:p>
    <w:p w:rsidRPr="00EC0562" w:rsidR="00EC0562" w:rsidP="59AD57D2" w:rsidRDefault="00EC0562" w14:paraId="2B53EAF3" w14:textId="6407CF59">
      <w:pPr>
        <w:tabs>
          <w:tab w:val="left" w:pos="6540"/>
        </w:tabs>
        <w:spacing w:line="360" w:lineRule="auto"/>
        <w:rPr>
          <w:rFonts w:ascii="Arial" w:hAnsi="Arial" w:eastAsia="Calibri" w:cs="Arial" w:eastAsiaTheme="minorAscii"/>
          <w:sz w:val="32"/>
          <w:szCs w:val="32"/>
          <w:lang w:eastAsia="en-US"/>
        </w:rPr>
      </w:pPr>
      <w:r w:rsidRPr="59AD57D2" w:rsidR="00EC0562">
        <w:rPr>
          <w:rFonts w:ascii="Arial" w:hAnsi="Arial" w:eastAsia="Calibri" w:cs="Arial" w:eastAsiaTheme="minorAscii"/>
          <w:b w:val="1"/>
          <w:bCs w:val="1"/>
          <w:sz w:val="32"/>
          <w:szCs w:val="32"/>
          <w:lang w:eastAsia="en-US"/>
        </w:rPr>
        <w:t>Student name</w:t>
      </w:r>
      <w:r w:rsidRPr="59AD57D2" w:rsidR="00EC0562">
        <w:rPr>
          <w:rFonts w:ascii="Arial" w:hAnsi="Arial" w:eastAsia="Calibri" w:cs="Arial" w:eastAsiaTheme="minorAscii"/>
          <w:sz w:val="32"/>
          <w:szCs w:val="32"/>
          <w:lang w:eastAsia="en-US"/>
        </w:rPr>
        <w:t>:</w:t>
      </w:r>
      <w:r w:rsidRPr="59AD57D2" w:rsidR="002A6D6E">
        <w:rPr>
          <w:rFonts w:ascii="Arial" w:hAnsi="Arial" w:eastAsia="Calibri" w:cs="Arial" w:eastAsiaTheme="minorAscii"/>
          <w:sz w:val="32"/>
          <w:szCs w:val="32"/>
          <w:lang w:eastAsia="en-US"/>
        </w:rPr>
        <w:t xml:space="preserve"> </w:t>
      </w:r>
      <w:r w:rsidRPr="59AD57D2" w:rsidR="708AA340">
        <w:rPr>
          <w:rFonts w:ascii="Arial" w:hAnsi="Arial" w:eastAsia="Calibri" w:cs="Arial" w:eastAsiaTheme="minorAscii"/>
          <w:sz w:val="32"/>
          <w:szCs w:val="32"/>
          <w:lang w:eastAsia="en-US"/>
        </w:rPr>
        <w:t>Ivan Dimitrov</w:t>
      </w:r>
    </w:p>
    <w:p w:rsidRPr="00EC0562" w:rsidR="00EC0562" w:rsidP="59AD57D2" w:rsidRDefault="00EC0562" w14:paraId="4D692E70" w14:textId="1002EB6F">
      <w:pPr>
        <w:tabs>
          <w:tab w:val="left" w:pos="6540"/>
        </w:tabs>
        <w:spacing w:line="360" w:lineRule="auto"/>
        <w:rPr>
          <w:rFonts w:ascii="Arial" w:hAnsi="Arial" w:eastAsia="Calibri" w:cs="Arial" w:eastAsiaTheme="minorAscii"/>
          <w:sz w:val="32"/>
          <w:szCs w:val="32"/>
          <w:lang w:eastAsia="en-US"/>
        </w:rPr>
      </w:pPr>
      <w:r w:rsidRPr="59AD57D2" w:rsidR="00EC0562">
        <w:rPr>
          <w:rFonts w:ascii="Arial" w:hAnsi="Arial" w:eastAsia="Calibri" w:cs="Arial" w:eastAsiaTheme="minorAscii"/>
          <w:b w:val="1"/>
          <w:bCs w:val="1"/>
          <w:sz w:val="32"/>
          <w:szCs w:val="32"/>
          <w:lang w:eastAsia="en-US"/>
        </w:rPr>
        <w:t>Student ID</w:t>
      </w:r>
      <w:r w:rsidRPr="59AD57D2" w:rsidR="00EC0562">
        <w:rPr>
          <w:rFonts w:ascii="Arial" w:hAnsi="Arial" w:eastAsia="Calibri" w:cs="Arial" w:eastAsiaTheme="minorAscii"/>
          <w:sz w:val="32"/>
          <w:szCs w:val="32"/>
          <w:lang w:eastAsia="en-US"/>
        </w:rPr>
        <w:t>:</w:t>
      </w:r>
      <w:r w:rsidRPr="59AD57D2" w:rsidR="7834A37B">
        <w:rPr>
          <w:rFonts w:ascii="Arial" w:hAnsi="Arial" w:eastAsia="Calibri" w:cs="Arial" w:eastAsiaTheme="minorAscii"/>
          <w:sz w:val="32"/>
          <w:szCs w:val="32"/>
          <w:lang w:eastAsia="en-US"/>
        </w:rPr>
        <w:t>2132856</w:t>
      </w:r>
    </w:p>
    <w:p w:rsidRPr="00EC0562" w:rsidR="00EC0562" w:rsidP="00EC0562" w:rsidRDefault="00EC0562" w14:paraId="57276770" w14:textId="77777777">
      <w:pPr>
        <w:tabs>
          <w:tab w:val="left" w:pos="6540"/>
        </w:tabs>
        <w:spacing w:line="360" w:lineRule="auto"/>
        <w:rPr>
          <w:rFonts w:ascii="Arial" w:hAnsi="Arial" w:cs="Arial" w:eastAsiaTheme="minorHAnsi"/>
          <w:sz w:val="32"/>
          <w:szCs w:val="32"/>
          <w:lang w:eastAsia="en-US"/>
        </w:rPr>
      </w:pPr>
    </w:p>
    <w:p w:rsidRPr="00EC0562" w:rsidR="00EC0562" w:rsidP="00EC0562" w:rsidRDefault="00EC0562" w14:paraId="1DB80AFB" w14:textId="5641838C">
      <w:pPr>
        <w:tabs>
          <w:tab w:val="left" w:pos="6540"/>
        </w:tabs>
        <w:spacing w:line="360" w:lineRule="auto"/>
        <w:rPr>
          <w:rFonts w:ascii="Arial" w:hAnsi="Arial" w:cs="Arial" w:eastAsiaTheme="minorHAnsi"/>
          <w:sz w:val="32"/>
          <w:szCs w:val="32"/>
          <w:lang w:eastAsia="en-US"/>
        </w:rPr>
      </w:pPr>
      <w:r w:rsidRPr="00EC0562">
        <w:rPr>
          <w:rFonts w:ascii="Arial" w:hAnsi="Arial" w:cs="Arial" w:eastAsiaTheme="minorHAnsi"/>
          <w:b/>
          <w:bCs/>
          <w:sz w:val="32"/>
          <w:szCs w:val="32"/>
          <w:lang w:eastAsia="en-US"/>
        </w:rPr>
        <w:t>Module name</w:t>
      </w:r>
      <w:r w:rsidRPr="00EC0562">
        <w:rPr>
          <w:rFonts w:ascii="Arial" w:hAnsi="Arial" w:cs="Arial" w:eastAsiaTheme="minorHAnsi"/>
          <w:sz w:val="32"/>
          <w:szCs w:val="32"/>
          <w:lang w:eastAsia="en-US"/>
        </w:rPr>
        <w:t xml:space="preserve">: </w:t>
      </w:r>
      <w:r w:rsidRPr="002A6D6E" w:rsidR="002A6D6E">
        <w:rPr>
          <w:rFonts w:ascii="Arial" w:hAnsi="Arial" w:cs="Arial" w:eastAsiaTheme="minorHAnsi"/>
          <w:sz w:val="32"/>
          <w:szCs w:val="32"/>
          <w:lang w:eastAsia="en-US"/>
        </w:rPr>
        <w:t>Introduction to Public Health</w:t>
      </w:r>
    </w:p>
    <w:p w:rsidRPr="00EC0562" w:rsidR="00EC0562" w:rsidP="00EC0562" w:rsidRDefault="00EC0562" w14:paraId="388A0A1D" w14:textId="65425EDE">
      <w:pPr>
        <w:tabs>
          <w:tab w:val="left" w:pos="6540"/>
        </w:tabs>
        <w:spacing w:line="360" w:lineRule="auto"/>
        <w:rPr>
          <w:rFonts w:ascii="Arial" w:hAnsi="Arial" w:cs="Arial" w:eastAsiaTheme="minorHAnsi"/>
          <w:sz w:val="32"/>
          <w:szCs w:val="32"/>
          <w:lang w:eastAsia="en-US"/>
        </w:rPr>
      </w:pPr>
      <w:r w:rsidRPr="00EC0562">
        <w:rPr>
          <w:rFonts w:ascii="Arial" w:hAnsi="Arial" w:cs="Arial" w:eastAsiaTheme="minorHAnsi"/>
          <w:b/>
          <w:bCs/>
          <w:sz w:val="32"/>
          <w:szCs w:val="32"/>
          <w:lang w:eastAsia="en-US"/>
        </w:rPr>
        <w:t>Module code</w:t>
      </w:r>
      <w:r w:rsidRPr="00EC0562">
        <w:rPr>
          <w:rFonts w:ascii="Arial" w:hAnsi="Arial" w:cs="Arial" w:eastAsiaTheme="minorHAnsi"/>
          <w:sz w:val="32"/>
          <w:szCs w:val="32"/>
          <w:lang w:eastAsia="en-US"/>
        </w:rPr>
        <w:t xml:space="preserve">: </w:t>
      </w:r>
      <w:r w:rsidRPr="002A6D6E" w:rsidR="002A6D6E">
        <w:rPr>
          <w:rFonts w:ascii="Arial" w:hAnsi="Arial" w:cs="Arial" w:eastAsiaTheme="minorHAnsi"/>
          <w:sz w:val="32"/>
          <w:szCs w:val="32"/>
          <w:lang w:eastAsia="en-US"/>
        </w:rPr>
        <w:t>LCHS4004</w:t>
      </w:r>
    </w:p>
    <w:p w:rsidRPr="00EC0562" w:rsidR="00EC0562" w:rsidP="00EC0562" w:rsidRDefault="00EC0562" w14:paraId="22B2C697" w14:textId="77777777">
      <w:pPr>
        <w:tabs>
          <w:tab w:val="left" w:pos="6540"/>
        </w:tabs>
        <w:spacing w:line="360" w:lineRule="auto"/>
        <w:rPr>
          <w:rFonts w:ascii="Arial" w:hAnsi="Arial" w:cs="Arial" w:eastAsiaTheme="minorHAnsi"/>
          <w:sz w:val="32"/>
          <w:szCs w:val="32"/>
          <w:lang w:eastAsia="en-US"/>
        </w:rPr>
      </w:pPr>
      <w:r w:rsidRPr="00EC0562">
        <w:rPr>
          <w:rFonts w:ascii="Arial" w:hAnsi="Arial" w:cs="Arial" w:eastAsiaTheme="minorHAnsi"/>
          <w:b/>
          <w:bCs/>
          <w:sz w:val="32"/>
          <w:szCs w:val="32"/>
          <w:lang w:eastAsia="en-US"/>
        </w:rPr>
        <w:t>Lecturer name</w:t>
      </w:r>
      <w:r w:rsidRPr="00EC0562">
        <w:rPr>
          <w:rFonts w:ascii="Arial" w:hAnsi="Arial" w:cs="Arial" w:eastAsiaTheme="minorHAnsi"/>
          <w:sz w:val="32"/>
          <w:szCs w:val="32"/>
          <w:lang w:eastAsia="en-US"/>
        </w:rPr>
        <w:t xml:space="preserve">: Bianca Sanfilippo </w:t>
      </w:r>
    </w:p>
    <w:p w:rsidR="002A6D6E" w:rsidP="59AD57D2" w:rsidRDefault="002A6D6E" w14:paraId="6E499B3D" w14:noSpellErr="1" w14:textId="3F623559">
      <w:pPr>
        <w:pStyle w:val="Normal"/>
        <w:tabs>
          <w:tab w:val="left" w:leader="none" w:pos="6540"/>
        </w:tabs>
        <w:spacing w:line="360" w:lineRule="auto"/>
        <w:rPr>
          <w:rFonts w:ascii="Arial" w:hAnsi="Arial" w:eastAsia="Calibri" w:cs="Arial" w:eastAsiaTheme="minorAscii"/>
          <w:sz w:val="32"/>
          <w:szCs w:val="32"/>
          <w:lang w:eastAsia="en-US"/>
        </w:rPr>
      </w:pPr>
    </w:p>
    <w:p w:rsidRPr="00856A95" w:rsidR="002A6D6E" w:rsidRDefault="002A6D6E" w14:paraId="4F9AC9D3" w14:textId="003D86DD">
      <w:pPr>
        <w:rPr>
          <w:rFonts w:ascii="Arial" w:hAnsi="Arial" w:cs="Arial"/>
        </w:rPr>
      </w:pPr>
    </w:p>
    <w:p w:rsidRPr="00856A95" w:rsidR="002A6D6E" w:rsidRDefault="002A6D6E" w14:paraId="536B6C47" w14:textId="2AEAAADC">
      <w:pPr>
        <w:rPr>
          <w:rFonts w:ascii="Arial" w:hAnsi="Arial" w:cs="Arial"/>
          <w:b w:val="1"/>
          <w:bCs w:val="1"/>
          <w:sz w:val="24"/>
          <w:szCs w:val="24"/>
        </w:rPr>
      </w:pPr>
      <w:r w:rsidRPr="59AD57D2" w:rsidR="338027D4">
        <w:rPr>
          <w:rFonts w:ascii="Arial" w:hAnsi="Arial" w:cs="Arial"/>
          <w:b w:val="1"/>
          <w:bCs w:val="1"/>
          <w:sz w:val="24"/>
          <w:szCs w:val="24"/>
        </w:rPr>
        <w:t xml:space="preserve">                                </w:t>
      </w:r>
      <w:r w:rsidRPr="59AD57D2" w:rsidR="002A6D6E">
        <w:rPr>
          <w:rFonts w:ascii="Arial" w:hAnsi="Arial" w:cs="Arial"/>
          <w:b w:val="1"/>
          <w:bCs w:val="1"/>
          <w:sz w:val="24"/>
          <w:szCs w:val="24"/>
        </w:rPr>
        <w:t xml:space="preserve">Contents </w:t>
      </w:r>
    </w:p>
    <w:p w:rsidRPr="00856A95" w:rsidR="002A6D6E" w:rsidRDefault="002A6D6E" w14:paraId="2B3B5919" w14:textId="1ED5EB3A">
      <w:pPr>
        <w:rPr>
          <w:rFonts w:ascii="Arial" w:hAnsi="Arial" w:cs="Arial"/>
          <w:b/>
          <w:bCs/>
          <w:sz w:val="24"/>
          <w:szCs w:val="24"/>
        </w:rPr>
      </w:pPr>
    </w:p>
    <w:p w:rsidRPr="00856A95" w:rsidR="002A6D6E" w:rsidRDefault="002A6D6E" w14:paraId="0E3853D7" w14:textId="7BDD783D">
      <w:pPr>
        <w:rPr>
          <w:rFonts w:ascii="Arial" w:hAnsi="Arial" w:cs="Arial"/>
          <w:b w:val="1"/>
          <w:bCs w:val="1"/>
          <w:sz w:val="24"/>
          <w:szCs w:val="24"/>
        </w:rPr>
      </w:pPr>
      <w:r w:rsidRPr="59AD57D2" w:rsidR="390E66CA">
        <w:rPr>
          <w:rFonts w:ascii="Arial" w:hAnsi="Arial" w:cs="Arial"/>
          <w:b w:val="1"/>
          <w:bCs w:val="1"/>
          <w:sz w:val="24"/>
          <w:szCs w:val="24"/>
        </w:rPr>
        <w:t xml:space="preserve">                                  </w:t>
      </w:r>
      <w:r w:rsidRPr="59AD57D2" w:rsidR="002A6D6E">
        <w:rPr>
          <w:rFonts w:ascii="Arial" w:hAnsi="Arial" w:cs="Arial"/>
          <w:b w:val="1"/>
          <w:bCs w:val="1"/>
          <w:sz w:val="24"/>
          <w:szCs w:val="24"/>
        </w:rPr>
        <w:t xml:space="preserve">Introduction </w:t>
      </w:r>
    </w:p>
    <w:p w:rsidR="3178BBAC" w:rsidP="59AD57D2" w:rsidRDefault="3178BBAC" w14:paraId="7632A30A" w14:textId="6B9CCE1D">
      <w:pPr>
        <w:pStyle w:val="Normal"/>
        <w:rPr>
          <w:rFonts w:ascii="Arial" w:hAnsi="Arial" w:cs="Arial"/>
          <w:b w:val="1"/>
          <w:bCs w:val="1"/>
          <w:sz w:val="24"/>
          <w:szCs w:val="24"/>
        </w:rPr>
      </w:pPr>
      <w:r w:rsidRPr="59AD57D2" w:rsidR="3178BBAC">
        <w:rPr>
          <w:rFonts w:ascii="Arial" w:hAnsi="Arial" w:cs="Arial"/>
          <w:b w:val="1"/>
          <w:bCs w:val="1"/>
          <w:sz w:val="24"/>
          <w:szCs w:val="24"/>
        </w:rPr>
        <w:t xml:space="preserve">                       </w:t>
      </w:r>
      <w:r w:rsidRPr="59AD57D2" w:rsidR="3178BBAC">
        <w:rPr>
          <w:rFonts w:ascii="Arial" w:hAnsi="Arial" w:eastAsia="Arial" w:cs="Arial"/>
          <w:b w:val="0"/>
          <w:bCs w:val="0"/>
          <w:i w:val="0"/>
          <w:iCs w:val="0"/>
          <w:caps w:val="0"/>
          <w:smallCaps w:val="0"/>
          <w:noProof w:val="0"/>
          <w:color w:val="212B32"/>
          <w:sz w:val="24"/>
          <w:szCs w:val="24"/>
          <w:lang w:val="en-GB"/>
        </w:rPr>
        <w:t>Typical symptoms of TB include:</w:t>
      </w:r>
    </w:p>
    <w:p w:rsidR="3178BBAC" w:rsidP="59AD57D2" w:rsidRDefault="3178BBAC" w14:paraId="2FC82ECC" w14:textId="3F5B8E4A">
      <w:pPr>
        <w:pStyle w:val="ListParagraph"/>
        <w:numPr>
          <w:ilvl w:val="0"/>
          <w:numId w:val="1"/>
        </w:numPr>
        <w:rPr>
          <w:rFonts w:ascii="Arial" w:hAnsi="Arial" w:eastAsia="Arial" w:cs="Arial"/>
          <w:b w:val="0"/>
          <w:bCs w:val="0"/>
          <w:i w:val="0"/>
          <w:iCs w:val="0"/>
          <w:caps w:val="0"/>
          <w:smallCaps w:val="0"/>
          <w:noProof w:val="0"/>
          <w:color w:val="212B32"/>
          <w:sz w:val="24"/>
          <w:szCs w:val="24"/>
          <w:lang w:val="en-GB"/>
        </w:rPr>
      </w:pPr>
      <w:r w:rsidRPr="59AD57D2" w:rsidR="3178BBAC">
        <w:rPr>
          <w:rFonts w:ascii="Arial" w:hAnsi="Arial" w:eastAsia="Arial" w:cs="Arial"/>
          <w:b w:val="0"/>
          <w:bCs w:val="0"/>
          <w:i w:val="0"/>
          <w:iCs w:val="0"/>
          <w:caps w:val="0"/>
          <w:smallCaps w:val="0"/>
          <w:noProof w:val="0"/>
          <w:color w:val="212B32"/>
          <w:sz w:val="24"/>
          <w:szCs w:val="24"/>
          <w:lang w:val="en-GB"/>
        </w:rPr>
        <w:t>a persistent cough that lasts more than 3 weeks and usually brings up phlegm, which may be bloody</w:t>
      </w:r>
    </w:p>
    <w:p w:rsidR="3178BBAC" w:rsidP="59AD57D2" w:rsidRDefault="3178BBAC" w14:paraId="0DD96978" w14:textId="32F2F6EA">
      <w:pPr>
        <w:pStyle w:val="ListParagraph"/>
        <w:numPr>
          <w:ilvl w:val="0"/>
          <w:numId w:val="1"/>
        </w:numPr>
        <w:rPr>
          <w:rFonts w:ascii="Arial" w:hAnsi="Arial" w:eastAsia="Arial" w:cs="Arial"/>
          <w:b w:val="0"/>
          <w:bCs w:val="0"/>
          <w:i w:val="0"/>
          <w:iCs w:val="0"/>
          <w:caps w:val="0"/>
          <w:smallCaps w:val="0"/>
          <w:noProof w:val="0"/>
          <w:color w:val="212B32"/>
          <w:sz w:val="24"/>
          <w:szCs w:val="24"/>
          <w:lang w:val="en-GB"/>
        </w:rPr>
      </w:pPr>
      <w:r w:rsidRPr="59AD57D2" w:rsidR="3178BBAC">
        <w:rPr>
          <w:rFonts w:ascii="Arial" w:hAnsi="Arial" w:eastAsia="Arial" w:cs="Arial"/>
          <w:b w:val="0"/>
          <w:bCs w:val="0"/>
          <w:i w:val="0"/>
          <w:iCs w:val="0"/>
          <w:caps w:val="0"/>
          <w:smallCaps w:val="0"/>
          <w:noProof w:val="0"/>
          <w:color w:val="212B32"/>
          <w:sz w:val="24"/>
          <w:szCs w:val="24"/>
          <w:lang w:val="en-GB"/>
        </w:rPr>
        <w:t>weight loss</w:t>
      </w:r>
    </w:p>
    <w:p w:rsidR="7C669B83" w:rsidP="59AD57D2" w:rsidRDefault="7C669B83" w14:paraId="2D5EBCBD" w14:textId="2AE4C938">
      <w:pPr>
        <w:pStyle w:val="ListParagraph"/>
        <w:numPr>
          <w:ilvl w:val="0"/>
          <w:numId w:val="1"/>
        </w:numPr>
        <w:rPr>
          <w:rFonts w:ascii="Arial" w:hAnsi="Arial" w:eastAsia="Arial" w:cs="Arial"/>
          <w:b w:val="0"/>
          <w:bCs w:val="0"/>
          <w:i w:val="0"/>
          <w:iCs w:val="0"/>
          <w:caps w:val="0"/>
          <w:smallCaps w:val="0"/>
          <w:noProof w:val="0"/>
          <w:color w:val="212B32"/>
          <w:sz w:val="24"/>
          <w:szCs w:val="24"/>
          <w:lang w:val="en-GB"/>
        </w:rPr>
      </w:pPr>
      <w:r w:rsidRPr="59AD57D2" w:rsidR="7C669B83">
        <w:rPr>
          <w:rFonts w:ascii="Arial" w:hAnsi="Arial" w:eastAsia="Arial" w:cs="Arial"/>
          <w:b w:val="0"/>
          <w:bCs w:val="0"/>
          <w:i w:val="0"/>
          <w:iCs w:val="0"/>
          <w:caps w:val="0"/>
          <w:smallCaps w:val="0"/>
          <w:noProof w:val="0"/>
          <w:color w:val="212B32"/>
          <w:sz w:val="24"/>
          <w:szCs w:val="24"/>
          <w:lang w:val="en-GB"/>
        </w:rPr>
        <w:t>Night sweats</w:t>
      </w:r>
      <w:r w:rsidRPr="59AD57D2" w:rsidR="7C669B83">
        <w:rPr>
          <w:rFonts w:ascii="Arial" w:hAnsi="Arial" w:eastAsia="Arial" w:cs="Arial"/>
          <w:b w:val="0"/>
          <w:bCs w:val="0"/>
          <w:i w:val="0"/>
          <w:iCs w:val="0"/>
          <w:caps w:val="0"/>
          <w:smallCaps w:val="0"/>
          <w:noProof w:val="0"/>
          <w:color w:val="212B32"/>
          <w:sz w:val="24"/>
          <w:szCs w:val="24"/>
          <w:lang w:val="en-GB"/>
        </w:rPr>
        <w:t xml:space="preserve"> </w:t>
      </w:r>
    </w:p>
    <w:p w:rsidR="3178BBAC" w:rsidP="59AD57D2" w:rsidRDefault="3178BBAC" w14:paraId="1007436C" w14:textId="4E691D1C">
      <w:pPr>
        <w:pStyle w:val="ListParagraph"/>
        <w:numPr>
          <w:ilvl w:val="0"/>
          <w:numId w:val="1"/>
        </w:numPr>
        <w:rPr>
          <w:rFonts w:ascii="Arial" w:hAnsi="Arial" w:eastAsia="Arial" w:cs="Arial"/>
          <w:b w:val="0"/>
          <w:bCs w:val="0"/>
          <w:i w:val="0"/>
          <w:iCs w:val="0"/>
          <w:caps w:val="0"/>
          <w:smallCaps w:val="0"/>
          <w:noProof w:val="0"/>
          <w:color w:val="212B32"/>
          <w:sz w:val="24"/>
          <w:szCs w:val="24"/>
          <w:lang w:val="en-GB"/>
        </w:rPr>
      </w:pPr>
      <w:bookmarkStart w:name="_Int_U7EVQGkY" w:id="1028700033"/>
      <w:r w:rsidRPr="59AD57D2" w:rsidR="3178BBAC">
        <w:rPr>
          <w:rFonts w:ascii="Arial" w:hAnsi="Arial" w:eastAsia="Arial" w:cs="Arial"/>
          <w:b w:val="0"/>
          <w:bCs w:val="0"/>
          <w:i w:val="0"/>
          <w:iCs w:val="0"/>
          <w:caps w:val="0"/>
          <w:smallCaps w:val="0"/>
          <w:noProof w:val="0"/>
          <w:color w:val="212B32"/>
          <w:sz w:val="24"/>
          <w:szCs w:val="24"/>
          <w:lang w:val="en-GB"/>
        </w:rPr>
        <w:t>high temperature</w:t>
      </w:r>
      <w:bookmarkEnd w:id="1028700033"/>
    </w:p>
    <w:p w:rsidR="3178BBAC" w:rsidP="59AD57D2" w:rsidRDefault="3178BBAC" w14:paraId="3E9C1616" w14:textId="020A277E">
      <w:pPr>
        <w:pStyle w:val="ListParagraph"/>
        <w:numPr>
          <w:ilvl w:val="0"/>
          <w:numId w:val="1"/>
        </w:numPr>
        <w:rPr>
          <w:rFonts w:ascii="Arial" w:hAnsi="Arial" w:eastAsia="Arial" w:cs="Arial"/>
          <w:b w:val="0"/>
          <w:bCs w:val="0"/>
          <w:i w:val="0"/>
          <w:iCs w:val="0"/>
          <w:caps w:val="0"/>
          <w:smallCaps w:val="0"/>
          <w:noProof w:val="0"/>
          <w:color w:val="212B32"/>
          <w:sz w:val="24"/>
          <w:szCs w:val="24"/>
          <w:lang w:val="en-GB"/>
        </w:rPr>
      </w:pPr>
      <w:r w:rsidRPr="59AD57D2" w:rsidR="3178BBAC">
        <w:rPr>
          <w:rFonts w:ascii="Arial" w:hAnsi="Arial" w:eastAsia="Arial" w:cs="Arial"/>
          <w:b w:val="0"/>
          <w:bCs w:val="0"/>
          <w:i w:val="0"/>
          <w:iCs w:val="0"/>
          <w:caps w:val="0"/>
          <w:smallCaps w:val="0"/>
          <w:noProof w:val="0"/>
          <w:color w:val="212B32"/>
          <w:sz w:val="24"/>
          <w:szCs w:val="24"/>
          <w:lang w:val="en-GB"/>
        </w:rPr>
        <w:t>tiredness and fatigue</w:t>
      </w:r>
    </w:p>
    <w:p w:rsidR="3178BBAC" w:rsidP="59AD57D2" w:rsidRDefault="3178BBAC" w14:paraId="295B1A22" w14:textId="30B45A09">
      <w:pPr>
        <w:pStyle w:val="ListParagraph"/>
        <w:numPr>
          <w:ilvl w:val="0"/>
          <w:numId w:val="1"/>
        </w:numPr>
        <w:rPr>
          <w:rFonts w:ascii="Arial" w:hAnsi="Arial" w:eastAsia="Arial" w:cs="Arial"/>
          <w:b w:val="0"/>
          <w:bCs w:val="0"/>
          <w:i w:val="0"/>
          <w:iCs w:val="0"/>
          <w:caps w:val="0"/>
          <w:smallCaps w:val="0"/>
          <w:noProof w:val="0"/>
          <w:color w:val="212B32"/>
          <w:sz w:val="24"/>
          <w:szCs w:val="24"/>
          <w:lang w:val="en-GB"/>
        </w:rPr>
      </w:pPr>
      <w:r w:rsidRPr="59AD57D2" w:rsidR="3178BBAC">
        <w:rPr>
          <w:rFonts w:ascii="Arial" w:hAnsi="Arial" w:eastAsia="Arial" w:cs="Arial"/>
          <w:b w:val="0"/>
          <w:bCs w:val="0"/>
          <w:i w:val="0"/>
          <w:iCs w:val="0"/>
          <w:caps w:val="0"/>
          <w:smallCaps w:val="0"/>
          <w:noProof w:val="0"/>
          <w:color w:val="212B32"/>
          <w:sz w:val="24"/>
          <w:szCs w:val="24"/>
          <w:lang w:val="en-GB"/>
        </w:rPr>
        <w:t>loss of appetite</w:t>
      </w:r>
    </w:p>
    <w:p w:rsidR="3178BBAC" w:rsidP="59AD57D2" w:rsidRDefault="3178BBAC" w14:paraId="56775091" w14:textId="0795E015">
      <w:pPr>
        <w:pStyle w:val="ListParagraph"/>
        <w:numPr>
          <w:ilvl w:val="0"/>
          <w:numId w:val="1"/>
        </w:numPr>
        <w:rPr>
          <w:rFonts w:ascii="Arial" w:hAnsi="Arial" w:eastAsia="Arial" w:cs="Arial"/>
          <w:b w:val="0"/>
          <w:bCs w:val="0"/>
          <w:i w:val="0"/>
          <w:iCs w:val="0"/>
          <w:caps w:val="0"/>
          <w:smallCaps w:val="0"/>
          <w:noProof w:val="0"/>
          <w:color w:val="212B32"/>
          <w:sz w:val="24"/>
          <w:szCs w:val="24"/>
          <w:lang w:val="en-GB"/>
        </w:rPr>
      </w:pPr>
      <w:r w:rsidRPr="59AD57D2" w:rsidR="3178BBAC">
        <w:rPr>
          <w:rFonts w:ascii="Arial" w:hAnsi="Arial" w:eastAsia="Arial" w:cs="Arial"/>
          <w:b w:val="0"/>
          <w:bCs w:val="0"/>
          <w:i w:val="0"/>
          <w:iCs w:val="0"/>
          <w:caps w:val="0"/>
          <w:smallCaps w:val="0"/>
          <w:noProof w:val="0"/>
          <w:color w:val="212B32"/>
          <w:sz w:val="24"/>
          <w:szCs w:val="24"/>
          <w:lang w:val="en-GB"/>
        </w:rPr>
        <w:t>swellings in the neck</w:t>
      </w:r>
    </w:p>
    <w:p w:rsidR="64B988A8" w:rsidP="59AD57D2" w:rsidRDefault="64B988A8" w14:paraId="52962782" w14:textId="3C9601F1">
      <w:pPr>
        <w:pStyle w:val="Normal"/>
        <w:rPr>
          <w:rFonts w:ascii="Arial" w:hAnsi="Arial" w:cs="Arial"/>
          <w:b w:val="1"/>
          <w:bCs w:val="1"/>
          <w:sz w:val="24"/>
          <w:szCs w:val="24"/>
        </w:rPr>
      </w:pPr>
      <w:r w:rsidRPr="59AD57D2" w:rsidR="64B988A8">
        <w:rPr>
          <w:rFonts w:ascii="Arial" w:hAnsi="Arial" w:cs="Arial"/>
          <w:b w:val="1"/>
          <w:bCs w:val="1"/>
          <w:sz w:val="24"/>
          <w:szCs w:val="24"/>
        </w:rPr>
        <w:t>(NHS website 2022)</w:t>
      </w:r>
    </w:p>
    <w:p w:rsidRPr="00856A95" w:rsidR="00A7160D" w:rsidRDefault="00A7160D" w14:paraId="4BFCF029" w14:textId="77777777">
      <w:pPr>
        <w:rPr>
          <w:rFonts w:ascii="Arial" w:hAnsi="Arial" w:cs="Arial"/>
          <w:b/>
          <w:bCs/>
          <w:sz w:val="24"/>
          <w:szCs w:val="24"/>
        </w:rPr>
      </w:pPr>
    </w:p>
    <w:p w:rsidRPr="00856A95" w:rsidR="002A6D6E" w:rsidP="002A6D6E" w:rsidRDefault="002A6D6E" w14:paraId="7B42CEC1" w14:textId="69FF5898">
      <w:pPr>
        <w:rPr>
          <w:rFonts w:ascii="Arial" w:hAnsi="Arial" w:cs="Arial"/>
          <w:b w:val="1"/>
          <w:bCs w:val="1"/>
          <w:sz w:val="24"/>
          <w:szCs w:val="24"/>
        </w:rPr>
      </w:pPr>
      <w:r w:rsidRPr="59AD57D2" w:rsidR="26F2C7C8">
        <w:rPr>
          <w:rFonts w:ascii="Arial" w:hAnsi="Arial" w:cs="Arial"/>
          <w:b w:val="1"/>
          <w:bCs w:val="1"/>
          <w:sz w:val="24"/>
          <w:szCs w:val="24"/>
        </w:rPr>
        <w:t xml:space="preserve">                </w:t>
      </w:r>
      <w:r w:rsidRPr="59AD57D2" w:rsidR="002A6D6E">
        <w:rPr>
          <w:rFonts w:ascii="Arial" w:hAnsi="Arial" w:cs="Arial"/>
          <w:b w:val="1"/>
          <w:bCs w:val="1"/>
          <w:sz w:val="24"/>
          <w:szCs w:val="24"/>
        </w:rPr>
        <w:t>A definition of the disease</w:t>
      </w:r>
    </w:p>
    <w:p w:rsidR="20E2B7FF" w:rsidP="59AD57D2" w:rsidRDefault="20E2B7FF" w14:paraId="67FDF573" w14:textId="443450A3">
      <w:pPr>
        <w:pStyle w:val="Normal"/>
        <w:rPr>
          <w:rFonts w:ascii="Arial" w:hAnsi="Arial" w:cs="Arial"/>
          <w:b w:val="1"/>
          <w:bCs w:val="1"/>
          <w:sz w:val="24"/>
          <w:szCs w:val="24"/>
        </w:rPr>
      </w:pPr>
      <w:r w:rsidRPr="59AD57D2" w:rsidR="20E2B7FF">
        <w:rPr>
          <w:rFonts w:ascii="Arial" w:hAnsi="Arial" w:cs="Arial"/>
          <w:b w:val="1"/>
          <w:bCs w:val="1"/>
          <w:sz w:val="24"/>
          <w:szCs w:val="24"/>
        </w:rPr>
        <w:t>This report discusses Tuberculosis (TB) as of the main health issues</w:t>
      </w:r>
      <w:r w:rsidRPr="59AD57D2" w:rsidR="411343A2">
        <w:rPr>
          <w:rFonts w:ascii="Arial" w:hAnsi="Arial" w:cs="Arial"/>
          <w:b w:val="1"/>
          <w:bCs w:val="1"/>
          <w:sz w:val="24"/>
          <w:szCs w:val="24"/>
        </w:rPr>
        <w:t>, as an infectious disease which affect the lungs (NHS 2022)</w:t>
      </w:r>
    </w:p>
    <w:p w:rsidR="3CBCB59D" w:rsidP="59AD57D2" w:rsidRDefault="3CBCB59D" w14:paraId="6B973C66" w14:textId="018752D9">
      <w:pPr>
        <w:pStyle w:val="Normal"/>
        <w:rPr>
          <w:rFonts w:ascii="Arial" w:hAnsi="Arial" w:eastAsia="Arial" w:cs="Arial"/>
          <w:noProof w:val="0"/>
          <w:sz w:val="24"/>
          <w:szCs w:val="24"/>
          <w:lang w:val="en-GB"/>
        </w:rPr>
      </w:pPr>
      <w:r w:rsidRPr="59AD57D2" w:rsidR="3CBCB59D">
        <w:rPr>
          <w:rFonts w:ascii="Arial" w:hAnsi="Arial" w:eastAsia="Arial" w:cs="Arial"/>
          <w:noProof w:val="0"/>
          <w:sz w:val="24"/>
          <w:szCs w:val="24"/>
          <w:lang w:val="en-GB"/>
        </w:rPr>
        <w:t xml:space="preserve">The number of TB cases reported declined from 4,725 in 2019 to 4,125 in 2020. This </w:t>
      </w:r>
      <w:r w:rsidRPr="59AD57D2" w:rsidR="3CBCB59D">
        <w:rPr>
          <w:rFonts w:ascii="Arial" w:hAnsi="Arial" w:eastAsia="Arial" w:cs="Arial"/>
          <w:noProof w:val="0"/>
          <w:sz w:val="24"/>
          <w:szCs w:val="24"/>
          <w:lang w:val="en-GB"/>
        </w:rPr>
        <w:t>represents</w:t>
      </w:r>
      <w:r w:rsidRPr="59AD57D2" w:rsidR="3CBCB59D">
        <w:rPr>
          <w:rFonts w:ascii="Arial" w:hAnsi="Arial" w:eastAsia="Arial" w:cs="Arial"/>
          <w:noProof w:val="0"/>
          <w:sz w:val="24"/>
          <w:szCs w:val="24"/>
          <w:lang w:val="en-GB"/>
        </w:rPr>
        <w:t xml:space="preserve"> an overall decline in the rates of TB to 8.4 per 100,100 in 2019 to 7.3 per 100,000 in 2020. In England there has been a reduction in TB incidence after a peak in 2011 (8,280 notifications and a rate of 15.6 per 100,000 reported). Since 2011, the number and rate of TB notifications had fallen steadily until 2019, (an overall decline of approximately 43%) when a rise of 2.4% was reported. At a rate of 7.3 per 100,00 population, 2020 is the fourth year the rate is below the </w:t>
      </w:r>
      <w:r w:rsidRPr="59AD57D2" w:rsidR="39E6BE38">
        <w:rPr>
          <w:rFonts w:ascii="Arial" w:hAnsi="Arial" w:eastAsia="Arial" w:cs="Arial"/>
          <w:noProof w:val="0"/>
          <w:sz w:val="24"/>
          <w:szCs w:val="24"/>
          <w:lang w:val="en-GB"/>
        </w:rPr>
        <w:t>WHO (World Health Organisation)</w:t>
      </w:r>
      <w:r w:rsidRPr="59AD57D2" w:rsidR="3CBCB59D">
        <w:rPr>
          <w:rFonts w:ascii="Arial" w:hAnsi="Arial" w:eastAsia="Arial" w:cs="Arial"/>
          <w:noProof w:val="0"/>
          <w:sz w:val="24"/>
          <w:szCs w:val="24"/>
          <w:lang w:val="en-GB"/>
        </w:rPr>
        <w:t xml:space="preserve"> definition of a low incidence country. As with </w:t>
      </w:r>
      <w:r w:rsidRPr="59AD57D2" w:rsidR="3CBCB59D">
        <w:rPr>
          <w:rFonts w:ascii="Arial" w:hAnsi="Arial" w:eastAsia="Arial" w:cs="Arial"/>
          <w:noProof w:val="0"/>
          <w:sz w:val="24"/>
          <w:szCs w:val="24"/>
          <w:lang w:val="en-GB"/>
        </w:rPr>
        <w:t>previous</w:t>
      </w:r>
      <w:r w:rsidRPr="59AD57D2" w:rsidR="3CBCB59D">
        <w:rPr>
          <w:rFonts w:ascii="Arial" w:hAnsi="Arial" w:eastAsia="Arial" w:cs="Arial"/>
          <w:noProof w:val="0"/>
          <w:sz w:val="24"/>
          <w:szCs w:val="24"/>
          <w:lang w:val="en-GB"/>
        </w:rPr>
        <w:t xml:space="preserve"> reports, rates of TB continue to be highest in people born outside the UK, those with social risk factors, and from our more deprived communities. The data presented in this report include notifications to the end of 2020. During 2020, major impacts on healthcare, migration, and social interactions due to the ongoing coronavirus (COVID-19) pandemic will have affected TB notifications in complex ways. These are undergoing further exploration and findings will be published separately. It is important to note that the data and findings from 2020 are unlikely to </w:t>
      </w:r>
      <w:r w:rsidRPr="59AD57D2" w:rsidR="3CBCB59D">
        <w:rPr>
          <w:rFonts w:ascii="Arial" w:hAnsi="Arial" w:eastAsia="Arial" w:cs="Arial"/>
          <w:noProof w:val="0"/>
          <w:sz w:val="24"/>
          <w:szCs w:val="24"/>
          <w:lang w:val="en-GB"/>
        </w:rPr>
        <w:t>represent</w:t>
      </w:r>
      <w:r w:rsidRPr="59AD57D2" w:rsidR="3CBCB59D">
        <w:rPr>
          <w:rFonts w:ascii="Arial" w:hAnsi="Arial" w:eastAsia="Arial" w:cs="Arial"/>
          <w:noProof w:val="0"/>
          <w:sz w:val="24"/>
          <w:szCs w:val="24"/>
          <w:lang w:val="en-GB"/>
        </w:rPr>
        <w:t xml:space="preserve"> the true burden of disease. As such their use in monitoring progress against both elimination goals and planning service provision will require careful consideration and further analysis of both 2020 and 2021 data</w:t>
      </w:r>
      <w:r w:rsidRPr="59AD57D2" w:rsidR="1C0F2836">
        <w:rPr>
          <w:rFonts w:ascii="Arial" w:hAnsi="Arial" w:eastAsia="Arial" w:cs="Arial"/>
          <w:noProof w:val="0"/>
          <w:sz w:val="24"/>
          <w:szCs w:val="24"/>
          <w:lang w:val="en-GB"/>
        </w:rPr>
        <w:t xml:space="preserve"> </w:t>
      </w:r>
      <w:r w:rsidRPr="59AD57D2" w:rsidR="3CBCB59D">
        <w:rPr>
          <w:rFonts w:ascii="Arial" w:hAnsi="Arial" w:eastAsia="Arial" w:cs="Arial"/>
          <w:noProof w:val="0"/>
          <w:sz w:val="24"/>
          <w:szCs w:val="24"/>
          <w:lang w:val="en-GB"/>
        </w:rPr>
        <w:t>(Public Health England 2020-2021)</w:t>
      </w:r>
    </w:p>
    <w:p w:rsidRPr="00856A95" w:rsidR="00FD0F1A" w:rsidP="59AD57D2" w:rsidRDefault="00FD0F1A" w14:paraId="38AAF918" w14:textId="266ACFC0">
      <w:pPr>
        <w:rPr>
          <w:rFonts w:ascii="Arial" w:hAnsi="Arial" w:cs="Arial"/>
          <w:i w:val="1"/>
          <w:iCs w:val="1"/>
          <w:color w:val="FF0000"/>
          <w:sz w:val="24"/>
          <w:szCs w:val="24"/>
        </w:rPr>
      </w:pPr>
      <w:r w:rsidRPr="59AD57D2" w:rsidR="00FD0F1A">
        <w:rPr>
          <w:rFonts w:ascii="Arial" w:hAnsi="Arial" w:cs="Arial"/>
          <w:i w:val="1"/>
          <w:iCs w:val="1"/>
          <w:color w:val="FF0000"/>
          <w:sz w:val="24"/>
          <w:szCs w:val="24"/>
        </w:rPr>
        <w:t xml:space="preserve"> </w:t>
      </w:r>
    </w:p>
    <w:p w:rsidRPr="00856A95" w:rsidR="002A6D6E" w:rsidP="59AD57D2" w:rsidRDefault="00A7160D" w14:paraId="004375F2" w14:textId="6E88DFE3">
      <w:pPr>
        <w:rPr>
          <w:rFonts w:ascii="Arial" w:hAnsi="Arial" w:cs="Arial"/>
          <w:i w:val="1"/>
          <w:iCs w:val="1"/>
          <w:color w:val="FF0000"/>
          <w:sz w:val="24"/>
          <w:szCs w:val="24"/>
        </w:rPr>
      </w:pPr>
      <w:r w:rsidRPr="59AD57D2" w:rsidR="00FD0F1A">
        <w:rPr>
          <w:rFonts w:ascii="Arial" w:hAnsi="Arial" w:cs="Arial"/>
          <w:i w:val="1"/>
          <w:iCs w:val="1"/>
          <w:color w:val="FF0000"/>
          <w:sz w:val="24"/>
          <w:szCs w:val="24"/>
        </w:rPr>
        <w:t>.</w:t>
      </w:r>
    </w:p>
    <w:p w:rsidRPr="00856A95" w:rsidR="00BD019C" w:rsidP="00BD019C" w:rsidRDefault="00BD019C" w14:paraId="7B2E237A" w14:textId="77777777">
      <w:pPr>
        <w:spacing w:after="0" w:line="240" w:lineRule="auto"/>
        <w:rPr>
          <w:rFonts w:ascii="Arial" w:hAnsi="Arial" w:cs="Arial"/>
          <w:b/>
          <w:bCs/>
          <w:sz w:val="24"/>
          <w:szCs w:val="24"/>
        </w:rPr>
      </w:pPr>
      <w:r w:rsidRPr="00856A95">
        <w:rPr>
          <w:rFonts w:ascii="Arial" w:hAnsi="Arial" w:cs="Arial"/>
          <w:b/>
          <w:bCs/>
          <w:sz w:val="24"/>
          <w:szCs w:val="24"/>
        </w:rPr>
        <w:t xml:space="preserve">Levels of the incidence that demonstrate the severity of the health issue (Both </w:t>
      </w:r>
    </w:p>
    <w:p w:rsidRPr="00856A95" w:rsidR="00A7160D" w:rsidP="00BD019C" w:rsidRDefault="00BD019C" w14:paraId="19B519F4" w14:textId="2E95AE4B">
      <w:pPr>
        <w:spacing w:after="0" w:line="240" w:lineRule="auto"/>
        <w:rPr>
          <w:rFonts w:ascii="Arial" w:hAnsi="Arial" w:cs="Arial"/>
          <w:b/>
          <w:bCs/>
          <w:sz w:val="24"/>
          <w:szCs w:val="24"/>
        </w:rPr>
      </w:pPr>
      <w:r w:rsidRPr="00856A95">
        <w:rPr>
          <w:rFonts w:ascii="Arial" w:hAnsi="Arial" w:cs="Arial"/>
          <w:b/>
          <w:bCs/>
          <w:sz w:val="24"/>
          <w:szCs w:val="24"/>
        </w:rPr>
        <w:t xml:space="preserve">worldwide and UK statistics). </w:t>
      </w:r>
    </w:p>
    <w:p w:rsidRPr="00856A95" w:rsidR="00BD019C" w:rsidP="00BD019C" w:rsidRDefault="00BD019C" w14:paraId="3F4C30D6" w14:textId="68FA676B">
      <w:pPr>
        <w:spacing w:after="0" w:line="240" w:lineRule="auto"/>
        <w:rPr>
          <w:rFonts w:ascii="Arial" w:hAnsi="Arial" w:cs="Arial"/>
          <w:b/>
          <w:bCs/>
          <w:sz w:val="24"/>
          <w:szCs w:val="24"/>
        </w:rPr>
      </w:pPr>
    </w:p>
    <w:p w:rsidRPr="00856A95" w:rsidR="00BD019C" w:rsidP="00BD019C" w:rsidRDefault="004F0043" w14:paraId="695E605D" w14:textId="179CC781">
      <w:pPr>
        <w:spacing w:after="0" w:line="240" w:lineRule="auto"/>
        <w:rPr>
          <w:rFonts w:ascii="Arial" w:hAnsi="Arial" w:cs="Arial"/>
          <w:sz w:val="24"/>
          <w:szCs w:val="24"/>
        </w:rPr>
      </w:pPr>
      <w:r w:rsidRPr="59AD57D2" w:rsidR="004F0043">
        <w:rPr>
          <w:rFonts w:ascii="Arial" w:hAnsi="Arial" w:cs="Arial"/>
          <w:sz w:val="24"/>
          <w:szCs w:val="24"/>
        </w:rPr>
        <w:t xml:space="preserve">TB is the second most infectious disease in the world (WHO, 2022). According to WHO (2022) data, it is estimated that in </w:t>
      </w:r>
      <w:r w:rsidRPr="59AD57D2" w:rsidR="3DEA359E">
        <w:rPr>
          <w:rFonts w:ascii="Arial" w:hAnsi="Arial" w:cs="Arial"/>
          <w:sz w:val="24"/>
          <w:szCs w:val="24"/>
        </w:rPr>
        <w:t>2021 1.6</w:t>
      </w:r>
      <w:r w:rsidRPr="59AD57D2" w:rsidR="004F0043">
        <w:rPr>
          <w:rFonts w:ascii="Arial" w:hAnsi="Arial" w:cs="Arial"/>
          <w:sz w:val="24"/>
          <w:szCs w:val="24"/>
        </w:rPr>
        <w:t xml:space="preserve"> million people were affected by TB. </w:t>
      </w:r>
    </w:p>
    <w:p w:rsidRPr="00856A95" w:rsidR="002A6D6E" w:rsidP="59AD57D2" w:rsidRDefault="002A6D6E" w14:paraId="7C583E8C" w14:noSpellErr="1" w14:textId="183E4C00">
      <w:pPr>
        <w:pStyle w:val="Normal"/>
        <w:rPr>
          <w:rFonts w:ascii="Arial" w:hAnsi="Arial" w:cs="Arial"/>
          <w:b w:val="1"/>
          <w:bCs w:val="1"/>
          <w:sz w:val="24"/>
          <w:szCs w:val="24"/>
        </w:rPr>
      </w:pPr>
    </w:p>
    <w:p w:rsidRPr="00856A95" w:rsidR="002A6D6E" w:rsidRDefault="00BA18CD" w14:paraId="0784D97F" w14:textId="5FF8C178">
      <w:pPr>
        <w:rPr>
          <w:rFonts w:ascii="Arial" w:hAnsi="Arial" w:cs="Arial"/>
          <w:b/>
          <w:bCs/>
          <w:sz w:val="24"/>
          <w:szCs w:val="24"/>
        </w:rPr>
      </w:pPr>
      <w:r w:rsidRPr="00856A95">
        <w:rPr>
          <w:rFonts w:ascii="Arial" w:hAnsi="Arial" w:cs="Arial"/>
          <w:b/>
          <w:bCs/>
          <w:sz w:val="24"/>
          <w:szCs w:val="24"/>
        </w:rPr>
        <w:t xml:space="preserve">Public Health Measures available </w:t>
      </w:r>
    </w:p>
    <w:p w:rsidRPr="00856A95" w:rsidR="00BA18CD" w:rsidRDefault="00BA18CD" w14:paraId="272AEDBA" w14:textId="737AC052">
      <w:pPr>
        <w:rPr>
          <w:rFonts w:ascii="Arial" w:hAnsi="Arial" w:cs="Arial"/>
          <w:b w:val="1"/>
          <w:bCs w:val="1"/>
          <w:sz w:val="24"/>
          <w:szCs w:val="24"/>
        </w:rPr>
      </w:pPr>
      <w:r w:rsidRPr="59AD57D2" w:rsidR="00C179FE">
        <w:rPr>
          <w:rFonts w:ascii="Arial" w:hAnsi="Arial" w:cs="Arial"/>
          <w:b w:val="1"/>
          <w:bCs w:val="1"/>
          <w:sz w:val="24"/>
          <w:szCs w:val="24"/>
        </w:rPr>
        <w:t>Public health measures available</w:t>
      </w:r>
      <w:r w:rsidRPr="59AD57D2" w:rsidR="004752C5">
        <w:rPr>
          <w:rFonts w:ascii="Arial" w:hAnsi="Arial" w:cs="Arial"/>
          <w:b w:val="1"/>
          <w:bCs w:val="1"/>
          <w:sz w:val="24"/>
          <w:szCs w:val="24"/>
        </w:rPr>
        <w:t xml:space="preserve"> </w:t>
      </w:r>
      <w:r w:rsidRPr="59AD57D2" w:rsidR="00BA18CD">
        <w:rPr>
          <w:rFonts w:ascii="Arial" w:hAnsi="Arial" w:cs="Arial"/>
          <w:b w:val="1"/>
          <w:bCs w:val="1"/>
          <w:sz w:val="24"/>
          <w:szCs w:val="24"/>
        </w:rPr>
        <w:t xml:space="preserve">are all the </w:t>
      </w:r>
      <w:r w:rsidRPr="59AD57D2" w:rsidR="13599E6A">
        <w:rPr>
          <w:rFonts w:ascii="Arial" w:hAnsi="Arial" w:cs="Arial"/>
          <w:b w:val="1"/>
          <w:bCs w:val="1"/>
          <w:sz w:val="24"/>
          <w:szCs w:val="24"/>
        </w:rPr>
        <w:t>approaches to</w:t>
      </w:r>
      <w:r w:rsidRPr="59AD57D2" w:rsidR="00BA18CD">
        <w:rPr>
          <w:rFonts w:ascii="Arial" w:hAnsi="Arial" w:cs="Arial"/>
          <w:b w:val="1"/>
          <w:bCs w:val="1"/>
          <w:sz w:val="24"/>
          <w:szCs w:val="24"/>
        </w:rPr>
        <w:t xml:space="preserve"> </w:t>
      </w:r>
      <w:r w:rsidRPr="59AD57D2" w:rsidR="1ADDD646">
        <w:rPr>
          <w:rFonts w:ascii="Arial" w:hAnsi="Arial" w:cs="Arial"/>
          <w:b w:val="1"/>
          <w:bCs w:val="1"/>
          <w:sz w:val="24"/>
          <w:szCs w:val="24"/>
        </w:rPr>
        <w:t>monitoring,</w:t>
      </w:r>
      <w:r w:rsidRPr="59AD57D2" w:rsidR="6CC9ACC0">
        <w:rPr>
          <w:rFonts w:ascii="Arial" w:hAnsi="Arial" w:cs="Arial"/>
          <w:b w:val="1"/>
          <w:bCs w:val="1"/>
          <w:sz w:val="24"/>
          <w:szCs w:val="24"/>
        </w:rPr>
        <w:t xml:space="preserve"> </w:t>
      </w:r>
      <w:r w:rsidRPr="59AD57D2" w:rsidR="1ADDD646">
        <w:rPr>
          <w:rFonts w:ascii="Arial" w:hAnsi="Arial" w:cs="Arial"/>
          <w:b w:val="1"/>
          <w:bCs w:val="1"/>
          <w:sz w:val="24"/>
          <w:szCs w:val="24"/>
        </w:rPr>
        <w:t>surveyance</w:t>
      </w:r>
      <w:r w:rsidRPr="59AD57D2" w:rsidR="1ADDD646">
        <w:rPr>
          <w:rFonts w:ascii="Arial" w:hAnsi="Arial" w:cs="Arial"/>
          <w:b w:val="1"/>
          <w:bCs w:val="1"/>
          <w:sz w:val="24"/>
          <w:szCs w:val="24"/>
        </w:rPr>
        <w:t xml:space="preserve"> and tackle </w:t>
      </w:r>
    </w:p>
    <w:p w:rsidRPr="00856A95" w:rsidR="00BA18CD" w:rsidRDefault="00BA18CD" w14:paraId="466FF5D2" w14:textId="7D8A3E67">
      <w:pPr>
        <w:rPr>
          <w:rFonts w:ascii="Arial" w:hAnsi="Arial" w:cs="Arial"/>
          <w:b w:val="1"/>
          <w:bCs w:val="1"/>
          <w:color w:val="FF0000"/>
          <w:sz w:val="24"/>
          <w:szCs w:val="24"/>
        </w:rPr>
      </w:pPr>
      <w:r w:rsidRPr="59AD57D2" w:rsidR="00BA18CD">
        <w:rPr>
          <w:rFonts w:ascii="Arial" w:hAnsi="Arial" w:cs="Arial"/>
          <w:b w:val="1"/>
          <w:bCs w:val="1"/>
          <w:sz w:val="24"/>
          <w:szCs w:val="24"/>
        </w:rPr>
        <w:t>To measure the control is checking</w:t>
      </w:r>
      <w:r w:rsidRPr="59AD57D2" w:rsidR="32C6FC83">
        <w:rPr>
          <w:rFonts w:ascii="Arial" w:hAnsi="Arial" w:cs="Arial"/>
          <w:b w:val="1"/>
          <w:bCs w:val="1"/>
          <w:sz w:val="24"/>
          <w:szCs w:val="24"/>
        </w:rPr>
        <w:t xml:space="preserve"> the mortality and morbidity rates </w:t>
      </w:r>
      <w:r w:rsidRPr="59AD57D2" w:rsidR="00BA18CD">
        <w:rPr>
          <w:rFonts w:ascii="Arial" w:hAnsi="Arial" w:cs="Arial"/>
          <w:b w:val="1"/>
          <w:bCs w:val="1"/>
          <w:color w:val="FF0000"/>
          <w:sz w:val="24"/>
          <w:szCs w:val="24"/>
        </w:rPr>
        <w:t xml:space="preserve"> </w:t>
      </w:r>
    </w:p>
    <w:p w:rsidRPr="00856A95" w:rsidR="00BA18CD" w:rsidRDefault="00BA18CD" w14:paraId="3FDF3F49" w14:textId="728B9C92">
      <w:pPr>
        <w:rPr>
          <w:rFonts w:ascii="Arial" w:hAnsi="Arial" w:cs="Arial"/>
          <w:b/>
          <w:bCs/>
          <w:color w:val="FF0000"/>
          <w:sz w:val="24"/>
          <w:szCs w:val="24"/>
        </w:rPr>
      </w:pPr>
    </w:p>
    <w:p w:rsidRPr="00856A95" w:rsidR="00BA18CD" w:rsidRDefault="00BA18CD" w14:paraId="7102910F" w14:textId="499DA5DB">
      <w:pPr>
        <w:rPr>
          <w:rFonts w:ascii="Arial" w:hAnsi="Arial" w:cs="Arial"/>
          <w:b w:val="1"/>
          <w:bCs w:val="1"/>
          <w:color w:val="FF0000"/>
          <w:sz w:val="24"/>
          <w:szCs w:val="24"/>
        </w:rPr>
      </w:pPr>
      <w:r w:rsidRPr="59AD57D2" w:rsidR="00BA18CD">
        <w:rPr>
          <w:rFonts w:ascii="Arial" w:hAnsi="Arial" w:cs="Arial"/>
          <w:b w:val="1"/>
          <w:bCs w:val="1"/>
          <w:sz w:val="24"/>
          <w:szCs w:val="24"/>
        </w:rPr>
        <w:t>Monitor the disease through analysis of data and</w:t>
      </w:r>
      <w:r w:rsidRPr="59AD57D2" w:rsidR="3FD324B3">
        <w:rPr>
          <w:rFonts w:ascii="Arial" w:hAnsi="Arial" w:cs="Arial"/>
          <w:b w:val="1"/>
          <w:bCs w:val="1"/>
          <w:sz w:val="24"/>
          <w:szCs w:val="24"/>
        </w:rPr>
        <w:t xml:space="preserve"> surveyance </w:t>
      </w:r>
      <w:r w:rsidRPr="59AD57D2" w:rsidR="00BA18CD">
        <w:rPr>
          <w:rFonts w:ascii="Arial" w:hAnsi="Arial" w:cs="Arial"/>
          <w:b w:val="1"/>
          <w:bCs w:val="1"/>
          <w:color w:val="FF0000"/>
          <w:sz w:val="24"/>
          <w:szCs w:val="24"/>
        </w:rPr>
        <w:t xml:space="preserve">  </w:t>
      </w:r>
    </w:p>
    <w:p w:rsidRPr="00856A95" w:rsidR="00BA18CD" w:rsidRDefault="00BA18CD" w14:paraId="5B7657AB" w14:textId="660E2D62">
      <w:pPr>
        <w:rPr>
          <w:rFonts w:ascii="Arial" w:hAnsi="Arial" w:cs="Arial"/>
          <w:b/>
          <w:bCs/>
          <w:color w:val="FF0000"/>
          <w:sz w:val="24"/>
          <w:szCs w:val="24"/>
        </w:rPr>
      </w:pPr>
    </w:p>
    <w:p w:rsidRPr="00856A95" w:rsidR="00BA18CD" w:rsidP="59AD57D2" w:rsidRDefault="00BA18CD" w14:paraId="14095908" w14:textId="5C3B871D">
      <w:pPr>
        <w:rPr>
          <w:rFonts w:ascii="Arial" w:hAnsi="Arial" w:cs="Arial"/>
          <w:b w:val="1"/>
          <w:bCs w:val="1"/>
          <w:sz w:val="24"/>
          <w:szCs w:val="24"/>
        </w:rPr>
      </w:pPr>
      <w:r w:rsidRPr="59AD57D2" w:rsidR="00BA18CD">
        <w:rPr>
          <w:rFonts w:ascii="Arial" w:hAnsi="Arial" w:cs="Arial"/>
          <w:b w:val="1"/>
          <w:bCs w:val="1"/>
          <w:sz w:val="24"/>
          <w:szCs w:val="24"/>
        </w:rPr>
        <w:t xml:space="preserve">Control is carried out through </w:t>
      </w:r>
      <w:r w:rsidRPr="59AD57D2" w:rsidR="4639BB17">
        <w:rPr>
          <w:rFonts w:ascii="Arial" w:hAnsi="Arial" w:cs="Arial"/>
          <w:b w:val="1"/>
          <w:bCs w:val="1"/>
          <w:sz w:val="24"/>
          <w:szCs w:val="24"/>
        </w:rPr>
        <w:t>isolation, immunisation, and campaign so the public could get wider knowledge and understanding about the TB</w:t>
      </w:r>
      <w:r w:rsidRPr="59AD57D2" w:rsidR="1608CB4B">
        <w:rPr>
          <w:rFonts w:ascii="Arial" w:hAnsi="Arial" w:cs="Arial"/>
          <w:b w:val="1"/>
          <w:bCs w:val="1"/>
          <w:sz w:val="24"/>
          <w:szCs w:val="24"/>
        </w:rPr>
        <w:t xml:space="preserve"> </w:t>
      </w:r>
    </w:p>
    <w:p w:rsidRPr="00856A95" w:rsidR="00BA18CD" w:rsidP="59AD57D2" w:rsidRDefault="00BA18CD" w14:paraId="1708E182" w14:textId="30CD01C1">
      <w:pPr>
        <w:rPr>
          <w:rFonts w:ascii="Arial" w:hAnsi="Arial" w:cs="Arial"/>
          <w:b w:val="1"/>
          <w:bCs w:val="1"/>
          <w:sz w:val="24"/>
          <w:szCs w:val="24"/>
        </w:rPr>
      </w:pPr>
      <w:r w:rsidRPr="59AD57D2" w:rsidR="1608CB4B">
        <w:rPr>
          <w:rFonts w:ascii="Arial" w:hAnsi="Arial" w:cs="Arial"/>
          <w:b w:val="1"/>
          <w:bCs w:val="1"/>
          <w:sz w:val="24"/>
          <w:szCs w:val="24"/>
        </w:rPr>
        <w:t xml:space="preserve">       Risk factors include poverty, poor hygiene, lack of </w:t>
      </w:r>
      <w:r w:rsidRPr="59AD57D2" w:rsidR="617ADD44">
        <w:rPr>
          <w:rFonts w:ascii="Arial" w:hAnsi="Arial" w:cs="Arial"/>
          <w:b w:val="1"/>
          <w:bCs w:val="1"/>
          <w:sz w:val="24"/>
          <w:szCs w:val="24"/>
        </w:rPr>
        <w:t>knowledge, limited</w:t>
      </w:r>
      <w:r w:rsidRPr="59AD57D2" w:rsidR="373A8AD4">
        <w:rPr>
          <w:rFonts w:ascii="Arial" w:hAnsi="Arial" w:cs="Arial"/>
          <w:b w:val="1"/>
          <w:bCs w:val="1"/>
          <w:sz w:val="24"/>
          <w:szCs w:val="24"/>
        </w:rPr>
        <w:t xml:space="preserve"> access to health services (i.e., travellers without </w:t>
      </w:r>
      <w:r w:rsidRPr="59AD57D2" w:rsidR="02286AAC">
        <w:rPr>
          <w:rFonts w:ascii="Arial" w:hAnsi="Arial" w:cs="Arial"/>
          <w:b w:val="1"/>
          <w:bCs w:val="1"/>
          <w:sz w:val="24"/>
          <w:szCs w:val="24"/>
        </w:rPr>
        <w:t xml:space="preserve">welfare </w:t>
      </w:r>
      <w:r w:rsidRPr="59AD57D2" w:rsidR="1C44497F">
        <w:rPr>
          <w:rFonts w:ascii="Arial" w:hAnsi="Arial" w:cs="Arial"/>
          <w:b w:val="1"/>
          <w:bCs w:val="1"/>
          <w:sz w:val="24"/>
          <w:szCs w:val="24"/>
        </w:rPr>
        <w:t>facilities or fa</w:t>
      </w:r>
      <w:r w:rsidRPr="59AD57D2" w:rsidR="33864A30">
        <w:rPr>
          <w:rFonts w:ascii="Arial" w:hAnsi="Arial" w:cs="Arial"/>
          <w:b w:val="1"/>
          <w:bCs w:val="1"/>
          <w:sz w:val="24"/>
          <w:szCs w:val="24"/>
        </w:rPr>
        <w:t xml:space="preserve">rm workers as well as occupations related to exposure such as but not limited to healthcare professionals </w:t>
      </w:r>
      <w:r w:rsidRPr="59AD57D2" w:rsidR="119D93F7">
        <w:rPr>
          <w:rFonts w:ascii="Arial" w:hAnsi="Arial" w:cs="Arial"/>
          <w:b w:val="1"/>
          <w:bCs w:val="1"/>
          <w:sz w:val="24"/>
          <w:szCs w:val="24"/>
        </w:rPr>
        <w:t>etc.)</w:t>
      </w:r>
    </w:p>
    <w:p w:rsidR="156BB87B" w:rsidP="59AD57D2" w:rsidRDefault="156BB87B" w14:paraId="5B118E29" w14:textId="0F259967">
      <w:pPr>
        <w:pStyle w:val="Normal"/>
        <w:rPr>
          <w:rFonts w:ascii="Arial" w:hAnsi="Arial" w:cs="Arial"/>
          <w:b w:val="1"/>
          <w:bCs w:val="1"/>
          <w:sz w:val="24"/>
          <w:szCs w:val="24"/>
        </w:rPr>
      </w:pPr>
      <w:r w:rsidRPr="59AD57D2" w:rsidR="156BB87B">
        <w:rPr>
          <w:rFonts w:ascii="Arial" w:hAnsi="Arial" w:cs="Arial"/>
          <w:b w:val="1"/>
          <w:bCs w:val="1"/>
          <w:sz w:val="24"/>
          <w:szCs w:val="24"/>
        </w:rPr>
        <w:t xml:space="preserve">       </w:t>
      </w:r>
      <w:r w:rsidRPr="59AD57D2" w:rsidR="156BB87B">
        <w:rPr>
          <w:rFonts w:ascii="Arial" w:hAnsi="Arial" w:eastAsia="Arial" w:cs="Arial"/>
          <w:noProof w:val="0"/>
          <w:sz w:val="24"/>
          <w:szCs w:val="24"/>
          <w:lang w:val="en-GB"/>
        </w:rPr>
        <w:t>This report describes the recent epidemiology of TB in England at a national and subnational level and presents data on the implementation of the UK pre-entry TB screening programme, the national programme for systematic latent TB infection (LTBI) testing and treatment in new migrants, and BCG vaccination coverage estimates. The data presented is used to inform recommendations that support implementation of the ‘Tuberculosis Action Plan for England, 2021 to 2026</w:t>
      </w:r>
      <w:r w:rsidRPr="59AD57D2" w:rsidR="6AE0BDAB">
        <w:rPr>
          <w:rFonts w:ascii="Arial" w:hAnsi="Arial" w:eastAsia="Arial" w:cs="Arial"/>
          <w:noProof w:val="0"/>
          <w:sz w:val="24"/>
          <w:szCs w:val="24"/>
          <w:lang w:val="en-GB"/>
        </w:rPr>
        <w:t>’. (</w:t>
      </w:r>
      <w:r w:rsidRPr="59AD57D2" w:rsidR="4450CC02">
        <w:rPr>
          <w:rFonts w:ascii="Arial" w:hAnsi="Arial" w:eastAsia="Arial" w:cs="Arial"/>
          <w:noProof w:val="0"/>
          <w:sz w:val="24"/>
          <w:szCs w:val="24"/>
          <w:lang w:val="en-GB"/>
        </w:rPr>
        <w:t>Public</w:t>
      </w:r>
      <w:r w:rsidRPr="59AD57D2" w:rsidR="156BB87B">
        <w:rPr>
          <w:rFonts w:ascii="Arial" w:hAnsi="Arial" w:eastAsia="Arial" w:cs="Arial"/>
          <w:noProof w:val="0"/>
          <w:sz w:val="24"/>
          <w:szCs w:val="24"/>
          <w:lang w:val="en-GB"/>
        </w:rPr>
        <w:t xml:space="preserve"> health England 2021)</w:t>
      </w:r>
    </w:p>
    <w:p w:rsidR="57682695" w:rsidP="59AD57D2" w:rsidRDefault="57682695" w14:paraId="6EF137CE" w14:textId="4375AFA9">
      <w:pPr>
        <w:pStyle w:val="Normal"/>
        <w:rPr>
          <w:rFonts w:ascii="Arial" w:hAnsi="Arial" w:eastAsia="Arial" w:cs="Arial"/>
          <w:noProof w:val="0"/>
          <w:sz w:val="24"/>
          <w:szCs w:val="24"/>
          <w:lang w:val="en-GB"/>
        </w:rPr>
      </w:pPr>
      <w:r w:rsidRPr="59AD57D2" w:rsidR="57682695">
        <w:rPr>
          <w:rFonts w:ascii="Arial" w:hAnsi="Arial" w:eastAsia="Arial" w:cs="Arial"/>
          <w:noProof w:val="0"/>
          <w:sz w:val="24"/>
          <w:szCs w:val="24"/>
          <w:lang w:val="en-GB"/>
        </w:rPr>
        <w:t xml:space="preserve">          The ‘TB Action Plan for England 2021 to 2026’ will </w:t>
      </w:r>
      <w:r w:rsidRPr="59AD57D2" w:rsidR="57682695">
        <w:rPr>
          <w:rFonts w:ascii="Arial" w:hAnsi="Arial" w:eastAsia="Arial" w:cs="Arial"/>
          <w:noProof w:val="0"/>
          <w:sz w:val="24"/>
          <w:szCs w:val="24"/>
          <w:lang w:val="en-GB"/>
        </w:rPr>
        <w:t>provide</w:t>
      </w:r>
      <w:r w:rsidRPr="59AD57D2" w:rsidR="57682695">
        <w:rPr>
          <w:rFonts w:ascii="Arial" w:hAnsi="Arial" w:eastAsia="Arial" w:cs="Arial"/>
          <w:noProof w:val="0"/>
          <w:sz w:val="24"/>
          <w:szCs w:val="24"/>
          <w:lang w:val="en-GB"/>
        </w:rPr>
        <w:t xml:space="preserve"> a road map for the recovery of TB services from the significant impact of the COVID-19 </w:t>
      </w:r>
      <w:r w:rsidRPr="59AD57D2" w:rsidR="57682695">
        <w:rPr>
          <w:rFonts w:ascii="Arial" w:hAnsi="Arial" w:eastAsia="Arial" w:cs="Arial"/>
          <w:noProof w:val="0"/>
          <w:sz w:val="24"/>
          <w:szCs w:val="24"/>
          <w:lang w:val="en-GB"/>
        </w:rPr>
        <w:t>pandemic and</w:t>
      </w:r>
      <w:r w:rsidRPr="59AD57D2" w:rsidR="57682695">
        <w:rPr>
          <w:rFonts w:ascii="Arial" w:hAnsi="Arial" w:eastAsia="Arial" w:cs="Arial"/>
          <w:noProof w:val="0"/>
          <w:sz w:val="24"/>
          <w:szCs w:val="24"/>
          <w:lang w:val="en-GB"/>
        </w:rPr>
        <w:t xml:space="preserve"> will enable the UK to meet its commitment to the WHO elimination targets by supporting a year-on-year reduction in TB incidence and reducing health inequalities. To achieve this, the strategy sets out main priority areas. The 5 main priorities of the TB Action Plan are: • recovery from COVID-19 – understanding and reporting the impact and learning of the coronavirus (COVID-19) pandemic • prevent TB • detect TB • control TB disease • workforce These priorities are underpinned by: • actions for specific population groups, that is, under-served populations, new entrants, people with drug resistant TB and children with TB • measurable outcomes and indicators Tuberculosis in England: 2021 report (presenting data to end 2020)</w:t>
      </w:r>
    </w:p>
    <w:p w:rsidRPr="00856A95" w:rsidR="00E74C69" w:rsidP="59AD57D2" w:rsidRDefault="00E74C69" w14:paraId="13118780" w14:textId="7E20E7BC">
      <w:pPr>
        <w:pStyle w:val="Normal"/>
        <w:rPr>
          <w:rFonts w:ascii="Arial" w:hAnsi="Arial" w:cs="Arial"/>
          <w:b w:val="1"/>
          <w:bCs w:val="1"/>
          <w:color w:val="FF0000"/>
          <w:sz w:val="24"/>
          <w:szCs w:val="24"/>
        </w:rPr>
      </w:pPr>
    </w:p>
    <w:p w:rsidRPr="00856A95" w:rsidR="00E74C69" w:rsidP="00E74C69" w:rsidRDefault="00E74C69" w14:paraId="539544C0" w14:textId="17361500">
      <w:pPr>
        <w:rPr>
          <w:rFonts w:ascii="Arial" w:hAnsi="Arial" w:cs="Arial"/>
          <w:b w:val="1"/>
          <w:bCs w:val="1"/>
          <w:sz w:val="24"/>
          <w:szCs w:val="24"/>
        </w:rPr>
      </w:pPr>
      <w:r w:rsidRPr="59AD57D2" w:rsidR="00E74C69">
        <w:rPr>
          <w:rFonts w:ascii="Arial" w:hAnsi="Arial" w:cs="Arial"/>
          <w:b w:val="1"/>
          <w:bCs w:val="1"/>
          <w:sz w:val="24"/>
          <w:szCs w:val="24"/>
        </w:rPr>
        <w:t xml:space="preserve">Short-term public health consequences of the disease in a health or social </w:t>
      </w:r>
      <w:r w:rsidRPr="59AD57D2" w:rsidR="03405993">
        <w:rPr>
          <w:rFonts w:ascii="Arial" w:hAnsi="Arial" w:cs="Arial"/>
          <w:b w:val="1"/>
          <w:bCs w:val="1"/>
          <w:sz w:val="24"/>
          <w:szCs w:val="24"/>
        </w:rPr>
        <w:t>care setting</w:t>
      </w:r>
    </w:p>
    <w:p w:rsidRPr="00856A95" w:rsidR="002A6D6E" w:rsidP="59AD57D2" w:rsidRDefault="002A6D6E" w14:paraId="01937B8D" w14:textId="130D5C46">
      <w:pPr>
        <w:pStyle w:val="Normal"/>
        <w:rPr>
          <w:rFonts w:ascii="Open Sans" w:hAnsi="Open Sans" w:eastAsia="Open Sans" w:cs="Open Sans"/>
          <w:noProof w:val="0"/>
          <w:sz w:val="25"/>
          <w:szCs w:val="25"/>
          <w:lang w:val="en-GB"/>
        </w:rPr>
      </w:pPr>
      <w:r w:rsidRPr="59AD57D2" w:rsidR="0ACC088B">
        <w:rPr>
          <w:rFonts w:ascii="Arial" w:hAnsi="Arial" w:cs="Arial"/>
          <w:b w:val="1"/>
          <w:bCs w:val="1"/>
          <w:sz w:val="24"/>
          <w:szCs w:val="24"/>
        </w:rPr>
        <w:t xml:space="preserve">          </w:t>
      </w:r>
      <w:r w:rsidRPr="59AD57D2" w:rsidR="0ACC088B">
        <w:rPr>
          <w:rFonts w:ascii="Open Sans" w:hAnsi="Open Sans" w:eastAsia="Open Sans" w:cs="Open Sans"/>
          <w:b w:val="0"/>
          <w:bCs w:val="0"/>
          <w:i w:val="0"/>
          <w:iCs w:val="0"/>
          <w:caps w:val="0"/>
          <w:smallCaps w:val="0"/>
          <w:noProof w:val="0"/>
          <w:color w:val="000000" w:themeColor="text1" w:themeTint="FF" w:themeShade="FF"/>
          <w:sz w:val="25"/>
          <w:szCs w:val="25"/>
          <w:lang w:val="en-GB"/>
        </w:rPr>
        <w:t xml:space="preserve">Transmission of </w:t>
      </w:r>
      <w:r w:rsidRPr="59AD57D2" w:rsidR="0ACC088B">
        <w:rPr>
          <w:rFonts w:ascii="Open Sans" w:hAnsi="Open Sans" w:eastAsia="Open Sans" w:cs="Open Sans"/>
          <w:b w:val="0"/>
          <w:bCs w:val="0"/>
          <w:i w:val="1"/>
          <w:iCs w:val="1"/>
          <w:caps w:val="0"/>
          <w:smallCaps w:val="0"/>
          <w:noProof w:val="0"/>
          <w:color w:val="000000" w:themeColor="text1" w:themeTint="FF" w:themeShade="FF"/>
          <w:sz w:val="25"/>
          <w:szCs w:val="25"/>
          <w:lang w:val="en-GB"/>
        </w:rPr>
        <w:t>Mycobacterium tuberculosis</w:t>
      </w:r>
      <w:r w:rsidRPr="59AD57D2" w:rsidR="0ACC088B">
        <w:rPr>
          <w:rFonts w:ascii="Open Sans" w:hAnsi="Open Sans" w:eastAsia="Open Sans" w:cs="Open Sans"/>
          <w:b w:val="0"/>
          <w:bCs w:val="0"/>
          <w:i w:val="0"/>
          <w:iCs w:val="0"/>
          <w:caps w:val="0"/>
          <w:smallCaps w:val="0"/>
          <w:noProof w:val="0"/>
          <w:color w:val="000000" w:themeColor="text1" w:themeTint="FF" w:themeShade="FF"/>
          <w:sz w:val="25"/>
          <w:szCs w:val="25"/>
          <w:lang w:val="en-GB"/>
        </w:rPr>
        <w:t xml:space="preserve"> (</w:t>
      </w:r>
      <w:r w:rsidRPr="59AD57D2" w:rsidR="0ACC088B">
        <w:rPr>
          <w:rFonts w:ascii="Open Sans" w:hAnsi="Open Sans" w:eastAsia="Open Sans" w:cs="Open Sans"/>
          <w:b w:val="0"/>
          <w:bCs w:val="0"/>
          <w:i w:val="1"/>
          <w:iCs w:val="1"/>
          <w:caps w:val="0"/>
          <w:smallCaps w:val="0"/>
          <w:noProof w:val="0"/>
          <w:color w:val="000000" w:themeColor="text1" w:themeTint="FF" w:themeShade="FF"/>
          <w:sz w:val="25"/>
          <w:szCs w:val="25"/>
          <w:lang w:val="en-GB"/>
        </w:rPr>
        <w:t>M. tuberculosis</w:t>
      </w:r>
      <w:r w:rsidRPr="59AD57D2" w:rsidR="0ACC088B">
        <w:rPr>
          <w:rFonts w:ascii="Open Sans" w:hAnsi="Open Sans" w:eastAsia="Open Sans" w:cs="Open Sans"/>
          <w:b w:val="0"/>
          <w:bCs w:val="0"/>
          <w:i w:val="0"/>
          <w:iCs w:val="0"/>
          <w:caps w:val="0"/>
          <w:smallCaps w:val="0"/>
          <w:noProof w:val="0"/>
          <w:color w:val="000000" w:themeColor="text1" w:themeTint="FF" w:themeShade="FF"/>
          <w:sz w:val="25"/>
          <w:szCs w:val="25"/>
          <w:lang w:val="en-GB"/>
        </w:rPr>
        <w:t xml:space="preserve"> [TB]) is a recognized risk to patients and healthcare personnel in healthcare settings. Transmission is most likely to occur from patients who have unrecognized pulmonary or larynx-related TB, are not on effective anti-TB therapy, and have not been placed in TB isolation. Transmission of </w:t>
      </w:r>
      <w:r w:rsidRPr="59AD57D2" w:rsidR="0ACC088B">
        <w:rPr>
          <w:rFonts w:ascii="Open Sans" w:hAnsi="Open Sans" w:eastAsia="Open Sans" w:cs="Open Sans"/>
          <w:b w:val="0"/>
          <w:bCs w:val="0"/>
          <w:i w:val="1"/>
          <w:iCs w:val="1"/>
          <w:caps w:val="0"/>
          <w:smallCaps w:val="0"/>
          <w:noProof w:val="0"/>
          <w:color w:val="000000" w:themeColor="text1" w:themeTint="FF" w:themeShade="FF"/>
          <w:sz w:val="25"/>
          <w:szCs w:val="25"/>
          <w:lang w:val="en-GB"/>
        </w:rPr>
        <w:t>M. tuberculosis</w:t>
      </w:r>
      <w:r w:rsidRPr="59AD57D2" w:rsidR="0ACC088B">
        <w:rPr>
          <w:rFonts w:ascii="Open Sans" w:hAnsi="Open Sans" w:eastAsia="Open Sans" w:cs="Open Sans"/>
          <w:b w:val="0"/>
          <w:bCs w:val="0"/>
          <w:i w:val="0"/>
          <w:iCs w:val="0"/>
          <w:caps w:val="0"/>
          <w:smallCaps w:val="0"/>
          <w:noProof w:val="0"/>
          <w:color w:val="000000" w:themeColor="text1" w:themeTint="FF" w:themeShade="FF"/>
          <w:sz w:val="25"/>
          <w:szCs w:val="25"/>
          <w:lang w:val="en-GB"/>
        </w:rPr>
        <w:t xml:space="preserve"> in healthcare settings has been associated with close contact with persons who have infectious TB, particularly during the performance of cough-inducing procedures such as bronchoscopy and sputum induction. TB can spread through the air and can travel long distances. Cases of multidrug-resistant TB (MDR-TB, which includes extensively drug-resistant TB [XDR-TB]), have been recognized and are more difficult to treat</w:t>
      </w:r>
      <w:r w:rsidRPr="59AD57D2" w:rsidR="51A0DFE2">
        <w:rPr>
          <w:rFonts w:ascii="Open Sans" w:hAnsi="Open Sans" w:eastAsia="Open Sans" w:cs="Open Sans"/>
          <w:b w:val="0"/>
          <w:bCs w:val="0"/>
          <w:i w:val="0"/>
          <w:iCs w:val="0"/>
          <w:caps w:val="0"/>
          <w:smallCaps w:val="0"/>
          <w:noProof w:val="0"/>
          <w:color w:val="000000" w:themeColor="text1" w:themeTint="FF" w:themeShade="FF"/>
          <w:sz w:val="25"/>
          <w:szCs w:val="25"/>
          <w:lang w:val="en-GB"/>
        </w:rPr>
        <w:t>(</w:t>
      </w:r>
      <w:hyperlink r:id="Re89c80a46fd441af">
        <w:r w:rsidRPr="59AD57D2" w:rsidR="51A0DFE2">
          <w:rPr>
            <w:rStyle w:val="Hyperlink"/>
            <w:rFonts w:ascii="Open Sans" w:hAnsi="Open Sans" w:eastAsia="Open Sans" w:cs="Open Sans"/>
            <w:b w:val="0"/>
            <w:bCs w:val="0"/>
            <w:i w:val="0"/>
            <w:iCs w:val="0"/>
            <w:caps w:val="0"/>
            <w:smallCaps w:val="0"/>
            <w:strike w:val="0"/>
            <w:dstrike w:val="0"/>
            <w:noProof w:val="0"/>
            <w:sz w:val="20"/>
            <w:szCs w:val="20"/>
            <w:lang w:val="en-GB"/>
          </w:rPr>
          <w:t>Centers for Disease Control and Prevention</w:t>
        </w:r>
      </w:hyperlink>
      <w:r w:rsidRPr="59AD57D2" w:rsidR="51A0DFE2">
        <w:rPr>
          <w:rFonts w:ascii="Open Sans" w:hAnsi="Open Sans" w:eastAsia="Open Sans" w:cs="Open Sans"/>
          <w:b w:val="0"/>
          <w:bCs w:val="0"/>
          <w:i w:val="0"/>
          <w:iCs w:val="0"/>
          <w:caps w:val="0"/>
          <w:smallCaps w:val="0"/>
          <w:noProof w:val="0"/>
          <w:color w:val="333333"/>
          <w:sz w:val="20"/>
          <w:szCs w:val="20"/>
          <w:lang w:val="en-GB"/>
        </w:rPr>
        <w:t xml:space="preserve">, </w:t>
      </w:r>
      <w:hyperlink r:id="R786d0ee3cc4f44ab">
        <w:r w:rsidRPr="59AD57D2" w:rsidR="51A0DFE2">
          <w:rPr>
            <w:rStyle w:val="Hyperlink"/>
            <w:rFonts w:ascii="Open Sans" w:hAnsi="Open Sans" w:eastAsia="Open Sans" w:cs="Open Sans"/>
            <w:b w:val="0"/>
            <w:bCs w:val="0"/>
            <w:i w:val="0"/>
            <w:iCs w:val="0"/>
            <w:caps w:val="0"/>
            <w:smallCaps w:val="0"/>
            <w:strike w:val="0"/>
            <w:dstrike w:val="0"/>
            <w:noProof w:val="0"/>
            <w:sz w:val="20"/>
            <w:szCs w:val="20"/>
            <w:lang w:val="en-GB"/>
          </w:rPr>
          <w:t>National Center for Emerging and Zoonotic Infectious Diseases (NCEZID)</w:t>
        </w:r>
      </w:hyperlink>
      <w:r w:rsidRPr="59AD57D2" w:rsidR="51A0DFE2">
        <w:rPr>
          <w:rFonts w:ascii="Open Sans" w:hAnsi="Open Sans" w:eastAsia="Open Sans" w:cs="Open Sans"/>
          <w:b w:val="0"/>
          <w:bCs w:val="0"/>
          <w:i w:val="0"/>
          <w:iCs w:val="0"/>
          <w:caps w:val="0"/>
          <w:smallCaps w:val="0"/>
          <w:noProof w:val="0"/>
          <w:color w:val="333333"/>
          <w:sz w:val="20"/>
          <w:szCs w:val="20"/>
          <w:lang w:val="en-GB"/>
        </w:rPr>
        <w:t xml:space="preserve">, </w:t>
      </w:r>
      <w:r w:rsidRPr="59AD57D2" w:rsidR="51A0DFE2">
        <w:rPr>
          <w:rFonts w:ascii="Open Sans" w:hAnsi="Open Sans" w:eastAsia="Open Sans" w:cs="Open Sans"/>
          <w:b w:val="0"/>
          <w:bCs w:val="0"/>
          <w:i w:val="0"/>
          <w:iCs w:val="0"/>
          <w:caps w:val="0"/>
          <w:smallCaps w:val="0"/>
          <w:strike w:val="0"/>
          <w:dstrike w:val="0"/>
          <w:noProof w:val="0"/>
          <w:sz w:val="20"/>
          <w:szCs w:val="20"/>
          <w:lang w:val="en-GB"/>
        </w:rPr>
        <w:t>Division of Healthcare Quality Promotion (DHQP) 2011)</w:t>
      </w:r>
    </w:p>
    <w:p w:rsidRPr="00856A95" w:rsidR="002A6D6E" w:rsidP="00E74C69" w:rsidRDefault="00E74C69" w14:paraId="5EACA566" w14:textId="4867F4D1">
      <w:pPr>
        <w:rPr>
          <w:rFonts w:ascii="Arial" w:hAnsi="Arial" w:cs="Arial"/>
          <w:b/>
          <w:bCs/>
          <w:sz w:val="24"/>
          <w:szCs w:val="24"/>
        </w:rPr>
      </w:pPr>
      <w:r w:rsidRPr="59AD57D2" w:rsidR="00E74C69">
        <w:rPr>
          <w:rFonts w:ascii="Arial" w:hAnsi="Arial" w:cs="Arial"/>
          <w:b w:val="1"/>
          <w:bCs w:val="1"/>
          <w:sz w:val="24"/>
          <w:szCs w:val="24"/>
        </w:rPr>
        <w:t>Long-term public health consequences of the disease in a health or social care setting</w:t>
      </w:r>
    </w:p>
    <w:p w:rsidR="258390FB" w:rsidP="59AD57D2" w:rsidRDefault="258390FB" w14:paraId="719D1930" w14:textId="2CECAC4E">
      <w:pPr>
        <w:pStyle w:val="Normal"/>
        <w:rPr>
          <w:rFonts w:ascii="Arial" w:hAnsi="Arial" w:cs="Arial"/>
          <w:b w:val="1"/>
          <w:bCs w:val="1"/>
          <w:sz w:val="24"/>
          <w:szCs w:val="24"/>
        </w:rPr>
      </w:pPr>
      <w:r w:rsidRPr="59AD57D2" w:rsidR="258390FB">
        <w:rPr>
          <w:rFonts w:ascii="Arial" w:hAnsi="Arial" w:cs="Arial"/>
          <w:b w:val="1"/>
          <w:bCs w:val="1"/>
          <w:sz w:val="24"/>
          <w:szCs w:val="24"/>
        </w:rPr>
        <w:t xml:space="preserve">            </w:t>
      </w:r>
      <w:r w:rsidRPr="59AD57D2" w:rsidR="258390FB">
        <w:rPr>
          <w:rFonts w:ascii="Arial" w:hAnsi="Arial" w:eastAsia="Arial" w:cs="Arial"/>
          <w:b w:val="0"/>
          <w:bCs w:val="0"/>
          <w:i w:val="0"/>
          <w:iCs w:val="0"/>
          <w:caps w:val="0"/>
          <w:smallCaps w:val="0"/>
          <w:noProof w:val="0"/>
          <w:color w:val="000000" w:themeColor="text1" w:themeTint="FF" w:themeShade="FF"/>
          <w:sz w:val="21"/>
          <w:szCs w:val="21"/>
          <w:lang w:val="en-GB"/>
        </w:rPr>
        <w:t>Evidence-based guidance is needed on 1) how tuberculosis (TB) infectiousness evolves in response to effective treatment and 2) how the TB infection risk can be minimised to help countries to implement community-based, outpatient-based care.</w:t>
      </w:r>
    </w:p>
    <w:p w:rsidR="258390FB" w:rsidRDefault="258390FB" w14:paraId="1D02CAB6" w14:textId="6E9BC5CE">
      <w:r w:rsidRPr="59AD57D2" w:rsidR="258390FB">
        <w:rPr>
          <w:rFonts w:ascii="Arial" w:hAnsi="Arial" w:eastAsia="Arial" w:cs="Arial"/>
          <w:b w:val="0"/>
          <w:bCs w:val="0"/>
          <w:i w:val="0"/>
          <w:iCs w:val="0"/>
          <w:caps w:val="0"/>
          <w:smallCaps w:val="0"/>
          <w:noProof w:val="0"/>
          <w:color w:val="000000" w:themeColor="text1" w:themeTint="FF" w:themeShade="FF"/>
          <w:sz w:val="21"/>
          <w:szCs w:val="21"/>
          <w:lang w:val="en-GB"/>
        </w:rPr>
        <w:t>This document aims to 1) review the available evidence on how quickly TB infectiousness responds to effective treatment (and which factors can lower or boost infectiousness), 2) review policy options on the infectiousness of TB patients relevant to the World Health Organization European Region, 3) define limitations of the available evidence and 4) provide recommendations for further research.</w:t>
      </w:r>
    </w:p>
    <w:p w:rsidR="258390FB" w:rsidRDefault="258390FB" w14:paraId="775401E2" w14:textId="313FCCC3">
      <w:r w:rsidRPr="59AD57D2" w:rsidR="258390FB">
        <w:rPr>
          <w:rFonts w:ascii="Arial" w:hAnsi="Arial" w:eastAsia="Arial" w:cs="Arial"/>
          <w:b w:val="0"/>
          <w:bCs w:val="0"/>
          <w:i w:val="0"/>
          <w:iCs w:val="0"/>
          <w:caps w:val="0"/>
          <w:smallCaps w:val="0"/>
          <w:noProof w:val="0"/>
          <w:color w:val="000000" w:themeColor="text1" w:themeTint="FF" w:themeShade="FF"/>
          <w:sz w:val="21"/>
          <w:szCs w:val="21"/>
          <w:lang w:val="en-GB"/>
        </w:rPr>
        <w:t>The consensus document aims to target all professionals dealing with TB (</w:t>
      </w:r>
      <w:r w:rsidRPr="59AD57D2" w:rsidR="640A43C6">
        <w:rPr>
          <w:rFonts w:ascii="Arial" w:hAnsi="Arial" w:eastAsia="Arial" w:cs="Arial"/>
          <w:b w:val="0"/>
          <w:bCs w:val="0"/>
          <w:i w:val="1"/>
          <w:iCs w:val="1"/>
          <w:caps w:val="0"/>
          <w:smallCaps w:val="0"/>
          <w:noProof w:val="0"/>
          <w:color w:val="000000" w:themeColor="text1" w:themeTint="FF" w:themeShade="FF"/>
          <w:sz w:val="21"/>
          <w:szCs w:val="21"/>
          <w:lang w:val="en-GB"/>
        </w:rPr>
        <w:t>e.g.,</w:t>
      </w:r>
      <w:r w:rsidRPr="59AD57D2" w:rsidR="258390FB">
        <w:rPr>
          <w:rFonts w:ascii="Arial" w:hAnsi="Arial" w:eastAsia="Arial" w:cs="Arial"/>
          <w:b w:val="0"/>
          <w:bCs w:val="0"/>
          <w:i w:val="0"/>
          <w:iCs w:val="0"/>
          <w:caps w:val="0"/>
          <w:smallCaps w:val="0"/>
          <w:noProof w:val="0"/>
          <w:color w:val="000000" w:themeColor="text1" w:themeTint="FF" w:themeShade="FF"/>
          <w:sz w:val="21"/>
          <w:szCs w:val="21"/>
          <w:lang w:val="en-GB"/>
        </w:rPr>
        <w:t xml:space="preserve"> TB specialists, pulmonologists, infectious disease specialists, primary healthcare professionals, and other clinical and public health professionals), as well as health staff working in settings where TB infection is </w:t>
      </w:r>
      <w:r w:rsidRPr="59AD57D2" w:rsidR="542DB53B">
        <w:rPr>
          <w:rFonts w:ascii="Arial" w:hAnsi="Arial" w:eastAsia="Arial" w:cs="Arial"/>
          <w:b w:val="0"/>
          <w:bCs w:val="0"/>
          <w:i w:val="0"/>
          <w:iCs w:val="0"/>
          <w:caps w:val="0"/>
          <w:smallCaps w:val="0"/>
          <w:noProof w:val="0"/>
          <w:color w:val="000000" w:themeColor="text1" w:themeTint="FF" w:themeShade="FF"/>
          <w:sz w:val="21"/>
          <w:szCs w:val="21"/>
          <w:lang w:val="en-GB"/>
        </w:rPr>
        <w:t xml:space="preserve">prevalent. </w:t>
      </w:r>
      <w:r w:rsidRPr="59AD57D2" w:rsidR="4D9F30AE">
        <w:rPr>
          <w:rFonts w:ascii="Arial" w:hAnsi="Arial" w:eastAsia="Arial" w:cs="Arial"/>
          <w:b w:val="0"/>
          <w:bCs w:val="0"/>
          <w:i w:val="0"/>
          <w:iCs w:val="0"/>
          <w:caps w:val="0"/>
          <w:smallCaps w:val="0"/>
          <w:noProof w:val="0"/>
          <w:color w:val="000000" w:themeColor="text1" w:themeTint="FF" w:themeShade="FF"/>
          <w:sz w:val="21"/>
          <w:szCs w:val="21"/>
          <w:lang w:val="en-GB"/>
        </w:rPr>
        <w:t>(European</w:t>
      </w:r>
      <w:r w:rsidRPr="59AD57D2" w:rsidR="542DB53B">
        <w:rPr>
          <w:rFonts w:ascii="Arial" w:hAnsi="Arial" w:eastAsia="Arial" w:cs="Arial"/>
          <w:b w:val="0"/>
          <w:bCs w:val="0"/>
          <w:i w:val="0"/>
          <w:iCs w:val="0"/>
          <w:caps w:val="0"/>
          <w:smallCaps w:val="0"/>
          <w:noProof w:val="0"/>
          <w:color w:val="000000" w:themeColor="text1" w:themeTint="FF" w:themeShade="FF"/>
          <w:sz w:val="21"/>
          <w:szCs w:val="21"/>
          <w:lang w:val="en-GB"/>
        </w:rPr>
        <w:t xml:space="preserve"> Respiratory Journal 2019)</w:t>
      </w:r>
    </w:p>
    <w:p w:rsidR="67C0F88A" w:rsidP="59AD57D2" w:rsidRDefault="67C0F88A" w14:paraId="16DB048E" w14:textId="6EE10FF9">
      <w:pPr>
        <w:pStyle w:val="Normal"/>
        <w:rPr>
          <w:rFonts w:ascii="Arial" w:hAnsi="Arial" w:eastAsia="Arial" w:cs="Arial"/>
          <w:noProof w:val="0"/>
          <w:sz w:val="21"/>
          <w:szCs w:val="21"/>
          <w:lang w:val="en-GB"/>
        </w:rPr>
      </w:pPr>
      <w:r w:rsidRPr="59AD57D2" w:rsidR="67C0F88A">
        <w:rPr>
          <w:rFonts w:ascii="Arial" w:hAnsi="Arial" w:eastAsia="Arial" w:cs="Arial"/>
          <w:b w:val="0"/>
          <w:bCs w:val="0"/>
          <w:i w:val="0"/>
          <w:iCs w:val="0"/>
          <w:caps w:val="0"/>
          <w:smallCaps w:val="0"/>
          <w:noProof w:val="0"/>
          <w:color w:val="000000" w:themeColor="text1" w:themeTint="FF" w:themeShade="FF"/>
          <w:sz w:val="21"/>
          <w:szCs w:val="21"/>
          <w:lang w:val="en-GB"/>
        </w:rPr>
        <w:t xml:space="preserve">            </w:t>
      </w:r>
      <w:r w:rsidRPr="59AD57D2" w:rsidR="67C0F88A">
        <w:rPr>
          <w:rFonts w:ascii="Arial" w:hAnsi="Arial" w:eastAsia="Arial" w:cs="Arial"/>
          <w:noProof w:val="0"/>
          <w:sz w:val="21"/>
          <w:szCs w:val="21"/>
          <w:lang w:val="en-GB"/>
        </w:rPr>
        <w:t xml:space="preserve">All health-care settings need an infection-control program designed to ensure the following: • Prompt detection of infectious patients; • Airborne precautions; and • Treatment of people who have suspected or confirmed tuberculosis (TB) disease. </w:t>
      </w:r>
      <w:r w:rsidRPr="59AD57D2" w:rsidR="1AA11538">
        <w:rPr>
          <w:rFonts w:ascii="Arial" w:hAnsi="Arial" w:eastAsia="Arial" w:cs="Arial"/>
          <w:noProof w:val="0"/>
          <w:sz w:val="21"/>
          <w:szCs w:val="21"/>
          <w:lang w:val="en-GB"/>
        </w:rPr>
        <w:t>To</w:t>
      </w:r>
      <w:r w:rsidRPr="59AD57D2" w:rsidR="67C0F88A">
        <w:rPr>
          <w:rFonts w:ascii="Arial" w:hAnsi="Arial" w:eastAsia="Arial" w:cs="Arial"/>
          <w:noProof w:val="0"/>
          <w:sz w:val="21"/>
          <w:szCs w:val="21"/>
          <w:lang w:val="en-GB"/>
        </w:rPr>
        <w:t xml:space="preserve"> be effective, the primary emphasis of the TB infection-control program should be on achieving these three goals. In all health-care settings, particularly those in which persons who are at </w:t>
      </w:r>
      <w:r w:rsidRPr="59AD57D2" w:rsidR="0ADAA11D">
        <w:rPr>
          <w:rFonts w:ascii="Arial" w:hAnsi="Arial" w:eastAsia="Arial" w:cs="Arial"/>
          <w:noProof w:val="0"/>
          <w:sz w:val="21"/>
          <w:szCs w:val="21"/>
          <w:lang w:val="en-GB"/>
        </w:rPr>
        <w:t>substantial risk</w:t>
      </w:r>
      <w:r w:rsidRPr="59AD57D2" w:rsidR="67C0F88A">
        <w:rPr>
          <w:rFonts w:ascii="Arial" w:hAnsi="Arial" w:eastAsia="Arial" w:cs="Arial"/>
          <w:noProof w:val="0"/>
          <w:sz w:val="21"/>
          <w:szCs w:val="21"/>
          <w:lang w:val="en-GB"/>
        </w:rPr>
        <w:t xml:space="preserve"> for exposure to Mycobacterium tuberculosis work or receive care, policies and procedures for TB control should be developed, reviewed periodically, and evaluated for effectiveness to </w:t>
      </w:r>
      <w:r w:rsidRPr="59AD57D2" w:rsidR="67C0F88A">
        <w:rPr>
          <w:rFonts w:ascii="Arial" w:hAnsi="Arial" w:eastAsia="Arial" w:cs="Arial"/>
          <w:noProof w:val="0"/>
          <w:sz w:val="21"/>
          <w:szCs w:val="21"/>
          <w:lang w:val="en-GB"/>
        </w:rPr>
        <w:t>determine</w:t>
      </w:r>
      <w:r w:rsidRPr="59AD57D2" w:rsidR="67C0F88A">
        <w:rPr>
          <w:rFonts w:ascii="Arial" w:hAnsi="Arial" w:eastAsia="Arial" w:cs="Arial"/>
          <w:noProof w:val="0"/>
          <w:sz w:val="21"/>
          <w:szCs w:val="21"/>
          <w:lang w:val="en-GB"/>
        </w:rPr>
        <w:t xml:space="preserve"> the actions necessary to minimize the risk for transmission of M. tuberculosis. Overview of TB Infection-Control Measures </w:t>
      </w:r>
      <w:r w:rsidRPr="59AD57D2" w:rsidR="47979D45">
        <w:rPr>
          <w:rFonts w:ascii="Arial" w:hAnsi="Arial" w:eastAsia="Arial" w:cs="Arial"/>
          <w:noProof w:val="0"/>
          <w:sz w:val="21"/>
          <w:szCs w:val="21"/>
          <w:lang w:val="en-GB"/>
        </w:rPr>
        <w:t>the</w:t>
      </w:r>
      <w:r w:rsidRPr="59AD57D2" w:rsidR="67C0F88A">
        <w:rPr>
          <w:rFonts w:ascii="Arial" w:hAnsi="Arial" w:eastAsia="Arial" w:cs="Arial"/>
          <w:noProof w:val="0"/>
          <w:sz w:val="21"/>
          <w:szCs w:val="21"/>
          <w:lang w:val="en-GB"/>
        </w:rPr>
        <w:t xml:space="preserve"> TB infection-control program should be based on a three-level hierarchy of control measures and include: 1. Administrative controls 2. Environmental controls 3. Use of respiratory protective equipment </w:t>
      </w:r>
      <w:r w:rsidRPr="59AD57D2" w:rsidR="1DED57E2">
        <w:rPr>
          <w:rFonts w:ascii="Arial" w:hAnsi="Arial" w:eastAsia="Arial" w:cs="Arial"/>
          <w:noProof w:val="0"/>
          <w:sz w:val="21"/>
          <w:szCs w:val="21"/>
          <w:lang w:val="en-GB"/>
        </w:rPr>
        <w:t>the</w:t>
      </w:r>
      <w:r w:rsidRPr="59AD57D2" w:rsidR="67C0F88A">
        <w:rPr>
          <w:rFonts w:ascii="Arial" w:hAnsi="Arial" w:eastAsia="Arial" w:cs="Arial"/>
          <w:noProof w:val="0"/>
          <w:sz w:val="21"/>
          <w:szCs w:val="21"/>
          <w:lang w:val="en-GB"/>
        </w:rPr>
        <w:t xml:space="preserve"> first and most important level of the hierarchy, administrative controls, </w:t>
      </w:r>
      <w:r w:rsidRPr="59AD57D2" w:rsidR="67C0F88A">
        <w:rPr>
          <w:rFonts w:ascii="Arial" w:hAnsi="Arial" w:eastAsia="Arial" w:cs="Arial"/>
          <w:noProof w:val="0"/>
          <w:sz w:val="21"/>
          <w:szCs w:val="21"/>
          <w:lang w:val="en-GB"/>
        </w:rPr>
        <w:t>impacts</w:t>
      </w:r>
      <w:r w:rsidRPr="59AD57D2" w:rsidR="67C0F88A">
        <w:rPr>
          <w:rFonts w:ascii="Arial" w:hAnsi="Arial" w:eastAsia="Arial" w:cs="Arial"/>
          <w:noProof w:val="0"/>
          <w:sz w:val="21"/>
          <w:szCs w:val="21"/>
          <w:lang w:val="en-GB"/>
        </w:rPr>
        <w:t xml:space="preserve"> the largest number of people and is intended primarily to reduce the risk of uninfected people exposed to people who have TB disease. These control measures include the following activities: • Assigning responsibility for TB infection control in the setting; • Conducting a TB risk assessment of the setting; • Developing and instituting a written TB infection-control plan to ensure prompt detection, airborne precautions, and treatment of persons who have suspected or confirmed TB disease; • Ensuring the timely availability of recommended laboratory processing, testing, and reporting of results to the ordering physician; • Implementing effective work practices for the management of patients with suspected or confirmed TB disease; • Ensuring proper cleaning and sterilization or disinfection of potentially contaminated equipment (e.g., bronchoscopes, endoscopes); • Training and educating health-care workers (HCWs) regarding TB, with specific focus on prevention, transmission, and symptoms; • Screening and evaluating HCWs who are at risk for TB disease or who might be exposed to M. tuberculosis; • Applying epidemiologic-based prevention principles, including the use of setting-related infection-control data; • Using appropriate signage advising respiratory hygiene and cough etiquette; and • Coordinating efforts with the local or state health department. The second level of the hierarchy is the use of environmental controls to prevent the spread and reduce the concentration of infectious droplet nuclei in ambient air. Primary environmental controls control the source of infection by using local exhaust ventilation (hoods, tents, or booths) and dilute and remove contaminated air by using general ventilation. Secondary environmental controls control the airflow to prevent contamination of air in areas </w:t>
      </w:r>
      <w:r w:rsidRPr="59AD57D2" w:rsidR="67C0F88A">
        <w:rPr>
          <w:rFonts w:ascii="Arial" w:hAnsi="Arial" w:eastAsia="Arial" w:cs="Arial"/>
          <w:noProof w:val="0"/>
          <w:sz w:val="21"/>
          <w:szCs w:val="21"/>
          <w:lang w:val="en-GB"/>
        </w:rPr>
        <w:t>adjacent to</w:t>
      </w:r>
      <w:r w:rsidRPr="59AD57D2" w:rsidR="67C0F88A">
        <w:rPr>
          <w:rFonts w:ascii="Arial" w:hAnsi="Arial" w:eastAsia="Arial" w:cs="Arial"/>
          <w:noProof w:val="0"/>
          <w:sz w:val="21"/>
          <w:szCs w:val="21"/>
          <w:lang w:val="en-GB"/>
        </w:rPr>
        <w:t xml:space="preserve"> the source (airborne infection isolation [AII] rooms) and clean the air by using high efficiency particulate air (HEPA) filtration, or ultraviolet germicidal irradiation. May 2012 The first two control levels of the hierarchy minimize the number of areas in the </w:t>
      </w:r>
      <w:r w:rsidRPr="59AD57D2" w:rsidR="1D8D095B">
        <w:rPr>
          <w:rFonts w:ascii="Arial" w:hAnsi="Arial" w:eastAsia="Arial" w:cs="Arial"/>
          <w:noProof w:val="0"/>
          <w:sz w:val="21"/>
          <w:szCs w:val="21"/>
          <w:lang w:val="en-GB"/>
        </w:rPr>
        <w:t>healthcare</w:t>
      </w:r>
      <w:r w:rsidRPr="59AD57D2" w:rsidR="67C0F88A">
        <w:rPr>
          <w:rFonts w:ascii="Arial" w:hAnsi="Arial" w:eastAsia="Arial" w:cs="Arial"/>
          <w:noProof w:val="0"/>
          <w:sz w:val="21"/>
          <w:szCs w:val="21"/>
          <w:lang w:val="en-GB"/>
        </w:rPr>
        <w:t xml:space="preserve"> setting where exposure to M. tuberculosis may occur. They reduce, but do not eliminate, the risk in those few areas where exposure to M. tuberculosis can still occur (e.g., AII rooms housing TB patients and treatment rooms in which cough-inducing or aerosol-generating procedures are performed on TB patients). Therefore, the third level of the hierarchy is the use of respiratory protective equipment in situations that pose </w:t>
      </w:r>
      <w:r w:rsidRPr="59AD57D2" w:rsidR="2A69FA21">
        <w:rPr>
          <w:rFonts w:ascii="Arial" w:hAnsi="Arial" w:eastAsia="Arial" w:cs="Arial"/>
          <w:noProof w:val="0"/>
          <w:sz w:val="21"/>
          <w:szCs w:val="21"/>
          <w:lang w:val="en-GB"/>
        </w:rPr>
        <w:t>a considerable risk</w:t>
      </w:r>
      <w:r w:rsidRPr="59AD57D2" w:rsidR="67C0F88A">
        <w:rPr>
          <w:rFonts w:ascii="Arial" w:hAnsi="Arial" w:eastAsia="Arial" w:cs="Arial"/>
          <w:noProof w:val="0"/>
          <w:sz w:val="21"/>
          <w:szCs w:val="21"/>
          <w:lang w:val="en-GB"/>
        </w:rPr>
        <w:t xml:space="preserve"> of exposure to M. tuberculosis. Use of respiratory protection equipment can further reduce risk for exposure of HCWs to infectious droplet nuclei that have been expelled into the air from a patient with infectious TB disease. The following measures can be taken to reduce the risk for exposure: • Implementing a respiratory protection program; • Training HCWs on respiratory protection; and • Training patients on respiratory hygiene and cough etiquette procedures. Patients for whom the suspicion of infectious TB disease </w:t>
      </w:r>
      <w:r w:rsidRPr="59AD57D2" w:rsidR="67C0F88A">
        <w:rPr>
          <w:rFonts w:ascii="Arial" w:hAnsi="Arial" w:eastAsia="Arial" w:cs="Arial"/>
          <w:noProof w:val="0"/>
          <w:sz w:val="21"/>
          <w:szCs w:val="21"/>
          <w:lang w:val="en-GB"/>
        </w:rPr>
        <w:t>remains</w:t>
      </w:r>
      <w:r w:rsidRPr="59AD57D2" w:rsidR="67C0F88A">
        <w:rPr>
          <w:rFonts w:ascii="Arial" w:hAnsi="Arial" w:eastAsia="Arial" w:cs="Arial"/>
          <w:noProof w:val="0"/>
          <w:sz w:val="21"/>
          <w:szCs w:val="21"/>
          <w:lang w:val="en-GB"/>
        </w:rPr>
        <w:t xml:space="preserve"> after the collection of three negative sputum smear results should not be released from airborne precautions until they: • Receive standard multidrug antituberculosis treatment (minimum of 2 weeks); and • </w:t>
      </w:r>
      <w:r w:rsidRPr="59AD57D2" w:rsidR="67C0F88A">
        <w:rPr>
          <w:rFonts w:ascii="Arial" w:hAnsi="Arial" w:eastAsia="Arial" w:cs="Arial"/>
          <w:noProof w:val="0"/>
          <w:sz w:val="21"/>
          <w:szCs w:val="21"/>
          <w:lang w:val="en-GB"/>
        </w:rPr>
        <w:t>Demonstrate</w:t>
      </w:r>
      <w:r w:rsidRPr="59AD57D2" w:rsidR="67C0F88A">
        <w:rPr>
          <w:rFonts w:ascii="Arial" w:hAnsi="Arial" w:eastAsia="Arial" w:cs="Arial"/>
          <w:noProof w:val="0"/>
          <w:sz w:val="21"/>
          <w:szCs w:val="21"/>
          <w:lang w:val="en-GB"/>
        </w:rPr>
        <w:t xml:space="preserve"> clinical improvement. • For these patients, </w:t>
      </w:r>
      <w:r w:rsidRPr="59AD57D2" w:rsidR="67C0F88A">
        <w:rPr>
          <w:rFonts w:ascii="Arial" w:hAnsi="Arial" w:eastAsia="Arial" w:cs="Arial"/>
          <w:noProof w:val="0"/>
          <w:sz w:val="21"/>
          <w:szCs w:val="21"/>
          <w:lang w:val="en-GB"/>
        </w:rPr>
        <w:t>additional</w:t>
      </w:r>
      <w:r w:rsidRPr="59AD57D2" w:rsidR="67C0F88A">
        <w:rPr>
          <w:rFonts w:ascii="Arial" w:hAnsi="Arial" w:eastAsia="Arial" w:cs="Arial"/>
          <w:noProof w:val="0"/>
          <w:sz w:val="21"/>
          <w:szCs w:val="21"/>
          <w:lang w:val="en-GB"/>
        </w:rPr>
        <w:t xml:space="preserve"> diagnostic approaches (e.g., sputum induction) and, after sufficient time on treatment, bronchoscopy may need to be considered. • Patients who have drug-susceptible TB of the lung, airway, or larynx, should remain under airborne precautions until they: • Produce three consecutive negative sputum smears collected in 8 to 24-hour intervals (one should be an early morning specimen) • Receive standard multidrug antituberculosis treatment (minimum of 2 weeks); and • Demonstrate clinical improvement</w:t>
      </w:r>
      <w:r w:rsidRPr="59AD57D2" w:rsidR="413106E1">
        <w:rPr>
          <w:rFonts w:ascii="Arial" w:hAnsi="Arial" w:eastAsia="Arial" w:cs="Arial"/>
          <w:noProof w:val="0"/>
          <w:sz w:val="21"/>
          <w:szCs w:val="21"/>
          <w:lang w:val="en-GB"/>
        </w:rPr>
        <w:t>( Centre for Disease Control and prevention CDC 2005)</w:t>
      </w:r>
    </w:p>
    <w:p w:rsidR="59AD57D2" w:rsidP="59AD57D2" w:rsidRDefault="59AD57D2" w14:paraId="2CD1ECAF" w14:textId="66E09D7B">
      <w:pPr>
        <w:pStyle w:val="Normal"/>
        <w:rPr>
          <w:rFonts w:ascii="Arial" w:hAnsi="Arial" w:cs="Arial"/>
          <w:b w:val="1"/>
          <w:bCs w:val="1"/>
          <w:sz w:val="24"/>
          <w:szCs w:val="24"/>
        </w:rPr>
      </w:pPr>
    </w:p>
    <w:p w:rsidRPr="00856A95" w:rsidR="002A6D6E" w:rsidRDefault="002A6D6E" w14:paraId="09CD6301" w14:textId="275BCE71">
      <w:pPr>
        <w:rPr>
          <w:rFonts w:ascii="Arial" w:hAnsi="Arial" w:cs="Arial"/>
          <w:b/>
          <w:bCs/>
          <w:sz w:val="24"/>
          <w:szCs w:val="24"/>
        </w:rPr>
      </w:pPr>
    </w:p>
    <w:p w:rsidRPr="00856A95" w:rsidR="002A6D6E" w:rsidRDefault="002A6D6E" w14:paraId="080B9DEB" w14:textId="40B6042E">
      <w:pPr>
        <w:rPr>
          <w:rFonts w:ascii="Arial" w:hAnsi="Arial" w:cs="Arial"/>
          <w:b/>
          <w:bCs/>
          <w:sz w:val="24"/>
          <w:szCs w:val="24"/>
        </w:rPr>
      </w:pPr>
    </w:p>
    <w:p w:rsidRPr="00856A95" w:rsidR="002A6D6E" w:rsidRDefault="002F73D3" w14:paraId="21CB4150" w14:textId="0B5EE661">
      <w:pPr>
        <w:rPr>
          <w:rFonts w:ascii="Arial" w:hAnsi="Arial" w:cs="Arial"/>
          <w:b/>
          <w:bCs/>
          <w:sz w:val="24"/>
          <w:szCs w:val="24"/>
        </w:rPr>
      </w:pPr>
      <w:r w:rsidRPr="00856A95">
        <w:rPr>
          <w:rFonts w:ascii="Arial" w:hAnsi="Arial" w:cs="Arial"/>
          <w:b/>
          <w:bCs/>
          <w:sz w:val="24"/>
          <w:szCs w:val="24"/>
        </w:rPr>
        <w:t xml:space="preserve">Conclusion </w:t>
      </w:r>
    </w:p>
    <w:p w:rsidRPr="00FD0F1A" w:rsidR="002A6D6E" w:rsidRDefault="002A6D6E" w14:paraId="3713D30B" w14:textId="0E94184D">
      <w:pPr>
        <w:rPr>
          <w:rFonts w:ascii="Arial" w:hAnsi="Arial" w:cs="Arial"/>
          <w:b/>
          <w:bCs/>
        </w:rPr>
      </w:pPr>
    </w:p>
    <w:p w:rsidRPr="00FD0F1A" w:rsidR="002A6D6E" w:rsidRDefault="002A6D6E" w14:paraId="62750A80" w14:textId="3F20CA1C">
      <w:pPr>
        <w:rPr>
          <w:rFonts w:ascii="Arial" w:hAnsi="Arial" w:cs="Arial"/>
          <w:b/>
          <w:bCs/>
        </w:rPr>
      </w:pPr>
    </w:p>
    <w:p w:rsidRPr="00FD0F1A" w:rsidR="002A6D6E" w:rsidRDefault="002A6D6E" w14:paraId="67F66671" w14:textId="72C4E7D2">
      <w:pPr>
        <w:rPr>
          <w:rFonts w:ascii="Arial" w:hAnsi="Arial" w:cs="Arial"/>
          <w:b/>
          <w:bCs/>
        </w:rPr>
      </w:pPr>
    </w:p>
    <w:p w:rsidRPr="00FD0F1A" w:rsidR="002A6D6E" w:rsidRDefault="002A6D6E" w14:paraId="06FE5D47" w14:textId="674D152D">
      <w:pPr>
        <w:rPr>
          <w:rFonts w:ascii="Arial" w:hAnsi="Arial" w:cs="Arial"/>
          <w:b/>
          <w:bCs/>
        </w:rPr>
      </w:pPr>
    </w:p>
    <w:p w:rsidRPr="00FD0F1A" w:rsidR="002A6D6E" w:rsidRDefault="002A6D6E" w14:paraId="13325BE2" w14:textId="0DFB9C3C">
      <w:pPr>
        <w:rPr>
          <w:rFonts w:ascii="Arial" w:hAnsi="Arial" w:cs="Arial"/>
          <w:b/>
          <w:bCs/>
        </w:rPr>
      </w:pPr>
    </w:p>
    <w:p w:rsidRPr="00FD0F1A" w:rsidR="002A6D6E" w:rsidP="59AD57D2" w:rsidRDefault="002A6D6E" w14:paraId="08A566F1" w14:textId="4C6AE76B" w14:noSpellErr="1">
      <w:pPr>
        <w:pStyle w:val="ListParagraph"/>
        <w:numPr>
          <w:ilvl w:val="0"/>
          <w:numId w:val="2"/>
        </w:numPr>
        <w:rPr>
          <w:rFonts w:ascii="Arial" w:hAnsi="Arial" w:cs="Arial"/>
          <w:b w:val="1"/>
          <w:bCs w:val="1"/>
        </w:rPr>
      </w:pPr>
    </w:p>
    <w:p w:rsidRPr="00FD0F1A" w:rsidR="002A6D6E" w:rsidRDefault="002A6D6E" w14:paraId="3C3CD2BB" w14:textId="44F34F91">
      <w:pPr>
        <w:rPr>
          <w:rFonts w:ascii="Arial" w:hAnsi="Arial" w:cs="Arial"/>
          <w:b/>
          <w:bCs/>
        </w:rPr>
      </w:pPr>
      <w:r w:rsidRPr="00FD0F1A">
        <w:rPr>
          <w:rFonts w:ascii="Arial" w:hAnsi="Arial" w:cs="Arial"/>
          <w:b/>
          <w:bCs/>
        </w:rPr>
        <w:t xml:space="preserve">References </w:t>
      </w:r>
    </w:p>
    <w:p w:rsidRPr="00FD0F1A" w:rsidR="002A6D6E" w:rsidRDefault="002A6D6E" w14:paraId="6AA92572" w14:textId="760E6DBD">
      <w:pPr>
        <w:rPr>
          <w:rFonts w:ascii="Arial" w:hAnsi="Arial" w:cs="Arial"/>
          <w:b/>
          <w:bCs/>
        </w:rPr>
      </w:pPr>
    </w:p>
    <w:p w:rsidRPr="00FD0F1A" w:rsidR="002A6D6E" w:rsidRDefault="00BD019C" w14:paraId="2294D802" w14:textId="57EE2743">
      <w:pPr>
        <w:rPr>
          <w:rFonts w:ascii="Arial" w:hAnsi="Arial" w:cs="Arial"/>
        </w:rPr>
      </w:pPr>
      <w:r w:rsidRPr="00FD0F1A">
        <w:rPr>
          <w:rFonts w:ascii="Arial" w:hAnsi="Arial" w:cs="Arial"/>
        </w:rPr>
        <w:lastRenderedPageBreak/>
        <w:t xml:space="preserve">NHS (2022) </w:t>
      </w:r>
      <w:r w:rsidRPr="00FD0F1A">
        <w:rPr>
          <w:rFonts w:ascii="Arial" w:hAnsi="Arial" w:cs="Arial"/>
          <w:i/>
          <w:iCs/>
        </w:rPr>
        <w:t xml:space="preserve">Tuberculosis (TB). </w:t>
      </w:r>
      <w:r w:rsidRPr="00FD0F1A">
        <w:rPr>
          <w:rFonts w:ascii="Arial" w:hAnsi="Arial" w:cs="Arial"/>
        </w:rPr>
        <w:t xml:space="preserve">Available at: </w:t>
      </w:r>
      <w:hyperlink w:history="1" r:id="rId8">
        <w:r w:rsidRPr="00FD0F1A">
          <w:rPr>
            <w:rStyle w:val="Hyperlink"/>
            <w:rFonts w:ascii="Arial" w:hAnsi="Arial" w:cs="Arial"/>
          </w:rPr>
          <w:t>https://www.nhs.uk/conditions/tuberculosis-tb/</w:t>
        </w:r>
      </w:hyperlink>
      <w:r w:rsidRPr="00FD0F1A">
        <w:rPr>
          <w:rFonts w:ascii="Arial" w:hAnsi="Arial" w:cs="Arial"/>
        </w:rPr>
        <w:t xml:space="preserve"> (Accessed: 04 November 2022). </w:t>
      </w:r>
    </w:p>
    <w:p w:rsidRPr="00FD0F1A" w:rsidR="002A6D6E" w:rsidRDefault="002A6D6E" w14:paraId="12E9091D" w14:textId="110F4CF8">
      <w:pPr>
        <w:rPr>
          <w:rFonts w:ascii="Arial" w:hAnsi="Arial" w:cs="Arial"/>
          <w:b/>
          <w:bCs/>
        </w:rPr>
      </w:pPr>
    </w:p>
    <w:p w:rsidRPr="00FD0F1A" w:rsidR="002A6D6E" w:rsidRDefault="002A6D6E" w14:paraId="130878C0" w14:textId="470D0922">
      <w:pPr>
        <w:rPr>
          <w:rFonts w:ascii="Arial" w:hAnsi="Arial" w:cs="Arial"/>
          <w:b/>
          <w:bCs/>
        </w:rPr>
      </w:pPr>
    </w:p>
    <w:p w:rsidRPr="00FD0F1A" w:rsidR="002A6D6E" w:rsidRDefault="002A6D6E" w14:paraId="5A243DB5" w14:textId="3B603939">
      <w:pPr>
        <w:rPr>
          <w:rFonts w:ascii="Arial" w:hAnsi="Arial" w:cs="Arial"/>
          <w:b/>
          <w:bCs/>
        </w:rPr>
      </w:pPr>
    </w:p>
    <w:p w:rsidRPr="00FD0F1A" w:rsidR="002A6D6E" w:rsidRDefault="002A6D6E" w14:paraId="75800BD5" w14:textId="4C52D933">
      <w:pPr>
        <w:rPr>
          <w:rFonts w:ascii="Arial" w:hAnsi="Arial" w:cs="Arial"/>
          <w:b/>
          <w:bCs/>
        </w:rPr>
      </w:pPr>
    </w:p>
    <w:p w:rsidR="002A6D6E" w:rsidRDefault="002A6D6E" w14:paraId="216345E2" w14:textId="787CA619">
      <w:pPr>
        <w:rPr>
          <w:rFonts w:ascii="Arial" w:hAnsi="Arial" w:cs="Arial"/>
          <w:b/>
          <w:bCs/>
          <w:sz w:val="24"/>
          <w:szCs w:val="24"/>
        </w:rPr>
      </w:pPr>
    </w:p>
    <w:p w:rsidR="002A6D6E" w:rsidRDefault="002A6D6E" w14:paraId="60FCF35C" w14:textId="6310E803">
      <w:pPr>
        <w:rPr>
          <w:rFonts w:ascii="Arial" w:hAnsi="Arial" w:cs="Arial"/>
          <w:b/>
          <w:bCs/>
          <w:sz w:val="24"/>
          <w:szCs w:val="24"/>
        </w:rPr>
      </w:pPr>
    </w:p>
    <w:p w:rsidR="002A6D6E" w:rsidRDefault="002A6D6E" w14:paraId="1AA1A1E5" w14:textId="45CC89C2">
      <w:pPr>
        <w:rPr>
          <w:rFonts w:ascii="Arial" w:hAnsi="Arial" w:cs="Arial"/>
          <w:b/>
          <w:bCs/>
          <w:sz w:val="24"/>
          <w:szCs w:val="24"/>
        </w:rPr>
      </w:pPr>
    </w:p>
    <w:p w:rsidR="002A6D6E" w:rsidRDefault="002A6D6E" w14:paraId="52CDC0D3" w14:textId="3A6B4754">
      <w:pPr>
        <w:rPr>
          <w:rFonts w:ascii="Arial" w:hAnsi="Arial" w:cs="Arial"/>
          <w:b/>
          <w:bCs/>
          <w:sz w:val="24"/>
          <w:szCs w:val="24"/>
        </w:rPr>
      </w:pPr>
    </w:p>
    <w:p w:rsidR="002A6D6E" w:rsidRDefault="002A6D6E" w14:paraId="409C31D7" w14:textId="4330D428">
      <w:pPr>
        <w:rPr>
          <w:rFonts w:ascii="Arial" w:hAnsi="Arial" w:cs="Arial"/>
          <w:b/>
          <w:bCs/>
          <w:sz w:val="24"/>
          <w:szCs w:val="24"/>
        </w:rPr>
      </w:pPr>
    </w:p>
    <w:p w:rsidR="002A6D6E" w:rsidRDefault="002A6D6E" w14:paraId="4347CE35" w14:textId="34BEB2A1">
      <w:pPr>
        <w:rPr>
          <w:rFonts w:ascii="Arial" w:hAnsi="Arial" w:cs="Arial"/>
          <w:b/>
          <w:bCs/>
          <w:sz w:val="24"/>
          <w:szCs w:val="24"/>
        </w:rPr>
      </w:pPr>
    </w:p>
    <w:p w:rsidRPr="002A6D6E" w:rsidR="002A6D6E" w:rsidRDefault="002A6D6E" w14:paraId="12D78922" w14:textId="77777777">
      <w:pPr>
        <w:rPr>
          <w:rFonts w:ascii="Arial" w:hAnsi="Arial" w:cs="Arial"/>
          <w:b/>
          <w:bCs/>
          <w:sz w:val="24"/>
          <w:szCs w:val="24"/>
        </w:rPr>
      </w:pPr>
    </w:p>
    <w:sectPr w:rsidRPr="002A6D6E" w:rsidR="002A6D6E">
      <w:foot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F7B44" w:rsidP="00DB5D41" w:rsidRDefault="00EF7B44" w14:paraId="41B194DA" w14:textId="77777777">
      <w:pPr>
        <w:spacing w:after="0" w:line="240" w:lineRule="auto"/>
      </w:pPr>
      <w:r>
        <w:separator/>
      </w:r>
    </w:p>
  </w:endnote>
  <w:endnote w:type="continuationSeparator" w:id="0">
    <w:p w:rsidR="00EF7B44" w:rsidP="00DB5D41" w:rsidRDefault="00EF7B44" w14:paraId="56E4317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0932455"/>
      <w:docPartObj>
        <w:docPartGallery w:val="Page Numbers (Bottom of Page)"/>
        <w:docPartUnique/>
      </w:docPartObj>
    </w:sdtPr>
    <w:sdtEndPr>
      <w:rPr>
        <w:noProof/>
      </w:rPr>
    </w:sdtEndPr>
    <w:sdtContent>
      <w:p w:rsidR="002A6D6E" w:rsidRDefault="002A6D6E" w14:paraId="5BA2D7CD" w14:textId="0684E3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A6D6E" w:rsidRDefault="002A6D6E" w14:paraId="6D704F7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F7B44" w:rsidP="00DB5D41" w:rsidRDefault="00EF7B44" w14:paraId="32596366" w14:textId="77777777">
      <w:pPr>
        <w:spacing w:after="0" w:line="240" w:lineRule="auto"/>
      </w:pPr>
      <w:r>
        <w:separator/>
      </w:r>
    </w:p>
  </w:footnote>
  <w:footnote w:type="continuationSeparator" w:id="0">
    <w:p w:rsidR="00EF7B44" w:rsidP="00DB5D41" w:rsidRDefault="00EF7B44" w14:paraId="03D34237"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U7EVQGkY" int2:invalidationBookmarkName="" int2:hashCode="Du3xN8hGfTP/Qz" int2:id="sjoQ8vQ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1c1d33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c2efa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EC0562"/>
    <w:rsid w:val="00076EAA"/>
    <w:rsid w:val="00103CD3"/>
    <w:rsid w:val="001517CA"/>
    <w:rsid w:val="00277970"/>
    <w:rsid w:val="002A6D6E"/>
    <w:rsid w:val="002F73D3"/>
    <w:rsid w:val="00457B71"/>
    <w:rsid w:val="004752C5"/>
    <w:rsid w:val="004F0043"/>
    <w:rsid w:val="00654BC0"/>
    <w:rsid w:val="00856A95"/>
    <w:rsid w:val="008D1F18"/>
    <w:rsid w:val="00A7160D"/>
    <w:rsid w:val="00B25445"/>
    <w:rsid w:val="00B41D1D"/>
    <w:rsid w:val="00BA18CD"/>
    <w:rsid w:val="00BD019C"/>
    <w:rsid w:val="00BF5091"/>
    <w:rsid w:val="00C179FE"/>
    <w:rsid w:val="00C568B2"/>
    <w:rsid w:val="00DB5D41"/>
    <w:rsid w:val="00E74C69"/>
    <w:rsid w:val="00E85D28"/>
    <w:rsid w:val="00EC0562"/>
    <w:rsid w:val="00EF7B44"/>
    <w:rsid w:val="00FD0F1A"/>
    <w:rsid w:val="012F3245"/>
    <w:rsid w:val="01496159"/>
    <w:rsid w:val="02286AAC"/>
    <w:rsid w:val="03405993"/>
    <w:rsid w:val="0466D307"/>
    <w:rsid w:val="06CF2A55"/>
    <w:rsid w:val="0A420F13"/>
    <w:rsid w:val="0ACC088B"/>
    <w:rsid w:val="0ADAA11D"/>
    <w:rsid w:val="0B2243E7"/>
    <w:rsid w:val="0B8B2A72"/>
    <w:rsid w:val="105CE43E"/>
    <w:rsid w:val="112B6464"/>
    <w:rsid w:val="119D93F7"/>
    <w:rsid w:val="12C734C5"/>
    <w:rsid w:val="13599E6A"/>
    <w:rsid w:val="156BB87B"/>
    <w:rsid w:val="1608CB4B"/>
    <w:rsid w:val="167C7FC1"/>
    <w:rsid w:val="1A905A43"/>
    <w:rsid w:val="1AA11538"/>
    <w:rsid w:val="1ADDD646"/>
    <w:rsid w:val="1C0F2836"/>
    <w:rsid w:val="1C44497F"/>
    <w:rsid w:val="1D8D095B"/>
    <w:rsid w:val="1DED57E2"/>
    <w:rsid w:val="1E35E8CF"/>
    <w:rsid w:val="1E9BFF3E"/>
    <w:rsid w:val="20E2B7FF"/>
    <w:rsid w:val="23003E77"/>
    <w:rsid w:val="258390FB"/>
    <w:rsid w:val="268307DE"/>
    <w:rsid w:val="26F2C7C8"/>
    <w:rsid w:val="281ED83F"/>
    <w:rsid w:val="2A69FA21"/>
    <w:rsid w:val="3178BBAC"/>
    <w:rsid w:val="32C6FC83"/>
    <w:rsid w:val="338027D4"/>
    <w:rsid w:val="33864A30"/>
    <w:rsid w:val="35FBFF22"/>
    <w:rsid w:val="373A8AD4"/>
    <w:rsid w:val="390E66CA"/>
    <w:rsid w:val="39E6BE38"/>
    <w:rsid w:val="3C473761"/>
    <w:rsid w:val="3CBCB59D"/>
    <w:rsid w:val="3DEA359E"/>
    <w:rsid w:val="3F15B72C"/>
    <w:rsid w:val="3FD324B3"/>
    <w:rsid w:val="411343A2"/>
    <w:rsid w:val="413106E1"/>
    <w:rsid w:val="413EB1C9"/>
    <w:rsid w:val="42CE0218"/>
    <w:rsid w:val="431DA819"/>
    <w:rsid w:val="4450CC02"/>
    <w:rsid w:val="4639BB17"/>
    <w:rsid w:val="47979D45"/>
    <w:rsid w:val="47F027B5"/>
    <w:rsid w:val="4951B134"/>
    <w:rsid w:val="498BF816"/>
    <w:rsid w:val="4A80AC90"/>
    <w:rsid w:val="4D9F30AE"/>
    <w:rsid w:val="515CC319"/>
    <w:rsid w:val="51A0DFE2"/>
    <w:rsid w:val="51A60F2B"/>
    <w:rsid w:val="52F8937A"/>
    <w:rsid w:val="542DB53B"/>
    <w:rsid w:val="57682695"/>
    <w:rsid w:val="59AD57D2"/>
    <w:rsid w:val="59B6193E"/>
    <w:rsid w:val="5A2E01FC"/>
    <w:rsid w:val="5A7DA7FD"/>
    <w:rsid w:val="5FBDEE25"/>
    <w:rsid w:val="60A9C392"/>
    <w:rsid w:val="617ADD44"/>
    <w:rsid w:val="640A43C6"/>
    <w:rsid w:val="64B988A8"/>
    <w:rsid w:val="6675B26D"/>
    <w:rsid w:val="67C0F88A"/>
    <w:rsid w:val="6AE0BDAB"/>
    <w:rsid w:val="6CC9ACC0"/>
    <w:rsid w:val="6DD98032"/>
    <w:rsid w:val="708AA340"/>
    <w:rsid w:val="724A7CE6"/>
    <w:rsid w:val="73E64D47"/>
    <w:rsid w:val="73FF75A4"/>
    <w:rsid w:val="76F9E4C4"/>
    <w:rsid w:val="7834A37B"/>
    <w:rsid w:val="79AD815D"/>
    <w:rsid w:val="7BF15F2C"/>
    <w:rsid w:val="7C669B83"/>
    <w:rsid w:val="7D8D2F8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898111"/>
  <w15:docId w15:val="{4CF2AC01-C483-4858-ACE3-073F003CE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B5D41"/>
    <w:pPr>
      <w:tabs>
        <w:tab w:val="center" w:pos="4513"/>
        <w:tab w:val="right" w:pos="9026"/>
      </w:tabs>
      <w:spacing w:after="0" w:line="240" w:lineRule="auto"/>
    </w:pPr>
  </w:style>
  <w:style w:type="character" w:styleId="HeaderChar" w:customStyle="1">
    <w:name w:val="Header Char"/>
    <w:basedOn w:val="DefaultParagraphFont"/>
    <w:link w:val="Header"/>
    <w:uiPriority w:val="99"/>
    <w:rsid w:val="00DB5D41"/>
  </w:style>
  <w:style w:type="paragraph" w:styleId="Footer">
    <w:name w:val="footer"/>
    <w:basedOn w:val="Normal"/>
    <w:link w:val="FooterChar"/>
    <w:uiPriority w:val="99"/>
    <w:unhideWhenUsed/>
    <w:rsid w:val="00DB5D41"/>
    <w:pPr>
      <w:tabs>
        <w:tab w:val="center" w:pos="4513"/>
        <w:tab w:val="right" w:pos="9026"/>
      </w:tabs>
      <w:spacing w:after="0" w:line="240" w:lineRule="auto"/>
    </w:pPr>
  </w:style>
  <w:style w:type="character" w:styleId="FooterChar" w:customStyle="1">
    <w:name w:val="Footer Char"/>
    <w:basedOn w:val="DefaultParagraphFont"/>
    <w:link w:val="Footer"/>
    <w:uiPriority w:val="99"/>
    <w:rsid w:val="00DB5D41"/>
  </w:style>
  <w:style w:type="character" w:styleId="Hyperlink">
    <w:name w:val="Hyperlink"/>
    <w:basedOn w:val="DefaultParagraphFont"/>
    <w:uiPriority w:val="99"/>
    <w:unhideWhenUsed/>
    <w:rsid w:val="00BD019C"/>
    <w:rPr>
      <w:color w:val="0563C1" w:themeColor="hyperlink"/>
      <w:u w:val="single"/>
    </w:rPr>
  </w:style>
  <w:style w:type="character" w:styleId="UnresolvedMention">
    <w:name w:val="Unresolved Mention"/>
    <w:basedOn w:val="DefaultParagraphFont"/>
    <w:uiPriority w:val="99"/>
    <w:semiHidden/>
    <w:unhideWhenUsed/>
    <w:rsid w:val="00BD019C"/>
    <w:rPr>
      <w:color w:val="605E5C"/>
      <w:shd w:val="clear" w:color="auto" w:fill="E1DFDD"/>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hyperlink" Target="https://www.nhs.uk/conditions/tuberculosis-tb/" TargetMode="External" Id="rId8" /><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theme" Target="theme/theme1.xml" Id="rId11" /><Relationship Type="http://schemas.openxmlformats.org/officeDocument/2006/relationships/endnotes" Target="endnotes.xml" Id="rId5" /><Relationship Type="http://schemas.openxmlformats.org/officeDocument/2006/relationships/fontTable" Target="fontTable.xml" Id="rId10" /><Relationship Type="http://schemas.openxmlformats.org/officeDocument/2006/relationships/footnotes" Target="footnotes.xml" Id="rId4" /><Relationship Type="http://schemas.openxmlformats.org/officeDocument/2006/relationships/footer" Target="footer1.xml" Id="rId9" /><Relationship Type="http://schemas.openxmlformats.org/officeDocument/2006/relationships/hyperlink" Target="http://www.cdc.gov/" TargetMode="External" Id="Re89c80a46fd441af" /><Relationship Type="http://schemas.openxmlformats.org/officeDocument/2006/relationships/hyperlink" Target="https://www.cdc.gov/ncezid/dw-index.html" TargetMode="External" Id="R786d0ee3cc4f44ab" /><Relationship Type="http://schemas.openxmlformats.org/officeDocument/2006/relationships/glossaryDocument" Target="glossary/document.xml" Id="R49f99818ce9047b8" /><Relationship Type="http://schemas.microsoft.com/office/2020/10/relationships/intelligence" Target="intelligence2.xml" Id="Rdaaf7ccbd5b04832" /><Relationship Type="http://schemas.openxmlformats.org/officeDocument/2006/relationships/numbering" Target="numbering.xml" Id="R702f0f29f73c4a2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28dc528-07fa-4fba-90b3-5f5c7c742470}"/>
      </w:docPartPr>
      <w:docPartBody>
        <w:p w14:paraId="68D82CD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Bianca Sanfilippo</dc:creator>
  <keywords/>
  <dc:description/>
  <lastModifiedBy>Ivan Dimitrov (2132856)</lastModifiedBy>
  <revision>3</revision>
  <dcterms:created xsi:type="dcterms:W3CDTF">2022-12-02T12:26:00.0000000Z</dcterms:created>
  <dcterms:modified xsi:type="dcterms:W3CDTF">2023-01-03T22:43:26.1459736Z</dcterms:modified>
</coreProperties>
</file>