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F0C9B" w14:textId="490C9602" w:rsidR="00546FC4" w:rsidRDefault="001A63FF">
      <w:pPr>
        <w:rPr>
          <w:rFonts w:ascii="Times New Roman" w:hAnsi="Times New Roman" w:cs="Times New Roman"/>
          <w:b/>
          <w:bCs/>
          <w:sz w:val="28"/>
          <w:szCs w:val="28"/>
          <w:u w:val="single"/>
        </w:rPr>
      </w:pPr>
      <w:r w:rsidRPr="001A63FF">
        <w:rPr>
          <w:rFonts w:ascii="Times New Roman" w:hAnsi="Times New Roman" w:cs="Times New Roman"/>
          <w:b/>
          <w:bCs/>
          <w:sz w:val="28"/>
          <w:szCs w:val="28"/>
          <w:u w:val="single"/>
        </w:rPr>
        <w:t>HPRS6008: Article Review</w:t>
      </w:r>
    </w:p>
    <w:p w14:paraId="3FC3A5A7" w14:textId="24929C16" w:rsidR="001A63FF" w:rsidRDefault="005E2F97" w:rsidP="001A63FF">
      <w:pPr>
        <w:rPr>
          <w:rFonts w:ascii="Times New Roman" w:hAnsi="Times New Roman" w:cs="Times New Roman"/>
          <w:sz w:val="24"/>
          <w:szCs w:val="24"/>
        </w:rPr>
      </w:pPr>
      <w:r w:rsidRPr="7172AB98">
        <w:rPr>
          <w:rFonts w:ascii="Times New Roman" w:eastAsia="Times New Roman" w:hAnsi="Times New Roman" w:cs="Times New Roman"/>
          <w:sz w:val="24"/>
          <w:szCs w:val="24"/>
        </w:rPr>
        <w:t xml:space="preserve">In Brent </w:t>
      </w:r>
      <w:r w:rsidR="001A63FF" w:rsidRPr="7172AB98">
        <w:rPr>
          <w:rFonts w:ascii="Times New Roman" w:eastAsia="Times New Roman" w:hAnsi="Times New Roman" w:cs="Times New Roman"/>
          <w:sz w:val="24"/>
          <w:szCs w:val="24"/>
        </w:rPr>
        <w:t xml:space="preserve">Shaw’s article, </w:t>
      </w:r>
      <w:r w:rsidR="001A63FF" w:rsidRPr="7172AB98">
        <w:rPr>
          <w:rFonts w:ascii="Times New Roman" w:eastAsia="Times New Roman" w:hAnsi="Times New Roman" w:cs="Times New Roman"/>
          <w:i/>
          <w:sz w:val="24"/>
          <w:szCs w:val="24"/>
        </w:rPr>
        <w:t>The Myth of the Neronian Persecution</w:t>
      </w:r>
      <w:r w:rsidR="001A63FF" w:rsidRPr="7172AB98">
        <w:rPr>
          <w:rFonts w:ascii="Times New Roman" w:eastAsia="Times New Roman" w:hAnsi="Times New Roman" w:cs="Times New Roman"/>
          <w:sz w:val="24"/>
          <w:szCs w:val="24"/>
        </w:rPr>
        <w:t xml:space="preserve">, </w:t>
      </w:r>
      <w:r w:rsidRPr="7172AB98">
        <w:rPr>
          <w:rFonts w:ascii="Times New Roman" w:eastAsia="Times New Roman" w:hAnsi="Times New Roman" w:cs="Times New Roman"/>
          <w:sz w:val="24"/>
          <w:szCs w:val="24"/>
        </w:rPr>
        <w:t xml:space="preserve">the </w:t>
      </w:r>
      <w:r w:rsidR="00A92B67" w:rsidRPr="7172AB98">
        <w:rPr>
          <w:rFonts w:ascii="Times New Roman" w:eastAsia="Times New Roman" w:hAnsi="Times New Roman" w:cs="Times New Roman"/>
          <w:sz w:val="24"/>
          <w:szCs w:val="24"/>
        </w:rPr>
        <w:t xml:space="preserve">central </w:t>
      </w:r>
      <w:r w:rsidRPr="7172AB98">
        <w:rPr>
          <w:rFonts w:ascii="Times New Roman" w:eastAsia="Times New Roman" w:hAnsi="Times New Roman" w:cs="Times New Roman"/>
          <w:sz w:val="24"/>
          <w:szCs w:val="24"/>
        </w:rPr>
        <w:t xml:space="preserve">themes </w:t>
      </w:r>
      <w:r w:rsidR="00A92B67" w:rsidRPr="7172AB98">
        <w:rPr>
          <w:rFonts w:ascii="Times New Roman" w:eastAsia="Times New Roman" w:hAnsi="Times New Roman" w:cs="Times New Roman"/>
          <w:sz w:val="24"/>
          <w:szCs w:val="24"/>
        </w:rPr>
        <w:t xml:space="preserve">that are discussed within the article are: </w:t>
      </w:r>
      <w:r w:rsidR="00A23EF5" w:rsidRPr="7172AB98">
        <w:rPr>
          <w:rFonts w:ascii="Times New Roman" w:eastAsia="Times New Roman" w:hAnsi="Times New Roman" w:cs="Times New Roman"/>
          <w:sz w:val="24"/>
          <w:szCs w:val="24"/>
        </w:rPr>
        <w:t>the persecution of the Christians that took place in the latter half of the first century AD</w:t>
      </w:r>
      <w:r w:rsidR="000A3E32" w:rsidRPr="7172AB98">
        <w:rPr>
          <w:rFonts w:ascii="Times New Roman" w:eastAsia="Times New Roman" w:hAnsi="Times New Roman" w:cs="Times New Roman"/>
          <w:sz w:val="24"/>
          <w:szCs w:val="24"/>
        </w:rPr>
        <w:t xml:space="preserve">, </w:t>
      </w:r>
      <w:r w:rsidR="00901C5F" w:rsidRPr="7172AB98">
        <w:rPr>
          <w:rFonts w:ascii="Times New Roman" w:eastAsia="Times New Roman" w:hAnsi="Times New Roman" w:cs="Times New Roman"/>
          <w:sz w:val="24"/>
          <w:szCs w:val="24"/>
        </w:rPr>
        <w:t>the deaths of the apostles Peter and Paul</w:t>
      </w:r>
      <w:r w:rsidR="00664B4D" w:rsidRPr="7172AB98">
        <w:rPr>
          <w:rFonts w:ascii="Times New Roman" w:eastAsia="Times New Roman" w:hAnsi="Times New Roman" w:cs="Times New Roman"/>
          <w:sz w:val="24"/>
          <w:szCs w:val="24"/>
        </w:rPr>
        <w:t xml:space="preserve">, </w:t>
      </w:r>
      <w:r w:rsidR="00A34117" w:rsidRPr="7172AB98">
        <w:rPr>
          <w:rFonts w:ascii="Times New Roman" w:eastAsia="Times New Roman" w:hAnsi="Times New Roman" w:cs="Times New Roman"/>
          <w:sz w:val="24"/>
          <w:szCs w:val="24"/>
        </w:rPr>
        <w:t xml:space="preserve">the conflagration of 64 AD, and </w:t>
      </w:r>
      <w:r w:rsidR="008575C5" w:rsidRPr="7172AB98">
        <w:rPr>
          <w:rFonts w:ascii="Times New Roman" w:eastAsia="Times New Roman" w:hAnsi="Times New Roman" w:cs="Times New Roman"/>
          <w:sz w:val="24"/>
          <w:szCs w:val="24"/>
        </w:rPr>
        <w:t xml:space="preserve">Tacitus’ account on </w:t>
      </w:r>
      <w:r w:rsidR="00BD455D" w:rsidRPr="7172AB98">
        <w:rPr>
          <w:rFonts w:ascii="Times New Roman" w:eastAsia="Times New Roman" w:hAnsi="Times New Roman" w:cs="Times New Roman"/>
          <w:sz w:val="24"/>
          <w:szCs w:val="24"/>
        </w:rPr>
        <w:t>Nero and the Christians.</w:t>
      </w:r>
      <w:r w:rsidR="00B63930" w:rsidRPr="7172AB98">
        <w:rPr>
          <w:rStyle w:val="FootnoteReference"/>
          <w:rFonts w:ascii="Times New Roman" w:eastAsia="Times New Roman" w:hAnsi="Times New Roman" w:cs="Times New Roman"/>
          <w:sz w:val="24"/>
          <w:szCs w:val="24"/>
        </w:rPr>
        <w:footnoteReference w:id="2"/>
      </w:r>
      <w:r w:rsidR="0021472F" w:rsidRPr="7172AB98">
        <w:rPr>
          <w:rFonts w:ascii="Times New Roman" w:eastAsia="Times New Roman" w:hAnsi="Times New Roman" w:cs="Times New Roman"/>
          <w:sz w:val="24"/>
          <w:szCs w:val="24"/>
        </w:rPr>
        <w:t xml:space="preserve"> Shaw</w:t>
      </w:r>
      <w:r w:rsidR="00124974" w:rsidRPr="7172AB98">
        <w:rPr>
          <w:rFonts w:ascii="Times New Roman" w:eastAsia="Times New Roman" w:hAnsi="Times New Roman" w:cs="Times New Roman"/>
          <w:sz w:val="24"/>
          <w:szCs w:val="24"/>
        </w:rPr>
        <w:t xml:space="preserve">’s </w:t>
      </w:r>
      <w:r w:rsidR="00220E5F" w:rsidRPr="7172AB98">
        <w:rPr>
          <w:rFonts w:ascii="Times New Roman" w:eastAsia="Times New Roman" w:hAnsi="Times New Roman" w:cs="Times New Roman"/>
          <w:sz w:val="24"/>
          <w:szCs w:val="24"/>
        </w:rPr>
        <w:t>“</w:t>
      </w:r>
      <w:r w:rsidR="00220E5F" w:rsidRPr="7172AB98">
        <w:rPr>
          <w:rFonts w:ascii="Times New Roman" w:eastAsia="Times New Roman" w:hAnsi="Times New Roman" w:cs="Times New Roman"/>
          <w:i/>
          <w:sz w:val="24"/>
          <w:szCs w:val="24"/>
        </w:rPr>
        <w:t>provocative</w:t>
      </w:r>
      <w:r w:rsidR="00220E5F" w:rsidRPr="7172AB98">
        <w:rPr>
          <w:rFonts w:ascii="Times New Roman" w:eastAsia="Times New Roman" w:hAnsi="Times New Roman" w:cs="Times New Roman"/>
          <w:sz w:val="24"/>
          <w:szCs w:val="24"/>
        </w:rPr>
        <w:t>”</w:t>
      </w:r>
      <w:r w:rsidR="00B007D0" w:rsidRPr="7172AB98">
        <w:rPr>
          <w:rFonts w:ascii="Times New Roman" w:eastAsia="Times New Roman" w:hAnsi="Times New Roman" w:cs="Times New Roman"/>
          <w:sz w:val="24"/>
          <w:szCs w:val="24"/>
        </w:rPr>
        <w:t xml:space="preserve"> </w:t>
      </w:r>
      <w:r w:rsidR="00124974" w:rsidRPr="7172AB98">
        <w:rPr>
          <w:rFonts w:ascii="Times New Roman" w:eastAsia="Times New Roman" w:hAnsi="Times New Roman" w:cs="Times New Roman"/>
          <w:sz w:val="24"/>
          <w:szCs w:val="24"/>
        </w:rPr>
        <w:t>hypothesis is that</w:t>
      </w:r>
      <w:r w:rsidR="00F7260B" w:rsidRPr="7172AB98">
        <w:rPr>
          <w:rFonts w:ascii="Times New Roman" w:eastAsia="Times New Roman" w:hAnsi="Times New Roman" w:cs="Times New Roman"/>
          <w:sz w:val="24"/>
          <w:szCs w:val="24"/>
        </w:rPr>
        <w:t xml:space="preserve"> </w:t>
      </w:r>
      <w:r w:rsidR="00C45C9E" w:rsidRPr="7172AB98">
        <w:rPr>
          <w:rFonts w:ascii="Times New Roman" w:eastAsia="Times New Roman" w:hAnsi="Times New Roman" w:cs="Times New Roman"/>
          <w:sz w:val="24"/>
          <w:szCs w:val="24"/>
        </w:rPr>
        <w:t xml:space="preserve">the </w:t>
      </w:r>
      <w:r w:rsidR="00BA5B9F" w:rsidRPr="7172AB98">
        <w:rPr>
          <w:rFonts w:ascii="Times New Roman" w:eastAsia="Times New Roman" w:hAnsi="Times New Roman" w:cs="Times New Roman"/>
          <w:sz w:val="24"/>
          <w:szCs w:val="24"/>
        </w:rPr>
        <w:t>Ner</w:t>
      </w:r>
      <w:r w:rsidR="00BA5B9F">
        <w:rPr>
          <w:rFonts w:ascii="Times New Roman" w:hAnsi="Times New Roman" w:cs="Times New Roman"/>
          <w:sz w:val="24"/>
          <w:szCs w:val="24"/>
        </w:rPr>
        <w:t>onian persecution</w:t>
      </w:r>
      <w:r w:rsidR="00C60C53">
        <w:rPr>
          <w:rFonts w:ascii="Times New Roman" w:hAnsi="Times New Roman" w:cs="Times New Roman"/>
          <w:sz w:val="24"/>
          <w:szCs w:val="24"/>
        </w:rPr>
        <w:t xml:space="preserve"> of the </w:t>
      </w:r>
      <w:r w:rsidR="00610E61">
        <w:rPr>
          <w:rFonts w:ascii="Times New Roman" w:hAnsi="Times New Roman" w:cs="Times New Roman"/>
          <w:sz w:val="24"/>
          <w:szCs w:val="24"/>
        </w:rPr>
        <w:t>Christians</w:t>
      </w:r>
      <w:r w:rsidR="00BA5B9F">
        <w:rPr>
          <w:rFonts w:ascii="Times New Roman" w:hAnsi="Times New Roman" w:cs="Times New Roman"/>
          <w:sz w:val="24"/>
          <w:szCs w:val="24"/>
        </w:rPr>
        <w:t xml:space="preserve"> did not happen</w:t>
      </w:r>
      <w:r w:rsidR="00A2442F">
        <w:rPr>
          <w:rFonts w:ascii="Times New Roman" w:hAnsi="Times New Roman" w:cs="Times New Roman"/>
          <w:sz w:val="24"/>
          <w:szCs w:val="24"/>
        </w:rPr>
        <w:t>.</w:t>
      </w:r>
      <w:r w:rsidR="00B3282C">
        <w:rPr>
          <w:rStyle w:val="FootnoteReference"/>
          <w:rFonts w:ascii="Times New Roman" w:hAnsi="Times New Roman" w:cs="Times New Roman"/>
          <w:sz w:val="24"/>
          <w:szCs w:val="24"/>
        </w:rPr>
        <w:footnoteReference w:id="3"/>
      </w:r>
    </w:p>
    <w:p w14:paraId="49313541" w14:textId="2BEA6CF5" w:rsidR="00A55FFC" w:rsidRDefault="008B53B8" w:rsidP="5F0F0C3C">
      <w:pPr>
        <w:rPr>
          <w:rFonts w:ascii="Times New Roman" w:hAnsi="Times New Roman" w:cs="Times New Roman"/>
          <w:sz w:val="24"/>
          <w:szCs w:val="24"/>
        </w:rPr>
      </w:pPr>
      <w:r>
        <w:rPr>
          <w:rFonts w:ascii="Times New Roman" w:hAnsi="Times New Roman" w:cs="Times New Roman"/>
          <w:sz w:val="24"/>
          <w:szCs w:val="24"/>
        </w:rPr>
        <w:t xml:space="preserve">Shaw’s main argument </w:t>
      </w:r>
      <w:r w:rsidR="00A21383">
        <w:rPr>
          <w:rFonts w:ascii="Times New Roman" w:hAnsi="Times New Roman" w:cs="Times New Roman"/>
          <w:sz w:val="24"/>
          <w:szCs w:val="24"/>
        </w:rPr>
        <w:t xml:space="preserve">attempts to argue that </w:t>
      </w:r>
      <w:r w:rsidR="0076017E">
        <w:rPr>
          <w:rFonts w:ascii="Times New Roman" w:hAnsi="Times New Roman" w:cs="Times New Roman"/>
          <w:sz w:val="24"/>
          <w:szCs w:val="24"/>
        </w:rPr>
        <w:t xml:space="preserve">the </w:t>
      </w:r>
      <w:r w:rsidR="00463E29">
        <w:rPr>
          <w:rFonts w:ascii="Times New Roman" w:hAnsi="Times New Roman" w:cs="Times New Roman"/>
          <w:sz w:val="24"/>
          <w:szCs w:val="24"/>
        </w:rPr>
        <w:t>fi</w:t>
      </w:r>
      <w:r w:rsidR="005127C1">
        <w:rPr>
          <w:rFonts w:ascii="Times New Roman" w:hAnsi="Times New Roman" w:cs="Times New Roman"/>
          <w:sz w:val="24"/>
          <w:szCs w:val="24"/>
        </w:rPr>
        <w:t xml:space="preserve">rst Roman </w:t>
      </w:r>
      <w:r w:rsidR="00D44861">
        <w:rPr>
          <w:rFonts w:ascii="Times New Roman" w:hAnsi="Times New Roman" w:cs="Times New Roman"/>
          <w:sz w:val="24"/>
          <w:szCs w:val="24"/>
        </w:rPr>
        <w:t xml:space="preserve">state-driven persecution of the Christians </w:t>
      </w:r>
      <w:r w:rsidR="003E586F">
        <w:rPr>
          <w:rFonts w:ascii="Times New Roman" w:hAnsi="Times New Roman" w:cs="Times New Roman"/>
          <w:sz w:val="24"/>
          <w:szCs w:val="24"/>
        </w:rPr>
        <w:t xml:space="preserve">never </w:t>
      </w:r>
      <w:r w:rsidR="00D44861">
        <w:rPr>
          <w:rFonts w:ascii="Times New Roman" w:hAnsi="Times New Roman" w:cs="Times New Roman"/>
          <w:sz w:val="24"/>
          <w:szCs w:val="24"/>
        </w:rPr>
        <w:t xml:space="preserve">happened </w:t>
      </w:r>
      <w:r w:rsidR="0086720C">
        <w:rPr>
          <w:rFonts w:ascii="Times New Roman" w:hAnsi="Times New Roman" w:cs="Times New Roman"/>
          <w:sz w:val="24"/>
          <w:szCs w:val="24"/>
        </w:rPr>
        <w:t>in the reign of Nero</w:t>
      </w:r>
      <w:r w:rsidR="00AD496A">
        <w:rPr>
          <w:rFonts w:ascii="Times New Roman" w:hAnsi="Times New Roman" w:cs="Times New Roman"/>
          <w:sz w:val="24"/>
          <w:szCs w:val="24"/>
        </w:rPr>
        <w:t xml:space="preserve"> </w:t>
      </w:r>
      <w:r w:rsidR="00EB6A16">
        <w:rPr>
          <w:rFonts w:ascii="Times New Roman" w:hAnsi="Times New Roman" w:cs="Times New Roman"/>
          <w:sz w:val="24"/>
          <w:szCs w:val="24"/>
        </w:rPr>
        <w:t xml:space="preserve">and </w:t>
      </w:r>
      <w:r w:rsidR="00BC700C">
        <w:rPr>
          <w:rFonts w:ascii="Times New Roman" w:hAnsi="Times New Roman" w:cs="Times New Roman"/>
          <w:sz w:val="24"/>
          <w:szCs w:val="24"/>
        </w:rPr>
        <w:t xml:space="preserve">that Nero, personally </w:t>
      </w:r>
      <w:r w:rsidR="0016691E">
        <w:rPr>
          <w:rFonts w:ascii="Times New Roman" w:hAnsi="Times New Roman" w:cs="Times New Roman"/>
          <w:sz w:val="24"/>
          <w:szCs w:val="24"/>
        </w:rPr>
        <w:t xml:space="preserve">ordered the </w:t>
      </w:r>
      <w:r w:rsidR="00A865E4">
        <w:rPr>
          <w:rFonts w:ascii="Times New Roman" w:hAnsi="Times New Roman" w:cs="Times New Roman"/>
          <w:sz w:val="24"/>
          <w:szCs w:val="24"/>
        </w:rPr>
        <w:t>persecution of the Christian community and</w:t>
      </w:r>
      <w:r w:rsidR="00946A1C">
        <w:rPr>
          <w:rFonts w:ascii="Times New Roman" w:hAnsi="Times New Roman" w:cs="Times New Roman"/>
          <w:sz w:val="24"/>
          <w:szCs w:val="24"/>
        </w:rPr>
        <w:t xml:space="preserve"> the executions of Peter and Paul.</w:t>
      </w:r>
      <w:r w:rsidR="000802F7">
        <w:rPr>
          <w:rFonts w:ascii="Times New Roman" w:hAnsi="Times New Roman" w:cs="Times New Roman"/>
          <w:sz w:val="24"/>
          <w:szCs w:val="24"/>
        </w:rPr>
        <w:t xml:space="preserve"> </w:t>
      </w:r>
    </w:p>
    <w:p w14:paraId="1790C745" w14:textId="6772DE42" w:rsidR="00A55FFC" w:rsidRDefault="00B535BF" w:rsidP="290E6C98">
      <w:pPr>
        <w:rPr>
          <w:rFonts w:ascii="Times New Roman" w:hAnsi="Times New Roman" w:cs="Times New Roman"/>
          <w:sz w:val="24"/>
          <w:szCs w:val="24"/>
        </w:rPr>
      </w:pPr>
      <w:r>
        <w:rPr>
          <w:rFonts w:ascii="Times New Roman" w:hAnsi="Times New Roman" w:cs="Times New Roman"/>
          <w:sz w:val="24"/>
          <w:szCs w:val="24"/>
        </w:rPr>
        <w:t>Furthermore, Shaw also argues that these events</w:t>
      </w:r>
      <w:r w:rsidR="003B2228">
        <w:rPr>
          <w:rFonts w:ascii="Times New Roman" w:hAnsi="Times New Roman" w:cs="Times New Roman"/>
          <w:sz w:val="24"/>
          <w:szCs w:val="24"/>
        </w:rPr>
        <w:t xml:space="preserve"> should not have any place within the history of Christian Ma</w:t>
      </w:r>
      <w:r w:rsidR="007267CC">
        <w:rPr>
          <w:rFonts w:ascii="Times New Roman" w:hAnsi="Times New Roman" w:cs="Times New Roman"/>
          <w:sz w:val="24"/>
          <w:szCs w:val="24"/>
        </w:rPr>
        <w:t xml:space="preserve">rtyrdom or </w:t>
      </w:r>
      <w:r w:rsidR="00AD6B66">
        <w:rPr>
          <w:rFonts w:ascii="Times New Roman" w:hAnsi="Times New Roman" w:cs="Times New Roman"/>
          <w:sz w:val="24"/>
          <w:szCs w:val="24"/>
        </w:rPr>
        <w:t>of the early Church.</w:t>
      </w:r>
      <w:r w:rsidR="00B3206F">
        <w:rPr>
          <w:rFonts w:ascii="Times New Roman" w:hAnsi="Times New Roman" w:cs="Times New Roman"/>
          <w:sz w:val="24"/>
          <w:szCs w:val="24"/>
        </w:rPr>
        <w:t xml:space="preserve"> </w:t>
      </w:r>
      <w:r w:rsidR="002D4F1D">
        <w:rPr>
          <w:rFonts w:ascii="Times New Roman" w:hAnsi="Times New Roman" w:cs="Times New Roman"/>
          <w:sz w:val="24"/>
          <w:szCs w:val="24"/>
        </w:rPr>
        <w:t>Shaw’s findi</w:t>
      </w:r>
      <w:r w:rsidR="00D61334">
        <w:rPr>
          <w:rFonts w:ascii="Times New Roman" w:hAnsi="Times New Roman" w:cs="Times New Roman"/>
          <w:sz w:val="24"/>
          <w:szCs w:val="24"/>
        </w:rPr>
        <w:t xml:space="preserve">ngs on the </w:t>
      </w:r>
      <w:r w:rsidR="001B3E91">
        <w:rPr>
          <w:rFonts w:ascii="Times New Roman" w:hAnsi="Times New Roman" w:cs="Times New Roman"/>
          <w:sz w:val="24"/>
          <w:szCs w:val="24"/>
        </w:rPr>
        <w:t xml:space="preserve">executions of Peter and Paul </w:t>
      </w:r>
      <w:r w:rsidR="009C6EDD">
        <w:rPr>
          <w:rFonts w:ascii="Times New Roman" w:hAnsi="Times New Roman" w:cs="Times New Roman"/>
          <w:sz w:val="24"/>
          <w:szCs w:val="24"/>
        </w:rPr>
        <w:t xml:space="preserve">is that the later Christian </w:t>
      </w:r>
      <w:r w:rsidR="0089087E">
        <w:rPr>
          <w:rFonts w:ascii="Times New Roman" w:hAnsi="Times New Roman" w:cs="Times New Roman"/>
          <w:sz w:val="24"/>
          <w:szCs w:val="24"/>
        </w:rPr>
        <w:t>sources</w:t>
      </w:r>
      <w:r w:rsidR="00461B4F">
        <w:rPr>
          <w:rFonts w:ascii="Times New Roman" w:hAnsi="Times New Roman" w:cs="Times New Roman"/>
          <w:sz w:val="24"/>
          <w:szCs w:val="24"/>
        </w:rPr>
        <w:t xml:space="preserve"> </w:t>
      </w:r>
      <w:r w:rsidR="008B7EC3">
        <w:rPr>
          <w:rFonts w:ascii="Times New Roman" w:hAnsi="Times New Roman" w:cs="Times New Roman"/>
          <w:sz w:val="24"/>
          <w:szCs w:val="24"/>
        </w:rPr>
        <w:t xml:space="preserve">have </w:t>
      </w:r>
      <w:r w:rsidR="006565F6">
        <w:rPr>
          <w:rFonts w:ascii="Times New Roman" w:hAnsi="Times New Roman" w:cs="Times New Roman"/>
          <w:sz w:val="24"/>
          <w:szCs w:val="24"/>
        </w:rPr>
        <w:t>changed elements of their accounts in order to</w:t>
      </w:r>
      <w:r w:rsidR="009D400F">
        <w:rPr>
          <w:rFonts w:ascii="Times New Roman" w:hAnsi="Times New Roman" w:cs="Times New Roman"/>
          <w:sz w:val="24"/>
          <w:szCs w:val="24"/>
        </w:rPr>
        <w:t xml:space="preserve"> directly connect Nero with their executions.</w:t>
      </w:r>
      <w:r w:rsidR="00923583">
        <w:rPr>
          <w:rFonts w:ascii="Times New Roman" w:hAnsi="Times New Roman" w:cs="Times New Roman"/>
          <w:sz w:val="24"/>
          <w:szCs w:val="24"/>
        </w:rPr>
        <w:t xml:space="preserve"> </w:t>
      </w:r>
      <w:r w:rsidR="002A63D7">
        <w:rPr>
          <w:rFonts w:ascii="Times New Roman" w:hAnsi="Times New Roman" w:cs="Times New Roman"/>
          <w:sz w:val="24"/>
          <w:szCs w:val="24"/>
        </w:rPr>
        <w:t xml:space="preserve">The findings on the </w:t>
      </w:r>
      <w:r w:rsidR="00F4349E">
        <w:rPr>
          <w:rFonts w:ascii="Times New Roman" w:hAnsi="Times New Roman" w:cs="Times New Roman"/>
          <w:sz w:val="24"/>
          <w:szCs w:val="24"/>
        </w:rPr>
        <w:t>conflagration of 64 is that</w:t>
      </w:r>
      <w:r w:rsidR="002D069A">
        <w:rPr>
          <w:rFonts w:ascii="Times New Roman" w:hAnsi="Times New Roman" w:cs="Times New Roman"/>
          <w:sz w:val="24"/>
          <w:szCs w:val="24"/>
        </w:rPr>
        <w:t xml:space="preserve">, similarly </w:t>
      </w:r>
      <w:r w:rsidR="00566555">
        <w:rPr>
          <w:rFonts w:ascii="Times New Roman" w:hAnsi="Times New Roman" w:cs="Times New Roman"/>
          <w:sz w:val="24"/>
          <w:szCs w:val="24"/>
        </w:rPr>
        <w:t xml:space="preserve">to Shaw’s section on Peter and Paul is that </w:t>
      </w:r>
      <w:r w:rsidR="002D429B">
        <w:rPr>
          <w:rFonts w:ascii="Times New Roman" w:hAnsi="Times New Roman" w:cs="Times New Roman"/>
          <w:sz w:val="24"/>
          <w:szCs w:val="24"/>
        </w:rPr>
        <w:t xml:space="preserve">some of the most informed ancient accounts on the subject </w:t>
      </w:r>
      <w:r w:rsidR="00A2774E">
        <w:rPr>
          <w:rFonts w:ascii="Times New Roman" w:hAnsi="Times New Roman" w:cs="Times New Roman"/>
          <w:sz w:val="24"/>
          <w:szCs w:val="24"/>
        </w:rPr>
        <w:t xml:space="preserve">were written with </w:t>
      </w:r>
      <w:r w:rsidR="00392870">
        <w:rPr>
          <w:rFonts w:ascii="Times New Roman" w:hAnsi="Times New Roman" w:cs="Times New Roman"/>
          <w:sz w:val="24"/>
          <w:szCs w:val="24"/>
        </w:rPr>
        <w:t>an element of negative bias towards Nero.</w:t>
      </w:r>
      <w:r w:rsidR="00FE7FC0">
        <w:rPr>
          <w:rFonts w:ascii="Times New Roman" w:hAnsi="Times New Roman" w:cs="Times New Roman"/>
          <w:sz w:val="24"/>
          <w:szCs w:val="24"/>
        </w:rPr>
        <w:t xml:space="preserve"> </w:t>
      </w:r>
    </w:p>
    <w:p w14:paraId="4023983F" w14:textId="4108782E" w:rsidR="00A55FFC" w:rsidRDefault="00FE7FC0" w:rsidP="468183D0">
      <w:pPr>
        <w:rPr>
          <w:rFonts w:ascii="Times New Roman" w:hAnsi="Times New Roman" w:cs="Times New Roman"/>
          <w:sz w:val="24"/>
          <w:szCs w:val="24"/>
        </w:rPr>
      </w:pPr>
      <w:r>
        <w:rPr>
          <w:rFonts w:ascii="Times New Roman" w:hAnsi="Times New Roman" w:cs="Times New Roman"/>
          <w:sz w:val="24"/>
          <w:szCs w:val="24"/>
        </w:rPr>
        <w:t xml:space="preserve">Shaw also writes about </w:t>
      </w:r>
      <w:r w:rsidR="00E0477E">
        <w:rPr>
          <w:rFonts w:ascii="Times New Roman" w:hAnsi="Times New Roman" w:cs="Times New Roman"/>
          <w:sz w:val="24"/>
          <w:szCs w:val="24"/>
        </w:rPr>
        <w:t xml:space="preserve">the </w:t>
      </w:r>
      <w:r>
        <w:rPr>
          <w:rFonts w:ascii="Times New Roman" w:hAnsi="Times New Roman" w:cs="Times New Roman"/>
          <w:sz w:val="24"/>
          <w:szCs w:val="24"/>
        </w:rPr>
        <w:t>other ancient accounts that</w:t>
      </w:r>
      <w:r w:rsidR="00E0477E">
        <w:rPr>
          <w:rFonts w:ascii="Times New Roman" w:hAnsi="Times New Roman" w:cs="Times New Roman"/>
          <w:sz w:val="24"/>
          <w:szCs w:val="24"/>
        </w:rPr>
        <w:t xml:space="preserve"> cover the fire</w:t>
      </w:r>
      <w:r w:rsidR="00346C6A">
        <w:rPr>
          <w:rFonts w:ascii="Times New Roman" w:hAnsi="Times New Roman" w:cs="Times New Roman"/>
          <w:sz w:val="24"/>
          <w:szCs w:val="24"/>
        </w:rPr>
        <w:t>, specifically Cassius Dio</w:t>
      </w:r>
      <w:r w:rsidR="00024FDF">
        <w:rPr>
          <w:rFonts w:ascii="Times New Roman" w:hAnsi="Times New Roman" w:cs="Times New Roman"/>
          <w:sz w:val="24"/>
          <w:szCs w:val="24"/>
        </w:rPr>
        <w:t xml:space="preserve"> </w:t>
      </w:r>
      <w:r w:rsidR="00C17A2C">
        <w:rPr>
          <w:rFonts w:ascii="Times New Roman" w:hAnsi="Times New Roman" w:cs="Times New Roman"/>
          <w:sz w:val="24"/>
          <w:szCs w:val="24"/>
        </w:rPr>
        <w:t xml:space="preserve">whose account of the fire is generally accepted </w:t>
      </w:r>
      <w:r w:rsidR="00F11E37">
        <w:rPr>
          <w:rFonts w:ascii="Times New Roman" w:hAnsi="Times New Roman" w:cs="Times New Roman"/>
          <w:sz w:val="24"/>
          <w:szCs w:val="24"/>
        </w:rPr>
        <w:t>as an unreliable source on the topic.</w:t>
      </w:r>
      <w:r w:rsidR="00F11E37">
        <w:rPr>
          <w:rStyle w:val="FootnoteReference"/>
          <w:rFonts w:ascii="Times New Roman" w:hAnsi="Times New Roman" w:cs="Times New Roman"/>
          <w:sz w:val="24"/>
          <w:szCs w:val="24"/>
        </w:rPr>
        <w:footnoteReference w:id="4"/>
      </w:r>
      <w:r w:rsidR="009106E8">
        <w:rPr>
          <w:rFonts w:ascii="Times New Roman" w:hAnsi="Times New Roman" w:cs="Times New Roman"/>
          <w:sz w:val="24"/>
          <w:szCs w:val="24"/>
        </w:rPr>
        <w:t xml:space="preserve"> </w:t>
      </w:r>
      <w:r w:rsidR="008F7FA8">
        <w:rPr>
          <w:rFonts w:ascii="Times New Roman" w:hAnsi="Times New Roman" w:cs="Times New Roman"/>
          <w:sz w:val="24"/>
          <w:szCs w:val="24"/>
        </w:rPr>
        <w:t>It is then pointed out that later sources are again, unreliable, as they are dependent on Tacitus. Shaw uses Sulpicius Severus as an example.</w:t>
      </w:r>
      <w:r w:rsidR="008F7FA8">
        <w:rPr>
          <w:rStyle w:val="FootnoteReference"/>
          <w:rFonts w:ascii="Times New Roman" w:hAnsi="Times New Roman" w:cs="Times New Roman"/>
          <w:sz w:val="24"/>
          <w:szCs w:val="24"/>
        </w:rPr>
        <w:footnoteReference w:id="5"/>
      </w:r>
      <w:r w:rsidR="00B55AED">
        <w:rPr>
          <w:rFonts w:ascii="Times New Roman" w:hAnsi="Times New Roman" w:cs="Times New Roman"/>
          <w:sz w:val="24"/>
          <w:szCs w:val="24"/>
        </w:rPr>
        <w:t xml:space="preserve"> Shaw proceeds to discuss </w:t>
      </w:r>
      <w:r w:rsidR="005A33C1">
        <w:rPr>
          <w:rFonts w:ascii="Times New Roman" w:hAnsi="Times New Roman" w:cs="Times New Roman"/>
          <w:sz w:val="24"/>
          <w:szCs w:val="24"/>
        </w:rPr>
        <w:t xml:space="preserve">the other contemporary primary source including Tacitus and Suetonius, whose work </w:t>
      </w:r>
      <w:r w:rsidR="005A33C1">
        <w:rPr>
          <w:rFonts w:ascii="Times New Roman" w:hAnsi="Times New Roman" w:cs="Times New Roman"/>
          <w:i/>
          <w:iCs/>
          <w:sz w:val="24"/>
          <w:szCs w:val="24"/>
        </w:rPr>
        <w:t>The Twelve Caesars</w:t>
      </w:r>
      <w:r w:rsidR="005A33C1">
        <w:rPr>
          <w:rFonts w:ascii="Times New Roman" w:hAnsi="Times New Roman" w:cs="Times New Roman"/>
          <w:sz w:val="24"/>
          <w:szCs w:val="24"/>
        </w:rPr>
        <w:t xml:space="preserve"> is generally regarded as below other works by contemporary authors due to the brief</w:t>
      </w:r>
      <w:r w:rsidR="00E2039E">
        <w:rPr>
          <w:rFonts w:ascii="Times New Roman" w:hAnsi="Times New Roman" w:cs="Times New Roman"/>
          <w:sz w:val="24"/>
          <w:szCs w:val="24"/>
        </w:rPr>
        <w:t xml:space="preserve"> and anecdotal pieces of information from unreliable or non-existent sources.</w:t>
      </w:r>
      <w:r w:rsidR="00E2039E">
        <w:rPr>
          <w:rStyle w:val="FootnoteReference"/>
          <w:rFonts w:ascii="Times New Roman" w:hAnsi="Times New Roman" w:cs="Times New Roman"/>
          <w:sz w:val="24"/>
          <w:szCs w:val="24"/>
        </w:rPr>
        <w:footnoteReference w:id="6"/>
      </w:r>
      <w:r w:rsidR="00A82FEA">
        <w:rPr>
          <w:rFonts w:ascii="Times New Roman" w:hAnsi="Times New Roman" w:cs="Times New Roman"/>
          <w:sz w:val="24"/>
          <w:szCs w:val="24"/>
        </w:rPr>
        <w:t xml:space="preserve"> </w:t>
      </w:r>
    </w:p>
    <w:p w14:paraId="4683E7B9" w14:textId="1A1C4826" w:rsidR="00A55FFC" w:rsidRDefault="00A82FEA" w:rsidP="0A690680">
      <w:pPr>
        <w:rPr>
          <w:rFonts w:ascii="Times New Roman" w:hAnsi="Times New Roman" w:cs="Times New Roman"/>
          <w:sz w:val="24"/>
          <w:szCs w:val="24"/>
        </w:rPr>
      </w:pPr>
      <w:r>
        <w:rPr>
          <w:rFonts w:ascii="Times New Roman" w:hAnsi="Times New Roman" w:cs="Times New Roman"/>
          <w:sz w:val="24"/>
          <w:szCs w:val="24"/>
        </w:rPr>
        <w:t>The next section within Shaw’s article is “</w:t>
      </w:r>
      <w:r>
        <w:rPr>
          <w:rFonts w:ascii="Times New Roman" w:hAnsi="Times New Roman" w:cs="Times New Roman"/>
          <w:i/>
          <w:iCs/>
          <w:sz w:val="24"/>
          <w:szCs w:val="24"/>
        </w:rPr>
        <w:t>Tacitus and Context</w:t>
      </w:r>
      <w:r>
        <w:rPr>
          <w:rFonts w:ascii="Times New Roman" w:hAnsi="Times New Roman" w:cs="Times New Roman"/>
          <w:sz w:val="24"/>
          <w:szCs w:val="24"/>
        </w:rPr>
        <w:t xml:space="preserve">”. Tacitus is the main authority </w:t>
      </w:r>
      <w:r w:rsidR="00B37208">
        <w:rPr>
          <w:rFonts w:ascii="Times New Roman" w:hAnsi="Times New Roman" w:cs="Times New Roman"/>
          <w:sz w:val="24"/>
          <w:szCs w:val="24"/>
        </w:rPr>
        <w:t>for the conflagration of 64, and Nero’s treatment of the Christians</w:t>
      </w:r>
      <w:r w:rsidR="00B01513">
        <w:rPr>
          <w:rFonts w:ascii="Times New Roman" w:hAnsi="Times New Roman" w:cs="Times New Roman"/>
          <w:sz w:val="24"/>
          <w:szCs w:val="24"/>
        </w:rPr>
        <w:t>. To summarise this section</w:t>
      </w:r>
      <w:r w:rsidR="00437F49">
        <w:rPr>
          <w:rFonts w:ascii="Times New Roman" w:hAnsi="Times New Roman" w:cs="Times New Roman"/>
          <w:sz w:val="24"/>
          <w:szCs w:val="24"/>
        </w:rPr>
        <w:t xml:space="preserve">, Shaw’s main point against the account of Tacitus is </w:t>
      </w:r>
      <w:r w:rsidR="00A54EDA">
        <w:rPr>
          <w:rFonts w:ascii="Times New Roman" w:hAnsi="Times New Roman" w:cs="Times New Roman"/>
          <w:sz w:val="24"/>
          <w:szCs w:val="24"/>
        </w:rPr>
        <w:t>his</w:t>
      </w:r>
      <w:r w:rsidR="00437F49">
        <w:rPr>
          <w:rFonts w:ascii="Times New Roman" w:hAnsi="Times New Roman" w:cs="Times New Roman"/>
          <w:sz w:val="24"/>
          <w:szCs w:val="24"/>
        </w:rPr>
        <w:t xml:space="preserve"> use of </w:t>
      </w:r>
      <w:r w:rsidR="00437F49">
        <w:rPr>
          <w:rFonts w:ascii="Times New Roman" w:hAnsi="Times New Roman" w:cs="Times New Roman"/>
          <w:i/>
          <w:iCs/>
          <w:sz w:val="24"/>
          <w:szCs w:val="24"/>
        </w:rPr>
        <w:t>Chrestiani</w:t>
      </w:r>
      <w:r w:rsidR="00437F49">
        <w:rPr>
          <w:rFonts w:ascii="Times New Roman" w:hAnsi="Times New Roman" w:cs="Times New Roman"/>
          <w:sz w:val="24"/>
          <w:szCs w:val="24"/>
        </w:rPr>
        <w:t xml:space="preserve"> </w:t>
      </w:r>
      <w:r w:rsidR="00A54EDA">
        <w:rPr>
          <w:rFonts w:ascii="Times New Roman" w:hAnsi="Times New Roman" w:cs="Times New Roman"/>
          <w:sz w:val="24"/>
          <w:szCs w:val="24"/>
        </w:rPr>
        <w:t xml:space="preserve">and their association </w:t>
      </w:r>
      <w:r w:rsidR="004C322E">
        <w:rPr>
          <w:rFonts w:ascii="Times New Roman" w:hAnsi="Times New Roman" w:cs="Times New Roman"/>
          <w:sz w:val="24"/>
          <w:szCs w:val="24"/>
        </w:rPr>
        <w:t xml:space="preserve">with followers of Jesus, Shaw also </w:t>
      </w:r>
      <w:r w:rsidR="00D654E1">
        <w:rPr>
          <w:rFonts w:ascii="Times New Roman" w:hAnsi="Times New Roman" w:cs="Times New Roman"/>
          <w:sz w:val="24"/>
          <w:szCs w:val="24"/>
        </w:rPr>
        <w:t xml:space="preserve">produces another argument during this section that </w:t>
      </w:r>
      <w:r w:rsidR="00D654E1" w:rsidRPr="00D654E1">
        <w:rPr>
          <w:rFonts w:ascii="Times New Roman" w:hAnsi="Times New Roman" w:cs="Times New Roman"/>
          <w:sz w:val="24"/>
          <w:szCs w:val="24"/>
        </w:rPr>
        <w:t xml:space="preserve">Χριστιανός </w:t>
      </w:r>
      <w:r w:rsidR="00D654E1">
        <w:rPr>
          <w:rFonts w:ascii="Times New Roman" w:hAnsi="Times New Roman" w:cs="Times New Roman"/>
          <w:sz w:val="24"/>
          <w:szCs w:val="24"/>
        </w:rPr>
        <w:t>“</w:t>
      </w:r>
      <w:r w:rsidR="00D654E1">
        <w:rPr>
          <w:rFonts w:ascii="Times New Roman" w:hAnsi="Times New Roman" w:cs="Times New Roman"/>
          <w:i/>
          <w:iCs/>
          <w:sz w:val="24"/>
          <w:szCs w:val="24"/>
        </w:rPr>
        <w:t>was not used up until the end of Paul’s life, approximately to the mid-60’s</w:t>
      </w:r>
      <w:r w:rsidR="00D654E1">
        <w:rPr>
          <w:rFonts w:ascii="Times New Roman" w:hAnsi="Times New Roman" w:cs="Times New Roman"/>
          <w:sz w:val="24"/>
          <w:szCs w:val="24"/>
        </w:rPr>
        <w:t>” as Tertellus calls Paul “</w:t>
      </w:r>
      <w:r w:rsidR="00D654E1">
        <w:rPr>
          <w:rFonts w:ascii="Times New Roman" w:hAnsi="Times New Roman" w:cs="Times New Roman"/>
          <w:i/>
          <w:iCs/>
          <w:sz w:val="24"/>
          <w:szCs w:val="24"/>
        </w:rPr>
        <w:t>the ringleader of the sect of the Nazoreans</w:t>
      </w:r>
      <w:r w:rsidR="00D654E1">
        <w:rPr>
          <w:rFonts w:ascii="Times New Roman" w:hAnsi="Times New Roman" w:cs="Times New Roman"/>
          <w:sz w:val="24"/>
          <w:szCs w:val="24"/>
        </w:rPr>
        <w:t>”.</w:t>
      </w:r>
      <w:r w:rsidR="00D654E1">
        <w:rPr>
          <w:rStyle w:val="FootnoteReference"/>
          <w:rFonts w:ascii="Times New Roman" w:hAnsi="Times New Roman" w:cs="Times New Roman"/>
          <w:sz w:val="24"/>
          <w:szCs w:val="24"/>
        </w:rPr>
        <w:footnoteReference w:id="7"/>
      </w:r>
      <w:r w:rsidR="000F204B">
        <w:rPr>
          <w:rFonts w:ascii="Times New Roman" w:hAnsi="Times New Roman" w:cs="Times New Roman"/>
          <w:sz w:val="24"/>
          <w:szCs w:val="24"/>
        </w:rPr>
        <w:t xml:space="preserve"> </w:t>
      </w:r>
    </w:p>
    <w:p w14:paraId="7B093784" w14:textId="1A51AB1F" w:rsidR="00A55FFC" w:rsidRDefault="000F204B" w:rsidP="777044C9">
      <w:pPr>
        <w:rPr>
          <w:rFonts w:ascii="Times New Roman" w:hAnsi="Times New Roman" w:cs="Times New Roman"/>
          <w:sz w:val="24"/>
          <w:szCs w:val="24"/>
        </w:rPr>
      </w:pPr>
      <w:r>
        <w:rPr>
          <w:rFonts w:ascii="Times New Roman" w:hAnsi="Times New Roman" w:cs="Times New Roman"/>
          <w:sz w:val="24"/>
          <w:szCs w:val="24"/>
        </w:rPr>
        <w:t>Shaw’s final section “</w:t>
      </w:r>
      <w:r>
        <w:rPr>
          <w:rFonts w:ascii="Times New Roman" w:hAnsi="Times New Roman" w:cs="Times New Roman"/>
          <w:i/>
          <w:iCs/>
          <w:sz w:val="24"/>
          <w:szCs w:val="24"/>
        </w:rPr>
        <w:t>What actually happened”</w:t>
      </w:r>
      <w:r>
        <w:rPr>
          <w:rFonts w:ascii="Times New Roman" w:hAnsi="Times New Roman" w:cs="Times New Roman"/>
          <w:sz w:val="24"/>
          <w:szCs w:val="24"/>
        </w:rPr>
        <w:t xml:space="preserve">, as he is clearly the most informed person on the topic… </w:t>
      </w:r>
      <w:r w:rsidR="0083126B">
        <w:rPr>
          <w:rFonts w:ascii="Times New Roman" w:hAnsi="Times New Roman" w:cs="Times New Roman"/>
          <w:sz w:val="24"/>
          <w:szCs w:val="24"/>
        </w:rPr>
        <w:t>but offers several conclusions on the topics discussed within the article</w:t>
      </w:r>
      <w:r w:rsidR="000E0A00">
        <w:rPr>
          <w:rFonts w:ascii="Times New Roman" w:hAnsi="Times New Roman" w:cs="Times New Roman"/>
          <w:sz w:val="24"/>
          <w:szCs w:val="24"/>
        </w:rPr>
        <w:t>.</w:t>
      </w:r>
      <w:r w:rsidR="000E0A00">
        <w:rPr>
          <w:rStyle w:val="FootnoteReference"/>
          <w:rFonts w:ascii="Times New Roman" w:hAnsi="Times New Roman" w:cs="Times New Roman"/>
          <w:sz w:val="24"/>
          <w:szCs w:val="24"/>
        </w:rPr>
        <w:footnoteReference w:id="8"/>
      </w:r>
      <w:r w:rsidR="000E0A00">
        <w:rPr>
          <w:rFonts w:ascii="Times New Roman" w:hAnsi="Times New Roman" w:cs="Times New Roman"/>
          <w:sz w:val="24"/>
          <w:szCs w:val="24"/>
        </w:rPr>
        <w:t xml:space="preserve"> His conclusions are: that Paul was most likely executed in Rome but was nothing to do with any anti-Christian sentiment by Nero. It is unknown what actually happened to Peter as all evidence is unclear or lost, and there is no surviving contemporary evidence that Nero specifically attacked the Christians, with the ‘common people’ denouncing them after the fire. M</w:t>
      </w:r>
      <w:r w:rsidR="002C49E3">
        <w:rPr>
          <w:rFonts w:ascii="Times New Roman" w:hAnsi="Times New Roman" w:cs="Times New Roman"/>
          <w:sz w:val="24"/>
          <w:szCs w:val="24"/>
        </w:rPr>
        <w:t xml:space="preserve">ost sources point to c.100 AD as the time for when Christians were specifically persecuted and not after the fire. Shaw also states he is not suggesting Tacitus was creating </w:t>
      </w:r>
      <w:r w:rsidR="002C49E3">
        <w:rPr>
          <w:rFonts w:ascii="Times New Roman" w:hAnsi="Times New Roman" w:cs="Times New Roman"/>
          <w:sz w:val="24"/>
          <w:szCs w:val="24"/>
        </w:rPr>
        <w:lastRenderedPageBreak/>
        <w:t>fictions or behaving in a dishonest manner when writing about Nero, the Christians, and the fire.</w:t>
      </w:r>
      <w:r w:rsidR="002C49E3">
        <w:rPr>
          <w:rStyle w:val="FootnoteReference"/>
          <w:rFonts w:ascii="Times New Roman" w:hAnsi="Times New Roman" w:cs="Times New Roman"/>
          <w:sz w:val="24"/>
          <w:szCs w:val="24"/>
        </w:rPr>
        <w:footnoteReference w:id="9"/>
      </w:r>
      <w:r w:rsidR="002C49E3">
        <w:rPr>
          <w:rFonts w:ascii="Times New Roman" w:hAnsi="Times New Roman" w:cs="Times New Roman"/>
          <w:sz w:val="24"/>
          <w:szCs w:val="24"/>
        </w:rPr>
        <w:t xml:space="preserve"> </w:t>
      </w:r>
    </w:p>
    <w:p w14:paraId="41D50E98" w14:textId="51AE90BC" w:rsidR="00A55FFC" w:rsidRDefault="002C49E3" w:rsidP="001A63FF">
      <w:pPr>
        <w:rPr>
          <w:rFonts w:ascii="Times New Roman" w:hAnsi="Times New Roman" w:cs="Times New Roman"/>
          <w:sz w:val="24"/>
          <w:szCs w:val="24"/>
        </w:rPr>
      </w:pPr>
      <w:r>
        <w:rPr>
          <w:rFonts w:ascii="Times New Roman" w:hAnsi="Times New Roman" w:cs="Times New Roman"/>
          <w:sz w:val="24"/>
          <w:szCs w:val="24"/>
        </w:rPr>
        <w:t xml:space="preserve">In Shaw’s conclusion he writes that there are no definitive reasons to accept the fact that the Christians were attacked and martyred by Nero and the Roman state </w:t>
      </w:r>
      <w:r w:rsidR="00FE092B">
        <w:rPr>
          <w:rFonts w:ascii="Times New Roman" w:hAnsi="Times New Roman" w:cs="Times New Roman"/>
          <w:sz w:val="24"/>
          <w:szCs w:val="24"/>
        </w:rPr>
        <w:t>or any link between them and the fire, and that the first real official persecutions happened in Trajan’s reign.</w:t>
      </w:r>
      <w:r w:rsidR="00FE092B">
        <w:rPr>
          <w:rStyle w:val="FootnoteReference"/>
          <w:rFonts w:ascii="Times New Roman" w:hAnsi="Times New Roman" w:cs="Times New Roman"/>
          <w:sz w:val="24"/>
          <w:szCs w:val="24"/>
        </w:rPr>
        <w:footnoteReference w:id="10"/>
      </w:r>
    </w:p>
    <w:p w14:paraId="5B62CE57" w14:textId="6DB20C9F" w:rsidR="00192B8E" w:rsidRDefault="00192B8E" w:rsidP="001A63FF">
      <w:pPr>
        <w:rPr>
          <w:rFonts w:ascii="Times New Roman" w:hAnsi="Times New Roman" w:cs="Times New Roman"/>
          <w:sz w:val="24"/>
          <w:szCs w:val="24"/>
        </w:rPr>
      </w:pPr>
      <w:r>
        <w:rPr>
          <w:rFonts w:ascii="Times New Roman" w:hAnsi="Times New Roman" w:cs="Times New Roman"/>
          <w:sz w:val="24"/>
          <w:szCs w:val="24"/>
        </w:rPr>
        <w:t>An apt description for Shaw’s article would be “</w:t>
      </w:r>
      <w:r>
        <w:rPr>
          <w:rFonts w:ascii="Times New Roman" w:hAnsi="Times New Roman" w:cs="Times New Roman"/>
          <w:i/>
          <w:iCs/>
          <w:sz w:val="24"/>
          <w:szCs w:val="24"/>
        </w:rPr>
        <w:t>provocative</w:t>
      </w:r>
      <w:r>
        <w:rPr>
          <w:rFonts w:ascii="Times New Roman" w:hAnsi="Times New Roman" w:cs="Times New Roman"/>
          <w:sz w:val="24"/>
          <w:szCs w:val="24"/>
        </w:rPr>
        <w:t xml:space="preserve">” which is exactly how </w:t>
      </w:r>
      <w:r w:rsidR="00F01599">
        <w:rPr>
          <w:rFonts w:ascii="Times New Roman" w:hAnsi="Times New Roman" w:cs="Times New Roman"/>
          <w:sz w:val="24"/>
          <w:szCs w:val="24"/>
        </w:rPr>
        <w:t>Shaw</w:t>
      </w:r>
      <w:r>
        <w:rPr>
          <w:rFonts w:ascii="Times New Roman" w:hAnsi="Times New Roman" w:cs="Times New Roman"/>
          <w:sz w:val="24"/>
          <w:szCs w:val="24"/>
        </w:rPr>
        <w:t xml:space="preserve"> describes his </w:t>
      </w:r>
      <w:r w:rsidR="00F01599">
        <w:rPr>
          <w:rFonts w:ascii="Times New Roman" w:hAnsi="Times New Roman" w:cs="Times New Roman"/>
          <w:sz w:val="24"/>
          <w:szCs w:val="24"/>
        </w:rPr>
        <w:t xml:space="preserve">own </w:t>
      </w:r>
      <w:r>
        <w:rPr>
          <w:rFonts w:ascii="Times New Roman" w:hAnsi="Times New Roman" w:cs="Times New Roman"/>
          <w:sz w:val="24"/>
          <w:szCs w:val="24"/>
        </w:rPr>
        <w:t>hypothesis</w:t>
      </w:r>
      <w:r w:rsidR="00F01599">
        <w:rPr>
          <w:rFonts w:ascii="Times New Roman" w:hAnsi="Times New Roman" w:cs="Times New Roman"/>
          <w:sz w:val="24"/>
          <w:szCs w:val="24"/>
        </w:rPr>
        <w:t xml:space="preserve"> a</w:t>
      </w:r>
      <w:r w:rsidR="00E72D7F">
        <w:rPr>
          <w:rFonts w:ascii="Times New Roman" w:hAnsi="Times New Roman" w:cs="Times New Roman"/>
          <w:sz w:val="24"/>
          <w:szCs w:val="24"/>
        </w:rPr>
        <w:t>nd</w:t>
      </w:r>
      <w:r w:rsidR="00F01599">
        <w:rPr>
          <w:rFonts w:ascii="Times New Roman" w:hAnsi="Times New Roman" w:cs="Times New Roman"/>
          <w:sz w:val="24"/>
          <w:szCs w:val="24"/>
        </w:rPr>
        <w:t xml:space="preserve"> to critique one of his main arguments – there is no evidence or reason to doubt Tacitus’ report of the Christian persecution.</w:t>
      </w:r>
      <w:r w:rsidR="00E30130">
        <w:rPr>
          <w:rFonts w:ascii="Times New Roman" w:hAnsi="Times New Roman" w:cs="Times New Roman"/>
          <w:sz w:val="24"/>
          <w:szCs w:val="24"/>
        </w:rPr>
        <w:t xml:space="preserve"> It is an accepted fact within the scholarship that Peter and Paul’s execution are dated to Nero’s reign, Jones gives Melito and Dionysius of Alexandria as sources confirming this, but the accuracy of Tacitus’ account is not affected by this.</w:t>
      </w:r>
      <w:r w:rsidR="00E30130">
        <w:rPr>
          <w:rStyle w:val="FootnoteReference"/>
          <w:rFonts w:ascii="Times New Roman" w:hAnsi="Times New Roman" w:cs="Times New Roman"/>
          <w:sz w:val="24"/>
          <w:szCs w:val="24"/>
        </w:rPr>
        <w:footnoteReference w:id="11"/>
      </w:r>
      <w:r w:rsidR="00E30130">
        <w:rPr>
          <w:rFonts w:ascii="Times New Roman" w:hAnsi="Times New Roman" w:cs="Times New Roman"/>
          <w:sz w:val="24"/>
          <w:szCs w:val="24"/>
        </w:rPr>
        <w:t xml:space="preserve"> Shaw’s article </w:t>
      </w:r>
      <w:r w:rsidR="00C61E6D">
        <w:rPr>
          <w:rFonts w:ascii="Times New Roman" w:hAnsi="Times New Roman" w:cs="Times New Roman"/>
          <w:sz w:val="24"/>
          <w:szCs w:val="24"/>
        </w:rPr>
        <w:t>is clear in his delusion but it is not thorough nor clear in an explanation of the subject as he conflates Nero’s persecution of the Christians for the fire and the execution of Peter and Paul within the same context and treats them as one event</w:t>
      </w:r>
      <w:r w:rsidR="008A6943">
        <w:rPr>
          <w:rFonts w:ascii="Times New Roman" w:hAnsi="Times New Roman" w:cs="Times New Roman"/>
          <w:sz w:val="24"/>
          <w:szCs w:val="24"/>
        </w:rPr>
        <w:t xml:space="preserve"> and is a clear </w:t>
      </w:r>
      <w:r w:rsidR="00366B37">
        <w:rPr>
          <w:rFonts w:ascii="Times New Roman" w:hAnsi="Times New Roman" w:cs="Times New Roman"/>
          <w:sz w:val="24"/>
          <w:szCs w:val="24"/>
        </w:rPr>
        <w:t>misinterpretation of Tacitus’ account.</w:t>
      </w:r>
    </w:p>
    <w:p w14:paraId="343EF967" w14:textId="1DC13661" w:rsidR="00F91A56" w:rsidRPr="00B93D52" w:rsidRDefault="00F91A56" w:rsidP="001A63FF">
      <w:pPr>
        <w:rPr>
          <w:rFonts w:ascii="Times New Roman" w:hAnsi="Times New Roman" w:cs="Times New Roman"/>
          <w:sz w:val="24"/>
          <w:szCs w:val="24"/>
        </w:rPr>
      </w:pPr>
      <w:r>
        <w:rPr>
          <w:rFonts w:ascii="Times New Roman" w:hAnsi="Times New Roman" w:cs="Times New Roman"/>
          <w:sz w:val="24"/>
          <w:szCs w:val="24"/>
        </w:rPr>
        <w:t xml:space="preserve">It is worth discussing whether this was the first </w:t>
      </w:r>
      <w:r w:rsidR="0076216A">
        <w:rPr>
          <w:rFonts w:ascii="Times New Roman" w:hAnsi="Times New Roman" w:cs="Times New Roman"/>
          <w:sz w:val="24"/>
          <w:szCs w:val="24"/>
        </w:rPr>
        <w:t xml:space="preserve">imperial </w:t>
      </w:r>
      <w:r>
        <w:rPr>
          <w:rFonts w:ascii="Times New Roman" w:hAnsi="Times New Roman" w:cs="Times New Roman"/>
          <w:sz w:val="24"/>
          <w:szCs w:val="24"/>
        </w:rPr>
        <w:t xml:space="preserve">persecution of Christians </w:t>
      </w:r>
      <w:r w:rsidR="006C63C0">
        <w:rPr>
          <w:rFonts w:ascii="Times New Roman" w:hAnsi="Times New Roman" w:cs="Times New Roman"/>
          <w:sz w:val="24"/>
          <w:szCs w:val="24"/>
        </w:rPr>
        <w:t>or if there were persecutions in the reign of Tiberius or Claudius</w:t>
      </w:r>
      <w:r w:rsidR="00666E9F">
        <w:rPr>
          <w:rFonts w:ascii="Times New Roman" w:hAnsi="Times New Roman" w:cs="Times New Roman"/>
          <w:sz w:val="24"/>
          <w:szCs w:val="24"/>
        </w:rPr>
        <w:t>, there is a vast amount of scholarship o</w:t>
      </w:r>
      <w:r w:rsidR="00650C55">
        <w:rPr>
          <w:rFonts w:ascii="Times New Roman" w:hAnsi="Times New Roman" w:cs="Times New Roman"/>
          <w:sz w:val="24"/>
          <w:szCs w:val="24"/>
        </w:rPr>
        <w:t>n</w:t>
      </w:r>
      <w:r w:rsidR="009B2915">
        <w:rPr>
          <w:rFonts w:ascii="Times New Roman" w:hAnsi="Times New Roman" w:cs="Times New Roman"/>
          <w:sz w:val="24"/>
          <w:szCs w:val="24"/>
        </w:rPr>
        <w:t xml:space="preserve"> the judicial basis of the persecution of the Christians in the Roman </w:t>
      </w:r>
      <w:r w:rsidR="00EF0B5B">
        <w:rPr>
          <w:rFonts w:ascii="Times New Roman" w:hAnsi="Times New Roman" w:cs="Times New Roman"/>
          <w:sz w:val="24"/>
          <w:szCs w:val="24"/>
        </w:rPr>
        <w:t>Empire up to 250 CE</w:t>
      </w:r>
      <w:r w:rsidR="00712A9C">
        <w:rPr>
          <w:rFonts w:ascii="Times New Roman" w:hAnsi="Times New Roman" w:cs="Times New Roman"/>
          <w:sz w:val="24"/>
          <w:szCs w:val="24"/>
        </w:rPr>
        <w:t xml:space="preserve">. However, Barnes </w:t>
      </w:r>
      <w:r w:rsidR="00F13AAF">
        <w:rPr>
          <w:rFonts w:ascii="Times New Roman" w:hAnsi="Times New Roman" w:cs="Times New Roman"/>
          <w:sz w:val="24"/>
          <w:szCs w:val="24"/>
        </w:rPr>
        <w:t xml:space="preserve">is largely critical of a lot </w:t>
      </w:r>
      <w:r w:rsidR="006D257B">
        <w:rPr>
          <w:rFonts w:ascii="Times New Roman" w:hAnsi="Times New Roman" w:cs="Times New Roman"/>
          <w:sz w:val="24"/>
          <w:szCs w:val="24"/>
        </w:rPr>
        <w:t>of the work on this subject</w:t>
      </w:r>
      <w:r w:rsidR="00C035F3">
        <w:rPr>
          <w:rFonts w:ascii="Times New Roman" w:hAnsi="Times New Roman" w:cs="Times New Roman"/>
          <w:sz w:val="24"/>
          <w:szCs w:val="24"/>
        </w:rPr>
        <w:t>.</w:t>
      </w:r>
      <w:r w:rsidR="005C1E16">
        <w:rPr>
          <w:rStyle w:val="FootnoteReference"/>
          <w:rFonts w:ascii="Times New Roman" w:hAnsi="Times New Roman" w:cs="Times New Roman"/>
          <w:sz w:val="24"/>
          <w:szCs w:val="24"/>
        </w:rPr>
        <w:footnoteReference w:id="12"/>
      </w:r>
      <w:r w:rsidR="00C72842">
        <w:rPr>
          <w:rFonts w:ascii="Times New Roman" w:hAnsi="Times New Roman" w:cs="Times New Roman"/>
          <w:sz w:val="24"/>
          <w:szCs w:val="24"/>
        </w:rPr>
        <w:t xml:space="preserve"> </w:t>
      </w:r>
      <w:r w:rsidR="00F842CB">
        <w:rPr>
          <w:rFonts w:ascii="Times New Roman" w:hAnsi="Times New Roman" w:cs="Times New Roman"/>
          <w:sz w:val="24"/>
          <w:szCs w:val="24"/>
        </w:rPr>
        <w:t xml:space="preserve">There are </w:t>
      </w:r>
      <w:r w:rsidR="00166DFF">
        <w:rPr>
          <w:rFonts w:ascii="Times New Roman" w:hAnsi="Times New Roman" w:cs="Times New Roman"/>
          <w:sz w:val="24"/>
          <w:szCs w:val="24"/>
        </w:rPr>
        <w:t xml:space="preserve">accounts that mention Tiberius and Claudius in the context </w:t>
      </w:r>
      <w:r w:rsidR="00401F0F">
        <w:rPr>
          <w:rFonts w:ascii="Times New Roman" w:hAnsi="Times New Roman" w:cs="Times New Roman"/>
          <w:sz w:val="24"/>
          <w:szCs w:val="24"/>
        </w:rPr>
        <w:t>of Christian persecution</w:t>
      </w:r>
      <w:r w:rsidR="00DE33DC">
        <w:rPr>
          <w:rFonts w:ascii="Times New Roman" w:hAnsi="Times New Roman" w:cs="Times New Roman"/>
          <w:sz w:val="24"/>
          <w:szCs w:val="24"/>
        </w:rPr>
        <w:t>,</w:t>
      </w:r>
      <w:r w:rsidR="00401F0F">
        <w:rPr>
          <w:rFonts w:ascii="Times New Roman" w:hAnsi="Times New Roman" w:cs="Times New Roman"/>
          <w:sz w:val="24"/>
          <w:szCs w:val="24"/>
        </w:rPr>
        <w:t xml:space="preserve"> </w:t>
      </w:r>
      <w:r w:rsidR="00722367">
        <w:rPr>
          <w:rFonts w:ascii="Times New Roman" w:hAnsi="Times New Roman" w:cs="Times New Roman"/>
          <w:sz w:val="24"/>
          <w:szCs w:val="24"/>
        </w:rPr>
        <w:t>T</w:t>
      </w:r>
      <w:r w:rsidR="00F31BE5">
        <w:rPr>
          <w:rFonts w:ascii="Times New Roman" w:hAnsi="Times New Roman" w:cs="Times New Roman"/>
          <w:sz w:val="24"/>
          <w:szCs w:val="24"/>
        </w:rPr>
        <w:t xml:space="preserve">ertullian and Eusebius </w:t>
      </w:r>
      <w:r w:rsidR="00DE33DC">
        <w:rPr>
          <w:rFonts w:ascii="Times New Roman" w:hAnsi="Times New Roman" w:cs="Times New Roman"/>
          <w:sz w:val="24"/>
          <w:szCs w:val="24"/>
        </w:rPr>
        <w:t xml:space="preserve">make reference </w:t>
      </w:r>
      <w:r w:rsidR="00531863">
        <w:rPr>
          <w:rFonts w:ascii="Times New Roman" w:hAnsi="Times New Roman" w:cs="Times New Roman"/>
          <w:sz w:val="24"/>
          <w:szCs w:val="24"/>
        </w:rPr>
        <w:t>to Tiberius and Suetonius makes</w:t>
      </w:r>
      <w:r w:rsidR="006349E1">
        <w:rPr>
          <w:rFonts w:ascii="Times New Roman" w:hAnsi="Times New Roman" w:cs="Times New Roman"/>
          <w:sz w:val="24"/>
          <w:szCs w:val="24"/>
        </w:rPr>
        <w:t xml:space="preserve"> refernce to Claudius.</w:t>
      </w:r>
      <w:r w:rsidR="006349E1">
        <w:rPr>
          <w:rStyle w:val="FootnoteReference"/>
          <w:rFonts w:ascii="Times New Roman" w:hAnsi="Times New Roman" w:cs="Times New Roman"/>
          <w:sz w:val="24"/>
          <w:szCs w:val="24"/>
        </w:rPr>
        <w:footnoteReference w:id="13"/>
      </w:r>
      <w:r w:rsidR="003602A5">
        <w:rPr>
          <w:rFonts w:ascii="Times New Roman" w:hAnsi="Times New Roman" w:cs="Times New Roman"/>
          <w:sz w:val="24"/>
          <w:szCs w:val="24"/>
        </w:rPr>
        <w:t xml:space="preserve"> </w:t>
      </w:r>
      <w:r w:rsidR="00B3685C">
        <w:rPr>
          <w:rFonts w:ascii="Times New Roman" w:hAnsi="Times New Roman" w:cs="Times New Roman"/>
          <w:sz w:val="24"/>
          <w:szCs w:val="24"/>
        </w:rPr>
        <w:t>These</w:t>
      </w:r>
      <w:r w:rsidR="00025435">
        <w:rPr>
          <w:rFonts w:ascii="Times New Roman" w:hAnsi="Times New Roman" w:cs="Times New Roman"/>
          <w:sz w:val="24"/>
          <w:szCs w:val="24"/>
        </w:rPr>
        <w:t xml:space="preserve"> </w:t>
      </w:r>
      <w:r w:rsidR="00EE0355">
        <w:rPr>
          <w:rFonts w:ascii="Times New Roman" w:hAnsi="Times New Roman" w:cs="Times New Roman"/>
          <w:sz w:val="24"/>
          <w:szCs w:val="24"/>
        </w:rPr>
        <w:t xml:space="preserve">accounts on early Roman emperors </w:t>
      </w:r>
      <w:r w:rsidR="002774F5">
        <w:rPr>
          <w:rFonts w:ascii="Times New Roman" w:hAnsi="Times New Roman" w:cs="Times New Roman"/>
          <w:sz w:val="24"/>
          <w:szCs w:val="24"/>
        </w:rPr>
        <w:t xml:space="preserve">are </w:t>
      </w:r>
      <w:r w:rsidR="004F751C">
        <w:rPr>
          <w:rFonts w:ascii="Times New Roman" w:hAnsi="Times New Roman" w:cs="Times New Roman"/>
          <w:sz w:val="24"/>
          <w:szCs w:val="24"/>
        </w:rPr>
        <w:t xml:space="preserve">often not described as </w:t>
      </w:r>
      <w:r w:rsidR="00271499">
        <w:rPr>
          <w:rFonts w:ascii="Times New Roman" w:hAnsi="Times New Roman" w:cs="Times New Roman"/>
          <w:sz w:val="24"/>
          <w:szCs w:val="24"/>
        </w:rPr>
        <w:t>the first official imperial persecutions of Christians</w:t>
      </w:r>
      <w:r w:rsidR="007E1A39">
        <w:rPr>
          <w:rFonts w:ascii="Times New Roman" w:hAnsi="Times New Roman" w:cs="Times New Roman"/>
          <w:sz w:val="24"/>
          <w:szCs w:val="24"/>
        </w:rPr>
        <w:t xml:space="preserve">. </w:t>
      </w:r>
      <w:r w:rsidR="006453FB">
        <w:rPr>
          <w:rFonts w:ascii="Times New Roman" w:hAnsi="Times New Roman" w:cs="Times New Roman"/>
          <w:sz w:val="24"/>
          <w:szCs w:val="24"/>
        </w:rPr>
        <w:t xml:space="preserve">The evidence for </w:t>
      </w:r>
      <w:r w:rsidR="003C3DEF">
        <w:rPr>
          <w:rFonts w:ascii="Times New Roman" w:hAnsi="Times New Roman" w:cs="Times New Roman"/>
          <w:sz w:val="24"/>
          <w:szCs w:val="24"/>
        </w:rPr>
        <w:t xml:space="preserve">Nero as the first </w:t>
      </w:r>
      <w:r w:rsidR="00A81BAB">
        <w:rPr>
          <w:rFonts w:ascii="Times New Roman" w:hAnsi="Times New Roman" w:cs="Times New Roman"/>
          <w:sz w:val="24"/>
          <w:szCs w:val="24"/>
        </w:rPr>
        <w:t>emperor to persecute the Christians is overwhelming</w:t>
      </w:r>
      <w:r w:rsidR="00DE1C6B">
        <w:rPr>
          <w:rFonts w:ascii="Times New Roman" w:hAnsi="Times New Roman" w:cs="Times New Roman"/>
          <w:sz w:val="24"/>
          <w:szCs w:val="24"/>
        </w:rPr>
        <w:t xml:space="preserve"> as it is generally accepted that </w:t>
      </w:r>
      <w:r w:rsidR="00E74F66">
        <w:rPr>
          <w:rFonts w:ascii="Times New Roman" w:hAnsi="Times New Roman" w:cs="Times New Roman"/>
          <w:sz w:val="24"/>
          <w:szCs w:val="24"/>
        </w:rPr>
        <w:t>the fire of 64 led to their persecution</w:t>
      </w:r>
      <w:r w:rsidR="005576B5">
        <w:rPr>
          <w:rFonts w:ascii="Times New Roman" w:hAnsi="Times New Roman" w:cs="Times New Roman"/>
          <w:sz w:val="24"/>
          <w:szCs w:val="24"/>
        </w:rPr>
        <w:t xml:space="preserve">. Tacitus in the </w:t>
      </w:r>
      <w:r w:rsidR="005576B5">
        <w:rPr>
          <w:rFonts w:ascii="Times New Roman" w:hAnsi="Times New Roman" w:cs="Times New Roman"/>
          <w:i/>
          <w:iCs/>
          <w:sz w:val="24"/>
          <w:szCs w:val="24"/>
        </w:rPr>
        <w:t>Annals</w:t>
      </w:r>
      <w:r w:rsidR="005576B5">
        <w:rPr>
          <w:rFonts w:ascii="Times New Roman" w:hAnsi="Times New Roman" w:cs="Times New Roman"/>
          <w:sz w:val="24"/>
          <w:szCs w:val="24"/>
        </w:rPr>
        <w:t xml:space="preserve"> is the first source to mention Nero’s persecutions</w:t>
      </w:r>
      <w:r w:rsidR="00296988">
        <w:rPr>
          <w:rFonts w:ascii="Times New Roman" w:hAnsi="Times New Roman" w:cs="Times New Roman"/>
          <w:sz w:val="24"/>
          <w:szCs w:val="24"/>
        </w:rPr>
        <w:t xml:space="preserve">, after Tacitus, Melito </w:t>
      </w:r>
      <w:r w:rsidR="006D15F2">
        <w:rPr>
          <w:rFonts w:ascii="Times New Roman" w:hAnsi="Times New Roman" w:cs="Times New Roman"/>
          <w:sz w:val="24"/>
          <w:szCs w:val="24"/>
        </w:rPr>
        <w:t>mentions Nero: “</w:t>
      </w:r>
      <w:r w:rsidR="00315562">
        <w:rPr>
          <w:rFonts w:ascii="Times New Roman" w:hAnsi="Times New Roman" w:cs="Times New Roman"/>
          <w:i/>
          <w:iCs/>
          <w:sz w:val="24"/>
          <w:szCs w:val="24"/>
        </w:rPr>
        <w:t>Nero and Domitian chose to make our word a subject of slander</w:t>
      </w:r>
      <w:r w:rsidR="00315562">
        <w:rPr>
          <w:rFonts w:ascii="Times New Roman" w:hAnsi="Times New Roman" w:cs="Times New Roman"/>
          <w:sz w:val="24"/>
          <w:szCs w:val="24"/>
        </w:rPr>
        <w:t>”</w:t>
      </w:r>
      <w:r w:rsidR="00350C70">
        <w:rPr>
          <w:rFonts w:ascii="Times New Roman" w:hAnsi="Times New Roman" w:cs="Times New Roman"/>
          <w:sz w:val="24"/>
          <w:szCs w:val="24"/>
        </w:rPr>
        <w:t xml:space="preserve"> </w:t>
      </w:r>
      <w:r w:rsidR="008603C2">
        <w:rPr>
          <w:rFonts w:ascii="Times New Roman" w:hAnsi="Times New Roman" w:cs="Times New Roman"/>
          <w:sz w:val="24"/>
          <w:szCs w:val="24"/>
        </w:rPr>
        <w:t>and Tertullian writes that “</w:t>
      </w:r>
      <w:r w:rsidR="00AA20B8">
        <w:rPr>
          <w:rFonts w:ascii="Times New Roman" w:hAnsi="Times New Roman" w:cs="Times New Roman"/>
          <w:i/>
          <w:iCs/>
          <w:sz w:val="24"/>
          <w:szCs w:val="24"/>
        </w:rPr>
        <w:t>Condemnation of Christians was established in the reign of Nero</w:t>
      </w:r>
      <w:r w:rsidR="00AA20B8">
        <w:rPr>
          <w:rFonts w:ascii="Times New Roman" w:hAnsi="Times New Roman" w:cs="Times New Roman"/>
          <w:sz w:val="24"/>
          <w:szCs w:val="24"/>
        </w:rPr>
        <w:t>”</w:t>
      </w:r>
      <w:r w:rsidR="005F6307">
        <w:rPr>
          <w:rFonts w:ascii="Times New Roman" w:hAnsi="Times New Roman" w:cs="Times New Roman"/>
          <w:sz w:val="24"/>
          <w:szCs w:val="24"/>
        </w:rPr>
        <w:t>.</w:t>
      </w:r>
      <w:r w:rsidR="005F6307">
        <w:rPr>
          <w:rStyle w:val="FootnoteReference"/>
          <w:rFonts w:ascii="Times New Roman" w:hAnsi="Times New Roman" w:cs="Times New Roman"/>
          <w:sz w:val="24"/>
          <w:szCs w:val="24"/>
        </w:rPr>
        <w:footnoteReference w:id="14"/>
      </w:r>
      <w:r w:rsidR="001A71F1">
        <w:rPr>
          <w:rFonts w:ascii="Times New Roman" w:hAnsi="Times New Roman" w:cs="Times New Roman"/>
          <w:sz w:val="24"/>
          <w:szCs w:val="24"/>
        </w:rPr>
        <w:t xml:space="preserve"> </w:t>
      </w:r>
      <w:r w:rsidR="006553BF">
        <w:rPr>
          <w:rFonts w:ascii="Times New Roman" w:hAnsi="Times New Roman" w:cs="Times New Roman"/>
          <w:sz w:val="24"/>
          <w:szCs w:val="24"/>
        </w:rPr>
        <w:t xml:space="preserve">Furthermore, </w:t>
      </w:r>
      <w:r w:rsidR="00A3006F">
        <w:rPr>
          <w:rFonts w:ascii="Times New Roman" w:hAnsi="Times New Roman" w:cs="Times New Roman"/>
          <w:sz w:val="24"/>
          <w:szCs w:val="24"/>
        </w:rPr>
        <w:t xml:space="preserve">in Christian tradition </w:t>
      </w:r>
      <w:r w:rsidR="006635D4">
        <w:rPr>
          <w:rFonts w:ascii="Times New Roman" w:hAnsi="Times New Roman" w:cs="Times New Roman"/>
          <w:sz w:val="24"/>
          <w:szCs w:val="24"/>
        </w:rPr>
        <w:t xml:space="preserve">of the second century CE </w:t>
      </w:r>
      <w:r w:rsidR="00DB0087">
        <w:rPr>
          <w:rFonts w:ascii="Times New Roman" w:hAnsi="Times New Roman" w:cs="Times New Roman"/>
          <w:sz w:val="24"/>
          <w:szCs w:val="24"/>
        </w:rPr>
        <w:t>it is implied that Peter and Paul were martyred in R</w:t>
      </w:r>
      <w:r w:rsidR="00057A47">
        <w:rPr>
          <w:rFonts w:ascii="Times New Roman" w:hAnsi="Times New Roman" w:cs="Times New Roman"/>
          <w:sz w:val="24"/>
          <w:szCs w:val="24"/>
        </w:rPr>
        <w:t>ome</w:t>
      </w:r>
      <w:r w:rsidR="00735182">
        <w:rPr>
          <w:rFonts w:ascii="Times New Roman" w:hAnsi="Times New Roman" w:cs="Times New Roman"/>
          <w:sz w:val="24"/>
          <w:szCs w:val="24"/>
        </w:rPr>
        <w:t xml:space="preserve"> </w:t>
      </w:r>
      <w:r w:rsidR="00595E30">
        <w:rPr>
          <w:rFonts w:ascii="Times New Roman" w:hAnsi="Times New Roman" w:cs="Times New Roman"/>
          <w:sz w:val="24"/>
          <w:szCs w:val="24"/>
        </w:rPr>
        <w:t>and possibly within the same persecution</w:t>
      </w:r>
      <w:r w:rsidR="005449A6">
        <w:rPr>
          <w:rFonts w:ascii="Times New Roman" w:hAnsi="Times New Roman" w:cs="Times New Roman"/>
          <w:sz w:val="24"/>
          <w:szCs w:val="24"/>
        </w:rPr>
        <w:t xml:space="preserve"> </w:t>
      </w:r>
      <w:r w:rsidR="0028661C">
        <w:rPr>
          <w:rFonts w:ascii="Times New Roman" w:hAnsi="Times New Roman" w:cs="Times New Roman"/>
          <w:sz w:val="24"/>
          <w:szCs w:val="24"/>
        </w:rPr>
        <w:t xml:space="preserve">but the details </w:t>
      </w:r>
      <w:r w:rsidR="00C817FF">
        <w:rPr>
          <w:rFonts w:ascii="Times New Roman" w:hAnsi="Times New Roman" w:cs="Times New Roman"/>
          <w:sz w:val="24"/>
          <w:szCs w:val="24"/>
        </w:rPr>
        <w:t xml:space="preserve">are not exact and modern scholars tend </w:t>
      </w:r>
      <w:r w:rsidR="009E3828">
        <w:rPr>
          <w:rFonts w:ascii="Times New Roman" w:hAnsi="Times New Roman" w:cs="Times New Roman"/>
          <w:sz w:val="24"/>
          <w:szCs w:val="24"/>
        </w:rPr>
        <w:t xml:space="preserve">to doubt the fact </w:t>
      </w:r>
      <w:r w:rsidR="001806B6">
        <w:rPr>
          <w:rFonts w:ascii="Times New Roman" w:hAnsi="Times New Roman" w:cs="Times New Roman"/>
          <w:sz w:val="24"/>
          <w:szCs w:val="24"/>
        </w:rPr>
        <w:t>Peter and Paul</w:t>
      </w:r>
      <w:r w:rsidR="000E018D">
        <w:rPr>
          <w:rFonts w:ascii="Times New Roman" w:hAnsi="Times New Roman" w:cs="Times New Roman"/>
          <w:sz w:val="24"/>
          <w:szCs w:val="24"/>
        </w:rPr>
        <w:t>’s deaths were involved in t</w:t>
      </w:r>
      <w:r w:rsidR="00792FF6">
        <w:rPr>
          <w:rFonts w:ascii="Times New Roman" w:hAnsi="Times New Roman" w:cs="Times New Roman"/>
          <w:sz w:val="24"/>
          <w:szCs w:val="24"/>
        </w:rPr>
        <w:t>he persecution.</w:t>
      </w:r>
      <w:r w:rsidR="0059660E">
        <w:rPr>
          <w:rStyle w:val="FootnoteReference"/>
          <w:rFonts w:ascii="Times New Roman" w:hAnsi="Times New Roman" w:cs="Times New Roman"/>
          <w:sz w:val="24"/>
          <w:szCs w:val="24"/>
        </w:rPr>
        <w:footnoteReference w:id="15"/>
      </w:r>
      <w:r w:rsidR="00A20FF2">
        <w:rPr>
          <w:rFonts w:ascii="Times New Roman" w:hAnsi="Times New Roman" w:cs="Times New Roman"/>
          <w:sz w:val="24"/>
          <w:szCs w:val="24"/>
        </w:rPr>
        <w:t xml:space="preserve"> </w:t>
      </w:r>
      <w:r w:rsidR="002846C4">
        <w:rPr>
          <w:rFonts w:ascii="Times New Roman" w:hAnsi="Times New Roman" w:cs="Times New Roman"/>
          <w:sz w:val="24"/>
          <w:szCs w:val="24"/>
        </w:rPr>
        <w:t xml:space="preserve">Lohr adds that </w:t>
      </w:r>
      <w:r w:rsidR="005E42E2">
        <w:rPr>
          <w:rFonts w:ascii="Times New Roman" w:hAnsi="Times New Roman" w:cs="Times New Roman"/>
          <w:sz w:val="24"/>
          <w:szCs w:val="24"/>
        </w:rPr>
        <w:t xml:space="preserve">Paul’s </w:t>
      </w:r>
      <w:r w:rsidR="00BC2414">
        <w:rPr>
          <w:rFonts w:ascii="Times New Roman" w:hAnsi="Times New Roman" w:cs="Times New Roman"/>
          <w:sz w:val="24"/>
          <w:szCs w:val="24"/>
        </w:rPr>
        <w:t xml:space="preserve">death </w:t>
      </w:r>
      <w:r w:rsidR="00105C8B">
        <w:rPr>
          <w:rFonts w:ascii="Times New Roman" w:hAnsi="Times New Roman" w:cs="Times New Roman"/>
          <w:sz w:val="24"/>
          <w:szCs w:val="24"/>
        </w:rPr>
        <w:t>was “</w:t>
      </w:r>
      <w:r w:rsidR="00105C8B">
        <w:rPr>
          <w:rFonts w:ascii="Times New Roman" w:hAnsi="Times New Roman" w:cs="Times New Roman"/>
          <w:i/>
          <w:iCs/>
          <w:sz w:val="24"/>
          <w:szCs w:val="24"/>
        </w:rPr>
        <w:t xml:space="preserve">perhaps before the persecution </w:t>
      </w:r>
      <w:r w:rsidR="008269D1">
        <w:rPr>
          <w:rFonts w:ascii="Times New Roman" w:hAnsi="Times New Roman" w:cs="Times New Roman"/>
          <w:i/>
          <w:iCs/>
          <w:sz w:val="24"/>
          <w:szCs w:val="24"/>
        </w:rPr>
        <w:t>of Christians in Rome</w:t>
      </w:r>
      <w:r w:rsidR="007B05FB">
        <w:rPr>
          <w:rFonts w:ascii="Times New Roman" w:hAnsi="Times New Roman" w:cs="Times New Roman"/>
          <w:i/>
          <w:iCs/>
          <w:sz w:val="24"/>
          <w:szCs w:val="24"/>
        </w:rPr>
        <w:t xml:space="preserve"> by Nero</w:t>
      </w:r>
      <w:r w:rsidR="007B05FB">
        <w:rPr>
          <w:rFonts w:ascii="Times New Roman" w:hAnsi="Times New Roman" w:cs="Times New Roman"/>
          <w:sz w:val="24"/>
          <w:szCs w:val="24"/>
        </w:rPr>
        <w:t>”</w:t>
      </w:r>
      <w:r w:rsidR="00231C26">
        <w:rPr>
          <w:rFonts w:ascii="Times New Roman" w:hAnsi="Times New Roman" w:cs="Times New Roman"/>
          <w:sz w:val="24"/>
          <w:szCs w:val="24"/>
        </w:rPr>
        <w:t xml:space="preserve"> and that “</w:t>
      </w:r>
      <w:r w:rsidR="00231C26">
        <w:rPr>
          <w:rFonts w:ascii="Times New Roman" w:hAnsi="Times New Roman" w:cs="Times New Roman"/>
          <w:i/>
          <w:iCs/>
          <w:sz w:val="24"/>
          <w:szCs w:val="24"/>
        </w:rPr>
        <w:t xml:space="preserve">Paul </w:t>
      </w:r>
      <w:r w:rsidR="00711468">
        <w:rPr>
          <w:rFonts w:ascii="Times New Roman" w:hAnsi="Times New Roman" w:cs="Times New Roman"/>
          <w:i/>
          <w:iCs/>
          <w:sz w:val="24"/>
          <w:szCs w:val="24"/>
        </w:rPr>
        <w:t xml:space="preserve">suffered martyrdom </w:t>
      </w:r>
      <w:r w:rsidR="0079596E">
        <w:rPr>
          <w:rFonts w:ascii="Times New Roman" w:hAnsi="Times New Roman" w:cs="Times New Roman"/>
          <w:i/>
          <w:iCs/>
          <w:sz w:val="24"/>
          <w:szCs w:val="24"/>
        </w:rPr>
        <w:t xml:space="preserve">at the same time as Peter </w:t>
      </w:r>
      <w:r w:rsidR="00B8536A">
        <w:rPr>
          <w:rFonts w:ascii="Times New Roman" w:hAnsi="Times New Roman" w:cs="Times New Roman"/>
          <w:i/>
          <w:iCs/>
          <w:sz w:val="24"/>
          <w:szCs w:val="24"/>
        </w:rPr>
        <w:t xml:space="preserve">is supposed by </w:t>
      </w:r>
      <w:r w:rsidR="006A7054">
        <w:rPr>
          <w:rFonts w:ascii="Times New Roman" w:hAnsi="Times New Roman" w:cs="Times New Roman"/>
          <w:i/>
          <w:iCs/>
          <w:sz w:val="24"/>
          <w:szCs w:val="24"/>
        </w:rPr>
        <w:t>Dionysius of Corinth</w:t>
      </w:r>
      <w:r w:rsidR="00B93D52">
        <w:rPr>
          <w:rFonts w:ascii="Times New Roman" w:hAnsi="Times New Roman" w:cs="Times New Roman"/>
          <w:i/>
          <w:iCs/>
          <w:sz w:val="24"/>
          <w:szCs w:val="24"/>
        </w:rPr>
        <w:t xml:space="preserve"> c.170 CE</w:t>
      </w:r>
      <w:r w:rsidR="00B93D52">
        <w:rPr>
          <w:rFonts w:ascii="Times New Roman" w:hAnsi="Times New Roman" w:cs="Times New Roman"/>
          <w:sz w:val="24"/>
          <w:szCs w:val="24"/>
        </w:rPr>
        <w:t>”</w:t>
      </w:r>
      <w:r w:rsidR="00AE6FD7">
        <w:rPr>
          <w:rStyle w:val="FootnoteReference"/>
          <w:rFonts w:ascii="Times New Roman" w:hAnsi="Times New Roman" w:cs="Times New Roman"/>
          <w:sz w:val="24"/>
          <w:szCs w:val="24"/>
        </w:rPr>
        <w:footnoteReference w:id="16"/>
      </w:r>
      <w:r w:rsidR="00F10497">
        <w:rPr>
          <w:rFonts w:ascii="Times New Roman" w:hAnsi="Times New Roman" w:cs="Times New Roman"/>
          <w:sz w:val="24"/>
          <w:szCs w:val="24"/>
        </w:rPr>
        <w:t xml:space="preserve"> </w:t>
      </w:r>
      <w:r w:rsidR="00A224D3">
        <w:rPr>
          <w:rFonts w:ascii="Times New Roman" w:hAnsi="Times New Roman" w:cs="Times New Roman"/>
          <w:sz w:val="24"/>
          <w:szCs w:val="24"/>
        </w:rPr>
        <w:t xml:space="preserve">Therefore, Shaw’s </w:t>
      </w:r>
      <w:r w:rsidR="00B578BA">
        <w:rPr>
          <w:rFonts w:ascii="Times New Roman" w:hAnsi="Times New Roman" w:cs="Times New Roman"/>
          <w:sz w:val="24"/>
          <w:szCs w:val="24"/>
        </w:rPr>
        <w:t xml:space="preserve">conflation of Nero’s persecution and </w:t>
      </w:r>
      <w:r w:rsidR="0056786A">
        <w:rPr>
          <w:rFonts w:ascii="Times New Roman" w:hAnsi="Times New Roman" w:cs="Times New Roman"/>
          <w:sz w:val="24"/>
          <w:szCs w:val="24"/>
        </w:rPr>
        <w:t>the deaths of Peter and Paul is clear, most likely he misinterpreted Tacitus so to create a new, but wrong avenue of scholarship on the topic.</w:t>
      </w:r>
    </w:p>
    <w:p w14:paraId="3A6C4009" w14:textId="14E2329B" w:rsidR="00987EBF" w:rsidRPr="00EB4761" w:rsidRDefault="00313AED" w:rsidP="001A63FF">
      <w:pPr>
        <w:rPr>
          <w:rFonts w:ascii="Times New Roman" w:hAnsi="Times New Roman" w:cs="Times New Roman"/>
          <w:sz w:val="24"/>
          <w:szCs w:val="24"/>
        </w:rPr>
      </w:pPr>
      <w:r>
        <w:rPr>
          <w:rFonts w:ascii="Times New Roman" w:hAnsi="Times New Roman" w:cs="Times New Roman"/>
          <w:sz w:val="24"/>
          <w:szCs w:val="24"/>
        </w:rPr>
        <w:t xml:space="preserve">The main argument against Tacitus’ account in Shaw’s article </w:t>
      </w:r>
      <w:r w:rsidR="00426E2D">
        <w:rPr>
          <w:rFonts w:ascii="Times New Roman" w:hAnsi="Times New Roman" w:cs="Times New Roman"/>
          <w:sz w:val="24"/>
          <w:szCs w:val="24"/>
        </w:rPr>
        <w:t xml:space="preserve">is Tacitus’ use of the term </w:t>
      </w:r>
      <w:r w:rsidR="00426E2D">
        <w:rPr>
          <w:rFonts w:ascii="Times New Roman" w:hAnsi="Times New Roman" w:cs="Times New Roman"/>
          <w:i/>
          <w:iCs/>
          <w:sz w:val="24"/>
          <w:szCs w:val="24"/>
        </w:rPr>
        <w:t>Chrestiani</w:t>
      </w:r>
      <w:r w:rsidR="00426E2D">
        <w:rPr>
          <w:rFonts w:ascii="Times New Roman" w:hAnsi="Times New Roman" w:cs="Times New Roman"/>
          <w:sz w:val="24"/>
          <w:szCs w:val="24"/>
        </w:rPr>
        <w:t xml:space="preserve"> </w:t>
      </w:r>
      <w:r w:rsidR="002516A4">
        <w:rPr>
          <w:rFonts w:ascii="Times New Roman" w:hAnsi="Times New Roman" w:cs="Times New Roman"/>
          <w:sz w:val="24"/>
          <w:szCs w:val="24"/>
        </w:rPr>
        <w:t xml:space="preserve">referring to Jesus’ followers, the creation of this term stems from </w:t>
      </w:r>
      <w:r w:rsidR="002516A4">
        <w:rPr>
          <w:rFonts w:ascii="Times New Roman" w:hAnsi="Times New Roman" w:cs="Times New Roman"/>
          <w:i/>
          <w:iCs/>
          <w:sz w:val="24"/>
          <w:szCs w:val="24"/>
        </w:rPr>
        <w:t>Acts</w:t>
      </w:r>
      <w:r w:rsidR="002516A4">
        <w:rPr>
          <w:rFonts w:ascii="Times New Roman" w:hAnsi="Times New Roman" w:cs="Times New Roman"/>
          <w:sz w:val="24"/>
          <w:szCs w:val="24"/>
        </w:rPr>
        <w:t xml:space="preserve"> 11.26</w:t>
      </w:r>
      <w:r w:rsidR="00EE0339">
        <w:rPr>
          <w:rFonts w:ascii="Times New Roman" w:hAnsi="Times New Roman" w:cs="Times New Roman"/>
          <w:sz w:val="24"/>
          <w:szCs w:val="24"/>
        </w:rPr>
        <w:t xml:space="preserve"> with </w:t>
      </w:r>
      <w:r w:rsidR="00EE0339">
        <w:rPr>
          <w:rFonts w:ascii="Times New Roman" w:hAnsi="Times New Roman" w:cs="Times New Roman"/>
          <w:sz w:val="24"/>
          <w:szCs w:val="24"/>
        </w:rPr>
        <w:lastRenderedPageBreak/>
        <w:t xml:space="preserve">Paul’s preaching in c.40 CE </w:t>
      </w:r>
      <w:r w:rsidR="00EB4761">
        <w:rPr>
          <w:rFonts w:ascii="Times New Roman" w:hAnsi="Times New Roman" w:cs="Times New Roman"/>
          <w:sz w:val="24"/>
          <w:szCs w:val="24"/>
        </w:rPr>
        <w:t xml:space="preserve">in Antioch where Paul and Barnabus were able to convert many and ‘the first disciples were first called </w:t>
      </w:r>
      <w:r w:rsidR="00EB4761">
        <w:rPr>
          <w:rFonts w:ascii="Times New Roman" w:hAnsi="Times New Roman" w:cs="Times New Roman"/>
          <w:i/>
          <w:iCs/>
          <w:sz w:val="24"/>
          <w:szCs w:val="24"/>
        </w:rPr>
        <w:t xml:space="preserve">Christianoi </w:t>
      </w:r>
      <w:r w:rsidR="00EB4761">
        <w:rPr>
          <w:rFonts w:ascii="Times New Roman" w:hAnsi="Times New Roman" w:cs="Times New Roman"/>
          <w:sz w:val="24"/>
          <w:szCs w:val="24"/>
        </w:rPr>
        <w:t>in Antioch’.</w:t>
      </w:r>
      <w:r w:rsidR="00EB4761">
        <w:rPr>
          <w:rStyle w:val="FootnoteReference"/>
          <w:rFonts w:ascii="Times New Roman" w:hAnsi="Times New Roman" w:cs="Times New Roman"/>
          <w:sz w:val="24"/>
          <w:szCs w:val="24"/>
        </w:rPr>
        <w:footnoteReference w:id="17"/>
      </w:r>
      <w:r w:rsidR="00F7753E">
        <w:rPr>
          <w:rFonts w:ascii="Times New Roman" w:hAnsi="Times New Roman" w:cs="Times New Roman"/>
          <w:sz w:val="24"/>
          <w:szCs w:val="24"/>
        </w:rPr>
        <w:t xml:space="preserve"> </w:t>
      </w:r>
    </w:p>
    <w:p w14:paraId="60298673" w14:textId="65DB3D95" w:rsidR="001A63FF" w:rsidRDefault="00EA11BE">
      <w:pPr>
        <w:rPr>
          <w:rFonts w:ascii="Times New Roman" w:hAnsi="Times New Roman" w:cs="Times New Roman"/>
          <w:sz w:val="24"/>
          <w:szCs w:val="24"/>
        </w:rPr>
      </w:pPr>
      <w:r>
        <w:rPr>
          <w:rFonts w:ascii="Times New Roman" w:hAnsi="Times New Roman" w:cs="Times New Roman"/>
          <w:sz w:val="24"/>
          <w:szCs w:val="24"/>
        </w:rPr>
        <w:t xml:space="preserve">In conclusion, </w:t>
      </w:r>
      <w:r w:rsidR="00210EAF">
        <w:rPr>
          <w:rFonts w:ascii="Times New Roman" w:hAnsi="Times New Roman" w:cs="Times New Roman"/>
          <w:sz w:val="24"/>
          <w:szCs w:val="24"/>
        </w:rPr>
        <w:t>Shaw’s article is overall long-winded and somewhat confusing in places</w:t>
      </w:r>
      <w:r w:rsidR="00B621B9">
        <w:rPr>
          <w:rFonts w:ascii="Times New Roman" w:hAnsi="Times New Roman" w:cs="Times New Roman"/>
          <w:sz w:val="24"/>
          <w:szCs w:val="24"/>
        </w:rPr>
        <w:t xml:space="preserve"> but detailed and concise in others. It does not add to the </w:t>
      </w:r>
      <w:r w:rsidR="00E75F64">
        <w:rPr>
          <w:rFonts w:ascii="Times New Roman" w:hAnsi="Times New Roman" w:cs="Times New Roman"/>
          <w:sz w:val="24"/>
          <w:szCs w:val="24"/>
        </w:rPr>
        <w:t xml:space="preserve">overall, existing field of scholarship around the subject but just </w:t>
      </w:r>
      <w:r w:rsidR="003A3C9D">
        <w:rPr>
          <w:rFonts w:ascii="Times New Roman" w:hAnsi="Times New Roman" w:cs="Times New Roman"/>
          <w:sz w:val="24"/>
          <w:szCs w:val="24"/>
        </w:rPr>
        <w:t>seeks to create a new line of enquiry despite the accepted argument not being questioned elsewhere.</w:t>
      </w:r>
      <w:r w:rsidR="00B621B9">
        <w:rPr>
          <w:rFonts w:ascii="Times New Roman" w:hAnsi="Times New Roman" w:cs="Times New Roman"/>
          <w:sz w:val="24"/>
          <w:szCs w:val="24"/>
        </w:rPr>
        <w:t xml:space="preserve"> </w:t>
      </w:r>
      <w:r w:rsidR="00210EAF">
        <w:rPr>
          <w:rFonts w:ascii="Times New Roman" w:hAnsi="Times New Roman" w:cs="Times New Roman"/>
          <w:sz w:val="24"/>
          <w:szCs w:val="24"/>
        </w:rPr>
        <w:t xml:space="preserve">Shaw fails to disprove the several points of his hypothesis including the fact the followers of Jesus were called </w:t>
      </w:r>
      <w:r w:rsidR="00210EAF">
        <w:rPr>
          <w:rFonts w:ascii="Times New Roman" w:hAnsi="Times New Roman" w:cs="Times New Roman"/>
          <w:i/>
          <w:iCs/>
          <w:sz w:val="24"/>
          <w:szCs w:val="24"/>
        </w:rPr>
        <w:t xml:space="preserve">Christiani </w:t>
      </w:r>
      <w:r w:rsidR="00210EAF">
        <w:rPr>
          <w:rFonts w:ascii="Times New Roman" w:hAnsi="Times New Roman" w:cs="Times New Roman"/>
          <w:sz w:val="24"/>
          <w:szCs w:val="24"/>
        </w:rPr>
        <w:t xml:space="preserve">by Latin speakers and </w:t>
      </w:r>
      <w:r w:rsidR="00210EAF" w:rsidRPr="00210EAF">
        <w:rPr>
          <w:rFonts w:ascii="Times New Roman" w:hAnsi="Times New Roman" w:cs="Times New Roman"/>
          <w:sz w:val="24"/>
          <w:szCs w:val="24"/>
        </w:rPr>
        <w:t xml:space="preserve">Χριστιανοί </w:t>
      </w:r>
      <w:r w:rsidR="00210EAF">
        <w:rPr>
          <w:rFonts w:ascii="Times New Roman" w:hAnsi="Times New Roman" w:cs="Times New Roman"/>
          <w:sz w:val="24"/>
          <w:szCs w:val="24"/>
        </w:rPr>
        <w:t>by Greek speakers</w:t>
      </w:r>
      <w:r w:rsidR="003A3C9D">
        <w:rPr>
          <w:rFonts w:ascii="Times New Roman" w:hAnsi="Times New Roman" w:cs="Times New Roman"/>
          <w:sz w:val="24"/>
          <w:szCs w:val="24"/>
        </w:rPr>
        <w:t xml:space="preserve"> and fails to disprove Tacitus’ account that after the fire Nero put forward the Christians as the defendants and subjected them to the “</w:t>
      </w:r>
      <w:r w:rsidR="003A3C9D">
        <w:rPr>
          <w:rFonts w:ascii="Times New Roman" w:hAnsi="Times New Roman" w:cs="Times New Roman"/>
          <w:i/>
          <w:iCs/>
          <w:sz w:val="24"/>
          <w:szCs w:val="24"/>
        </w:rPr>
        <w:t>most elaborate penalties</w:t>
      </w:r>
      <w:r w:rsidR="003A3C9D">
        <w:rPr>
          <w:rFonts w:ascii="Times New Roman" w:hAnsi="Times New Roman" w:cs="Times New Roman"/>
          <w:sz w:val="24"/>
          <w:szCs w:val="24"/>
        </w:rPr>
        <w:t xml:space="preserve">”. These </w:t>
      </w:r>
      <w:r w:rsidR="00D450F8">
        <w:rPr>
          <w:rFonts w:ascii="Times New Roman" w:hAnsi="Times New Roman" w:cs="Times New Roman"/>
          <w:sz w:val="24"/>
          <w:szCs w:val="24"/>
        </w:rPr>
        <w:t>points Shaw has tried to argue and disprove but are generally regarded as facts.</w:t>
      </w:r>
    </w:p>
    <w:p w14:paraId="26D66CA0" w14:textId="0B11F465" w:rsidR="00D450F8" w:rsidRDefault="00D450F8">
      <w:pPr>
        <w:rPr>
          <w:rFonts w:ascii="Times New Roman" w:hAnsi="Times New Roman" w:cs="Times New Roman"/>
          <w:sz w:val="24"/>
          <w:szCs w:val="24"/>
        </w:rPr>
      </w:pPr>
    </w:p>
    <w:p w14:paraId="4AD977FE" w14:textId="13DD390C" w:rsidR="00D450F8" w:rsidRDefault="00D450F8">
      <w:pPr>
        <w:rPr>
          <w:rFonts w:ascii="Times New Roman" w:hAnsi="Times New Roman" w:cs="Times New Roman"/>
          <w:sz w:val="24"/>
          <w:szCs w:val="24"/>
        </w:rPr>
      </w:pPr>
    </w:p>
    <w:p w14:paraId="28E238CF" w14:textId="09AA2090" w:rsidR="00D450F8" w:rsidRDefault="00D450F8">
      <w:pPr>
        <w:rPr>
          <w:rFonts w:ascii="Times New Roman" w:hAnsi="Times New Roman" w:cs="Times New Roman"/>
          <w:sz w:val="24"/>
          <w:szCs w:val="24"/>
        </w:rPr>
      </w:pPr>
    </w:p>
    <w:p w14:paraId="5EAFF31A" w14:textId="1F0E0E87" w:rsidR="00D450F8" w:rsidRDefault="00D450F8">
      <w:pPr>
        <w:rPr>
          <w:rFonts w:ascii="Times New Roman" w:hAnsi="Times New Roman" w:cs="Times New Roman"/>
          <w:sz w:val="24"/>
          <w:szCs w:val="24"/>
        </w:rPr>
      </w:pPr>
    </w:p>
    <w:p w14:paraId="795021F6" w14:textId="1233E12B" w:rsidR="00D450F8" w:rsidRDefault="00D450F8">
      <w:pPr>
        <w:rPr>
          <w:rFonts w:ascii="Times New Roman" w:hAnsi="Times New Roman" w:cs="Times New Roman"/>
          <w:sz w:val="24"/>
          <w:szCs w:val="24"/>
        </w:rPr>
      </w:pPr>
    </w:p>
    <w:p w14:paraId="6B51D967" w14:textId="3E0E39C2" w:rsidR="00D450F8" w:rsidRDefault="00D450F8">
      <w:pPr>
        <w:rPr>
          <w:rFonts w:ascii="Times New Roman" w:hAnsi="Times New Roman" w:cs="Times New Roman"/>
          <w:sz w:val="24"/>
          <w:szCs w:val="24"/>
        </w:rPr>
      </w:pPr>
    </w:p>
    <w:p w14:paraId="42CA8C56" w14:textId="6F76964E" w:rsidR="00D450F8" w:rsidRDefault="00D450F8">
      <w:pPr>
        <w:rPr>
          <w:rFonts w:ascii="Times New Roman" w:hAnsi="Times New Roman" w:cs="Times New Roman"/>
          <w:sz w:val="24"/>
          <w:szCs w:val="24"/>
        </w:rPr>
      </w:pPr>
    </w:p>
    <w:p w14:paraId="33713116" w14:textId="1874F17C" w:rsidR="00D450F8" w:rsidRDefault="00D450F8">
      <w:pPr>
        <w:rPr>
          <w:rFonts w:ascii="Times New Roman" w:hAnsi="Times New Roman" w:cs="Times New Roman"/>
          <w:sz w:val="24"/>
          <w:szCs w:val="24"/>
        </w:rPr>
      </w:pPr>
    </w:p>
    <w:p w14:paraId="5960E961" w14:textId="75E60514" w:rsidR="00D450F8" w:rsidRDefault="00D450F8">
      <w:pPr>
        <w:rPr>
          <w:rFonts w:ascii="Times New Roman" w:hAnsi="Times New Roman" w:cs="Times New Roman"/>
          <w:sz w:val="24"/>
          <w:szCs w:val="24"/>
        </w:rPr>
      </w:pPr>
    </w:p>
    <w:p w14:paraId="145DBE1D" w14:textId="6B531D19" w:rsidR="00D450F8" w:rsidRDefault="00D450F8">
      <w:pPr>
        <w:rPr>
          <w:rFonts w:ascii="Times New Roman" w:hAnsi="Times New Roman" w:cs="Times New Roman"/>
          <w:sz w:val="24"/>
          <w:szCs w:val="24"/>
        </w:rPr>
      </w:pPr>
    </w:p>
    <w:p w14:paraId="6E903B9E" w14:textId="2E4C2033" w:rsidR="00D450F8" w:rsidRDefault="00D450F8">
      <w:pPr>
        <w:rPr>
          <w:rFonts w:ascii="Times New Roman" w:hAnsi="Times New Roman" w:cs="Times New Roman"/>
          <w:sz w:val="24"/>
          <w:szCs w:val="24"/>
        </w:rPr>
      </w:pPr>
    </w:p>
    <w:p w14:paraId="397C0B7C" w14:textId="66D16E69" w:rsidR="00D450F8" w:rsidRDefault="00D450F8">
      <w:pPr>
        <w:rPr>
          <w:rFonts w:ascii="Times New Roman" w:hAnsi="Times New Roman" w:cs="Times New Roman"/>
          <w:sz w:val="24"/>
          <w:szCs w:val="24"/>
        </w:rPr>
      </w:pPr>
    </w:p>
    <w:p w14:paraId="0B858E3C" w14:textId="1DAE5057" w:rsidR="00D450F8" w:rsidRDefault="00D450F8">
      <w:pPr>
        <w:rPr>
          <w:rFonts w:ascii="Times New Roman" w:hAnsi="Times New Roman" w:cs="Times New Roman"/>
          <w:sz w:val="24"/>
          <w:szCs w:val="24"/>
        </w:rPr>
      </w:pPr>
    </w:p>
    <w:p w14:paraId="434CEA74" w14:textId="78CB3D9A" w:rsidR="00D450F8" w:rsidRDefault="00D450F8">
      <w:pPr>
        <w:rPr>
          <w:rFonts w:ascii="Times New Roman" w:hAnsi="Times New Roman" w:cs="Times New Roman"/>
          <w:sz w:val="24"/>
          <w:szCs w:val="24"/>
        </w:rPr>
      </w:pPr>
    </w:p>
    <w:p w14:paraId="28073881" w14:textId="380F7492" w:rsidR="00D450F8" w:rsidRDefault="00D450F8">
      <w:pPr>
        <w:rPr>
          <w:rFonts w:ascii="Times New Roman" w:hAnsi="Times New Roman" w:cs="Times New Roman"/>
          <w:sz w:val="24"/>
          <w:szCs w:val="24"/>
        </w:rPr>
      </w:pPr>
    </w:p>
    <w:p w14:paraId="43F7D85C" w14:textId="16341AAA" w:rsidR="00D450F8" w:rsidRDefault="00D450F8">
      <w:pPr>
        <w:rPr>
          <w:rFonts w:ascii="Times New Roman" w:hAnsi="Times New Roman" w:cs="Times New Roman"/>
          <w:sz w:val="24"/>
          <w:szCs w:val="24"/>
        </w:rPr>
      </w:pPr>
    </w:p>
    <w:p w14:paraId="67EFAC0B" w14:textId="70A81C5A" w:rsidR="00D450F8" w:rsidRDefault="00D450F8">
      <w:pPr>
        <w:rPr>
          <w:rFonts w:ascii="Times New Roman" w:hAnsi="Times New Roman" w:cs="Times New Roman"/>
          <w:sz w:val="24"/>
          <w:szCs w:val="24"/>
        </w:rPr>
      </w:pPr>
    </w:p>
    <w:p w14:paraId="7C549A49" w14:textId="54AFCA72" w:rsidR="00D450F8" w:rsidRDefault="00D450F8">
      <w:pPr>
        <w:rPr>
          <w:rFonts w:ascii="Times New Roman" w:hAnsi="Times New Roman" w:cs="Times New Roman"/>
          <w:sz w:val="24"/>
          <w:szCs w:val="24"/>
        </w:rPr>
      </w:pPr>
    </w:p>
    <w:p w14:paraId="76F64EDA" w14:textId="623C006C" w:rsidR="00D450F8" w:rsidRDefault="00D450F8">
      <w:pPr>
        <w:rPr>
          <w:rFonts w:ascii="Times New Roman" w:hAnsi="Times New Roman" w:cs="Times New Roman"/>
          <w:sz w:val="24"/>
          <w:szCs w:val="24"/>
        </w:rPr>
      </w:pPr>
    </w:p>
    <w:p w14:paraId="32E9198F" w14:textId="33865320" w:rsidR="00D450F8" w:rsidRDefault="00D450F8">
      <w:pPr>
        <w:rPr>
          <w:rFonts w:ascii="Times New Roman" w:hAnsi="Times New Roman" w:cs="Times New Roman"/>
          <w:sz w:val="24"/>
          <w:szCs w:val="24"/>
        </w:rPr>
      </w:pPr>
    </w:p>
    <w:p w14:paraId="1CA87D16" w14:textId="06D3640D" w:rsidR="00D450F8" w:rsidRDefault="00D450F8">
      <w:pPr>
        <w:rPr>
          <w:rFonts w:ascii="Times New Roman" w:hAnsi="Times New Roman" w:cs="Times New Roman"/>
          <w:sz w:val="24"/>
          <w:szCs w:val="24"/>
        </w:rPr>
      </w:pPr>
    </w:p>
    <w:p w14:paraId="76B1FCE5" w14:textId="34F574F0" w:rsidR="00D450F8" w:rsidRDefault="00D450F8">
      <w:pPr>
        <w:rPr>
          <w:rFonts w:ascii="Times New Roman" w:hAnsi="Times New Roman" w:cs="Times New Roman"/>
          <w:b/>
          <w:bCs/>
          <w:sz w:val="32"/>
          <w:szCs w:val="32"/>
          <w:u w:val="single"/>
        </w:rPr>
      </w:pPr>
      <w:r w:rsidRPr="00D450F8">
        <w:rPr>
          <w:rFonts w:ascii="Times New Roman" w:hAnsi="Times New Roman" w:cs="Times New Roman"/>
          <w:b/>
          <w:bCs/>
          <w:sz w:val="32"/>
          <w:szCs w:val="32"/>
          <w:u w:val="single"/>
        </w:rPr>
        <w:lastRenderedPageBreak/>
        <w:t>Bibliography:</w:t>
      </w:r>
    </w:p>
    <w:p w14:paraId="4793DBC7" w14:textId="0E632ACD" w:rsidR="00D450F8" w:rsidRDefault="00D450F8">
      <w:pPr>
        <w:rPr>
          <w:rFonts w:ascii="Times New Roman" w:hAnsi="Times New Roman" w:cs="Times New Roman"/>
          <w:b/>
          <w:bCs/>
          <w:sz w:val="32"/>
          <w:szCs w:val="32"/>
          <w:u w:val="single"/>
        </w:rPr>
      </w:pPr>
    </w:p>
    <w:p w14:paraId="0D6DB538" w14:textId="32BC49C1" w:rsidR="00D450F8" w:rsidRDefault="00D450F8">
      <w:pPr>
        <w:rPr>
          <w:rFonts w:ascii="Times New Roman" w:hAnsi="Times New Roman" w:cs="Times New Roman"/>
          <w:b/>
          <w:bCs/>
          <w:sz w:val="28"/>
          <w:szCs w:val="28"/>
          <w:u w:val="single"/>
        </w:rPr>
      </w:pPr>
      <w:r>
        <w:rPr>
          <w:rFonts w:ascii="Times New Roman" w:hAnsi="Times New Roman" w:cs="Times New Roman"/>
          <w:b/>
          <w:bCs/>
          <w:sz w:val="28"/>
          <w:szCs w:val="28"/>
          <w:u w:val="single"/>
        </w:rPr>
        <w:t>Ancient sources:</w:t>
      </w:r>
    </w:p>
    <w:p w14:paraId="78345F22" w14:textId="204A9BD4" w:rsidR="00A10B51" w:rsidRDefault="00A10B51" w:rsidP="00A10B51">
      <w:pPr>
        <w:pStyle w:val="paragraph"/>
        <w:spacing w:before="0" w:beforeAutospacing="0" w:after="0" w:afterAutospacing="0"/>
        <w:textAlignment w:val="baseline"/>
        <w:rPr>
          <w:rStyle w:val="eop"/>
          <w:sz w:val="22"/>
          <w:szCs w:val="22"/>
        </w:rPr>
      </w:pPr>
      <w:r w:rsidRPr="003924EE">
        <w:rPr>
          <w:rStyle w:val="normaltextrun"/>
          <w:sz w:val="22"/>
          <w:szCs w:val="22"/>
        </w:rPr>
        <w:t>Cassius Dio. </w:t>
      </w:r>
      <w:r w:rsidRPr="003924EE">
        <w:rPr>
          <w:rStyle w:val="normaltextrun"/>
          <w:i/>
          <w:iCs/>
          <w:sz w:val="22"/>
          <w:szCs w:val="22"/>
        </w:rPr>
        <w:t>Roman history. </w:t>
      </w:r>
      <w:r w:rsidRPr="003924EE">
        <w:rPr>
          <w:rStyle w:val="normaltextrun"/>
          <w:sz w:val="22"/>
          <w:szCs w:val="22"/>
        </w:rPr>
        <w:t>E. Cary (trans.). 1914. Cambridge: Harvard University Press.</w:t>
      </w:r>
      <w:r w:rsidRPr="003924EE">
        <w:rPr>
          <w:rStyle w:val="eop"/>
          <w:sz w:val="22"/>
          <w:szCs w:val="22"/>
        </w:rPr>
        <w:t> </w:t>
      </w:r>
    </w:p>
    <w:p w14:paraId="6948D174" w14:textId="29984D3F" w:rsidR="004144B2" w:rsidRDefault="004144B2" w:rsidP="00A10B51">
      <w:pPr>
        <w:pStyle w:val="paragraph"/>
        <w:spacing w:before="0" w:beforeAutospacing="0" w:after="0" w:afterAutospacing="0"/>
        <w:textAlignment w:val="baseline"/>
        <w:rPr>
          <w:rStyle w:val="eop"/>
          <w:sz w:val="22"/>
          <w:szCs w:val="22"/>
        </w:rPr>
      </w:pPr>
    </w:p>
    <w:p w14:paraId="52D83843" w14:textId="7BAA19B7" w:rsidR="004144B2" w:rsidRDefault="004144B2" w:rsidP="00A10B51">
      <w:pPr>
        <w:pStyle w:val="paragraph"/>
        <w:spacing w:before="0" w:beforeAutospacing="0" w:after="0" w:afterAutospacing="0"/>
        <w:textAlignment w:val="baseline"/>
        <w:rPr>
          <w:rStyle w:val="eop"/>
          <w:i/>
          <w:iCs/>
          <w:sz w:val="22"/>
          <w:szCs w:val="22"/>
        </w:rPr>
      </w:pPr>
      <w:r>
        <w:rPr>
          <w:rStyle w:val="eop"/>
          <w:sz w:val="22"/>
          <w:szCs w:val="22"/>
        </w:rPr>
        <w:t xml:space="preserve">Eusebius. </w:t>
      </w:r>
      <w:r>
        <w:rPr>
          <w:rStyle w:val="eop"/>
          <w:i/>
          <w:iCs/>
          <w:sz w:val="22"/>
          <w:szCs w:val="22"/>
        </w:rPr>
        <w:t xml:space="preserve">Ecclesiastical History. </w:t>
      </w:r>
      <w:r>
        <w:rPr>
          <w:rStyle w:val="eop"/>
          <w:sz w:val="22"/>
          <w:szCs w:val="22"/>
        </w:rPr>
        <w:t>K. Lake (trans.). 1926. Loeb Classical Library 153. Cambridge: Harvard University Press.</w:t>
      </w:r>
      <w:r>
        <w:rPr>
          <w:rStyle w:val="eop"/>
          <w:i/>
          <w:iCs/>
          <w:sz w:val="22"/>
          <w:szCs w:val="22"/>
        </w:rPr>
        <w:t xml:space="preserve"> </w:t>
      </w:r>
    </w:p>
    <w:p w14:paraId="47A98A99" w14:textId="4E36F901" w:rsidR="004144B2" w:rsidRDefault="004144B2" w:rsidP="00A10B51">
      <w:pPr>
        <w:pStyle w:val="paragraph"/>
        <w:spacing w:before="0" w:beforeAutospacing="0" w:after="0" w:afterAutospacing="0"/>
        <w:textAlignment w:val="baseline"/>
        <w:rPr>
          <w:rStyle w:val="eop"/>
          <w:i/>
          <w:iCs/>
          <w:sz w:val="22"/>
          <w:szCs w:val="22"/>
        </w:rPr>
      </w:pPr>
    </w:p>
    <w:p w14:paraId="2DFB8B02" w14:textId="677A670E" w:rsidR="004144B2" w:rsidRPr="004144B2" w:rsidRDefault="004144B2" w:rsidP="00A10B51">
      <w:pPr>
        <w:pStyle w:val="paragraph"/>
        <w:spacing w:before="0" w:beforeAutospacing="0" w:after="0" w:afterAutospacing="0"/>
        <w:textAlignment w:val="baseline"/>
        <w:rPr>
          <w:rStyle w:val="eop"/>
          <w:sz w:val="22"/>
          <w:szCs w:val="22"/>
        </w:rPr>
      </w:pPr>
      <w:r>
        <w:rPr>
          <w:rStyle w:val="eop"/>
          <w:sz w:val="22"/>
          <w:szCs w:val="22"/>
        </w:rPr>
        <w:t xml:space="preserve">Eusebius of Caesarea. </w:t>
      </w:r>
      <w:r>
        <w:rPr>
          <w:rStyle w:val="eop"/>
          <w:i/>
          <w:iCs/>
          <w:sz w:val="22"/>
          <w:szCs w:val="22"/>
        </w:rPr>
        <w:t>Chronicon</w:t>
      </w:r>
      <w:r>
        <w:rPr>
          <w:rStyle w:val="eop"/>
          <w:sz w:val="22"/>
          <w:szCs w:val="22"/>
        </w:rPr>
        <w:t>. A. Smith (trans.). 2008.</w:t>
      </w:r>
      <w:bookmarkStart w:id="0" w:name="_GoBack"/>
      <w:bookmarkEnd w:id="0"/>
    </w:p>
    <w:p w14:paraId="5087360D" w14:textId="6E316C82" w:rsidR="00A10B51" w:rsidRDefault="00A10B51" w:rsidP="00A10B51">
      <w:pPr>
        <w:pStyle w:val="paragraph"/>
        <w:spacing w:before="0" w:beforeAutospacing="0" w:after="0" w:afterAutospacing="0"/>
        <w:textAlignment w:val="baseline"/>
        <w:rPr>
          <w:rStyle w:val="eop"/>
          <w:sz w:val="22"/>
          <w:szCs w:val="22"/>
        </w:rPr>
      </w:pPr>
    </w:p>
    <w:p w14:paraId="5AE44918" w14:textId="77777777" w:rsidR="00A10B51" w:rsidRPr="003924EE" w:rsidRDefault="00A10B51" w:rsidP="00A10B51">
      <w:pPr>
        <w:pStyle w:val="paragraph"/>
        <w:spacing w:before="0" w:beforeAutospacing="0" w:after="0" w:afterAutospacing="0"/>
        <w:textAlignment w:val="baseline"/>
        <w:rPr>
          <w:rStyle w:val="normaltextrun"/>
          <w:sz w:val="22"/>
          <w:szCs w:val="22"/>
        </w:rPr>
      </w:pPr>
      <w:r w:rsidRPr="003924EE">
        <w:rPr>
          <w:rStyle w:val="normaltextrun"/>
          <w:sz w:val="22"/>
          <w:szCs w:val="22"/>
        </w:rPr>
        <w:t>Suetonius. </w:t>
      </w:r>
      <w:r w:rsidRPr="003924EE">
        <w:rPr>
          <w:rStyle w:val="normaltextrun"/>
          <w:i/>
          <w:iCs/>
          <w:sz w:val="22"/>
          <w:szCs w:val="22"/>
        </w:rPr>
        <w:t>The Twelve Caesars</w:t>
      </w:r>
      <w:r w:rsidRPr="003924EE">
        <w:rPr>
          <w:rStyle w:val="normaltextrun"/>
          <w:sz w:val="22"/>
          <w:szCs w:val="22"/>
        </w:rPr>
        <w:t>. R. Graves (trans.). 2007. London: Penguin Classics.</w:t>
      </w:r>
    </w:p>
    <w:p w14:paraId="02D4F5C3" w14:textId="77777777" w:rsidR="00A10B51" w:rsidRPr="003924EE" w:rsidRDefault="00A10B51" w:rsidP="00A10B51">
      <w:pPr>
        <w:pStyle w:val="paragraph"/>
        <w:spacing w:before="0" w:beforeAutospacing="0" w:after="0" w:afterAutospacing="0"/>
        <w:textAlignment w:val="baseline"/>
        <w:rPr>
          <w:rFonts w:ascii="Segoe UI" w:hAnsi="Segoe UI" w:cs="Segoe UI"/>
          <w:sz w:val="22"/>
          <w:szCs w:val="22"/>
        </w:rPr>
      </w:pPr>
      <w:r w:rsidRPr="003924EE">
        <w:rPr>
          <w:rStyle w:val="normaltextrun"/>
          <w:sz w:val="22"/>
          <w:szCs w:val="22"/>
        </w:rPr>
        <w:t>  </w:t>
      </w:r>
      <w:r w:rsidRPr="003924EE">
        <w:rPr>
          <w:rStyle w:val="eop"/>
          <w:sz w:val="22"/>
          <w:szCs w:val="22"/>
        </w:rPr>
        <w:t> </w:t>
      </w:r>
    </w:p>
    <w:p w14:paraId="3EE4FDBA" w14:textId="0FB71776" w:rsidR="00A10B51" w:rsidRDefault="00A10B51" w:rsidP="00A10B51">
      <w:pPr>
        <w:pStyle w:val="paragraph"/>
        <w:spacing w:before="0" w:beforeAutospacing="0" w:after="0" w:afterAutospacing="0"/>
        <w:textAlignment w:val="baseline"/>
        <w:rPr>
          <w:rStyle w:val="eop"/>
          <w:sz w:val="22"/>
          <w:szCs w:val="22"/>
        </w:rPr>
      </w:pPr>
      <w:r w:rsidRPr="003924EE">
        <w:rPr>
          <w:rStyle w:val="normaltextrun"/>
          <w:sz w:val="22"/>
          <w:szCs w:val="22"/>
        </w:rPr>
        <w:t>Tacitus. </w:t>
      </w:r>
      <w:r w:rsidRPr="003924EE">
        <w:rPr>
          <w:rStyle w:val="normaltextrun"/>
          <w:i/>
          <w:iCs/>
          <w:sz w:val="22"/>
          <w:szCs w:val="22"/>
        </w:rPr>
        <w:t>The Annals of Imperial Rome</w:t>
      </w:r>
      <w:r w:rsidRPr="003924EE">
        <w:rPr>
          <w:rStyle w:val="normaltextrun"/>
          <w:sz w:val="22"/>
          <w:szCs w:val="22"/>
        </w:rPr>
        <w:t>. M. Grant (trans.). 1996. London: Penguins Classics. </w:t>
      </w:r>
      <w:r w:rsidRPr="003924EE">
        <w:rPr>
          <w:rStyle w:val="eop"/>
          <w:sz w:val="22"/>
          <w:szCs w:val="22"/>
        </w:rPr>
        <w:t> </w:t>
      </w:r>
    </w:p>
    <w:p w14:paraId="7E0BD4DE" w14:textId="26F24209" w:rsidR="00D65D3B" w:rsidRDefault="00D65D3B" w:rsidP="00A10B51">
      <w:pPr>
        <w:pStyle w:val="paragraph"/>
        <w:spacing w:before="0" w:beforeAutospacing="0" w:after="0" w:afterAutospacing="0"/>
        <w:textAlignment w:val="baseline"/>
        <w:rPr>
          <w:rStyle w:val="eop"/>
          <w:sz w:val="22"/>
          <w:szCs w:val="22"/>
        </w:rPr>
      </w:pPr>
    </w:p>
    <w:p w14:paraId="36DC10A3" w14:textId="20F1F73F" w:rsidR="00D65D3B" w:rsidRPr="00D65D3B" w:rsidRDefault="00D65D3B" w:rsidP="00A10B51">
      <w:pPr>
        <w:pStyle w:val="paragraph"/>
        <w:spacing w:before="0" w:beforeAutospacing="0" w:after="0" w:afterAutospacing="0"/>
        <w:textAlignment w:val="baseline"/>
        <w:rPr>
          <w:rStyle w:val="eop"/>
          <w:sz w:val="22"/>
          <w:szCs w:val="22"/>
        </w:rPr>
      </w:pPr>
      <w:r>
        <w:rPr>
          <w:rStyle w:val="eop"/>
          <w:sz w:val="22"/>
          <w:szCs w:val="22"/>
        </w:rPr>
        <w:t xml:space="preserve">Tertullian. </w:t>
      </w:r>
      <w:r>
        <w:rPr>
          <w:rStyle w:val="eop"/>
          <w:i/>
          <w:iCs/>
          <w:sz w:val="22"/>
          <w:szCs w:val="22"/>
        </w:rPr>
        <w:t>Apology</w:t>
      </w:r>
      <w:r>
        <w:rPr>
          <w:rStyle w:val="eop"/>
          <w:sz w:val="22"/>
          <w:szCs w:val="22"/>
        </w:rPr>
        <w:t>. T. R. Gloves &amp; H. Rendall (trans.). 1931. Loeb Classical Library 250. Cambridge: Harvard University Press.</w:t>
      </w:r>
    </w:p>
    <w:p w14:paraId="791CA49E" w14:textId="77777777" w:rsidR="00A10B51" w:rsidRPr="003924EE" w:rsidRDefault="00A10B51" w:rsidP="00A10B51">
      <w:pPr>
        <w:pStyle w:val="paragraph"/>
        <w:spacing w:before="0" w:beforeAutospacing="0" w:after="0" w:afterAutospacing="0"/>
        <w:textAlignment w:val="baseline"/>
        <w:rPr>
          <w:rStyle w:val="eop"/>
          <w:sz w:val="22"/>
          <w:szCs w:val="22"/>
        </w:rPr>
      </w:pPr>
    </w:p>
    <w:p w14:paraId="5F06B929" w14:textId="0C328A8C" w:rsidR="00D450F8" w:rsidRDefault="00D450F8">
      <w:pPr>
        <w:rPr>
          <w:rFonts w:ascii="Times New Roman" w:hAnsi="Times New Roman" w:cs="Times New Roman"/>
          <w:sz w:val="28"/>
          <w:szCs w:val="28"/>
        </w:rPr>
      </w:pPr>
    </w:p>
    <w:p w14:paraId="072B8FC0" w14:textId="7D2ABD64" w:rsidR="00D450F8" w:rsidRDefault="00D450F8">
      <w:pPr>
        <w:rPr>
          <w:rFonts w:ascii="Times New Roman" w:hAnsi="Times New Roman" w:cs="Times New Roman"/>
          <w:b/>
          <w:bCs/>
          <w:sz w:val="28"/>
          <w:szCs w:val="28"/>
          <w:u w:val="single"/>
        </w:rPr>
      </w:pPr>
      <w:r>
        <w:rPr>
          <w:rFonts w:ascii="Times New Roman" w:hAnsi="Times New Roman" w:cs="Times New Roman"/>
          <w:b/>
          <w:bCs/>
          <w:sz w:val="28"/>
          <w:szCs w:val="28"/>
          <w:u w:val="single"/>
        </w:rPr>
        <w:t>Modern sources:</w:t>
      </w:r>
    </w:p>
    <w:p w14:paraId="6961BEF0" w14:textId="6A436D1F" w:rsidR="00A10B51" w:rsidRPr="00D65D3B" w:rsidRDefault="00A10B51">
      <w:pPr>
        <w:rPr>
          <w:rFonts w:ascii="Times New Roman" w:hAnsi="Times New Roman" w:cs="Times New Roman"/>
        </w:rPr>
      </w:pPr>
      <w:r>
        <w:rPr>
          <w:rFonts w:ascii="Times New Roman" w:hAnsi="Times New Roman" w:cs="Times New Roman"/>
        </w:rPr>
        <w:t xml:space="preserve">Barnes, T. D. 1968. </w:t>
      </w:r>
      <w:r w:rsidR="00D65D3B">
        <w:rPr>
          <w:rFonts w:ascii="Times New Roman" w:hAnsi="Times New Roman" w:cs="Times New Roman"/>
        </w:rPr>
        <w:t xml:space="preserve">‘Legislation against the Christians’, </w:t>
      </w:r>
      <w:r w:rsidR="00D65D3B">
        <w:rPr>
          <w:rFonts w:ascii="Times New Roman" w:hAnsi="Times New Roman" w:cs="Times New Roman"/>
          <w:i/>
          <w:iCs/>
        </w:rPr>
        <w:t>The Journal of Roman Studies</w:t>
      </w:r>
      <w:r w:rsidR="00D65D3B">
        <w:rPr>
          <w:rFonts w:ascii="Times New Roman" w:hAnsi="Times New Roman" w:cs="Times New Roman"/>
        </w:rPr>
        <w:t>, 58.1&amp;2: 32-50.</w:t>
      </w:r>
    </w:p>
    <w:p w14:paraId="15AEEC97" w14:textId="46568E54" w:rsidR="00D65D3B" w:rsidRPr="00D65D3B" w:rsidRDefault="00D65D3B">
      <w:pPr>
        <w:rPr>
          <w:rFonts w:ascii="Times New Roman" w:hAnsi="Times New Roman" w:cs="Times New Roman"/>
        </w:rPr>
      </w:pPr>
      <w:r>
        <w:rPr>
          <w:rFonts w:ascii="Times New Roman" w:hAnsi="Times New Roman" w:cs="Times New Roman"/>
        </w:rPr>
        <w:t xml:space="preserve">Frend, W. H. C. 1984. </w:t>
      </w:r>
      <w:r>
        <w:rPr>
          <w:rFonts w:ascii="Times New Roman" w:hAnsi="Times New Roman" w:cs="Times New Roman"/>
          <w:i/>
          <w:iCs/>
        </w:rPr>
        <w:t>The Rise of Christianity</w:t>
      </w:r>
      <w:r>
        <w:rPr>
          <w:rFonts w:ascii="Times New Roman" w:hAnsi="Times New Roman" w:cs="Times New Roman"/>
        </w:rPr>
        <w:t>. London: Dartman, Longman and Todd.</w:t>
      </w:r>
    </w:p>
    <w:p w14:paraId="6BB0A168" w14:textId="019F102D" w:rsidR="00D450F8" w:rsidRDefault="00D450F8">
      <w:pPr>
        <w:rPr>
          <w:rFonts w:ascii="Times New Roman" w:hAnsi="Times New Roman" w:cs="Times New Roman"/>
        </w:rPr>
      </w:pPr>
      <w:r w:rsidRPr="00A10B51">
        <w:rPr>
          <w:rFonts w:ascii="Times New Roman" w:hAnsi="Times New Roman" w:cs="Times New Roman"/>
        </w:rPr>
        <w:t xml:space="preserve">Jones, C. P. 2017. ‘The historicity of the Neronian persecution: A response to Brent Shaw’, </w:t>
      </w:r>
      <w:r w:rsidRPr="00A10B51">
        <w:rPr>
          <w:rFonts w:ascii="Times New Roman" w:hAnsi="Times New Roman" w:cs="Times New Roman"/>
          <w:i/>
          <w:iCs/>
        </w:rPr>
        <w:t>New Testament Studies</w:t>
      </w:r>
      <w:r w:rsidRPr="00A10B51">
        <w:rPr>
          <w:rFonts w:ascii="Times New Roman" w:hAnsi="Times New Roman" w:cs="Times New Roman"/>
        </w:rPr>
        <w:t>, 63: 146-152.</w:t>
      </w:r>
    </w:p>
    <w:p w14:paraId="4E3C31CA" w14:textId="1A497917" w:rsidR="00D65D3B" w:rsidRPr="00D65D3B" w:rsidRDefault="00D65D3B">
      <w:pPr>
        <w:rPr>
          <w:rFonts w:ascii="Times New Roman" w:hAnsi="Times New Roman" w:cs="Times New Roman"/>
        </w:rPr>
      </w:pPr>
      <w:r>
        <w:rPr>
          <w:rFonts w:ascii="Times New Roman" w:hAnsi="Times New Roman" w:cs="Times New Roman"/>
        </w:rPr>
        <w:t xml:space="preserve">Lohr, H. 2015. ‘Paulus I’, </w:t>
      </w:r>
      <w:r>
        <w:rPr>
          <w:rFonts w:ascii="Times New Roman" w:hAnsi="Times New Roman" w:cs="Times New Roman"/>
          <w:i/>
          <w:iCs/>
        </w:rPr>
        <w:t>RAC</w:t>
      </w:r>
      <w:r>
        <w:rPr>
          <w:rFonts w:ascii="Times New Roman" w:hAnsi="Times New Roman" w:cs="Times New Roman"/>
        </w:rPr>
        <w:t>. 26: 1174.</w:t>
      </w:r>
    </w:p>
    <w:p w14:paraId="08BB381B" w14:textId="52FB69A5" w:rsidR="00D450F8" w:rsidRPr="00A10B51" w:rsidRDefault="00D450F8">
      <w:pPr>
        <w:rPr>
          <w:rFonts w:ascii="Times New Roman" w:hAnsi="Times New Roman" w:cs="Times New Roman"/>
        </w:rPr>
      </w:pPr>
      <w:r w:rsidRPr="00A10B51">
        <w:rPr>
          <w:rFonts w:ascii="Times New Roman" w:hAnsi="Times New Roman" w:cs="Times New Roman"/>
        </w:rPr>
        <w:t xml:space="preserve">Shaw, B. D. 2015. ‘The Myth of the Neronian Persecution’, </w:t>
      </w:r>
      <w:r w:rsidRPr="00A10B51">
        <w:rPr>
          <w:rFonts w:ascii="Times New Roman" w:hAnsi="Times New Roman" w:cs="Times New Roman"/>
          <w:i/>
          <w:iCs/>
        </w:rPr>
        <w:t>The Journal of Roman Studies</w:t>
      </w:r>
      <w:r w:rsidRPr="00A10B51">
        <w:rPr>
          <w:rFonts w:ascii="Times New Roman" w:hAnsi="Times New Roman" w:cs="Times New Roman"/>
        </w:rPr>
        <w:t>, 105: 73-100.</w:t>
      </w:r>
    </w:p>
    <w:p w14:paraId="1210C2D3" w14:textId="60A77FFB" w:rsidR="00D450F8" w:rsidRDefault="00D450F8">
      <w:pPr>
        <w:rPr>
          <w:rFonts w:ascii="Times New Roman" w:hAnsi="Times New Roman" w:cs="Times New Roman"/>
        </w:rPr>
      </w:pPr>
      <w:r w:rsidRPr="00A10B51">
        <w:rPr>
          <w:rFonts w:ascii="Times New Roman" w:hAnsi="Times New Roman" w:cs="Times New Roman"/>
        </w:rPr>
        <w:t xml:space="preserve">Wallace-Hadrill, A. 1983. </w:t>
      </w:r>
      <w:r w:rsidRPr="00A10B51">
        <w:rPr>
          <w:rFonts w:ascii="Times New Roman" w:hAnsi="Times New Roman" w:cs="Times New Roman"/>
          <w:i/>
          <w:iCs/>
        </w:rPr>
        <w:t>Suetonius</w:t>
      </w:r>
      <w:r w:rsidRPr="00A10B51">
        <w:rPr>
          <w:rFonts w:ascii="Times New Roman" w:hAnsi="Times New Roman" w:cs="Times New Roman"/>
        </w:rPr>
        <w:t>. London.</w:t>
      </w:r>
    </w:p>
    <w:p w14:paraId="14E5AC88" w14:textId="1FBEF42D" w:rsidR="004144B2" w:rsidRPr="004144B2" w:rsidRDefault="004144B2">
      <w:pPr>
        <w:rPr>
          <w:rFonts w:ascii="Times New Roman" w:hAnsi="Times New Roman" w:cs="Times New Roman"/>
        </w:rPr>
      </w:pPr>
      <w:r>
        <w:rPr>
          <w:rFonts w:ascii="Times New Roman" w:hAnsi="Times New Roman" w:cs="Times New Roman"/>
        </w:rPr>
        <w:t xml:space="preserve">Wilkins, M. J. 1992. </w:t>
      </w:r>
      <w:r>
        <w:rPr>
          <w:rFonts w:ascii="Times New Roman" w:hAnsi="Times New Roman" w:cs="Times New Roman"/>
          <w:i/>
          <w:iCs/>
        </w:rPr>
        <w:t>Anchor Bible Dictionary I</w:t>
      </w:r>
      <w:r>
        <w:rPr>
          <w:rFonts w:ascii="Times New Roman" w:hAnsi="Times New Roman" w:cs="Times New Roman"/>
        </w:rPr>
        <w:t xml:space="preserve">. </w:t>
      </w:r>
    </w:p>
    <w:p w14:paraId="085228FF" w14:textId="77777777" w:rsidR="00D450F8" w:rsidRPr="00D450F8" w:rsidRDefault="00D450F8">
      <w:pPr>
        <w:rPr>
          <w:rFonts w:ascii="Times New Roman" w:hAnsi="Times New Roman" w:cs="Times New Roman"/>
          <w:sz w:val="24"/>
          <w:szCs w:val="24"/>
        </w:rPr>
      </w:pPr>
    </w:p>
    <w:p w14:paraId="079AD271" w14:textId="77777777" w:rsidR="00D450F8" w:rsidRPr="00D450F8" w:rsidRDefault="00D450F8">
      <w:pPr>
        <w:rPr>
          <w:rFonts w:ascii="Times New Roman" w:hAnsi="Times New Roman" w:cs="Times New Roman"/>
          <w:sz w:val="24"/>
          <w:szCs w:val="24"/>
        </w:rPr>
      </w:pPr>
    </w:p>
    <w:sectPr w:rsidR="00D450F8" w:rsidRPr="00D450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CEB76" w14:textId="77777777" w:rsidR="007C104D" w:rsidRDefault="007C104D" w:rsidP="00B63930">
      <w:pPr>
        <w:spacing w:after="0" w:line="240" w:lineRule="auto"/>
      </w:pPr>
      <w:r>
        <w:separator/>
      </w:r>
    </w:p>
  </w:endnote>
  <w:endnote w:type="continuationSeparator" w:id="0">
    <w:p w14:paraId="31B1019E" w14:textId="77777777" w:rsidR="007C104D" w:rsidRDefault="007C104D" w:rsidP="00B63930">
      <w:pPr>
        <w:spacing w:after="0" w:line="240" w:lineRule="auto"/>
      </w:pPr>
      <w:r>
        <w:continuationSeparator/>
      </w:r>
    </w:p>
  </w:endnote>
  <w:endnote w:type="continuationNotice" w:id="1">
    <w:p w14:paraId="50FF8DA8" w14:textId="77777777" w:rsidR="007C104D" w:rsidRDefault="007C10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EAA72" w14:textId="77777777" w:rsidR="007C104D" w:rsidRDefault="007C104D" w:rsidP="00B63930">
      <w:pPr>
        <w:spacing w:after="0" w:line="240" w:lineRule="auto"/>
      </w:pPr>
      <w:r>
        <w:separator/>
      </w:r>
    </w:p>
  </w:footnote>
  <w:footnote w:type="continuationSeparator" w:id="0">
    <w:p w14:paraId="6CFD7EE3" w14:textId="77777777" w:rsidR="007C104D" w:rsidRDefault="007C104D" w:rsidP="00B63930">
      <w:pPr>
        <w:spacing w:after="0" w:line="240" w:lineRule="auto"/>
      </w:pPr>
      <w:r>
        <w:continuationSeparator/>
      </w:r>
    </w:p>
  </w:footnote>
  <w:footnote w:type="continuationNotice" w:id="1">
    <w:p w14:paraId="2CED0164" w14:textId="77777777" w:rsidR="007C104D" w:rsidRDefault="007C104D">
      <w:pPr>
        <w:spacing w:after="0" w:line="240" w:lineRule="auto"/>
      </w:pPr>
    </w:p>
  </w:footnote>
  <w:footnote w:id="2">
    <w:p w14:paraId="1905427A" w14:textId="26F34FB0" w:rsidR="00FF294F" w:rsidRDefault="00FF294F">
      <w:pPr>
        <w:pStyle w:val="FootnoteText"/>
      </w:pPr>
      <w:r>
        <w:rPr>
          <w:rStyle w:val="FootnoteReference"/>
        </w:rPr>
        <w:footnoteRef/>
      </w:r>
      <w:r>
        <w:t xml:space="preserve"> Shaw, B. D. 2015: 73-100.</w:t>
      </w:r>
    </w:p>
  </w:footnote>
  <w:footnote w:id="3">
    <w:p w14:paraId="277AB31D" w14:textId="74B54388" w:rsidR="00FF294F" w:rsidRDefault="00FF294F">
      <w:pPr>
        <w:pStyle w:val="FootnoteText"/>
      </w:pPr>
      <w:r>
        <w:rPr>
          <w:rStyle w:val="FootnoteReference"/>
        </w:rPr>
        <w:footnoteRef/>
      </w:r>
      <w:r>
        <w:t xml:space="preserve"> Shaw, B. D. 2015: 74.</w:t>
      </w:r>
    </w:p>
  </w:footnote>
  <w:footnote w:id="4">
    <w:p w14:paraId="6DDF8825" w14:textId="47BFB999" w:rsidR="00FF294F" w:rsidRDefault="00FF294F">
      <w:pPr>
        <w:pStyle w:val="FootnoteText"/>
      </w:pPr>
      <w:r>
        <w:rPr>
          <w:rStyle w:val="FootnoteReference"/>
        </w:rPr>
        <w:footnoteRef/>
      </w:r>
      <w:r>
        <w:t xml:space="preserve"> Dio. 62.16-18.</w:t>
      </w:r>
    </w:p>
  </w:footnote>
  <w:footnote w:id="5">
    <w:p w14:paraId="0A8E8B8C" w14:textId="5CCF442C" w:rsidR="00FF294F" w:rsidRDefault="00FF294F">
      <w:pPr>
        <w:pStyle w:val="FootnoteText"/>
      </w:pPr>
      <w:r>
        <w:rPr>
          <w:rStyle w:val="FootnoteReference"/>
        </w:rPr>
        <w:footnoteRef/>
      </w:r>
      <w:r>
        <w:t xml:space="preserve"> Shaw, B. D. 2015:83.</w:t>
      </w:r>
    </w:p>
  </w:footnote>
  <w:footnote w:id="6">
    <w:p w14:paraId="3E77AA43" w14:textId="5905CA6B" w:rsidR="00FF294F" w:rsidRPr="00E2039E" w:rsidRDefault="00FF294F">
      <w:pPr>
        <w:pStyle w:val="FootnoteText"/>
      </w:pPr>
      <w:r>
        <w:rPr>
          <w:rStyle w:val="FootnoteReference"/>
        </w:rPr>
        <w:footnoteRef/>
      </w:r>
      <w:r>
        <w:t xml:space="preserve"> Suet. </w:t>
      </w:r>
      <w:r>
        <w:rPr>
          <w:i/>
          <w:iCs/>
        </w:rPr>
        <w:t>Twelve Caesars</w:t>
      </w:r>
      <w:r>
        <w:t>.</w:t>
      </w:r>
    </w:p>
  </w:footnote>
  <w:footnote w:id="7">
    <w:p w14:paraId="6CD3D81B" w14:textId="543F8B79" w:rsidR="00FF294F" w:rsidRPr="00D654E1" w:rsidRDefault="00FF294F">
      <w:pPr>
        <w:pStyle w:val="FootnoteText"/>
      </w:pPr>
      <w:r>
        <w:rPr>
          <w:rStyle w:val="FootnoteReference"/>
        </w:rPr>
        <w:footnoteRef/>
      </w:r>
      <w:r>
        <w:t xml:space="preserve"> Shaw, B. D. 2015: 85-92; Wilkins, M. J. 1992: 925; </w:t>
      </w:r>
      <w:r>
        <w:rPr>
          <w:i/>
          <w:iCs/>
        </w:rPr>
        <w:t>Acts</w:t>
      </w:r>
      <w:r>
        <w:t>. 24.5.</w:t>
      </w:r>
    </w:p>
  </w:footnote>
  <w:footnote w:id="8">
    <w:p w14:paraId="05827A00" w14:textId="1886F350" w:rsidR="00FF294F" w:rsidRDefault="00FF294F">
      <w:pPr>
        <w:pStyle w:val="FootnoteText"/>
      </w:pPr>
      <w:r>
        <w:rPr>
          <w:rStyle w:val="FootnoteReference"/>
        </w:rPr>
        <w:footnoteRef/>
      </w:r>
      <w:r>
        <w:t xml:space="preserve"> Shaw, B. D. 2015: 92.</w:t>
      </w:r>
    </w:p>
  </w:footnote>
  <w:footnote w:id="9">
    <w:p w14:paraId="7D5BE4DC" w14:textId="1A3CDAD0" w:rsidR="00FF294F" w:rsidRDefault="00FF294F">
      <w:pPr>
        <w:pStyle w:val="FootnoteText"/>
      </w:pPr>
      <w:r>
        <w:rPr>
          <w:rStyle w:val="FootnoteReference"/>
        </w:rPr>
        <w:footnoteRef/>
      </w:r>
      <w:r>
        <w:t xml:space="preserve"> Shaw, B. D. 2015: 93-6.</w:t>
      </w:r>
    </w:p>
  </w:footnote>
  <w:footnote w:id="10">
    <w:p w14:paraId="1DCC3C7B" w14:textId="4224CE37" w:rsidR="00FF294F" w:rsidRDefault="00FF294F">
      <w:pPr>
        <w:pStyle w:val="FootnoteText"/>
      </w:pPr>
      <w:r>
        <w:rPr>
          <w:rStyle w:val="FootnoteReference"/>
        </w:rPr>
        <w:footnoteRef/>
      </w:r>
      <w:r>
        <w:t xml:space="preserve"> Shaw, B. D. 2015: 96-8.</w:t>
      </w:r>
    </w:p>
  </w:footnote>
  <w:footnote w:id="11">
    <w:p w14:paraId="197F273B" w14:textId="2D453363" w:rsidR="00E30130" w:rsidRDefault="00E30130">
      <w:pPr>
        <w:pStyle w:val="FootnoteText"/>
      </w:pPr>
      <w:r>
        <w:rPr>
          <w:rStyle w:val="FootnoteReference"/>
        </w:rPr>
        <w:footnoteRef/>
      </w:r>
      <w:r>
        <w:t xml:space="preserve"> Jones, C. P. 2017: 146.</w:t>
      </w:r>
    </w:p>
  </w:footnote>
  <w:footnote w:id="12">
    <w:p w14:paraId="4B4D903A" w14:textId="6DF3B56F" w:rsidR="005C1E16" w:rsidRDefault="005C1E16">
      <w:pPr>
        <w:pStyle w:val="FootnoteText"/>
      </w:pPr>
      <w:r>
        <w:rPr>
          <w:rStyle w:val="FootnoteReference"/>
        </w:rPr>
        <w:footnoteRef/>
      </w:r>
      <w:r>
        <w:t xml:space="preserve"> Barnes, </w:t>
      </w:r>
      <w:r w:rsidR="009B09A1">
        <w:t xml:space="preserve">T. D. </w:t>
      </w:r>
      <w:r w:rsidR="005031D8">
        <w:t xml:space="preserve">1968: </w:t>
      </w:r>
      <w:r w:rsidR="00C72842">
        <w:t>32.</w:t>
      </w:r>
    </w:p>
  </w:footnote>
  <w:footnote w:id="13">
    <w:p w14:paraId="3178CE77" w14:textId="1DCB5D71" w:rsidR="006349E1" w:rsidRPr="00731B7D" w:rsidRDefault="006349E1">
      <w:pPr>
        <w:pStyle w:val="FootnoteText"/>
      </w:pPr>
      <w:r>
        <w:rPr>
          <w:rStyle w:val="FootnoteReference"/>
        </w:rPr>
        <w:footnoteRef/>
      </w:r>
      <w:r>
        <w:t xml:space="preserve"> </w:t>
      </w:r>
      <w:r w:rsidR="004F71FB">
        <w:t xml:space="preserve">Tert. </w:t>
      </w:r>
      <w:r w:rsidR="004F71FB">
        <w:rPr>
          <w:i/>
          <w:iCs/>
        </w:rPr>
        <w:t>Apol</w:t>
      </w:r>
      <w:r w:rsidR="004F71FB">
        <w:t>. 5.2</w:t>
      </w:r>
      <w:r w:rsidR="006F0F7E">
        <w:t xml:space="preserve">; Eus. </w:t>
      </w:r>
      <w:r w:rsidR="006F0F7E">
        <w:rPr>
          <w:i/>
          <w:iCs/>
        </w:rPr>
        <w:t>Chron</w:t>
      </w:r>
      <w:r w:rsidR="00B73180">
        <w:rPr>
          <w:i/>
          <w:iCs/>
        </w:rPr>
        <w:t>icon</w:t>
      </w:r>
      <w:r w:rsidR="00731B7D">
        <w:t xml:space="preserve">. GCS xx, 214; Suet. </w:t>
      </w:r>
      <w:r w:rsidR="00731B7D">
        <w:rPr>
          <w:i/>
          <w:iCs/>
        </w:rPr>
        <w:t>Claud</w:t>
      </w:r>
      <w:r w:rsidR="00731B7D">
        <w:t xml:space="preserve">. </w:t>
      </w:r>
      <w:r w:rsidR="003602A5">
        <w:t>25.4.</w:t>
      </w:r>
    </w:p>
  </w:footnote>
  <w:footnote w:id="14">
    <w:p w14:paraId="483E1D7C" w14:textId="7F10797E" w:rsidR="005F6307" w:rsidRPr="00941E7E" w:rsidRDefault="005F6307">
      <w:pPr>
        <w:pStyle w:val="FootnoteText"/>
      </w:pPr>
      <w:r>
        <w:rPr>
          <w:rStyle w:val="FootnoteReference"/>
        </w:rPr>
        <w:footnoteRef/>
      </w:r>
      <w:r>
        <w:t xml:space="preserve"> Tac. </w:t>
      </w:r>
      <w:r>
        <w:rPr>
          <w:i/>
          <w:iCs/>
        </w:rPr>
        <w:t>Ann</w:t>
      </w:r>
      <w:r>
        <w:t xml:space="preserve">. 15.44.2-5; </w:t>
      </w:r>
      <w:r w:rsidR="00101DA7">
        <w:t xml:space="preserve">Melito </w:t>
      </w:r>
      <w:r w:rsidR="00D76F95">
        <w:t xml:space="preserve">in Eus. </w:t>
      </w:r>
      <w:r w:rsidR="00D76F95">
        <w:rPr>
          <w:i/>
          <w:iCs/>
        </w:rPr>
        <w:t>Hist. eccl</w:t>
      </w:r>
      <w:r w:rsidR="0044412B">
        <w:t>. 4.26.9</w:t>
      </w:r>
      <w:r w:rsidR="00140813">
        <w:t xml:space="preserve">; </w:t>
      </w:r>
      <w:r w:rsidR="0036612B">
        <w:t xml:space="preserve">Tert. </w:t>
      </w:r>
      <w:r w:rsidR="00941E7E">
        <w:rPr>
          <w:i/>
          <w:iCs/>
        </w:rPr>
        <w:t>Ad nat.</w:t>
      </w:r>
      <w:r w:rsidR="00941E7E">
        <w:t xml:space="preserve"> 1.7.8.</w:t>
      </w:r>
    </w:p>
  </w:footnote>
  <w:footnote w:id="15">
    <w:p w14:paraId="3C3194A9" w14:textId="1AE1D9E3" w:rsidR="0059660E" w:rsidRDefault="0059660E">
      <w:pPr>
        <w:pStyle w:val="FootnoteText"/>
      </w:pPr>
      <w:r>
        <w:rPr>
          <w:rStyle w:val="FootnoteReference"/>
        </w:rPr>
        <w:footnoteRef/>
      </w:r>
      <w:r>
        <w:t xml:space="preserve"> </w:t>
      </w:r>
      <w:r w:rsidR="00BE206C">
        <w:t xml:space="preserve">Jones, C. P. 2017: </w:t>
      </w:r>
      <w:r w:rsidR="00830768">
        <w:t>147.</w:t>
      </w:r>
    </w:p>
  </w:footnote>
  <w:footnote w:id="16">
    <w:p w14:paraId="701D3379" w14:textId="30B4C216" w:rsidR="00AE6FD7" w:rsidRDefault="00AE6FD7">
      <w:pPr>
        <w:pStyle w:val="FootnoteText"/>
      </w:pPr>
      <w:r>
        <w:rPr>
          <w:rStyle w:val="FootnoteReference"/>
        </w:rPr>
        <w:footnoteRef/>
      </w:r>
      <w:r>
        <w:t xml:space="preserve"> </w:t>
      </w:r>
      <w:r w:rsidR="00833EAD">
        <w:t>Lohr, H.</w:t>
      </w:r>
      <w:r w:rsidR="0003660A">
        <w:t xml:space="preserve"> </w:t>
      </w:r>
      <w:r w:rsidR="00270F13">
        <w:t>2015:</w:t>
      </w:r>
      <w:r w:rsidR="00F10497">
        <w:t xml:space="preserve"> 1174.</w:t>
      </w:r>
    </w:p>
  </w:footnote>
  <w:footnote w:id="17">
    <w:p w14:paraId="52AAB78B" w14:textId="7BF58452" w:rsidR="00EB4761" w:rsidRPr="00F7753E" w:rsidRDefault="00EB4761">
      <w:pPr>
        <w:pStyle w:val="FootnoteText"/>
      </w:pPr>
      <w:r>
        <w:rPr>
          <w:rStyle w:val="FootnoteReference"/>
        </w:rPr>
        <w:footnoteRef/>
      </w:r>
      <w:r>
        <w:t xml:space="preserve"> </w:t>
      </w:r>
      <w:r w:rsidR="00F7753E">
        <w:t xml:space="preserve">Jones, C. P. 2017: 148; Shaw, B. D. 2015: 88; </w:t>
      </w:r>
      <w:r w:rsidR="00F7753E">
        <w:rPr>
          <w:i/>
          <w:iCs/>
        </w:rPr>
        <w:t>Acts</w:t>
      </w:r>
      <w:r w:rsidR="00F7753E">
        <w:t>. 11.26.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3FF"/>
    <w:rsid w:val="000056A2"/>
    <w:rsid w:val="0000681F"/>
    <w:rsid w:val="00024FDF"/>
    <w:rsid w:val="00025435"/>
    <w:rsid w:val="00033E97"/>
    <w:rsid w:val="0003660A"/>
    <w:rsid w:val="000513D7"/>
    <w:rsid w:val="00057A47"/>
    <w:rsid w:val="000802F7"/>
    <w:rsid w:val="0008368E"/>
    <w:rsid w:val="000A3E32"/>
    <w:rsid w:val="000D04C6"/>
    <w:rsid w:val="000E018D"/>
    <w:rsid w:val="000E0A00"/>
    <w:rsid w:val="000F204B"/>
    <w:rsid w:val="00101DA7"/>
    <w:rsid w:val="00105C8B"/>
    <w:rsid w:val="00120B00"/>
    <w:rsid w:val="00124974"/>
    <w:rsid w:val="00140813"/>
    <w:rsid w:val="0016691E"/>
    <w:rsid w:val="00166DFF"/>
    <w:rsid w:val="001806B6"/>
    <w:rsid w:val="00192B8E"/>
    <w:rsid w:val="001A63FF"/>
    <w:rsid w:val="001A71F1"/>
    <w:rsid w:val="001B3E91"/>
    <w:rsid w:val="001F071B"/>
    <w:rsid w:val="00210EAF"/>
    <w:rsid w:val="0021472F"/>
    <w:rsid w:val="00220E5F"/>
    <w:rsid w:val="00231C26"/>
    <w:rsid w:val="0023516F"/>
    <w:rsid w:val="002373D7"/>
    <w:rsid w:val="002516A4"/>
    <w:rsid w:val="002518ED"/>
    <w:rsid w:val="00270F13"/>
    <w:rsid w:val="00271499"/>
    <w:rsid w:val="002774F5"/>
    <w:rsid w:val="002846C4"/>
    <w:rsid w:val="0028661C"/>
    <w:rsid w:val="002938E2"/>
    <w:rsid w:val="00296988"/>
    <w:rsid w:val="002A63D7"/>
    <w:rsid w:val="002C1AAA"/>
    <w:rsid w:val="002C49E3"/>
    <w:rsid w:val="002D069A"/>
    <w:rsid w:val="002D429B"/>
    <w:rsid w:val="002D4F1D"/>
    <w:rsid w:val="00313AED"/>
    <w:rsid w:val="00315562"/>
    <w:rsid w:val="00346C6A"/>
    <w:rsid w:val="00350C70"/>
    <w:rsid w:val="003602A5"/>
    <w:rsid w:val="0036612B"/>
    <w:rsid w:val="00366B37"/>
    <w:rsid w:val="0038170B"/>
    <w:rsid w:val="00392870"/>
    <w:rsid w:val="00396807"/>
    <w:rsid w:val="003A38E6"/>
    <w:rsid w:val="003A3C9D"/>
    <w:rsid w:val="003B2228"/>
    <w:rsid w:val="003C3DEF"/>
    <w:rsid w:val="003E4009"/>
    <w:rsid w:val="003E586F"/>
    <w:rsid w:val="003F293D"/>
    <w:rsid w:val="00401F0F"/>
    <w:rsid w:val="004144B2"/>
    <w:rsid w:val="00417275"/>
    <w:rsid w:val="00426E2D"/>
    <w:rsid w:val="00437F49"/>
    <w:rsid w:val="0044412B"/>
    <w:rsid w:val="00461B4F"/>
    <w:rsid w:val="00463E29"/>
    <w:rsid w:val="004C322E"/>
    <w:rsid w:val="004E75CA"/>
    <w:rsid w:val="004F1E3D"/>
    <w:rsid w:val="004F71FB"/>
    <w:rsid w:val="004F751C"/>
    <w:rsid w:val="005031D8"/>
    <w:rsid w:val="005127C1"/>
    <w:rsid w:val="00531863"/>
    <w:rsid w:val="0054431C"/>
    <w:rsid w:val="005449A6"/>
    <w:rsid w:val="00546FC4"/>
    <w:rsid w:val="0054769E"/>
    <w:rsid w:val="005576B5"/>
    <w:rsid w:val="00566555"/>
    <w:rsid w:val="0056786A"/>
    <w:rsid w:val="00595E30"/>
    <w:rsid w:val="0059660E"/>
    <w:rsid w:val="005A33C1"/>
    <w:rsid w:val="005A61A5"/>
    <w:rsid w:val="005B5E55"/>
    <w:rsid w:val="005C1E16"/>
    <w:rsid w:val="005E2F97"/>
    <w:rsid w:val="005E42E2"/>
    <w:rsid w:val="005F6307"/>
    <w:rsid w:val="00610E61"/>
    <w:rsid w:val="006202BE"/>
    <w:rsid w:val="00633184"/>
    <w:rsid w:val="006349E1"/>
    <w:rsid w:val="006453FB"/>
    <w:rsid w:val="00650C55"/>
    <w:rsid w:val="006553BF"/>
    <w:rsid w:val="006565F6"/>
    <w:rsid w:val="006635D4"/>
    <w:rsid w:val="00664B4D"/>
    <w:rsid w:val="00666E9F"/>
    <w:rsid w:val="006710E6"/>
    <w:rsid w:val="006A7054"/>
    <w:rsid w:val="006C63C0"/>
    <w:rsid w:val="006D15F2"/>
    <w:rsid w:val="006D257B"/>
    <w:rsid w:val="006F0F7E"/>
    <w:rsid w:val="00711468"/>
    <w:rsid w:val="00712A9C"/>
    <w:rsid w:val="00722367"/>
    <w:rsid w:val="00725168"/>
    <w:rsid w:val="007267CC"/>
    <w:rsid w:val="00731B7D"/>
    <w:rsid w:val="00735182"/>
    <w:rsid w:val="00745EB9"/>
    <w:rsid w:val="0076017E"/>
    <w:rsid w:val="0076216A"/>
    <w:rsid w:val="00792FF6"/>
    <w:rsid w:val="0079596E"/>
    <w:rsid w:val="007B05FB"/>
    <w:rsid w:val="007C104D"/>
    <w:rsid w:val="007E1A39"/>
    <w:rsid w:val="007E54F5"/>
    <w:rsid w:val="00824989"/>
    <w:rsid w:val="008269D1"/>
    <w:rsid w:val="00830768"/>
    <w:rsid w:val="0083126B"/>
    <w:rsid w:val="00831B33"/>
    <w:rsid w:val="00833EAD"/>
    <w:rsid w:val="00842337"/>
    <w:rsid w:val="008575C5"/>
    <w:rsid w:val="008603C2"/>
    <w:rsid w:val="0086180C"/>
    <w:rsid w:val="0086720C"/>
    <w:rsid w:val="00881F84"/>
    <w:rsid w:val="0089087E"/>
    <w:rsid w:val="008A6943"/>
    <w:rsid w:val="008B53B8"/>
    <w:rsid w:val="008B7EC3"/>
    <w:rsid w:val="008F7FA8"/>
    <w:rsid w:val="00901C5F"/>
    <w:rsid w:val="009106E8"/>
    <w:rsid w:val="00923583"/>
    <w:rsid w:val="0092503D"/>
    <w:rsid w:val="009305CA"/>
    <w:rsid w:val="00936A5A"/>
    <w:rsid w:val="00941E7E"/>
    <w:rsid w:val="00946A1C"/>
    <w:rsid w:val="0096209C"/>
    <w:rsid w:val="00987EBF"/>
    <w:rsid w:val="009941A3"/>
    <w:rsid w:val="009B09A1"/>
    <w:rsid w:val="009B2915"/>
    <w:rsid w:val="009C6EDD"/>
    <w:rsid w:val="009D400F"/>
    <w:rsid w:val="009E3828"/>
    <w:rsid w:val="00A10B51"/>
    <w:rsid w:val="00A20FF2"/>
    <w:rsid w:val="00A21383"/>
    <w:rsid w:val="00A224D3"/>
    <w:rsid w:val="00A23EF5"/>
    <w:rsid w:val="00A2442F"/>
    <w:rsid w:val="00A2774E"/>
    <w:rsid w:val="00A3006F"/>
    <w:rsid w:val="00A34117"/>
    <w:rsid w:val="00A54EDA"/>
    <w:rsid w:val="00A55FFC"/>
    <w:rsid w:val="00A81BAB"/>
    <w:rsid w:val="00A82FEA"/>
    <w:rsid w:val="00A865E4"/>
    <w:rsid w:val="00A92B67"/>
    <w:rsid w:val="00AA20B8"/>
    <w:rsid w:val="00AD496A"/>
    <w:rsid w:val="00AD6B66"/>
    <w:rsid w:val="00AE6FD7"/>
    <w:rsid w:val="00AE771B"/>
    <w:rsid w:val="00B007D0"/>
    <w:rsid w:val="00B01513"/>
    <w:rsid w:val="00B3206F"/>
    <w:rsid w:val="00B3282C"/>
    <w:rsid w:val="00B3685C"/>
    <w:rsid w:val="00B37208"/>
    <w:rsid w:val="00B535BF"/>
    <w:rsid w:val="00B55AED"/>
    <w:rsid w:val="00B578BA"/>
    <w:rsid w:val="00B621B9"/>
    <w:rsid w:val="00B63930"/>
    <w:rsid w:val="00B73180"/>
    <w:rsid w:val="00B8536A"/>
    <w:rsid w:val="00B93D52"/>
    <w:rsid w:val="00BA5B9F"/>
    <w:rsid w:val="00BB207D"/>
    <w:rsid w:val="00BC2414"/>
    <w:rsid w:val="00BC700C"/>
    <w:rsid w:val="00BD455D"/>
    <w:rsid w:val="00BE206C"/>
    <w:rsid w:val="00C035F3"/>
    <w:rsid w:val="00C17A2C"/>
    <w:rsid w:val="00C45C9E"/>
    <w:rsid w:val="00C568EE"/>
    <w:rsid w:val="00C60C53"/>
    <w:rsid w:val="00C61E6D"/>
    <w:rsid w:val="00C72842"/>
    <w:rsid w:val="00C817FF"/>
    <w:rsid w:val="00CD60E8"/>
    <w:rsid w:val="00D058EA"/>
    <w:rsid w:val="00D05A23"/>
    <w:rsid w:val="00D44861"/>
    <w:rsid w:val="00D450F8"/>
    <w:rsid w:val="00D61334"/>
    <w:rsid w:val="00D654E1"/>
    <w:rsid w:val="00D65D3B"/>
    <w:rsid w:val="00D76F95"/>
    <w:rsid w:val="00D868A0"/>
    <w:rsid w:val="00DA1532"/>
    <w:rsid w:val="00DB0087"/>
    <w:rsid w:val="00DB1A24"/>
    <w:rsid w:val="00DD24CB"/>
    <w:rsid w:val="00DE1C6B"/>
    <w:rsid w:val="00DE33DC"/>
    <w:rsid w:val="00E0477E"/>
    <w:rsid w:val="00E2039E"/>
    <w:rsid w:val="00E257EC"/>
    <w:rsid w:val="00E30130"/>
    <w:rsid w:val="00E4049C"/>
    <w:rsid w:val="00E72D7F"/>
    <w:rsid w:val="00E74F66"/>
    <w:rsid w:val="00E75F64"/>
    <w:rsid w:val="00EA11BE"/>
    <w:rsid w:val="00EB4761"/>
    <w:rsid w:val="00EB6A16"/>
    <w:rsid w:val="00EC1861"/>
    <w:rsid w:val="00EC7190"/>
    <w:rsid w:val="00EE0339"/>
    <w:rsid w:val="00EE0355"/>
    <w:rsid w:val="00EF0B5B"/>
    <w:rsid w:val="00F01599"/>
    <w:rsid w:val="00F10497"/>
    <w:rsid w:val="00F11E37"/>
    <w:rsid w:val="00F13AAF"/>
    <w:rsid w:val="00F262CF"/>
    <w:rsid w:val="00F31BE5"/>
    <w:rsid w:val="00F4349E"/>
    <w:rsid w:val="00F47C33"/>
    <w:rsid w:val="00F7260B"/>
    <w:rsid w:val="00F7753E"/>
    <w:rsid w:val="00F842CB"/>
    <w:rsid w:val="00F91A56"/>
    <w:rsid w:val="00FB3A8D"/>
    <w:rsid w:val="00FC3C61"/>
    <w:rsid w:val="00FE092B"/>
    <w:rsid w:val="00FE7FC0"/>
    <w:rsid w:val="00FF294F"/>
    <w:rsid w:val="076EECF6"/>
    <w:rsid w:val="0A690680"/>
    <w:rsid w:val="1830C2E8"/>
    <w:rsid w:val="290E6C98"/>
    <w:rsid w:val="3ADD0128"/>
    <w:rsid w:val="4519A57A"/>
    <w:rsid w:val="468183D0"/>
    <w:rsid w:val="54B06ECD"/>
    <w:rsid w:val="5F0F0C3C"/>
    <w:rsid w:val="6780469E"/>
    <w:rsid w:val="7172AB98"/>
    <w:rsid w:val="77704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071BA"/>
  <w15:chartTrackingRefBased/>
  <w15:docId w15:val="{D23B2447-6D54-4FB9-95CB-DCFB23E3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639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3930"/>
    <w:rPr>
      <w:sz w:val="20"/>
      <w:szCs w:val="20"/>
    </w:rPr>
  </w:style>
  <w:style w:type="character" w:styleId="FootnoteReference">
    <w:name w:val="footnote reference"/>
    <w:basedOn w:val="DefaultParagraphFont"/>
    <w:uiPriority w:val="99"/>
    <w:semiHidden/>
    <w:unhideWhenUsed/>
    <w:rsid w:val="00B63930"/>
    <w:rPr>
      <w:vertAlign w:val="superscript"/>
    </w:rPr>
  </w:style>
  <w:style w:type="paragraph" w:styleId="Header">
    <w:name w:val="header"/>
    <w:basedOn w:val="Normal"/>
    <w:link w:val="HeaderChar"/>
    <w:uiPriority w:val="99"/>
    <w:semiHidden/>
    <w:unhideWhenUsed/>
    <w:rsid w:val="002938E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938E2"/>
  </w:style>
  <w:style w:type="paragraph" w:styleId="Footer">
    <w:name w:val="footer"/>
    <w:basedOn w:val="Normal"/>
    <w:link w:val="FooterChar"/>
    <w:uiPriority w:val="99"/>
    <w:semiHidden/>
    <w:unhideWhenUsed/>
    <w:rsid w:val="002938E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938E2"/>
  </w:style>
  <w:style w:type="paragraph" w:customStyle="1" w:styleId="paragraph">
    <w:name w:val="paragraph"/>
    <w:basedOn w:val="Normal"/>
    <w:rsid w:val="00A10B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10B51"/>
  </w:style>
  <w:style w:type="character" w:customStyle="1" w:styleId="eop">
    <w:name w:val="eop"/>
    <w:basedOn w:val="DefaultParagraphFont"/>
    <w:rsid w:val="00A10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C32C1-BDF0-4CB0-8572-D904F87EF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4</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dc:creator>
  <cp:keywords/>
  <dc:description/>
  <cp:lastModifiedBy>james mills</cp:lastModifiedBy>
  <cp:revision>4</cp:revision>
  <dcterms:created xsi:type="dcterms:W3CDTF">2020-06-02T17:50:00Z</dcterms:created>
  <dcterms:modified xsi:type="dcterms:W3CDTF">2020-06-04T11:39:00Z</dcterms:modified>
</cp:coreProperties>
</file>