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4880C" w14:textId="412BBAFA" w:rsidR="002E1EEF" w:rsidRPr="003700B8" w:rsidRDefault="002E1EEF" w:rsidP="002E1EEF">
      <w:pPr>
        <w:pStyle w:val="AssignSubHeader"/>
        <w:jc w:val="center"/>
        <w:rPr>
          <w:u w:val="single"/>
        </w:rPr>
      </w:pPr>
      <w:r w:rsidRPr="003700B8">
        <w:rPr>
          <w:u w:val="single"/>
        </w:rPr>
        <w:t>Written response - A proposal for a school community project (4000 words).</w:t>
      </w:r>
    </w:p>
    <w:p w14:paraId="45B0E01D" w14:textId="7D5D7D18" w:rsidR="004C5F08" w:rsidRPr="003700B8" w:rsidRDefault="004C5F08" w:rsidP="004C5F08">
      <w:pPr>
        <w:pStyle w:val="AssignBody"/>
        <w:jc w:val="center"/>
      </w:pPr>
      <w:r w:rsidRPr="003700B8">
        <w:t xml:space="preserve">Word count: </w:t>
      </w:r>
      <w:r w:rsidR="001F6E0F">
        <w:t>3996</w:t>
      </w:r>
      <w:r w:rsidRPr="003700B8">
        <w:t xml:space="preserve"> words.</w:t>
      </w:r>
    </w:p>
    <w:p w14:paraId="6722999F" w14:textId="356C53D6" w:rsidR="000B69AD" w:rsidRPr="003700B8" w:rsidRDefault="000B69AD" w:rsidP="00717604">
      <w:pPr>
        <w:pStyle w:val="AssignBody"/>
      </w:pPr>
    </w:p>
    <w:p w14:paraId="17D901E0" w14:textId="72C916EB" w:rsidR="000B69AD" w:rsidRPr="003700B8" w:rsidRDefault="000B69AD" w:rsidP="00717604">
      <w:pPr>
        <w:pStyle w:val="AssignBody"/>
      </w:pPr>
      <w:r w:rsidRPr="003700B8">
        <w:t>The proposal in which this attains is the</w:t>
      </w:r>
      <w:r w:rsidR="00FE2DBD" w:rsidRPr="003700B8">
        <w:t xml:space="preserve"> acknowledgement of the struggles that have been attained throughout recent years</w:t>
      </w:r>
      <w:r w:rsidR="00A971AF" w:rsidRPr="003700B8">
        <w:t xml:space="preserve"> within education</w:t>
      </w:r>
      <w:r w:rsidR="00FE2DBD" w:rsidRPr="003700B8">
        <w:t xml:space="preserve">, </w:t>
      </w:r>
      <w:proofErr w:type="gramStart"/>
      <w:r w:rsidR="00FD7049" w:rsidRPr="003700B8">
        <w:t>in regard to</w:t>
      </w:r>
      <w:proofErr w:type="gramEnd"/>
      <w:r w:rsidR="00FE2DBD" w:rsidRPr="003700B8">
        <w:t xml:space="preserve"> this the proposal is to develop a community garden. </w:t>
      </w:r>
      <w:r w:rsidR="00FD7049" w:rsidRPr="003700B8">
        <w:t xml:space="preserve">Community gardens can play a huge role within the educational </w:t>
      </w:r>
      <w:r w:rsidR="008C6DFA" w:rsidRPr="003700B8">
        <w:t>settings and</w:t>
      </w:r>
      <w:r w:rsidR="00FD7049" w:rsidRPr="003700B8">
        <w:t xml:space="preserve"> play a vital role in consideration to healthy eating and acknowledging the issues within the area in relation to obesity and poverty. </w:t>
      </w:r>
      <w:r w:rsidR="00D773BF" w:rsidRPr="003700B8">
        <w:t>According to the Senedd (2020), 23% of the population in Wales currently li</w:t>
      </w:r>
      <w:r w:rsidR="00793A3A" w:rsidRPr="003700B8">
        <w:t>v</w:t>
      </w:r>
      <w:r w:rsidR="00D773BF" w:rsidRPr="003700B8">
        <w:t xml:space="preserve">e in poverty, on the contrary, it was stated by Children in Wales that 34% of children are living in poverty, thus being at risk of having a negative impact on their education, health and overall well-being as if they are living in poverty their family income is below 60% of the median income.(Children in Wales 2021). </w:t>
      </w:r>
      <w:r w:rsidR="00FC5C9D" w:rsidRPr="003700B8">
        <w:t>Poverty is defined</w:t>
      </w:r>
      <w:r w:rsidR="0013448C" w:rsidRPr="003700B8">
        <w:t xml:space="preserve"> by the United Nations 1995</w:t>
      </w:r>
      <w:r w:rsidR="00FC5C9D" w:rsidRPr="003700B8">
        <w:t xml:space="preserve"> as a circumstance </w:t>
      </w:r>
      <w:r w:rsidR="0013448C" w:rsidRPr="003700B8">
        <w:t>exemplified</w:t>
      </w:r>
      <w:r w:rsidR="00FC5C9D" w:rsidRPr="003700B8">
        <w:t xml:space="preserve"> by severe deprivation of basic human needs including food, safe drinking water, </w:t>
      </w:r>
      <w:r w:rsidR="0013448C" w:rsidRPr="003700B8">
        <w:t>hygiene</w:t>
      </w:r>
      <w:r w:rsidR="00FC5C9D" w:rsidRPr="003700B8">
        <w:t xml:space="preserve"> facilities, health, shelter and access to information and education</w:t>
      </w:r>
      <w:r w:rsidR="0013448C" w:rsidRPr="003700B8">
        <w:t>.</w:t>
      </w:r>
      <w:r w:rsidR="00D773BF" w:rsidRPr="003700B8">
        <w:t xml:space="preserve"> Within Carmarthen research has shown that </w:t>
      </w:r>
      <w:r w:rsidR="00FC5C9D" w:rsidRPr="003700B8">
        <w:t xml:space="preserve">within one primary school </w:t>
      </w:r>
      <w:r w:rsidR="00BA02E2" w:rsidRPr="003700B8">
        <w:t>35%</w:t>
      </w:r>
      <w:r w:rsidR="00FC5C9D" w:rsidRPr="003700B8">
        <w:t xml:space="preserve"> of pupils are eligible for free school meals (FSM) over a </w:t>
      </w:r>
      <w:r w:rsidR="00A971AF" w:rsidRPr="003700B8">
        <w:t>three-year</w:t>
      </w:r>
      <w:r w:rsidR="00FC5C9D" w:rsidRPr="003700B8">
        <w:t xml:space="preserve"> period, on the contrary the national percentage of pupils eligible for FSM in Primary is 21.3%</w:t>
      </w:r>
      <w:r w:rsidR="00F3281E" w:rsidRPr="003700B8">
        <w:t xml:space="preserve"> (</w:t>
      </w:r>
      <w:r w:rsidR="00A971AF" w:rsidRPr="003700B8">
        <w:t>G</w:t>
      </w:r>
      <w:r w:rsidR="00F3281E" w:rsidRPr="003700B8">
        <w:t>ov.Wales).</w:t>
      </w:r>
      <w:r w:rsidR="00BB1C68" w:rsidRPr="003700B8">
        <w:t xml:space="preserve"> Community gardens are a great way to influence children’s learning in alignment with the four purposes, allowing cross-curricular activities and partnership working with peers and the community. </w:t>
      </w:r>
      <w:r w:rsidR="00793A3A" w:rsidRPr="003700B8">
        <w:t xml:space="preserve">Research from </w:t>
      </w:r>
      <w:r w:rsidR="00170E9A" w:rsidRPr="003700B8">
        <w:t>Child Poverty</w:t>
      </w:r>
      <w:r w:rsidR="00793A3A" w:rsidRPr="003700B8">
        <w:t xml:space="preserve"> Action Group (CPAG) has found that living on a low-income can increase stress levels for parents and carers in turn learning to family dynamics and relationships being affected, this could be due to the visible aspects of a child living in poverty not having what their peers have, leading to struggles in achieving their aspirations. </w:t>
      </w:r>
    </w:p>
    <w:p w14:paraId="03FA77FC" w14:textId="77777777" w:rsidR="00C97297" w:rsidRPr="003700B8" w:rsidRDefault="00C97297" w:rsidP="00717604">
      <w:pPr>
        <w:pStyle w:val="AssignBody"/>
      </w:pPr>
    </w:p>
    <w:p w14:paraId="33E1B921" w14:textId="665C26E6" w:rsidR="00793A3A" w:rsidRPr="003700B8" w:rsidRDefault="00793A3A" w:rsidP="00717604">
      <w:pPr>
        <w:pStyle w:val="AssignBody"/>
      </w:pPr>
    </w:p>
    <w:p w14:paraId="6DD3B489" w14:textId="77777777" w:rsidR="005908D2" w:rsidRPr="003700B8" w:rsidRDefault="00DA303A" w:rsidP="00717604">
      <w:pPr>
        <w:pStyle w:val="AssignBody"/>
      </w:pPr>
      <w:r w:rsidRPr="003700B8">
        <w:t xml:space="preserve">The school in which this proposal is based upon is within a deprived area with 210 pupils enrolled, in 2022 it was acknowledged that 34.7% of the children were eligible for FSM (Estyn, 2022). </w:t>
      </w:r>
      <w:r w:rsidR="002A5BA5" w:rsidRPr="003700B8">
        <w:t xml:space="preserve">The school has been referred to as “the school” </w:t>
      </w:r>
      <w:r w:rsidR="005908D2" w:rsidRPr="003700B8">
        <w:t>to</w:t>
      </w:r>
      <w:r w:rsidR="002A5BA5" w:rsidRPr="003700B8">
        <w:t xml:space="preserve"> maintain confidentiality and anonymity.</w:t>
      </w:r>
      <w:r w:rsidR="005908D2" w:rsidRPr="003700B8">
        <w:t xml:space="preserve"> In doing this I am ensuring that I am complying with all legislation relating to data protection.</w:t>
      </w:r>
    </w:p>
    <w:p w14:paraId="784D29CE" w14:textId="784B9CC8" w:rsidR="00DA303A" w:rsidRPr="003700B8" w:rsidRDefault="002A5BA5" w:rsidP="00717604">
      <w:pPr>
        <w:pStyle w:val="AssignBody"/>
      </w:pPr>
      <w:r w:rsidRPr="003700B8">
        <w:t>The</w:t>
      </w:r>
      <w:r w:rsidR="00DA303A" w:rsidRPr="003700B8">
        <w:t xml:space="preserve"> choice of the community garden has been chosen to allow opportunities to all pupils to build on their own knowledge, extending their learning and making their own choices. </w:t>
      </w:r>
      <w:r w:rsidR="00A971AF" w:rsidRPr="003700B8">
        <w:t>It is detrimental to pupil education to allow children to connect with nature</w:t>
      </w:r>
      <w:r w:rsidR="00D10115" w:rsidRPr="003700B8">
        <w:t>.</w:t>
      </w:r>
      <w:r w:rsidR="00A971AF" w:rsidRPr="003700B8">
        <w:t xml:space="preserve"> </w:t>
      </w:r>
      <w:r w:rsidR="00825067" w:rsidRPr="003700B8">
        <w:t xml:space="preserve">Nature helps encourage the development of observation and creativity instilling a sense of peace and </w:t>
      </w:r>
      <w:r w:rsidR="00825067" w:rsidRPr="003700B8">
        <w:lastRenderedPageBreak/>
        <w:t>being at one with the world (Crain 2001). Sobel (1996) advocates that developing children’s empathy with the natural world should be a priority, crucially during the ages between four through to seven</w:t>
      </w:r>
      <w:r w:rsidR="00CE57A3" w:rsidRPr="003700B8">
        <w:t xml:space="preserve"> cited in White, R</w:t>
      </w:r>
      <w:r w:rsidR="00825067" w:rsidRPr="003700B8">
        <w:t>. This is paramount in pupil progression as it allows regular positive experiences with the natural world enhancing their development in consideration to</w:t>
      </w:r>
      <w:r w:rsidR="005908D2" w:rsidRPr="003700B8">
        <w:t xml:space="preserve">, </w:t>
      </w:r>
      <w:r w:rsidR="00825067" w:rsidRPr="003700B8">
        <w:t xml:space="preserve">respect and a caring attitude, influencing the importance of observing parents, carers and teachers modelling enjoyment and respect for nature (Cohen 1992 &amp; Phenice &amp; Griffore 2003, Wilson 1996). </w:t>
      </w:r>
      <w:r w:rsidR="005F3FF7" w:rsidRPr="003700B8">
        <w:t>The community garden is a proposal put into place to enhance the knowledge that children have as it has been found in research that children learn by constructing their ow</w:t>
      </w:r>
      <w:r w:rsidR="004B7A63" w:rsidRPr="003700B8">
        <w:t>n</w:t>
      </w:r>
      <w:r w:rsidR="005F3FF7" w:rsidRPr="003700B8">
        <w:t xml:space="preserve"> knowledge about the world, not by memorizing facts (Piaget 1962). </w:t>
      </w:r>
      <w:r w:rsidR="00207A73" w:rsidRPr="003700B8">
        <w:t xml:space="preserve"> It is paramount to consider the circumstance in which education is a part of, rather than separate from life, </w:t>
      </w:r>
      <w:proofErr w:type="gramStart"/>
      <w:r w:rsidR="00207A73" w:rsidRPr="003700B8">
        <w:t>By</w:t>
      </w:r>
      <w:proofErr w:type="gramEnd"/>
      <w:r w:rsidR="00207A73" w:rsidRPr="003700B8">
        <w:t xml:space="preserve"> ensuring that environments are naturalised it was found that the increase in children’s interest and knowledge of nature was much higher (Fjortoft 2001). </w:t>
      </w:r>
    </w:p>
    <w:p w14:paraId="18B13DFA" w14:textId="77777777" w:rsidR="0075440A" w:rsidRPr="003700B8" w:rsidRDefault="001D034B" w:rsidP="00717604">
      <w:pPr>
        <w:pStyle w:val="AssignBody"/>
      </w:pPr>
      <w:r w:rsidRPr="003700B8">
        <w:t xml:space="preserve">School community partnership is evidently assertive in focusing on positive influences. A study from Henderson and Mapp (2002) found that a strong partnership between the school and community has a positive impact to the students academic achievement, finding that students became more successful within school and take education seriously whilst also finding enjoyment. In relation to this it is paramount to consider the economic status of individuals </w:t>
      </w:r>
      <w:r w:rsidR="003A370F" w:rsidRPr="003700B8">
        <w:t xml:space="preserve">of low income in ensuring that community partnership working is used it can </w:t>
      </w:r>
    </w:p>
    <w:p w14:paraId="7CC20618" w14:textId="77777777" w:rsidR="005C4B9D" w:rsidRPr="003700B8" w:rsidRDefault="003A370F" w:rsidP="0069063A">
      <w:pPr>
        <w:pStyle w:val="AssignBody"/>
      </w:pPr>
      <w:r w:rsidRPr="003700B8">
        <w:t>improve learners academic growth and achievement leading them to a higher level as they being to consider and respect the needs and rights of others, forming positive relationships with others based upon trust and mutual respect</w:t>
      </w:r>
      <w:r w:rsidR="0075440A" w:rsidRPr="003700B8">
        <w:t xml:space="preserve"> (Gov.Wales 2018)</w:t>
      </w:r>
      <w:r w:rsidRPr="003700B8">
        <w:t xml:space="preserve">. In another study, Sheldon (2003) found that learners would naturally perform on target or above when they considered the creation of attempting to improve the relationships between schools, </w:t>
      </w:r>
      <w:r w:rsidR="0075440A" w:rsidRPr="003700B8">
        <w:t>families,</w:t>
      </w:r>
      <w:r w:rsidRPr="003700B8">
        <w:t xml:space="preserve"> and the community. Whereas schools who did not try to improve showed the opposite results, this is due to the barriers in which students encounter at home, hindering them to perform to a certain level at school. Thus, the importance of ensuring partnership working to enable commitment to work with the community, permitting an increase in student success. </w:t>
      </w:r>
      <w:r w:rsidR="00C40893" w:rsidRPr="003700B8">
        <w:t xml:space="preserve">Byran (2005) found that when educational settings worked alongside the community, it enabled learners to receive additional support, increasing their academic achievements. </w:t>
      </w:r>
    </w:p>
    <w:p w14:paraId="10F6FB3B" w14:textId="77777777" w:rsidR="005C4B9D" w:rsidRPr="003700B8" w:rsidRDefault="005C4B9D" w:rsidP="0069063A">
      <w:pPr>
        <w:pStyle w:val="AssignBody"/>
      </w:pPr>
    </w:p>
    <w:p w14:paraId="1203D978" w14:textId="77777777" w:rsidR="005C4B9D" w:rsidRPr="003700B8" w:rsidRDefault="005C4B9D" w:rsidP="0069063A">
      <w:pPr>
        <w:pStyle w:val="AssignBody"/>
      </w:pPr>
    </w:p>
    <w:p w14:paraId="0C210431" w14:textId="12CDD3B9" w:rsidR="00936DA5" w:rsidRPr="003700B8" w:rsidRDefault="00C40893" w:rsidP="0069063A">
      <w:pPr>
        <w:pStyle w:val="AssignBody"/>
      </w:pPr>
      <w:r w:rsidRPr="003700B8">
        <w:t>When considering the community garden, it has been detrimental to consider the positives and limitations in which may occur when focusing on the learners development and the issues in which may arise with the involvement of the community. A</w:t>
      </w:r>
      <w:r w:rsidR="0075440A" w:rsidRPr="003700B8">
        <w:t xml:space="preserve"> huge</w:t>
      </w:r>
      <w:r w:rsidRPr="003700B8">
        <w:t xml:space="preserve"> focus f</w:t>
      </w:r>
      <w:r w:rsidR="0075440A" w:rsidRPr="003700B8">
        <w:t>or</w:t>
      </w:r>
      <w:r w:rsidRPr="003700B8">
        <w:t xml:space="preserve"> schools </w:t>
      </w:r>
      <w:r w:rsidR="0075440A" w:rsidRPr="003700B8">
        <w:t>i</w:t>
      </w:r>
      <w:r w:rsidR="005908D2" w:rsidRPr="003700B8">
        <w:t>n</w:t>
      </w:r>
      <w:r w:rsidR="0075440A" w:rsidRPr="003700B8">
        <w:t xml:space="preserve"> </w:t>
      </w:r>
      <w:r w:rsidRPr="003700B8">
        <w:t xml:space="preserve">creating the relationship and forming partnerships with the community is to improve the outcomes of the learners, their social, health, wellbeing, academic and curriculum related (Clerke 2013). To do this trust needs to be gained, for them to work collaboratively, enabling </w:t>
      </w:r>
      <w:r w:rsidRPr="003700B8">
        <w:lastRenderedPageBreak/>
        <w:t xml:space="preserve">similar outcomes and aims to be reached. </w:t>
      </w:r>
      <w:r w:rsidR="00F81275" w:rsidRPr="003700B8">
        <w:t>Research found that the benefits were endless, through partnership working</w:t>
      </w:r>
      <w:r w:rsidR="0075440A" w:rsidRPr="003700B8">
        <w:t>,</w:t>
      </w:r>
      <w:r w:rsidR="00F81275" w:rsidRPr="003700B8">
        <w:t xml:space="preserve"> schools gain in various ways, however the biggest gain is the acknowledgement of working together, gaining knowledge whilst collectively planning, coordinating, and implementing numeral programs, in doing this teacher are given the opportunity to build their relationships with students family members and other students (Honig et al. 2001). This also allows parents to participate in decision making planning and finding a solution to issues which affect their children (Holcomb &amp; Bryan 2010). On the contrary, there are limitations when considering partnership between schools and communities, a huge limitation is family engagement, each family has their own beliefs when considering issues within education, due to the different beliefs not all parents consider inclusion as bringing positive results, thus leading to parents struggling to communicate effectively. </w:t>
      </w:r>
      <w:r w:rsidR="003743A1" w:rsidRPr="003700B8">
        <w:t xml:space="preserve">In some </w:t>
      </w:r>
      <w:proofErr w:type="gramStart"/>
      <w:r w:rsidR="003743A1" w:rsidRPr="003700B8">
        <w:t>cases</w:t>
      </w:r>
      <w:proofErr w:type="gramEnd"/>
      <w:r w:rsidR="003743A1" w:rsidRPr="003700B8">
        <w:t xml:space="preserve"> parents personal education can become a barrier for participation especially if they had issues during their own learning. Mapps &amp; Kuttner (2013) discussed that parents may face cultural and structural barriers whilst engaging with </w:t>
      </w:r>
      <w:proofErr w:type="gramStart"/>
      <w:r w:rsidR="003743A1" w:rsidRPr="003700B8">
        <w:t>school teachers</w:t>
      </w:r>
      <w:proofErr w:type="gramEnd"/>
      <w:r w:rsidR="003743A1" w:rsidRPr="003700B8">
        <w:t>, considering the language aspect of individuals wh</w:t>
      </w:r>
      <w:r w:rsidR="005908D2" w:rsidRPr="003700B8">
        <w:t>ere</w:t>
      </w:r>
      <w:r w:rsidR="003743A1" w:rsidRPr="003700B8">
        <w:t xml:space="preserve"> the first language is not English</w:t>
      </w:r>
      <w:r w:rsidR="005908D2" w:rsidRPr="003700B8">
        <w:t>. T</w:t>
      </w:r>
      <w:r w:rsidR="003743A1" w:rsidRPr="003700B8">
        <w:t xml:space="preserve">his could cause a hinderance in communication. </w:t>
      </w:r>
      <w:r w:rsidR="001C0A07" w:rsidRPr="003700B8">
        <w:t xml:space="preserve">The community garden enables all to be actively involved however it is detrimental to consider that not all parents will have the opportunity to attend and be involved within the project due to working commitments, </w:t>
      </w:r>
      <w:r w:rsidR="00936DA5" w:rsidRPr="003700B8">
        <w:t xml:space="preserve">in order to overcome </w:t>
      </w:r>
      <w:proofErr w:type="gramStart"/>
      <w:r w:rsidR="00936DA5" w:rsidRPr="003700B8">
        <w:t>this</w:t>
      </w:r>
      <w:proofErr w:type="gramEnd"/>
      <w:r w:rsidR="00936DA5" w:rsidRPr="003700B8">
        <w:t xml:space="preserve"> it could be encouraged for children to create their own design of a school garden alongside their parents to enable all to be included. According to the Estyn report in 2013 it was found that the school had a strong partnership with the parents and the community. Estyn 2013 stated that, </w:t>
      </w:r>
      <w:r w:rsidR="0069063A" w:rsidRPr="003700B8">
        <w:t>‘p</w:t>
      </w:r>
      <w:r w:rsidR="00936DA5" w:rsidRPr="003700B8">
        <w:t>arents feel very welcome in the school and teachers offer them regular, focused support through the school’s own initiative.”</w:t>
      </w:r>
    </w:p>
    <w:p w14:paraId="182C4A99" w14:textId="32EF9381" w:rsidR="00936DA5" w:rsidRPr="003700B8" w:rsidRDefault="00936DA5" w:rsidP="0069063A">
      <w:pPr>
        <w:pStyle w:val="AssignBody"/>
      </w:pPr>
      <w:r w:rsidRPr="003700B8">
        <w:t xml:space="preserve">The school in relation to this proposal has made vast improvements including an initiative called PEAS (Parents Engaged Actively in School) and DREAMS (Developing Reading, English and Maths Skills). </w:t>
      </w:r>
      <w:r w:rsidR="00182330" w:rsidRPr="003700B8">
        <w:t>Both</w:t>
      </w:r>
      <w:r w:rsidRPr="003700B8">
        <w:t xml:space="preserve"> initiatives have been seen to be successful in helping parents to support their children’s education at home and they have a</w:t>
      </w:r>
      <w:r w:rsidR="0069063A" w:rsidRPr="003700B8">
        <w:t xml:space="preserve"> “p</w:t>
      </w:r>
      <w:r w:rsidRPr="003700B8">
        <w:t xml:space="preserve">ositive impact on pupils’ achievement, wellbeing and </w:t>
      </w:r>
      <w:r w:rsidR="0069063A" w:rsidRPr="003700B8">
        <w:t>attendance”.</w:t>
      </w:r>
      <w:r w:rsidRPr="003700B8">
        <w:t xml:space="preserve"> </w:t>
      </w:r>
    </w:p>
    <w:p w14:paraId="5E56888D" w14:textId="7827D0A8" w:rsidR="00234D27" w:rsidRPr="003700B8" w:rsidRDefault="0069063A" w:rsidP="0069063A">
      <w:pPr>
        <w:pStyle w:val="AssignBody"/>
      </w:pPr>
      <w:r w:rsidRPr="003700B8">
        <w:t>However,</w:t>
      </w:r>
      <w:r w:rsidR="00234D27" w:rsidRPr="003700B8">
        <w:t xml:space="preserve"> throughout the Estyn report in 2022, it was not clear about outdoor evidence throughout each key stage, but there was a statement made based on the well-being and attitudes towards learning disclosing that the learners felt included in the life and work of the school. “Pupils from diverse backgrounds value the fact that, regardless of their characteristics or beliefs everyone is treated the same by adults and pupils” (Estyn 2022).</w:t>
      </w:r>
    </w:p>
    <w:p w14:paraId="129B4E18" w14:textId="77777777" w:rsidR="0069063A" w:rsidRPr="003700B8" w:rsidRDefault="0069063A" w:rsidP="0069063A">
      <w:pPr>
        <w:pStyle w:val="AssignBody"/>
      </w:pPr>
    </w:p>
    <w:p w14:paraId="554661E0" w14:textId="77777777" w:rsidR="0069063A" w:rsidRPr="003700B8" w:rsidRDefault="0069063A" w:rsidP="0069063A">
      <w:pPr>
        <w:pStyle w:val="AssignBody"/>
      </w:pPr>
    </w:p>
    <w:p w14:paraId="7E576F8B" w14:textId="475E230F" w:rsidR="00F20321" w:rsidRPr="003700B8" w:rsidRDefault="00D10115" w:rsidP="0069063A">
      <w:pPr>
        <w:pStyle w:val="AssignBody"/>
      </w:pPr>
      <w:r w:rsidRPr="003700B8">
        <w:t>The s</w:t>
      </w:r>
      <w:r w:rsidR="00234D27" w:rsidRPr="003700B8">
        <w:t>chool garden is a huge proposal in which can ma</w:t>
      </w:r>
      <w:r w:rsidR="00C97297" w:rsidRPr="003700B8">
        <w:t>k</w:t>
      </w:r>
      <w:r w:rsidR="00234D27" w:rsidRPr="003700B8">
        <w:t xml:space="preserve">e a vast difference within </w:t>
      </w:r>
      <w:r w:rsidR="00E2404E" w:rsidRPr="003700B8">
        <w:t>t</w:t>
      </w:r>
      <w:r w:rsidR="00234D27" w:rsidRPr="003700B8">
        <w:t xml:space="preserve">he setting as it allows for partnership working throughout, and a continuum on children’s learning. </w:t>
      </w:r>
      <w:r w:rsidR="001B76D7" w:rsidRPr="003700B8">
        <w:t xml:space="preserve">The </w:t>
      </w:r>
      <w:r w:rsidR="001B76D7" w:rsidRPr="003700B8">
        <w:lastRenderedPageBreak/>
        <w:t>aims for the project are to continuously provide opportunities to parents enabling them to work alongside teachers within a ‘play’ based learning environment enhancing the learning of the children. In use of the community garden, it will allow opportunities for the children to create their own foodbanks, enabling opportunity to give back to their community and those in need. Covid cause</w:t>
      </w:r>
      <w:r w:rsidR="00065A92" w:rsidRPr="003700B8">
        <w:t>d</w:t>
      </w:r>
      <w:r w:rsidR="001B76D7" w:rsidRPr="003700B8">
        <w:t xml:space="preserve"> detrimental issues to the world around us, research was conducted by Moss et al </w:t>
      </w:r>
      <w:r w:rsidR="008A00B4" w:rsidRPr="003700B8">
        <w:t xml:space="preserve">(2013) </w:t>
      </w:r>
      <w:r w:rsidR="001B76D7" w:rsidRPr="003700B8">
        <w:t xml:space="preserve">discussing the increasing concerns of the long-term impact on children’s learning, physical development and for those of lower income households. It is known that food is a basic need for any human, Maslow’s hierarchy of needs offers a vast amount of information based on the development and the physiological needs that are vital to survive. Maslow’s (1943) theory found that it was essential to meet the lower level of the pyramid before you could progress up. </w:t>
      </w:r>
      <w:r w:rsidR="009850CE" w:rsidRPr="003700B8">
        <w:t>In order for the proposal to be successful it has been evident that the research undertaken ensures the development of each child and enables all to be involved allowing an inclusive environment. A</w:t>
      </w:r>
      <w:r w:rsidR="00582E71" w:rsidRPr="003700B8">
        <w:t xml:space="preserve"> further exploration of this topic enabled a spark in discussion regarding food security, a</w:t>
      </w:r>
      <w:r w:rsidR="00182330" w:rsidRPr="003700B8">
        <w:t xml:space="preserve">s already </w:t>
      </w:r>
      <w:r w:rsidR="00582E71" w:rsidRPr="003700B8">
        <w:t xml:space="preserve">addressed </w:t>
      </w:r>
      <w:r w:rsidR="002A5BA5" w:rsidRPr="003700B8">
        <w:t>low-income</w:t>
      </w:r>
      <w:r w:rsidR="00582E71" w:rsidRPr="003700B8">
        <w:t xml:space="preserve"> families may struggle </w:t>
      </w:r>
      <w:r w:rsidR="002A5BA5" w:rsidRPr="003700B8">
        <w:t>hence</w:t>
      </w:r>
      <w:r w:rsidR="00582E71" w:rsidRPr="003700B8">
        <w:t xml:space="preserve"> the need of food security, in enabling the school garden it can maximise the impact of having physical social and economic access to sufficient, </w:t>
      </w:r>
      <w:r w:rsidR="00065A92" w:rsidRPr="003700B8">
        <w:t>safe,</w:t>
      </w:r>
      <w:r w:rsidR="00582E71" w:rsidRPr="003700B8">
        <w:t xml:space="preserve"> and nutritious foods that meet the dietary requirements and preferences for an active and healthy life (FAO, 2002).</w:t>
      </w:r>
      <w:r w:rsidR="00182330" w:rsidRPr="003700B8">
        <w:t xml:space="preserve"> Bronfenbrenner’s Ecological system theory elaborates on the complex system of relationships </w:t>
      </w:r>
      <w:r w:rsidR="00F20321" w:rsidRPr="003700B8">
        <w:t xml:space="preserve">affected by the multiple levels of the surroundings. According to the theory the mesosystem allows for positive reflection on the child’s development if the adults involved all get along, in addition the macrosystem is a component used to focus on how cultural elements affect the child’s development. </w:t>
      </w:r>
      <w:r w:rsidR="00581D6C" w:rsidRPr="003700B8">
        <w:t xml:space="preserve">On the contrary, limitations are acknowledged within the ecological system as there is limited research in which examinations of the mesosystems are conducted, therefore it is unclear to the extent in which the systems can alter child development. (Leventhal &amp; Brooks-Gunn, 2000). </w:t>
      </w:r>
    </w:p>
    <w:p w14:paraId="6E25CD23" w14:textId="3B3BA76F" w:rsidR="00581D6C" w:rsidRPr="003700B8" w:rsidRDefault="00581D6C" w:rsidP="0069063A">
      <w:pPr>
        <w:pStyle w:val="AssignBody"/>
      </w:pPr>
    </w:p>
    <w:p w14:paraId="7A932091" w14:textId="77777777" w:rsidR="00581D6C" w:rsidRPr="003700B8" w:rsidRDefault="00581D6C" w:rsidP="0069063A">
      <w:pPr>
        <w:pStyle w:val="AssignBody"/>
      </w:pPr>
    </w:p>
    <w:p w14:paraId="39E22AA1" w14:textId="61F11A43" w:rsidR="00EE3FD0" w:rsidRPr="003700B8" w:rsidRDefault="00582E71" w:rsidP="00717604">
      <w:pPr>
        <w:pStyle w:val="AssignBody"/>
      </w:pPr>
      <w:r w:rsidRPr="003700B8">
        <w:t xml:space="preserve">The proposal will enable a sense of security </w:t>
      </w:r>
      <w:r w:rsidR="00F20321" w:rsidRPr="003700B8">
        <w:t>in favour to</w:t>
      </w:r>
      <w:r w:rsidRPr="003700B8">
        <w:t xml:space="preserve"> food as it enhances availability and accessibility, decreasing the distance between producers and consumers, </w:t>
      </w:r>
      <w:r w:rsidR="00EE3FD0" w:rsidRPr="003700B8">
        <w:t>therefore</w:t>
      </w:r>
      <w:r w:rsidRPr="003700B8">
        <w:t xml:space="preserve"> increasing the accessibility of fresh and healthy food, </w:t>
      </w:r>
      <w:r w:rsidR="00EE3FD0" w:rsidRPr="003700B8">
        <w:t>henc</w:t>
      </w:r>
      <w:r w:rsidRPr="003700B8">
        <w:t>e reducing the cost of food (Kell</w:t>
      </w:r>
      <w:r w:rsidR="008A00B4" w:rsidRPr="003700B8">
        <w:t>n</w:t>
      </w:r>
      <w:r w:rsidRPr="003700B8">
        <w:t>er, 2016). People will eat what they grow (Finley, 2013),</w:t>
      </w:r>
      <w:r w:rsidRPr="003700B8">
        <w:rPr>
          <w:color w:val="FF0000"/>
        </w:rPr>
        <w:t xml:space="preserve"> </w:t>
      </w:r>
      <w:r w:rsidRPr="003700B8">
        <w:t xml:space="preserve">by actively allowing participation in the growing process individuals begin to understand how the food is produced which can enable them to select healthy food. A </w:t>
      </w:r>
      <w:r w:rsidR="008C6DFA" w:rsidRPr="003700B8">
        <w:t>huge, intended</w:t>
      </w:r>
      <w:r w:rsidRPr="003700B8">
        <w:t xml:space="preserve"> impact based on this proposal is ensuring engagement within the community, </w:t>
      </w:r>
      <w:r w:rsidR="00795ED4" w:rsidRPr="003700B8">
        <w:t xml:space="preserve">allowing effective communication and face to face engagement leading to a development in inclusion of the whole community. Lowcock, (2014) offers additional reasoning behind this as food projects can empower sustainability, multi-functionality and create a vaster inclusive place which is </w:t>
      </w:r>
      <w:r w:rsidR="00795ED4" w:rsidRPr="003700B8">
        <w:lastRenderedPageBreak/>
        <w:t>welcoming, therefore fostering a broader sense of belonging. In conside</w:t>
      </w:r>
      <w:r w:rsidR="00417608" w:rsidRPr="003700B8">
        <w:t>ration to the</w:t>
      </w:r>
      <w:r w:rsidR="00795ED4" w:rsidRPr="003700B8">
        <w:t xml:space="preserve"> budget, the children will be involved offering a wide range of ideas for raising money, with the intended project needing </w:t>
      </w:r>
      <w:r w:rsidR="00327E9F" w:rsidRPr="003700B8">
        <w:t>many</w:t>
      </w:r>
      <w:r w:rsidR="00795ED4" w:rsidRPr="003700B8">
        <w:t xml:space="preserve"> resources and tools, donations will </w:t>
      </w:r>
      <w:r w:rsidR="00327E9F" w:rsidRPr="003700B8">
        <w:t>be used</w:t>
      </w:r>
      <w:r w:rsidR="00795ED4" w:rsidRPr="003700B8">
        <w:t xml:space="preserve"> to</w:t>
      </w:r>
      <w:r w:rsidR="00327E9F" w:rsidRPr="003700B8">
        <w:t xml:space="preserve"> purchase</w:t>
      </w:r>
      <w:r w:rsidR="00795ED4" w:rsidRPr="003700B8">
        <w:t xml:space="preserve"> gardening tools </w:t>
      </w:r>
      <w:r w:rsidR="00327E9F" w:rsidRPr="003700B8">
        <w:t>and other resourced need to create</w:t>
      </w:r>
      <w:r w:rsidR="00795ED4" w:rsidRPr="003700B8">
        <w:t xml:space="preserve"> an area within the school grounds </w:t>
      </w:r>
      <w:r w:rsidR="00327E9F" w:rsidRPr="003700B8">
        <w:t>for t</w:t>
      </w:r>
      <w:r w:rsidR="00795ED4" w:rsidRPr="003700B8">
        <w:t xml:space="preserve">he garden. </w:t>
      </w:r>
      <w:r w:rsidR="00327E9F" w:rsidRPr="003700B8">
        <w:t xml:space="preserve">Project based fundraising will result in a distinct </w:t>
      </w:r>
      <w:r w:rsidR="00065A92" w:rsidRPr="003700B8">
        <w:t>fundraiser</w:t>
      </w:r>
      <w:r w:rsidR="00327E9F" w:rsidRPr="003700B8">
        <w:t xml:space="preserve"> collecting money from the public (Institute if fundraising, 2006). In pursuing a fundraising campaign, the children can be split into groups to allow opportunities for </w:t>
      </w:r>
      <w:r w:rsidR="0069063A" w:rsidRPr="003700B8">
        <w:t>“d</w:t>
      </w:r>
      <w:r w:rsidR="00327E9F" w:rsidRPr="003700B8">
        <w:t>ifferent ideas to com</w:t>
      </w:r>
      <w:r w:rsidR="00182330" w:rsidRPr="003700B8">
        <w:t>p</w:t>
      </w:r>
      <w:r w:rsidR="00327E9F" w:rsidRPr="003700B8">
        <w:t>ete for consideration.” (Tuckman, 1965</w:t>
      </w:r>
      <w:r w:rsidR="00EE3FD0" w:rsidRPr="003700B8">
        <w:t>). This</w:t>
      </w:r>
      <w:r w:rsidR="00327E9F" w:rsidRPr="003700B8">
        <w:t xml:space="preserve"> allows for an opportunity of counter arguments and discussions between them all, ensuring growth as a team.</w:t>
      </w:r>
    </w:p>
    <w:p w14:paraId="01F7D536" w14:textId="02C30568" w:rsidR="001E1DF3" w:rsidRPr="003700B8" w:rsidRDefault="00417608" w:rsidP="00717604">
      <w:pPr>
        <w:pStyle w:val="AssignBody"/>
      </w:pPr>
      <w:r w:rsidRPr="003700B8">
        <w:t xml:space="preserve">Fundraising is an option when considering the </w:t>
      </w:r>
      <w:r w:rsidR="00EE3FD0" w:rsidRPr="003700B8">
        <w:t>budget as</w:t>
      </w:r>
      <w:r w:rsidRPr="003700B8">
        <w:t xml:space="preserve"> the Welsh Government statistics state that within the average school 94% of the money used within education is used on site for transportation or teacher salaries </w:t>
      </w:r>
      <w:r w:rsidR="00EE3FD0" w:rsidRPr="003700B8">
        <w:t>therefore, the</w:t>
      </w:r>
      <w:r w:rsidRPr="003700B8">
        <w:t xml:space="preserve"> remaining 5% of the budget and any other remainder of the budget could be used towards the school garden. When considering the budget in which the school already receives this could be an issue due to other emergency issues which may arise</w:t>
      </w:r>
      <w:r w:rsidR="00463565" w:rsidRPr="003700B8">
        <w:t>. On average the estimated price for the school garden is between £40 - £60</w:t>
      </w:r>
      <w:r w:rsidR="00154AD4" w:rsidRPr="003700B8">
        <w:t xml:space="preserve"> (Growveg.com)</w:t>
      </w:r>
      <w:r w:rsidR="00463565" w:rsidRPr="003700B8">
        <w:t xml:space="preserve">, however this is only for a small area, so in order to allow more opportunities for whole school this will have to be expanded, due to the expansion it has been averaged to cost £400 - £600 </w:t>
      </w:r>
      <w:r w:rsidR="00154AD4" w:rsidRPr="003700B8">
        <w:t>this can be used to create the foundations of the community garden and then around £400 more will be needed in order to attain the necessary tools that are needed throughout the proposal, the though</w:t>
      </w:r>
      <w:r w:rsidR="00EE3FD0" w:rsidRPr="003700B8">
        <w:t>t</w:t>
      </w:r>
      <w:r w:rsidR="00154AD4" w:rsidRPr="003700B8">
        <w:t xml:space="preserve"> process of the set up is to allow the garden to be inclusive to all, in </w:t>
      </w:r>
      <w:r w:rsidR="00B475AA" w:rsidRPr="003700B8">
        <w:t>contemplation</w:t>
      </w:r>
      <w:r w:rsidR="00154AD4" w:rsidRPr="003700B8">
        <w:t xml:space="preserve"> to this raise</w:t>
      </w:r>
      <w:r w:rsidR="00B475AA" w:rsidRPr="003700B8">
        <w:t>d</w:t>
      </w:r>
      <w:r w:rsidR="00154AD4" w:rsidRPr="003700B8">
        <w:t xml:space="preserve"> beds will be used to allow access to </w:t>
      </w:r>
      <w:r w:rsidR="00B475AA" w:rsidRPr="003700B8">
        <w:t>learners and parents with disabilities</w:t>
      </w:r>
      <w:r w:rsidR="00EE3FD0" w:rsidRPr="003700B8">
        <w:t>. In having an inclusive environment</w:t>
      </w:r>
      <w:r w:rsidR="008C6DFA">
        <w:t xml:space="preserve">, </w:t>
      </w:r>
      <w:r w:rsidR="00EE3FD0" w:rsidRPr="003700B8">
        <w:t xml:space="preserve">teachers are able to encourage learning to become more creative. Kinsella and Fautley (2017) emphasise that it is the responsibility of the teacher to foster creativity within learner. </w:t>
      </w:r>
      <w:r w:rsidR="00B475AA" w:rsidRPr="003700B8">
        <w:t xml:space="preserve"> It is crucial to consider the decisions that will take place throughout the proposal, ensuring that mistakes are used as valuable learning opportunities for learners is paramount in their development. Kolb (1984) discussed the learning focus of children and states that “Learning is the process whereby knowledge is created through the transformation of experience”. In addition, research shows that there are four distinct learning styles in Kolb’s Reflective Cycle, and this refers to an individuals choice of style within their learning preferences. This is crucial in education as it allows opportunities for teachers to critically evaluate the learning and develop appropriate learning opportunities to meet the needs of </w:t>
      </w:r>
      <w:proofErr w:type="gramStart"/>
      <w:r w:rsidR="00B475AA" w:rsidRPr="003700B8">
        <w:t>each individual</w:t>
      </w:r>
      <w:proofErr w:type="gramEnd"/>
      <w:r w:rsidR="00B475AA" w:rsidRPr="003700B8">
        <w:t xml:space="preserve">. </w:t>
      </w:r>
    </w:p>
    <w:p w14:paraId="1C4F8047" w14:textId="6331AA27" w:rsidR="001E1DF3" w:rsidRPr="003700B8" w:rsidRDefault="001E1DF3" w:rsidP="00717604">
      <w:pPr>
        <w:pStyle w:val="AssignBody"/>
      </w:pPr>
    </w:p>
    <w:p w14:paraId="54AD50EE" w14:textId="0679595F" w:rsidR="00170E9A" w:rsidRPr="003700B8" w:rsidRDefault="00A51F66" w:rsidP="00717604">
      <w:pPr>
        <w:pStyle w:val="AssignBody"/>
      </w:pPr>
      <w:r w:rsidRPr="003700B8">
        <w:t xml:space="preserve">Progression is echoed throughout the whole school; the use of the framework is to track progression is encouraged by Wood et al (2020) highlighting the acknowledgment that the framework is comparable. This enables children who are struggling within their development to be identified and offered support to aid this. </w:t>
      </w:r>
      <w:r w:rsidR="00BE0897" w:rsidRPr="003700B8">
        <w:t>For</w:t>
      </w:r>
      <w:r w:rsidRPr="003700B8">
        <w:t xml:space="preserve"> progression to be measured adequately, it </w:t>
      </w:r>
      <w:r w:rsidRPr="003700B8">
        <w:lastRenderedPageBreak/>
        <w:t>is crucial to consider the Four purposes in alignment to the Welsh fra</w:t>
      </w:r>
      <w:r w:rsidR="005E1F6F" w:rsidRPr="003700B8">
        <w:t>mework</w:t>
      </w:r>
      <w:r w:rsidRPr="003700B8">
        <w:t xml:space="preserve"> as this will ensure that the project is offering creative experiences for individuals and experiences which al</w:t>
      </w:r>
      <w:r w:rsidR="00BE0897" w:rsidRPr="003700B8">
        <w:t xml:space="preserve">low opportunities for all learners to become ready to </w:t>
      </w:r>
      <w:r w:rsidR="005E1F6F" w:rsidRPr="003700B8">
        <w:t>b</w:t>
      </w:r>
      <w:r w:rsidR="00BE0897" w:rsidRPr="003700B8">
        <w:t>e citizens of Wales and the world</w:t>
      </w:r>
      <w:r w:rsidR="005E1F6F" w:rsidRPr="003700B8">
        <w:t xml:space="preserve"> as outlined by the Welsh Government (2020c). </w:t>
      </w:r>
      <w:r w:rsidR="00D323E3" w:rsidRPr="003700B8">
        <w:t>There will be set activities to enable teachers and parents to gain an understanding of the learning that has been attained</w:t>
      </w:r>
      <w:r w:rsidR="00BE0897" w:rsidRPr="003700B8">
        <w:t xml:space="preserve"> to measure the impact</w:t>
      </w:r>
      <w:r w:rsidR="000D7F44" w:rsidRPr="003700B8">
        <w:t xml:space="preserve"> on the learners well-being, using the Leuven Well-being scale to utilise the monitoring, prior to, throughout and following the project. Allowing the teacher to observe learners in groups based on similar levels. Laevers (2000, p.24) suggested that teachers are able to gather information to provide an </w:t>
      </w:r>
      <w:r w:rsidR="008C6DFA" w:rsidRPr="003700B8">
        <w:t>insight on</w:t>
      </w:r>
      <w:r w:rsidR="000D7F44" w:rsidRPr="003700B8">
        <w:t xml:space="preserve"> “how each individual is doing within a setting” by putting into consideration the level of well-being and participation within </w:t>
      </w:r>
      <w:proofErr w:type="gramStart"/>
      <w:r w:rsidR="000D7F44" w:rsidRPr="003700B8">
        <w:t>projects, or</w:t>
      </w:r>
      <w:proofErr w:type="gramEnd"/>
      <w:r w:rsidR="000D7F44" w:rsidRPr="003700B8">
        <w:t xml:space="preserve"> displayed within an activity. On the contrary, Laevers (2000) indicates that the tool is simply an indicator rather than a definite measure. Pollard and Lee (2002) argue that the research-based literature into measuring well-being is limited and is seen as a challenge. </w:t>
      </w:r>
    </w:p>
    <w:p w14:paraId="61815BCE" w14:textId="3AABD5C3" w:rsidR="00F906FF" w:rsidRPr="003700B8" w:rsidRDefault="00F906FF" w:rsidP="00717604">
      <w:pPr>
        <w:pStyle w:val="AssignBody"/>
      </w:pPr>
    </w:p>
    <w:p w14:paraId="2CF62973" w14:textId="7DA5FD19" w:rsidR="00F906FF" w:rsidRDefault="00F906FF" w:rsidP="00717604">
      <w:pPr>
        <w:pStyle w:val="AssignBody"/>
      </w:pPr>
      <w:r w:rsidRPr="003700B8">
        <w:t xml:space="preserve">The community garden will be tracked and monitored to ensure that improvements can be made for parental involvement, by having increased engagement with the school and parents or volunteers during events this will allow opportunities for conversation. </w:t>
      </w:r>
      <w:r w:rsidR="0075508D" w:rsidRPr="003700B8">
        <w:t>The school will conduct a parent and child survey to look for important responses that may need intervention or</w:t>
      </w:r>
      <w:r w:rsidR="00C425FF" w:rsidRPr="003700B8">
        <w:t xml:space="preserve"> they may</w:t>
      </w:r>
      <w:r w:rsidR="0075508D" w:rsidRPr="003700B8">
        <w:t xml:space="preserve"> just</w:t>
      </w:r>
      <w:r w:rsidR="00C425FF" w:rsidRPr="003700B8">
        <w:t xml:space="preserve"> be</w:t>
      </w:r>
      <w:r w:rsidR="0075508D" w:rsidRPr="003700B8">
        <w:t xml:space="preserve"> used </w:t>
      </w:r>
      <w:r w:rsidR="00C425FF" w:rsidRPr="003700B8">
        <w:t>to</w:t>
      </w:r>
      <w:r w:rsidR="0075508D" w:rsidRPr="003700B8">
        <w:t xml:space="preserve"> collect feedback from different individuals about their experience of the project.</w:t>
      </w:r>
      <w:r w:rsidRPr="003700B8">
        <w:t xml:space="preserve"> This will enhance the development and strengthen the relationship between school and the home, allowing time to discuss a range of topics. It is found that the conversation between teachers and parents or carers is often centred around the child’s development, their performance, behaviour, pe</w:t>
      </w:r>
      <w:r w:rsidR="00C425FF" w:rsidRPr="003700B8">
        <w:t>e</w:t>
      </w:r>
      <w:r w:rsidRPr="003700B8">
        <w:t xml:space="preserve">r groups or any extracurricular activities the individual may show an interest in (Williams, </w:t>
      </w:r>
      <w:proofErr w:type="gramStart"/>
      <w:r w:rsidRPr="003700B8">
        <w:t>Williams</w:t>
      </w:r>
      <w:proofErr w:type="gramEnd"/>
      <w:r w:rsidRPr="003700B8">
        <w:t xml:space="preserve"> and Ullman, 2002). By allowing opportunities for </w:t>
      </w:r>
      <w:r w:rsidR="004A33FB" w:rsidRPr="003700B8">
        <w:t>these conversations</w:t>
      </w:r>
      <w:r w:rsidRPr="003700B8">
        <w:t xml:space="preserve"> to arise, many other topics could also be discussed enhancing the relationship between school and home to flourish providing a beneficial act to the learner as it will result in academic improvement (Gooda</w:t>
      </w:r>
      <w:r w:rsidR="003700B8">
        <w:t>l</w:t>
      </w:r>
      <w:r w:rsidRPr="003700B8">
        <w:t>l et al, 201</w:t>
      </w:r>
      <w:r w:rsidR="004F66A7" w:rsidRPr="003700B8">
        <w:t>1</w:t>
      </w:r>
      <w:r w:rsidRPr="003700B8">
        <w:t>). Discussions allow opportunities for worries and praise to be disclosed creating a trusting and valuable relationship</w:t>
      </w:r>
      <w:r w:rsidR="0075508D" w:rsidRPr="003700B8">
        <w:t xml:space="preserve">, enables teachers to determine whether the resources in use are sufficient and are being well used or if changes need to be made. </w:t>
      </w:r>
      <w:r w:rsidR="00C425FF" w:rsidRPr="003700B8">
        <w:t>In doing so, the holistic approach is being considered as support is being offered that looks at the whole individual, not just their performance data. Instilling a range of interpersonal skills such as collaboration, effective</w:t>
      </w:r>
      <w:r w:rsidR="00C425FF">
        <w:t xml:space="preserve"> communication and problem-solving. </w:t>
      </w:r>
      <w:r w:rsidR="00C425FF" w:rsidRPr="00174BC7">
        <w:t xml:space="preserve">(The International School of Kuala </w:t>
      </w:r>
      <w:proofErr w:type="spellStart"/>
      <w:r w:rsidR="00C425FF" w:rsidRPr="00174BC7">
        <w:t>Lumpu</w:t>
      </w:r>
      <w:proofErr w:type="spellEnd"/>
      <w:r w:rsidR="00C425FF" w:rsidRPr="00174BC7">
        <w:t>, 2022).</w:t>
      </w:r>
    </w:p>
    <w:p w14:paraId="0D2D72D6" w14:textId="77777777" w:rsidR="000D7F44" w:rsidRDefault="000D7F44" w:rsidP="00717604">
      <w:pPr>
        <w:pStyle w:val="AssignBody"/>
      </w:pPr>
    </w:p>
    <w:p w14:paraId="1986525C" w14:textId="146C893B" w:rsidR="00EE3FD0" w:rsidRDefault="000D7F44" w:rsidP="00717604">
      <w:pPr>
        <w:pStyle w:val="AssignBody"/>
      </w:pPr>
      <w:r>
        <w:t xml:space="preserve">A “SWOT” analysis was </w:t>
      </w:r>
      <w:r w:rsidR="00193DE7">
        <w:t>developed</w:t>
      </w:r>
      <w:r>
        <w:t xml:space="preserve"> </w:t>
      </w:r>
      <w:r w:rsidR="00EE3FD0">
        <w:t>to</w:t>
      </w:r>
      <w:r>
        <w:t xml:space="preserve"> consider </w:t>
      </w:r>
      <w:r w:rsidR="00F95641">
        <w:t>the strengths, limitations, opportunities, and threats</w:t>
      </w:r>
      <w:r>
        <w:t xml:space="preserve"> (see Appendix 1). </w:t>
      </w:r>
      <w:r w:rsidR="0030364E">
        <w:t xml:space="preserve">The strengths and </w:t>
      </w:r>
      <w:r w:rsidR="000B1D09">
        <w:t>limitations</w:t>
      </w:r>
      <w:r w:rsidR="0030364E">
        <w:t xml:space="preserve"> will be considered in relation to the school while opportunities and threats will focus on external factors and influences of the </w:t>
      </w:r>
      <w:r w:rsidR="0030364E">
        <w:lastRenderedPageBreak/>
        <w:t xml:space="preserve">project. The first element to be discussed is the strengths in which are offered through the community garden, which allows potential for cognitive connections due to creative thinking when </w:t>
      </w:r>
      <w:r w:rsidR="00B31F76">
        <w:t>contemplating</w:t>
      </w:r>
      <w:r w:rsidR="0030364E">
        <w:t xml:space="preserve"> similarities and differences in a variety of situations</w:t>
      </w:r>
      <w:r w:rsidR="005E169D">
        <w:t xml:space="preserve">. </w:t>
      </w:r>
      <w:r w:rsidR="0030364E">
        <w:t>Considering the impact of what other community gardens have, another strength that the school has</w:t>
      </w:r>
      <w:r w:rsidR="00065A92">
        <w:t xml:space="preserve"> is,</w:t>
      </w:r>
      <w:r w:rsidR="0030364E">
        <w:t xml:space="preserve"> accessibility and space within the grounds to allow for building and planting to commence, thus no funding being needed for transport, this means that each learner will have the opportunity to attend the community garden and participate with their family members. The school has an implementation in place </w:t>
      </w:r>
      <w:r w:rsidR="000B1D09">
        <w:t>currently</w:t>
      </w:r>
      <w:r w:rsidR="0030364E">
        <w:t xml:space="preserve"> fo</w:t>
      </w:r>
      <w:r w:rsidR="000B1D09">
        <w:t>r</w:t>
      </w:r>
      <w:r w:rsidR="0030364E">
        <w:t xml:space="preserve"> growth mindset, </w:t>
      </w:r>
      <w:r w:rsidR="000B1D09">
        <w:t>aiding</w:t>
      </w:r>
      <w:r w:rsidR="0030364E">
        <w:t xml:space="preserve"> the school garden to </w:t>
      </w:r>
      <w:r w:rsidR="0030364E" w:rsidRPr="004A33FB">
        <w:t>succeed. Dweck (2017)</w:t>
      </w:r>
      <w:r w:rsidR="0030364E">
        <w:t xml:space="preserve"> emphasizes that through a growth mindset</w:t>
      </w:r>
      <w:r w:rsidR="000B1D09">
        <w:t>,</w:t>
      </w:r>
      <w:r w:rsidR="0030364E">
        <w:t xml:space="preserve"> children </w:t>
      </w:r>
      <w:proofErr w:type="gramStart"/>
      <w:r w:rsidR="0030364E">
        <w:t>are able to</w:t>
      </w:r>
      <w:proofErr w:type="gramEnd"/>
      <w:r w:rsidR="0030364E">
        <w:t xml:space="preserve"> gain confidence in their abilities regardless of </w:t>
      </w:r>
      <w:r w:rsidR="000B1D09">
        <w:t>errors</w:t>
      </w:r>
      <w:r w:rsidR="0030364E">
        <w:t xml:space="preserve"> being made, however those with a fixed mindset experience a difficult time through making mistakes. This is crucial as the children will be able to take risks which plays a huge role in the comm</w:t>
      </w:r>
      <w:r w:rsidR="0030364E" w:rsidRPr="001F6E0F">
        <w:t>unity garden</w:t>
      </w:r>
      <w:r w:rsidR="000B1D09" w:rsidRPr="001F6E0F">
        <w:t>, meaning they will not experience a loss of confidence by allowing their creativity to develop (Fisher and Williams, 2012).</w:t>
      </w:r>
      <w:r w:rsidR="000B1D09">
        <w:t xml:space="preserve"> </w:t>
      </w:r>
    </w:p>
    <w:p w14:paraId="36FBE533" w14:textId="2BE02812" w:rsidR="00356F22" w:rsidRDefault="000B1D09" w:rsidP="00717604">
      <w:pPr>
        <w:pStyle w:val="AssignBody"/>
      </w:pPr>
      <w:r>
        <w:t xml:space="preserve">On the contrary as with any project there are limitations, a potential limitation to the project is a lack of resources. Although there is funding available it will not be enough to cover the costs of the project, therefore fundraising will be needed to ensure that each child will get the opportunity to use a variety of resources, this is paramount to the project as it allows opportunity </w:t>
      </w:r>
      <w:r w:rsidRPr="004A33FB">
        <w:t>for learners and parents</w:t>
      </w:r>
      <w:r w:rsidR="008C72BF" w:rsidRPr="004A33FB">
        <w:t xml:space="preserve"> to work</w:t>
      </w:r>
      <w:r w:rsidRPr="004A33FB">
        <w:t xml:space="preserve"> in collaboration to the project </w:t>
      </w:r>
      <w:r w:rsidR="008C72BF" w:rsidRPr="004A33FB">
        <w:t>meaning they h</w:t>
      </w:r>
      <w:r w:rsidRPr="004A33FB">
        <w:t>ave resources distributed equally and fairly (Van den Bos, 2003. Cited in Ayala, Hage and Wilcox, 2011, p.2795). Staffing is also a limitation to the community garden as there are already multiple tasks teachers need to complete daily, in consideration to this it is</w:t>
      </w:r>
      <w:r>
        <w:t xml:space="preserve"> important that they all work collaboratively within their year groups to</w:t>
      </w:r>
      <w:r w:rsidR="00B31F76">
        <w:t xml:space="preserve"> ease the workload. It was found that on average teachers within a primary setting work 53.9 hours on average a week </w:t>
      </w:r>
      <w:r w:rsidR="00B31F76" w:rsidRPr="00A27D62">
        <w:t>(Thomas et al,2003,</w:t>
      </w:r>
      <w:r w:rsidR="00B31F76" w:rsidRPr="00FF39CE">
        <w:t xml:space="preserve"> cited in </w:t>
      </w:r>
      <w:proofErr w:type="spellStart"/>
      <w:r w:rsidR="00B31F76" w:rsidRPr="00FF39CE">
        <w:t>Bubb</w:t>
      </w:r>
      <w:proofErr w:type="spellEnd"/>
      <w:r w:rsidR="00B31F76" w:rsidRPr="00FF39CE">
        <w:t xml:space="preserve"> and </w:t>
      </w:r>
      <w:proofErr w:type="spellStart"/>
      <w:r w:rsidR="00B31F76" w:rsidRPr="00FF39CE">
        <w:t>Earley</w:t>
      </w:r>
      <w:proofErr w:type="spellEnd"/>
      <w:r w:rsidR="00B31F76" w:rsidRPr="00FF39CE">
        <w:t>, 2004, p.4). This is significantly higher than the national average of 36.6 hours per week (Office for National</w:t>
      </w:r>
      <w:r w:rsidR="00B31F76" w:rsidRPr="0019037E">
        <w:t xml:space="preserve"> Statistics, 2020).</w:t>
      </w:r>
      <w:r w:rsidR="00B31F76">
        <w:t xml:space="preserve"> </w:t>
      </w:r>
    </w:p>
    <w:p w14:paraId="443629F3" w14:textId="7FB3741E" w:rsidR="00B31F76" w:rsidRDefault="00B31F76" w:rsidP="00717604">
      <w:pPr>
        <w:pStyle w:val="AssignBody"/>
      </w:pPr>
    </w:p>
    <w:p w14:paraId="4D00D18A" w14:textId="4A1DADA8" w:rsidR="00A33C12" w:rsidRDefault="00B31F76" w:rsidP="00717604">
      <w:pPr>
        <w:pStyle w:val="AssignBody"/>
      </w:pPr>
      <w:r>
        <w:t xml:space="preserve">In continuum to the SWOT analysis the next section is based upon the opportunities and threats </w:t>
      </w:r>
      <w:r w:rsidR="00EE3FD0">
        <w:t>regarding</w:t>
      </w:r>
      <w:r>
        <w:t xml:space="preserve"> the community garden. </w:t>
      </w:r>
      <w:r w:rsidR="008A5FC6">
        <w:t xml:space="preserve">The opportunities within this project include the development of the Four Purposes, the project has a whole offers a wide range of skills which can be developed all of which are detrimental to a child’s learning linking with the Four Purposes, allowing opportunities for the children to be creative with the designs in which they create to dictate how the community garden will look when built allowing them to think creatively, whilst also communicating effectively with others and taking measured decisions about their lifestyle and managing risks when group discussions are taking place in regards to their own safety and that of others, encouraging </w:t>
      </w:r>
      <w:r w:rsidR="008A5FC6" w:rsidRPr="004A33FB">
        <w:t>each group to create rules in which can keep them safe</w:t>
      </w:r>
      <w:r w:rsidR="0094489A" w:rsidRPr="004A33FB">
        <w:t xml:space="preserve"> (Welsh Government, 2020c). Professionals</w:t>
      </w:r>
      <w:r w:rsidR="0094489A">
        <w:t xml:space="preserve"> can also enter the setting when </w:t>
      </w:r>
      <w:r w:rsidR="0094489A">
        <w:lastRenderedPageBreak/>
        <w:t xml:space="preserve">considering this project as they are able to offer an insight on poverty and the needs of the world around us, The Salvation Army volunteers put their “faith into action” offering help for individuals and their families without discrimination, supporting those who are vulnerable and fighting against </w:t>
      </w:r>
      <w:r w:rsidR="0094489A" w:rsidRPr="004A33FB">
        <w:t>injustice (</w:t>
      </w:r>
      <w:proofErr w:type="spellStart"/>
      <w:proofErr w:type="gramStart"/>
      <w:r w:rsidR="0094489A" w:rsidRPr="004A33FB">
        <w:t>Salvationarmy,org</w:t>
      </w:r>
      <w:proofErr w:type="spellEnd"/>
      <w:proofErr w:type="gramEnd"/>
      <w:r w:rsidR="0094489A" w:rsidRPr="004A33FB">
        <w:t>). In allowing an opportunity for these volunteers to visit the setting, discussions can be had on how best to</w:t>
      </w:r>
      <w:r w:rsidR="0094489A">
        <w:t xml:space="preserve"> support one another, this can be seen as both a threat and an opportunity as the children will need to use their aesthetic sensitivity to decide whether the charity is inspiring them to make a difference in the world. Consequently, the learners are allowing themselves to consider their own thoughts, becoming more independent </w:t>
      </w:r>
      <w:r w:rsidR="0094489A" w:rsidRPr="00EE663C">
        <w:t>(</w:t>
      </w:r>
      <w:proofErr w:type="spellStart"/>
      <w:r w:rsidR="0094489A" w:rsidRPr="00EE663C">
        <w:t>Mayesky</w:t>
      </w:r>
      <w:proofErr w:type="spellEnd"/>
      <w:r w:rsidR="0094489A" w:rsidRPr="00EE663C">
        <w:t>, 2011).</w:t>
      </w:r>
      <w:r w:rsidR="0094489A">
        <w:t xml:space="preserve"> However, if the children are not inspired this could be detrimental to the project as they may not understand its worth. Another threat to the project is parent involvement, 41% of parents disclosed that work commitments were the biggest issue when considering involving themselves within </w:t>
      </w:r>
      <w:r w:rsidR="00A33C12">
        <w:t>the sch</w:t>
      </w:r>
      <w:r w:rsidR="0094489A">
        <w:t>ool</w:t>
      </w:r>
      <w:r w:rsidR="00A33C12">
        <w:t>s activities</w:t>
      </w:r>
      <w:r w:rsidR="0094489A">
        <w:t xml:space="preserve"> and that this </w:t>
      </w:r>
      <w:r w:rsidR="0094489A" w:rsidRPr="003700B8">
        <w:t>barrier often prevented them from being able to participate even when they wanted to (Goodall et al., 201</w:t>
      </w:r>
      <w:r w:rsidR="003700B8">
        <w:t>1</w:t>
      </w:r>
      <w:r w:rsidR="0094489A" w:rsidRPr="003700B8">
        <w:t>).</w:t>
      </w:r>
      <w:r w:rsidR="00A33C12" w:rsidRPr="003700B8">
        <w:t xml:space="preserve"> However</w:t>
      </w:r>
      <w:r w:rsidR="00A33C12">
        <w:t xml:space="preserve">, the opportunity for parents to be involved is still considered high due to the accessibility of the project, parents </w:t>
      </w:r>
      <w:proofErr w:type="gramStart"/>
      <w:r w:rsidR="00A33C12">
        <w:t>are able to</w:t>
      </w:r>
      <w:proofErr w:type="gramEnd"/>
      <w:r w:rsidR="00A33C12">
        <w:t xml:space="preserve"> attend the school garden during pick up times, allowing an opportunity for discussions to arise, resulting in better behaviour and attendance for their </w:t>
      </w:r>
      <w:r w:rsidR="00A33C12" w:rsidRPr="00212164">
        <w:t>child (Education Support Partnership, 2020).</w:t>
      </w:r>
      <w:r w:rsidR="00A33C12">
        <w:t xml:space="preserve"> The invitation for the public to attend on a Friday afternoon, taking place weekly with classes alternating provides another opportunity as the community will also have a strong influence on learners as it offers opportunities to include cultural awareness and builds on relationships to help with engagement in conversations and deciphers a mode in which can enable information and skills to be shared. </w:t>
      </w:r>
    </w:p>
    <w:p w14:paraId="2365412D" w14:textId="42C50DFC" w:rsidR="00A33C12" w:rsidRDefault="00A33C12" w:rsidP="00717604">
      <w:pPr>
        <w:pStyle w:val="AssignBody"/>
      </w:pPr>
    </w:p>
    <w:p w14:paraId="04E67330" w14:textId="78DE0F47" w:rsidR="00A33C12" w:rsidRDefault="00A33C12" w:rsidP="00717604">
      <w:pPr>
        <w:pStyle w:val="AssignBody"/>
      </w:pPr>
      <w:r>
        <w:t xml:space="preserve">Notwithstanding the relatively limited sample this work offers insights into the community garden proposal </w:t>
      </w:r>
      <w:r w:rsidR="0079516F">
        <w:t>offering a distinct opportunity for interaction with the community, including parents, citizens of the are</w:t>
      </w:r>
      <w:r w:rsidR="00232C6C">
        <w:t xml:space="preserve">a </w:t>
      </w:r>
      <w:r w:rsidR="0079516F">
        <w:t>and volunteers of the salvation army. Positively, increased parental involvement allowing a vast number of benefits such as improved academic performance (</w:t>
      </w:r>
      <w:r w:rsidR="0079516F" w:rsidRPr="00212164">
        <w:t>Education Support Partnership, 2020)</w:t>
      </w:r>
      <w:r w:rsidR="0079516F">
        <w:t xml:space="preserve"> as mentioned earlier. Working with the volunteers is also encouraged as they are essentially professionals within this sector and this can often be seen as a stimulating experience, encouraged </w:t>
      </w:r>
      <w:r w:rsidR="0079516F" w:rsidRPr="006239CF">
        <w:t>by Padget (2012).</w:t>
      </w:r>
      <w:r w:rsidR="0079516F">
        <w:t xml:space="preserve"> With collaborative working being at the heart of the project, learners are able develop </w:t>
      </w:r>
      <w:proofErr w:type="gramStart"/>
      <w:r w:rsidR="00232C6C">
        <w:t>a number of</w:t>
      </w:r>
      <w:proofErr w:type="gramEnd"/>
      <w:r w:rsidR="00232C6C">
        <w:t xml:space="preserve"> skills as well as the opportunity to become ethically, informed citizens as they are ale to use the evidence from conservations to from views, acknowledging that their actions have an </w:t>
      </w:r>
      <w:r w:rsidR="00232C6C" w:rsidRPr="004A33FB">
        <w:t xml:space="preserve">impact on the world around them (Welsh government, 2020c). </w:t>
      </w:r>
      <w:r w:rsidR="0079516F" w:rsidRPr="004A33FB">
        <w:t xml:space="preserve"> </w:t>
      </w:r>
      <w:r w:rsidR="006B33CC" w:rsidRPr="004A33FB">
        <w:t>This aligns with ‘</w:t>
      </w:r>
      <w:proofErr w:type="spellStart"/>
      <w:r w:rsidR="006B33CC" w:rsidRPr="004A33FB">
        <w:t>Cynefin</w:t>
      </w:r>
      <w:proofErr w:type="spellEnd"/>
      <w:r w:rsidR="006B33CC" w:rsidRPr="004A33FB">
        <w:t>’ as the Welsh Government (2020, p.241) guidance discusses the community stating that it is</w:t>
      </w:r>
      <w:r w:rsidR="002A1A7A" w:rsidRPr="004A33FB">
        <w:t xml:space="preserve"> </w:t>
      </w:r>
      <w:r w:rsidR="006B33CC" w:rsidRPr="004A33FB">
        <w:t>“The place where we feel we belong</w:t>
      </w:r>
      <w:r w:rsidR="002A1A7A" w:rsidRPr="004A33FB">
        <w:t>”</w:t>
      </w:r>
      <w:r w:rsidR="006B33CC" w:rsidRPr="004A33FB">
        <w:t xml:space="preserve"> </w:t>
      </w:r>
      <w:r w:rsidR="008C72BF" w:rsidRPr="004A33FB">
        <w:t xml:space="preserve">regardless of ethnic backgrounds and cultural diversity it encourages </w:t>
      </w:r>
      <w:r w:rsidR="006B33CC" w:rsidRPr="004A33FB">
        <w:t>communi</w:t>
      </w:r>
      <w:r w:rsidR="008C72BF" w:rsidRPr="004A33FB">
        <w:t>ties to inhabit</w:t>
      </w:r>
      <w:r w:rsidR="006B33CC" w:rsidRPr="004A33FB">
        <w:t xml:space="preserve"> it.</w:t>
      </w:r>
      <w:r w:rsidR="002A1A7A" w:rsidRPr="004A33FB">
        <w:t xml:space="preserve"> </w:t>
      </w:r>
      <w:r w:rsidR="001F4A68" w:rsidRPr="004A33FB">
        <w:t xml:space="preserve">Ensuring that the school is </w:t>
      </w:r>
      <w:r w:rsidR="002A1A7A" w:rsidRPr="004A33FB">
        <w:t>in alignment</w:t>
      </w:r>
      <w:r w:rsidR="001F4A68" w:rsidRPr="004A33FB">
        <w:t xml:space="preserve"> with</w:t>
      </w:r>
      <w:r w:rsidR="001F4A68">
        <w:t xml:space="preserve"> </w:t>
      </w:r>
      <w:proofErr w:type="spellStart"/>
      <w:r w:rsidR="001F4A68">
        <w:t>Cynefin</w:t>
      </w:r>
      <w:proofErr w:type="spellEnd"/>
      <w:r w:rsidR="001F4A68">
        <w:t xml:space="preserve"> </w:t>
      </w:r>
      <w:r w:rsidR="001F4A68">
        <w:lastRenderedPageBreak/>
        <w:t xml:space="preserve">allows for opportunities to arise to support the development of healthy, confident, individuals. </w:t>
      </w:r>
      <w:r w:rsidR="002A1A7A">
        <w:t>Regardless of any of their protected characteristics individuals will feel as though they belong</w:t>
      </w:r>
      <w:r w:rsidR="008C72BF">
        <w:t>,</w:t>
      </w:r>
      <w:r w:rsidR="002A1A7A">
        <w:t xml:space="preserve"> shaping their sense of identity and well-being.  </w:t>
      </w:r>
    </w:p>
    <w:p w14:paraId="5F15ACBE" w14:textId="198A6CDF" w:rsidR="004C5F08" w:rsidRDefault="001A5C72" w:rsidP="00717604">
      <w:pPr>
        <w:pStyle w:val="AssignBody"/>
      </w:pPr>
      <w:r>
        <w:t xml:space="preserve">The SWOT analysis has also proven to be effective as it has shown that the strengths and opportunities outweighed the points made within the limitations and threats. Therefore, it is believed that the community garden project will be a success as it enables the school, </w:t>
      </w:r>
      <w:r w:rsidR="008C72BF">
        <w:t>learner,</w:t>
      </w:r>
      <w:r>
        <w:t xml:space="preserve"> and community to build stronger relationships with one another meaning that the academic performance of individuals will improve, satisfying the targets set within the Estyn report for the school to build on these relationships whilst also working in alignment with the Curriculum for Wales and the Four Purposes. </w:t>
      </w:r>
    </w:p>
    <w:p w14:paraId="6E7F602E" w14:textId="2799B541" w:rsidR="004C5F08" w:rsidRDefault="004C5F08" w:rsidP="00717604">
      <w:pPr>
        <w:pStyle w:val="AssignBody"/>
      </w:pPr>
    </w:p>
    <w:p w14:paraId="4ECB51DC" w14:textId="69103731" w:rsidR="004C5F08" w:rsidRDefault="004C5F08" w:rsidP="00717604">
      <w:pPr>
        <w:pStyle w:val="AssignBody"/>
      </w:pPr>
    </w:p>
    <w:p w14:paraId="2E223D93" w14:textId="72A10405" w:rsidR="004C5F08" w:rsidRDefault="004C5F08" w:rsidP="00717604">
      <w:pPr>
        <w:pStyle w:val="AssignBody"/>
      </w:pPr>
    </w:p>
    <w:p w14:paraId="262428EE" w14:textId="544308B4" w:rsidR="004C5F08" w:rsidRDefault="004C5F08" w:rsidP="00717604">
      <w:pPr>
        <w:pStyle w:val="AssignBody"/>
      </w:pPr>
    </w:p>
    <w:p w14:paraId="2AB1BDDB" w14:textId="7FCD3393" w:rsidR="004C5F08" w:rsidRDefault="004C5F08" w:rsidP="00717604">
      <w:pPr>
        <w:pStyle w:val="AssignBody"/>
      </w:pPr>
    </w:p>
    <w:p w14:paraId="7E40975E" w14:textId="0EFBF2DA" w:rsidR="004C5F08" w:rsidRDefault="004C5F08" w:rsidP="00717604">
      <w:pPr>
        <w:pStyle w:val="AssignBody"/>
      </w:pPr>
    </w:p>
    <w:p w14:paraId="72A058DA" w14:textId="0C7DA43A" w:rsidR="004C5F08" w:rsidRDefault="004C5F08" w:rsidP="00717604">
      <w:pPr>
        <w:pStyle w:val="AssignBody"/>
      </w:pPr>
    </w:p>
    <w:p w14:paraId="4B11F074" w14:textId="0A427281" w:rsidR="004C5F08" w:rsidRDefault="004C5F08" w:rsidP="00717604">
      <w:pPr>
        <w:pStyle w:val="AssignBody"/>
      </w:pPr>
    </w:p>
    <w:p w14:paraId="322F629B" w14:textId="5EE6A06F" w:rsidR="004C5F08" w:rsidRDefault="004C5F08" w:rsidP="00717604">
      <w:pPr>
        <w:pStyle w:val="AssignBody"/>
      </w:pPr>
    </w:p>
    <w:p w14:paraId="50A5B124" w14:textId="7F89A4B7" w:rsidR="004C5F08" w:rsidRDefault="004C5F08" w:rsidP="00717604">
      <w:pPr>
        <w:pStyle w:val="AssignBody"/>
      </w:pPr>
    </w:p>
    <w:p w14:paraId="5E80FD3C" w14:textId="157FD146" w:rsidR="004C5F08" w:rsidRDefault="004C5F08" w:rsidP="00717604">
      <w:pPr>
        <w:pStyle w:val="AssignBody"/>
      </w:pPr>
    </w:p>
    <w:p w14:paraId="638C222D" w14:textId="1207F796" w:rsidR="004C5F08" w:rsidRDefault="004C5F08" w:rsidP="00717604">
      <w:pPr>
        <w:pStyle w:val="AssignBody"/>
      </w:pPr>
    </w:p>
    <w:p w14:paraId="56B1E3CC" w14:textId="017CECB1" w:rsidR="004C5F08" w:rsidRDefault="004C5F08" w:rsidP="00717604">
      <w:pPr>
        <w:pStyle w:val="AssignBody"/>
      </w:pPr>
    </w:p>
    <w:p w14:paraId="30910523" w14:textId="467EEA74" w:rsidR="004C5F08" w:rsidRDefault="004C5F08" w:rsidP="00717604">
      <w:pPr>
        <w:pStyle w:val="AssignBody"/>
      </w:pPr>
    </w:p>
    <w:p w14:paraId="0DF54836" w14:textId="15DFF62B" w:rsidR="004C5F08" w:rsidRDefault="004C5F08" w:rsidP="00717604">
      <w:pPr>
        <w:pStyle w:val="AssignBody"/>
      </w:pPr>
    </w:p>
    <w:p w14:paraId="4BF38C16" w14:textId="5952183C" w:rsidR="004C5F08" w:rsidRDefault="004C5F08" w:rsidP="00717604">
      <w:pPr>
        <w:pStyle w:val="AssignBody"/>
      </w:pPr>
    </w:p>
    <w:p w14:paraId="3D789362" w14:textId="55BAEB6B" w:rsidR="004C5F08" w:rsidRDefault="004C5F08" w:rsidP="00717604">
      <w:pPr>
        <w:pStyle w:val="AssignBody"/>
      </w:pPr>
    </w:p>
    <w:p w14:paraId="7EE65962" w14:textId="66000BEC" w:rsidR="004C5F08" w:rsidRDefault="004C5F08" w:rsidP="00717604">
      <w:pPr>
        <w:pStyle w:val="AssignBody"/>
      </w:pPr>
    </w:p>
    <w:p w14:paraId="2AD63860" w14:textId="773D73F8" w:rsidR="004C5F08" w:rsidRDefault="004C5F08" w:rsidP="00717604">
      <w:pPr>
        <w:pStyle w:val="AssignBody"/>
      </w:pPr>
    </w:p>
    <w:p w14:paraId="0B96DAAC" w14:textId="354FA96A" w:rsidR="004C5F08" w:rsidRDefault="004C5F08" w:rsidP="00717604">
      <w:pPr>
        <w:pStyle w:val="AssignBody"/>
      </w:pPr>
    </w:p>
    <w:p w14:paraId="4C231270" w14:textId="78871EBD" w:rsidR="004C5F08" w:rsidRDefault="004C5F08" w:rsidP="00717604">
      <w:pPr>
        <w:pStyle w:val="AssignBody"/>
      </w:pPr>
    </w:p>
    <w:p w14:paraId="72B32082" w14:textId="5CF31223" w:rsidR="004C5F08" w:rsidRDefault="004C5F08" w:rsidP="00717604">
      <w:pPr>
        <w:pStyle w:val="AssignBody"/>
      </w:pPr>
    </w:p>
    <w:p w14:paraId="740BACBE" w14:textId="7EEEE1AA" w:rsidR="004C5F08" w:rsidRDefault="004C5F08" w:rsidP="00717604">
      <w:pPr>
        <w:pStyle w:val="AssignBody"/>
      </w:pPr>
    </w:p>
    <w:p w14:paraId="2D5445A6" w14:textId="1500B3C5" w:rsidR="004C5F08" w:rsidRDefault="004C5F08" w:rsidP="00717604">
      <w:pPr>
        <w:pStyle w:val="AssignBody"/>
      </w:pPr>
    </w:p>
    <w:p w14:paraId="56FD4476" w14:textId="4D38500A" w:rsidR="004C5F08" w:rsidRDefault="004C5F08" w:rsidP="00717604">
      <w:pPr>
        <w:pStyle w:val="AssignBody"/>
      </w:pPr>
    </w:p>
    <w:p w14:paraId="04635C10" w14:textId="72CF8FC7" w:rsidR="004C5F08" w:rsidRDefault="004C5F08" w:rsidP="00717604">
      <w:pPr>
        <w:pStyle w:val="AssignBody"/>
      </w:pPr>
    </w:p>
    <w:p w14:paraId="1FCBA774" w14:textId="62E3BED1" w:rsidR="004C5F08" w:rsidRDefault="004C5F08" w:rsidP="00717604">
      <w:pPr>
        <w:pStyle w:val="AssignBody"/>
      </w:pPr>
    </w:p>
    <w:p w14:paraId="561C422C" w14:textId="1523818E" w:rsidR="004C5F08" w:rsidRDefault="004C5F08" w:rsidP="00717604">
      <w:pPr>
        <w:pStyle w:val="AssignBody"/>
      </w:pPr>
    </w:p>
    <w:p w14:paraId="7D4B8776" w14:textId="21DA8938" w:rsidR="004C5F08" w:rsidRPr="004A33FB" w:rsidRDefault="004C5F08" w:rsidP="00717604">
      <w:pPr>
        <w:pStyle w:val="AssignBody"/>
        <w:rPr>
          <w:rFonts w:cs="Arial"/>
          <w:b/>
          <w:bCs/>
          <w:u w:val="single"/>
        </w:rPr>
      </w:pPr>
      <w:r w:rsidRPr="004A33FB">
        <w:rPr>
          <w:rFonts w:cs="Arial"/>
          <w:b/>
          <w:bCs/>
          <w:u w:val="single"/>
        </w:rPr>
        <w:t xml:space="preserve">References </w:t>
      </w:r>
    </w:p>
    <w:p w14:paraId="4EE05424" w14:textId="77777777" w:rsidR="003700B8" w:rsidRPr="004A33FB" w:rsidRDefault="003700B8" w:rsidP="00717604">
      <w:pPr>
        <w:pStyle w:val="AssignBody"/>
        <w:rPr>
          <w:rFonts w:cs="Arial"/>
          <w:b/>
          <w:bCs/>
          <w:u w:val="single"/>
        </w:rPr>
      </w:pPr>
    </w:p>
    <w:p w14:paraId="2CEE43D5" w14:textId="77777777" w:rsidR="003700B8" w:rsidRPr="001F6E0F" w:rsidRDefault="003700B8"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Appendix 1 – SWOT analysis </w:t>
      </w:r>
    </w:p>
    <w:p w14:paraId="06EED871" w14:textId="539597D2"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proofErr w:type="gramStart"/>
      <w:r w:rsidRPr="001F6E0F">
        <w:rPr>
          <w:rFonts w:ascii="Arial" w:hAnsi="Arial" w:cs="Arial"/>
          <w:sz w:val="22"/>
          <w:szCs w:val="22"/>
        </w:rPr>
        <w:t>arts.wales</w:t>
      </w:r>
      <w:proofErr w:type="spellEnd"/>
      <w:proofErr w:type="gramEnd"/>
      <w:r w:rsidRPr="001F6E0F">
        <w:rPr>
          <w:rFonts w:ascii="Arial" w:hAnsi="Arial" w:cs="Arial"/>
          <w:sz w:val="22"/>
          <w:szCs w:val="22"/>
        </w:rPr>
        <w:t xml:space="preserve">. (n.d.). </w:t>
      </w:r>
      <w:proofErr w:type="spellStart"/>
      <w:r w:rsidRPr="001F6E0F">
        <w:rPr>
          <w:rFonts w:ascii="Arial" w:hAnsi="Arial" w:cs="Arial"/>
          <w:i/>
          <w:iCs/>
          <w:sz w:val="22"/>
          <w:szCs w:val="22"/>
        </w:rPr>
        <w:t>Cynefin</w:t>
      </w:r>
      <w:proofErr w:type="spellEnd"/>
      <w:r w:rsidRPr="001F6E0F">
        <w:rPr>
          <w:rFonts w:ascii="Arial" w:hAnsi="Arial" w:cs="Arial"/>
          <w:i/>
          <w:iCs/>
          <w:sz w:val="22"/>
          <w:szCs w:val="22"/>
        </w:rPr>
        <w:t>: culturally and ethnically diverse Wales | Arts Council of Wales</w:t>
      </w:r>
      <w:r w:rsidRPr="001F6E0F">
        <w:rPr>
          <w:rFonts w:ascii="Arial" w:hAnsi="Arial" w:cs="Arial"/>
          <w:sz w:val="22"/>
          <w:szCs w:val="22"/>
        </w:rPr>
        <w:t>. [online] Available at: https://arts.wales/cynefin-culturally-and-ethnic-diverse-wales [Accessed 17 Mar. 2023].</w:t>
      </w:r>
    </w:p>
    <w:p w14:paraId="13F20849"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Baker, T. (2017). </w:t>
      </w:r>
      <w:r w:rsidRPr="001F6E0F">
        <w:rPr>
          <w:rFonts w:ascii="Arial" w:hAnsi="Arial" w:cs="Arial"/>
          <w:i/>
          <w:iCs/>
          <w:sz w:val="22"/>
          <w:szCs w:val="22"/>
        </w:rPr>
        <w:t>How a school garden has transformed the way we teach</w:t>
      </w:r>
      <w:r w:rsidRPr="001F6E0F">
        <w:rPr>
          <w:rFonts w:ascii="Arial" w:hAnsi="Arial" w:cs="Arial"/>
          <w:sz w:val="22"/>
          <w:szCs w:val="22"/>
        </w:rPr>
        <w:t>. [online] the Guardian. Available at: https://www.theguardian.com/teacher-network/teacher-blog/2017/sep/29/primary-school-garden-teaching-method-improve-pupil-behaviour [Accessed 16 Mar. 2023].</w:t>
      </w:r>
    </w:p>
    <w:p w14:paraId="47348E35" w14:textId="31615055"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Bryan, J. (2005). Fostering Educational Resilience and Opportunities in Urban Schools Through Equity-Focused School–Family–Community Partnerships. </w:t>
      </w:r>
      <w:r w:rsidRPr="001F6E0F">
        <w:rPr>
          <w:rFonts w:ascii="Arial" w:hAnsi="Arial" w:cs="Arial"/>
          <w:i/>
          <w:iCs/>
          <w:sz w:val="22"/>
          <w:szCs w:val="22"/>
        </w:rPr>
        <w:t xml:space="preserve">Professional School </w:t>
      </w:r>
      <w:proofErr w:type="spellStart"/>
      <w:r w:rsidRPr="001F6E0F">
        <w:rPr>
          <w:rFonts w:ascii="Arial" w:hAnsi="Arial" w:cs="Arial"/>
          <w:i/>
          <w:iCs/>
          <w:sz w:val="22"/>
          <w:szCs w:val="22"/>
        </w:rPr>
        <w:t>Counseling</w:t>
      </w:r>
      <w:proofErr w:type="spellEnd"/>
      <w:r w:rsidRPr="001F6E0F">
        <w:rPr>
          <w:rFonts w:ascii="Arial" w:hAnsi="Arial" w:cs="Arial"/>
          <w:sz w:val="22"/>
          <w:szCs w:val="22"/>
        </w:rPr>
        <w:t>, pp.219–227.</w:t>
      </w:r>
    </w:p>
    <w:p w14:paraId="6C85C615" w14:textId="7CFEE198" w:rsidR="0024251A" w:rsidRPr="001F6E0F" w:rsidRDefault="0024251A" w:rsidP="001F6E0F">
      <w:pPr>
        <w:pStyle w:val="NormalWeb"/>
        <w:spacing w:before="0" w:beforeAutospacing="0" w:after="0" w:afterAutospacing="0" w:line="480" w:lineRule="auto"/>
        <w:ind w:left="360"/>
        <w:rPr>
          <w:rFonts w:ascii="Arial" w:hAnsi="Arial" w:cs="Arial"/>
          <w:sz w:val="22"/>
          <w:szCs w:val="22"/>
        </w:rPr>
      </w:pPr>
      <w:proofErr w:type="spellStart"/>
      <w:r w:rsidRPr="001F6E0F">
        <w:rPr>
          <w:rFonts w:ascii="Arial" w:hAnsi="Arial" w:cs="Arial"/>
          <w:sz w:val="22"/>
          <w:szCs w:val="22"/>
        </w:rPr>
        <w:t>Bubb</w:t>
      </w:r>
      <w:proofErr w:type="spellEnd"/>
      <w:r w:rsidRPr="001F6E0F">
        <w:rPr>
          <w:rFonts w:ascii="Arial" w:hAnsi="Arial" w:cs="Arial"/>
          <w:sz w:val="22"/>
          <w:szCs w:val="22"/>
        </w:rPr>
        <w:t xml:space="preserve">, Sara, and Peter </w:t>
      </w:r>
      <w:proofErr w:type="spellStart"/>
      <w:r w:rsidRPr="001F6E0F">
        <w:rPr>
          <w:rFonts w:ascii="Arial" w:hAnsi="Arial" w:cs="Arial"/>
          <w:sz w:val="22"/>
          <w:szCs w:val="22"/>
        </w:rPr>
        <w:t>Earley</w:t>
      </w:r>
      <w:proofErr w:type="spellEnd"/>
      <w:r w:rsidRPr="001F6E0F">
        <w:rPr>
          <w:rFonts w:ascii="Arial" w:hAnsi="Arial" w:cs="Arial"/>
          <w:sz w:val="22"/>
          <w:szCs w:val="22"/>
        </w:rPr>
        <w:t xml:space="preserve">. </w:t>
      </w:r>
      <w:r w:rsidRPr="001F6E0F">
        <w:rPr>
          <w:rFonts w:ascii="Arial" w:hAnsi="Arial" w:cs="Arial"/>
          <w:i/>
          <w:iCs/>
          <w:sz w:val="22"/>
          <w:szCs w:val="22"/>
        </w:rPr>
        <w:t xml:space="preserve">Managing Teacher </w:t>
      </w:r>
      <w:r w:rsidR="00527510" w:rsidRPr="001F6E0F">
        <w:rPr>
          <w:rFonts w:ascii="Arial" w:hAnsi="Arial" w:cs="Arial"/>
          <w:i/>
          <w:iCs/>
          <w:sz w:val="22"/>
          <w:szCs w:val="22"/>
        </w:rPr>
        <w:t>Workload:</w:t>
      </w:r>
      <w:r w:rsidRPr="001F6E0F">
        <w:rPr>
          <w:rFonts w:ascii="Arial" w:hAnsi="Arial" w:cs="Arial"/>
          <w:i/>
          <w:iCs/>
          <w:sz w:val="22"/>
          <w:szCs w:val="22"/>
        </w:rPr>
        <w:t xml:space="preserve"> Work-Life Balance and Wellbeing</w:t>
      </w:r>
      <w:r w:rsidRPr="001F6E0F">
        <w:rPr>
          <w:rFonts w:ascii="Arial" w:hAnsi="Arial" w:cs="Arial"/>
          <w:sz w:val="22"/>
          <w:szCs w:val="22"/>
        </w:rPr>
        <w:t>. Chapman, 2004, p. 4.</w:t>
      </w:r>
    </w:p>
    <w:p w14:paraId="7D53ACB5" w14:textId="70F9F359" w:rsidR="00651CAB" w:rsidRPr="001F6E0F" w:rsidRDefault="00651CAB"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“Chartered Institute of Fundraising - Homepage.” </w:t>
      </w:r>
      <w:r w:rsidRPr="001F6E0F">
        <w:rPr>
          <w:rFonts w:ascii="Arial" w:hAnsi="Arial" w:cs="Arial"/>
          <w:i/>
          <w:iCs/>
          <w:sz w:val="22"/>
          <w:szCs w:val="22"/>
        </w:rPr>
        <w:t>Ciof.org.uk</w:t>
      </w:r>
      <w:r w:rsidRPr="001F6E0F">
        <w:rPr>
          <w:rFonts w:ascii="Arial" w:hAnsi="Arial" w:cs="Arial"/>
          <w:sz w:val="22"/>
          <w:szCs w:val="22"/>
        </w:rPr>
        <w:t>, 2006, ciof.org.uk/.</w:t>
      </w:r>
    </w:p>
    <w:p w14:paraId="4640537E"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Cherry, K. (2022). </w:t>
      </w:r>
      <w:r w:rsidRPr="001F6E0F">
        <w:rPr>
          <w:rFonts w:ascii="Arial" w:hAnsi="Arial" w:cs="Arial"/>
          <w:i/>
          <w:iCs/>
          <w:sz w:val="22"/>
          <w:szCs w:val="22"/>
        </w:rPr>
        <w:t>Maslow’s Hierarchy of Needs</w:t>
      </w:r>
      <w:r w:rsidRPr="001F6E0F">
        <w:rPr>
          <w:rFonts w:ascii="Arial" w:hAnsi="Arial" w:cs="Arial"/>
          <w:sz w:val="22"/>
          <w:szCs w:val="22"/>
        </w:rPr>
        <w:t xml:space="preserve">. [online] </w:t>
      </w:r>
      <w:proofErr w:type="spellStart"/>
      <w:r w:rsidRPr="001F6E0F">
        <w:rPr>
          <w:rFonts w:ascii="Arial" w:hAnsi="Arial" w:cs="Arial"/>
          <w:sz w:val="22"/>
          <w:szCs w:val="22"/>
        </w:rPr>
        <w:t>Verywellmind</w:t>
      </w:r>
      <w:proofErr w:type="spellEnd"/>
      <w:r w:rsidRPr="001F6E0F">
        <w:rPr>
          <w:rFonts w:ascii="Arial" w:hAnsi="Arial" w:cs="Arial"/>
          <w:sz w:val="22"/>
          <w:szCs w:val="22"/>
        </w:rPr>
        <w:t>. Available at: https://www.verywellmind.com/what-is-maslows-hierarchy-of-needs-4136760 [Accessed 11 Mar. 2023].</w:t>
      </w:r>
    </w:p>
    <w:p w14:paraId="2CCFEED4"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Children in Wales (2021). </w:t>
      </w:r>
      <w:r w:rsidRPr="001F6E0F">
        <w:rPr>
          <w:rFonts w:ascii="Arial" w:hAnsi="Arial" w:cs="Arial"/>
          <w:i/>
          <w:iCs/>
          <w:sz w:val="22"/>
          <w:szCs w:val="22"/>
        </w:rPr>
        <w:t>Child Poverty</w:t>
      </w:r>
      <w:r w:rsidRPr="001F6E0F">
        <w:rPr>
          <w:rFonts w:ascii="Arial" w:hAnsi="Arial" w:cs="Arial"/>
          <w:sz w:val="22"/>
          <w:szCs w:val="22"/>
        </w:rPr>
        <w:t>. [online] www.childreninwales.org.uk. Available at: https://www.childreninwales.org.uk/professionals/our-work/child-poverty/ [Accessed 9 Mar. 2023].</w:t>
      </w:r>
    </w:p>
    <w:p w14:paraId="4009FDA1" w14:textId="38F890CE"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Cohen, S. (1992). Promoting Ecological Awareness in Children. </w:t>
      </w:r>
      <w:r w:rsidRPr="001F6E0F">
        <w:rPr>
          <w:rFonts w:ascii="Arial" w:hAnsi="Arial" w:cs="Arial"/>
          <w:i/>
          <w:iCs/>
          <w:sz w:val="22"/>
          <w:szCs w:val="22"/>
        </w:rPr>
        <w:t>Childhood Education</w:t>
      </w:r>
      <w:r w:rsidRPr="001F6E0F">
        <w:rPr>
          <w:rFonts w:ascii="Arial" w:hAnsi="Arial" w:cs="Arial"/>
          <w:sz w:val="22"/>
          <w:szCs w:val="22"/>
        </w:rPr>
        <w:t>, 68(5), pp.258–260.</w:t>
      </w:r>
    </w:p>
    <w:p w14:paraId="56F04CA0" w14:textId="5BB86818" w:rsidR="008A00B4" w:rsidRPr="001F6E0F" w:rsidRDefault="008A00B4" w:rsidP="001F6E0F">
      <w:pPr>
        <w:shd w:val="clear" w:color="auto" w:fill="FFFFFF"/>
        <w:spacing w:before="100" w:beforeAutospacing="1" w:after="100" w:afterAutospacing="1" w:line="240" w:lineRule="auto"/>
        <w:ind w:left="360"/>
        <w:rPr>
          <w:rFonts w:ascii="Arial" w:eastAsia="Times New Roman" w:hAnsi="Arial" w:cs="Arial"/>
          <w:color w:val="212529"/>
          <w:lang w:eastAsia="en-GB"/>
        </w:rPr>
      </w:pPr>
      <w:proofErr w:type="spellStart"/>
      <w:r w:rsidRPr="001F6E0F">
        <w:rPr>
          <w:rFonts w:ascii="Arial" w:eastAsia="Times New Roman" w:hAnsi="Arial" w:cs="Arial"/>
          <w:color w:val="212529"/>
          <w:lang w:eastAsia="en-GB"/>
        </w:rPr>
        <w:t>Clerke</w:t>
      </w:r>
      <w:proofErr w:type="spellEnd"/>
      <w:r w:rsidRPr="001F6E0F">
        <w:rPr>
          <w:rFonts w:ascii="Arial" w:eastAsia="Times New Roman" w:hAnsi="Arial" w:cs="Arial"/>
          <w:color w:val="212529"/>
          <w:lang w:eastAsia="en-GB"/>
        </w:rPr>
        <w:t>, S., &amp; Australian Council for Educational Research, issuing body. (2013). </w:t>
      </w:r>
      <w:r w:rsidRPr="001F6E0F">
        <w:rPr>
          <w:rFonts w:ascii="Arial" w:eastAsia="Times New Roman" w:hAnsi="Arial" w:cs="Arial"/>
          <w:i/>
          <w:iCs/>
          <w:color w:val="212529"/>
          <w:lang w:eastAsia="en-GB"/>
        </w:rPr>
        <w:t>Partnering for school improvement: Case studies of school-community partnerships in Australia</w:t>
      </w:r>
      <w:r w:rsidRPr="001F6E0F">
        <w:rPr>
          <w:rFonts w:ascii="Arial" w:eastAsia="Times New Roman" w:hAnsi="Arial" w:cs="Arial"/>
          <w:color w:val="212529"/>
          <w:lang w:eastAsia="en-GB"/>
        </w:rPr>
        <w:t>.</w:t>
      </w:r>
    </w:p>
    <w:p w14:paraId="5A53CF52" w14:textId="59BAE4A3"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CPAG. (2017). </w:t>
      </w:r>
      <w:r w:rsidRPr="001F6E0F">
        <w:rPr>
          <w:rFonts w:ascii="Arial" w:hAnsi="Arial" w:cs="Arial"/>
          <w:i/>
          <w:iCs/>
          <w:sz w:val="22"/>
          <w:szCs w:val="22"/>
        </w:rPr>
        <w:t>The effects of poverty</w:t>
      </w:r>
      <w:r w:rsidRPr="001F6E0F">
        <w:rPr>
          <w:rFonts w:ascii="Arial" w:hAnsi="Arial" w:cs="Arial"/>
          <w:sz w:val="22"/>
          <w:szCs w:val="22"/>
        </w:rPr>
        <w:t>. [online] Available at: https://cpag.org.uk/child-poverty/effects-</w:t>
      </w:r>
      <w:r w:rsidRPr="001F6E0F">
        <w:rPr>
          <w:rFonts w:ascii="Arial" w:hAnsi="Arial" w:cs="Arial"/>
          <w:sz w:val="22"/>
          <w:szCs w:val="22"/>
        </w:rPr>
        <w:lastRenderedPageBreak/>
        <w:t>poverty#:~:text=Poverty%20in%20childhood%20is%20damaging%3A%20to%20children%2C%20to [Accessed 9 Mar. 2023].</w:t>
      </w:r>
    </w:p>
    <w:p w14:paraId="099C609E" w14:textId="7DBE2154" w:rsidR="00697F90" w:rsidRPr="001F6E0F" w:rsidRDefault="00697F90"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3B3A3A"/>
          <w:sz w:val="22"/>
          <w:szCs w:val="22"/>
        </w:rPr>
        <w:t>Crain, William (2001). Now Nature Helps Children Develop. </w:t>
      </w:r>
      <w:r w:rsidRPr="001F6E0F">
        <w:rPr>
          <w:rFonts w:ascii="Arial" w:hAnsi="Arial" w:cs="Arial"/>
          <w:i/>
          <w:iCs/>
          <w:color w:val="3B3A3A"/>
          <w:sz w:val="22"/>
          <w:szCs w:val="22"/>
        </w:rPr>
        <w:t>Montessori Life</w:t>
      </w:r>
      <w:r w:rsidRPr="001F6E0F">
        <w:rPr>
          <w:rFonts w:ascii="Arial" w:hAnsi="Arial" w:cs="Arial"/>
          <w:color w:val="3B3A3A"/>
          <w:sz w:val="22"/>
          <w:szCs w:val="22"/>
        </w:rPr>
        <w:t>, Summer 2001.</w:t>
      </w:r>
    </w:p>
    <w:p w14:paraId="02118CE7" w14:textId="76573748" w:rsidR="00CE57A3" w:rsidRPr="001F6E0F" w:rsidRDefault="00CE57A3" w:rsidP="001F6E0F">
      <w:pPr>
        <w:pStyle w:val="s"/>
        <w:shd w:val="clear" w:color="auto" w:fill="FFFFFF"/>
        <w:spacing w:before="0" w:beforeAutospacing="0" w:after="0" w:afterAutospacing="0"/>
        <w:rPr>
          <w:rFonts w:ascii="Arial" w:hAnsi="Arial" w:cs="Arial"/>
          <w:color w:val="3B3A3A"/>
          <w:sz w:val="22"/>
          <w:szCs w:val="22"/>
        </w:rPr>
      </w:pPr>
    </w:p>
    <w:p w14:paraId="01EBF211" w14:textId="77777777" w:rsidR="00CE57A3" w:rsidRPr="001F6E0F" w:rsidRDefault="00CE57A3"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“Definition of Poverty around the World | World Vision UK.” </w:t>
      </w:r>
      <w:r w:rsidRPr="001F6E0F">
        <w:rPr>
          <w:rFonts w:ascii="Arial" w:hAnsi="Arial" w:cs="Arial"/>
          <w:i/>
          <w:iCs/>
          <w:sz w:val="22"/>
          <w:szCs w:val="22"/>
        </w:rPr>
        <w:t>Www.worldvision.org.uk</w:t>
      </w:r>
      <w:r w:rsidRPr="001F6E0F">
        <w:rPr>
          <w:rFonts w:ascii="Arial" w:hAnsi="Arial" w:cs="Arial"/>
          <w:sz w:val="22"/>
          <w:szCs w:val="22"/>
        </w:rPr>
        <w:t>, www.worldvision.org.uk/about/blogs/the-definition-of-poverty-around-the-world/#:~:text=In%201995%2C%20the%20United%20Nations%20defined%20this%20level. Accessed 4 Mar. 2023.</w:t>
      </w:r>
    </w:p>
    <w:p w14:paraId="0AF0BC4C" w14:textId="77777777" w:rsidR="00CE57A3" w:rsidRPr="001F6E0F" w:rsidRDefault="00CE57A3" w:rsidP="001F6E0F">
      <w:pPr>
        <w:pStyle w:val="s"/>
        <w:shd w:val="clear" w:color="auto" w:fill="FFFFFF"/>
        <w:spacing w:before="0" w:beforeAutospacing="0" w:after="0" w:afterAutospacing="0"/>
        <w:rPr>
          <w:rFonts w:ascii="Arial" w:hAnsi="Arial" w:cs="Arial"/>
          <w:color w:val="3B3A3A"/>
          <w:sz w:val="22"/>
          <w:szCs w:val="22"/>
        </w:rPr>
      </w:pPr>
    </w:p>
    <w:p w14:paraId="71E21714" w14:textId="77777777" w:rsidR="00697F90" w:rsidRPr="001F6E0F" w:rsidRDefault="00697F90" w:rsidP="001F6E0F">
      <w:pPr>
        <w:pStyle w:val="NormalWeb"/>
        <w:spacing w:before="0" w:beforeAutospacing="0" w:after="240" w:afterAutospacing="0" w:line="360" w:lineRule="auto"/>
        <w:rPr>
          <w:rFonts w:ascii="Arial" w:hAnsi="Arial" w:cs="Arial"/>
          <w:sz w:val="22"/>
          <w:szCs w:val="22"/>
        </w:rPr>
      </w:pPr>
    </w:p>
    <w:p w14:paraId="5C4561B7"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Estyn (2022). </w:t>
      </w:r>
      <w:r w:rsidRPr="001F6E0F">
        <w:rPr>
          <w:rFonts w:ascii="Arial" w:hAnsi="Arial" w:cs="Arial"/>
          <w:i/>
          <w:iCs/>
          <w:sz w:val="22"/>
          <w:szCs w:val="22"/>
        </w:rPr>
        <w:t>A report on Richmond Park Primary School Priory Street Carmarthen Carmarthenshire SA31 1HF Date of inspection: June 2022 by Estyn, Her Majesty’s Inspectorate for Education and Training in Wales</w:t>
      </w:r>
      <w:r w:rsidRPr="001F6E0F">
        <w:rPr>
          <w:rFonts w:ascii="Arial" w:hAnsi="Arial" w:cs="Arial"/>
          <w:sz w:val="22"/>
          <w:szCs w:val="22"/>
        </w:rPr>
        <w:t>. [online] Available at: https://www.estyn.gov.wales/system/files/2022-07/Inspection%20report%20Richmond%20Park%20Primary%20School%202022_0.pdf [Accessed 9 Mar. 2023].</w:t>
      </w:r>
    </w:p>
    <w:p w14:paraId="71BEBBCE" w14:textId="467F1292" w:rsidR="001F6E0F" w:rsidRPr="001F6E0F" w:rsidRDefault="001F6E0F"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Fisher, Robert, and Mary Williams. </w:t>
      </w:r>
      <w:r w:rsidRPr="001F6E0F">
        <w:rPr>
          <w:rFonts w:ascii="Arial" w:hAnsi="Arial" w:cs="Arial"/>
          <w:i/>
          <w:iCs/>
          <w:sz w:val="22"/>
          <w:szCs w:val="22"/>
        </w:rPr>
        <w:t xml:space="preserve">Unlocking </w:t>
      </w:r>
      <w:proofErr w:type="gramStart"/>
      <w:r w:rsidRPr="001F6E0F">
        <w:rPr>
          <w:rFonts w:ascii="Arial" w:hAnsi="Arial" w:cs="Arial"/>
          <w:i/>
          <w:iCs/>
          <w:sz w:val="22"/>
          <w:szCs w:val="22"/>
        </w:rPr>
        <w:t>Creativity :</w:t>
      </w:r>
      <w:proofErr w:type="gramEnd"/>
      <w:r w:rsidRPr="001F6E0F">
        <w:rPr>
          <w:rFonts w:ascii="Arial" w:hAnsi="Arial" w:cs="Arial"/>
          <w:i/>
          <w:iCs/>
          <w:sz w:val="22"/>
          <w:szCs w:val="22"/>
        </w:rPr>
        <w:t xml:space="preserve"> A Teacher’s Guide to Creativity across the Curriculum</w:t>
      </w:r>
      <w:r w:rsidRPr="001F6E0F">
        <w:rPr>
          <w:rFonts w:ascii="Arial" w:hAnsi="Arial" w:cs="Arial"/>
          <w:sz w:val="22"/>
          <w:szCs w:val="22"/>
        </w:rPr>
        <w:t>. 2012. Routledge, 2015.</w:t>
      </w:r>
    </w:p>
    <w:p w14:paraId="354C4ADC" w14:textId="77777777" w:rsidR="001F6E0F" w:rsidRPr="001F6E0F" w:rsidRDefault="001F6E0F" w:rsidP="001F6E0F">
      <w:pPr>
        <w:pStyle w:val="NormalWeb"/>
        <w:spacing w:before="0" w:beforeAutospacing="0" w:after="0" w:afterAutospacing="0" w:line="480" w:lineRule="auto"/>
        <w:ind w:left="720"/>
        <w:rPr>
          <w:rFonts w:ascii="Arial" w:hAnsi="Arial" w:cs="Arial"/>
          <w:sz w:val="22"/>
          <w:szCs w:val="22"/>
        </w:rPr>
      </w:pPr>
    </w:p>
    <w:p w14:paraId="6CC29D04" w14:textId="5E952950"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Finley, R. (2013). </w:t>
      </w:r>
      <w:r w:rsidRPr="001F6E0F">
        <w:rPr>
          <w:rFonts w:ascii="Arial" w:hAnsi="Arial" w:cs="Arial"/>
          <w:i/>
          <w:iCs/>
          <w:sz w:val="22"/>
          <w:szCs w:val="22"/>
        </w:rPr>
        <w:t xml:space="preserve">A </w:t>
      </w:r>
      <w:proofErr w:type="spellStart"/>
      <w:r w:rsidRPr="001F6E0F">
        <w:rPr>
          <w:rFonts w:ascii="Arial" w:hAnsi="Arial" w:cs="Arial"/>
          <w:i/>
          <w:iCs/>
          <w:sz w:val="22"/>
          <w:szCs w:val="22"/>
        </w:rPr>
        <w:t>guerilla</w:t>
      </w:r>
      <w:proofErr w:type="spellEnd"/>
      <w:r w:rsidRPr="001F6E0F">
        <w:rPr>
          <w:rFonts w:ascii="Arial" w:hAnsi="Arial" w:cs="Arial"/>
          <w:i/>
          <w:iCs/>
          <w:sz w:val="22"/>
          <w:szCs w:val="22"/>
        </w:rPr>
        <w:t xml:space="preserve"> gardener in South Central LA | Ron Finley</w:t>
      </w:r>
      <w:r w:rsidRPr="001F6E0F">
        <w:rPr>
          <w:rFonts w:ascii="Arial" w:hAnsi="Arial" w:cs="Arial"/>
          <w:sz w:val="22"/>
          <w:szCs w:val="22"/>
        </w:rPr>
        <w:t>. [online] www.youtube.com. Available at: https://www.youtube.com/watch?time_continue=126&amp;v=EzZzZ_qpZ4w [Accessed 12 Mar. 2023].</w:t>
      </w:r>
    </w:p>
    <w:p w14:paraId="1C559EDA"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proofErr w:type="spellStart"/>
      <w:r w:rsidRPr="001F6E0F">
        <w:rPr>
          <w:rFonts w:ascii="Arial" w:hAnsi="Arial" w:cs="Arial"/>
          <w:color w:val="3B3A3A"/>
          <w:sz w:val="22"/>
          <w:szCs w:val="22"/>
        </w:rPr>
        <w:t>Fjortoft</w:t>
      </w:r>
      <w:proofErr w:type="spellEnd"/>
      <w:r w:rsidRPr="001F6E0F">
        <w:rPr>
          <w:rFonts w:ascii="Arial" w:hAnsi="Arial" w:cs="Arial"/>
          <w:color w:val="3B3A3A"/>
          <w:sz w:val="22"/>
          <w:szCs w:val="22"/>
        </w:rPr>
        <w:t xml:space="preserve">, </w:t>
      </w:r>
      <w:proofErr w:type="spellStart"/>
      <w:r w:rsidRPr="001F6E0F">
        <w:rPr>
          <w:rFonts w:ascii="Arial" w:hAnsi="Arial" w:cs="Arial"/>
          <w:color w:val="3B3A3A"/>
          <w:sz w:val="22"/>
          <w:szCs w:val="22"/>
        </w:rPr>
        <w:t>Ingunn</w:t>
      </w:r>
      <w:proofErr w:type="spellEnd"/>
      <w:r w:rsidRPr="001F6E0F">
        <w:rPr>
          <w:rFonts w:ascii="Arial" w:hAnsi="Arial" w:cs="Arial"/>
          <w:color w:val="3B3A3A"/>
          <w:sz w:val="22"/>
          <w:szCs w:val="22"/>
        </w:rPr>
        <w:t xml:space="preserve"> (2001). The Natural Environment as a Playground for Children: The Impact of Outdoor Play Activities in Pre-Primary School Children. </w:t>
      </w:r>
      <w:r w:rsidRPr="001F6E0F">
        <w:rPr>
          <w:rFonts w:ascii="Arial" w:hAnsi="Arial" w:cs="Arial"/>
          <w:i/>
          <w:iCs/>
          <w:color w:val="3B3A3A"/>
          <w:sz w:val="22"/>
          <w:szCs w:val="22"/>
        </w:rPr>
        <w:t>Early Childhood Education Journal</w:t>
      </w:r>
      <w:r w:rsidRPr="001F6E0F">
        <w:rPr>
          <w:rFonts w:ascii="Arial" w:hAnsi="Arial" w:cs="Arial"/>
          <w:color w:val="3B3A3A"/>
          <w:sz w:val="22"/>
          <w:szCs w:val="22"/>
        </w:rPr>
        <w:t>, 29(2): 111-117</w:t>
      </w:r>
    </w:p>
    <w:p w14:paraId="1B5EBBC1" w14:textId="79AB59D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1E05D90A" w14:textId="77777777" w:rsidR="008A00B4" w:rsidRPr="001F6E0F" w:rsidRDefault="008A00B4" w:rsidP="001F6E0F">
      <w:pPr>
        <w:shd w:val="clear" w:color="auto" w:fill="FFFFFF"/>
        <w:spacing w:before="100" w:beforeAutospacing="1" w:after="100" w:afterAutospacing="1" w:line="240" w:lineRule="auto"/>
        <w:ind w:left="360"/>
        <w:rPr>
          <w:rFonts w:ascii="Arial" w:eastAsia="Times New Roman" w:hAnsi="Arial" w:cs="Arial"/>
          <w:color w:val="212529"/>
          <w:lang w:eastAsia="en-GB"/>
        </w:rPr>
      </w:pPr>
      <w:r w:rsidRPr="001F6E0F">
        <w:rPr>
          <w:rFonts w:ascii="Arial" w:eastAsia="Times New Roman" w:hAnsi="Arial" w:cs="Arial"/>
          <w:color w:val="212529"/>
          <w:lang w:eastAsia="en-GB"/>
        </w:rPr>
        <w:t>FAO. 2002. The State of Food Insecurity in the World 2001. Rome.</w:t>
      </w:r>
    </w:p>
    <w:p w14:paraId="3DA27F99"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010EA61B" w14:textId="19775F00"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lastRenderedPageBreak/>
        <w:t>Gazeley</w:t>
      </w:r>
      <w:proofErr w:type="spellEnd"/>
      <w:r w:rsidRPr="001F6E0F">
        <w:rPr>
          <w:rFonts w:ascii="Arial" w:hAnsi="Arial" w:cs="Arial"/>
          <w:sz w:val="22"/>
          <w:szCs w:val="22"/>
        </w:rPr>
        <w:t xml:space="preserve">, H. (2011). </w:t>
      </w:r>
      <w:r w:rsidRPr="001F6E0F">
        <w:rPr>
          <w:rFonts w:ascii="Arial" w:hAnsi="Arial" w:cs="Arial"/>
          <w:i/>
          <w:iCs/>
          <w:sz w:val="22"/>
          <w:szCs w:val="22"/>
        </w:rPr>
        <w:t>How to Set up a School Garden</w:t>
      </w:r>
      <w:r w:rsidRPr="001F6E0F">
        <w:rPr>
          <w:rFonts w:ascii="Arial" w:hAnsi="Arial" w:cs="Arial"/>
          <w:sz w:val="22"/>
          <w:szCs w:val="22"/>
        </w:rPr>
        <w:t xml:space="preserve">. [online] </w:t>
      </w:r>
      <w:proofErr w:type="spellStart"/>
      <w:r w:rsidRPr="001F6E0F">
        <w:rPr>
          <w:rFonts w:ascii="Arial" w:hAnsi="Arial" w:cs="Arial"/>
          <w:sz w:val="22"/>
          <w:szCs w:val="22"/>
        </w:rPr>
        <w:t>GrowVeg</w:t>
      </w:r>
      <w:proofErr w:type="spellEnd"/>
      <w:r w:rsidRPr="001F6E0F">
        <w:rPr>
          <w:rFonts w:ascii="Arial" w:hAnsi="Arial" w:cs="Arial"/>
          <w:sz w:val="22"/>
          <w:szCs w:val="22"/>
        </w:rPr>
        <w:t>. Available at: https://www.growveg.co.uk/guides/how-to-set-up-a-school-garden/ [Accessed 17 Mar. 2023].</w:t>
      </w:r>
    </w:p>
    <w:p w14:paraId="655E40B5" w14:textId="77777777" w:rsidR="004F66A7" w:rsidRPr="001F6E0F" w:rsidRDefault="004F66A7"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Goodall, J., et al. </w:t>
      </w:r>
      <w:r w:rsidRPr="001F6E0F">
        <w:rPr>
          <w:rFonts w:ascii="Arial" w:hAnsi="Arial" w:cs="Arial"/>
          <w:i/>
          <w:iCs/>
          <w:sz w:val="22"/>
          <w:szCs w:val="22"/>
        </w:rPr>
        <w:t>“Review of Best Practice in Parental Engagement: Practitioners Summary.”</w:t>
      </w:r>
      <w:r w:rsidRPr="001F6E0F">
        <w:rPr>
          <w:rFonts w:ascii="Arial" w:hAnsi="Arial" w:cs="Arial"/>
          <w:sz w:val="22"/>
          <w:szCs w:val="22"/>
        </w:rPr>
        <w:t xml:space="preserve"> 2011, assets.publishing.service.gov.uk/government/uploads/system/uploads/attachment_data/file/182507/DFE-RR156_-_Practitioner_Summary.pdf.</w:t>
      </w:r>
    </w:p>
    <w:p w14:paraId="1384538D" w14:textId="77777777" w:rsidR="004F66A7" w:rsidRPr="001F6E0F" w:rsidRDefault="004F66A7" w:rsidP="001F6E0F">
      <w:pPr>
        <w:pStyle w:val="NormalWeb"/>
        <w:spacing w:before="0" w:beforeAutospacing="0" w:after="240" w:afterAutospacing="0" w:line="360" w:lineRule="auto"/>
        <w:rPr>
          <w:rFonts w:ascii="Arial" w:hAnsi="Arial" w:cs="Arial"/>
          <w:sz w:val="22"/>
          <w:szCs w:val="22"/>
        </w:rPr>
      </w:pPr>
    </w:p>
    <w:p w14:paraId="2A0712D5"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GOV.UK. (n.d.). </w:t>
      </w:r>
      <w:r w:rsidRPr="001F6E0F">
        <w:rPr>
          <w:rFonts w:ascii="Arial" w:hAnsi="Arial" w:cs="Arial"/>
          <w:i/>
          <w:iCs/>
          <w:sz w:val="22"/>
          <w:szCs w:val="22"/>
        </w:rPr>
        <w:t>Garden communities toolkit</w:t>
      </w:r>
      <w:r w:rsidRPr="001F6E0F">
        <w:rPr>
          <w:rFonts w:ascii="Arial" w:hAnsi="Arial" w:cs="Arial"/>
          <w:sz w:val="22"/>
          <w:szCs w:val="22"/>
        </w:rPr>
        <w:t>. [online] Available at: https://www.gov.uk/guidance/garden-communities [Accessed 15 Mar. 2022].</w:t>
      </w:r>
    </w:p>
    <w:p w14:paraId="6C6A319F"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GOV.WALES. (n.d.). </w:t>
      </w:r>
      <w:r w:rsidRPr="001F6E0F">
        <w:rPr>
          <w:rFonts w:ascii="Arial" w:hAnsi="Arial" w:cs="Arial"/>
          <w:i/>
          <w:iCs/>
          <w:sz w:val="22"/>
          <w:szCs w:val="22"/>
        </w:rPr>
        <w:t>Schools’ census results: April 2021</w:t>
      </w:r>
      <w:r w:rsidRPr="001F6E0F">
        <w:rPr>
          <w:rFonts w:ascii="Arial" w:hAnsi="Arial" w:cs="Arial"/>
          <w:sz w:val="22"/>
          <w:szCs w:val="22"/>
        </w:rPr>
        <w:t>. [online] Available at: https://www.gov.wales/schools-census-results-april-2021-html [Accessed 9 Mar. 2023].</w:t>
      </w:r>
    </w:p>
    <w:p w14:paraId="7FA4F14A"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GOV.WALES. (2020). </w:t>
      </w:r>
      <w:r w:rsidRPr="001F6E0F">
        <w:rPr>
          <w:rFonts w:ascii="Arial" w:hAnsi="Arial" w:cs="Arial"/>
          <w:i/>
          <w:iCs/>
          <w:sz w:val="22"/>
          <w:szCs w:val="22"/>
        </w:rPr>
        <w:t xml:space="preserve">Written Statement: BAME Communities, Contributions and </w:t>
      </w:r>
      <w:proofErr w:type="spellStart"/>
      <w:r w:rsidRPr="001F6E0F">
        <w:rPr>
          <w:rFonts w:ascii="Arial" w:hAnsi="Arial" w:cs="Arial"/>
          <w:i/>
          <w:iCs/>
          <w:sz w:val="22"/>
          <w:szCs w:val="22"/>
        </w:rPr>
        <w:t>Cynefin</w:t>
      </w:r>
      <w:proofErr w:type="spellEnd"/>
      <w:r w:rsidRPr="001F6E0F">
        <w:rPr>
          <w:rFonts w:ascii="Arial" w:hAnsi="Arial" w:cs="Arial"/>
          <w:i/>
          <w:iCs/>
          <w:sz w:val="22"/>
          <w:szCs w:val="22"/>
        </w:rPr>
        <w:t xml:space="preserve"> in the New Curriculum Group interim report (19 November 2020)</w:t>
      </w:r>
      <w:r w:rsidRPr="001F6E0F">
        <w:rPr>
          <w:rFonts w:ascii="Arial" w:hAnsi="Arial" w:cs="Arial"/>
          <w:sz w:val="22"/>
          <w:szCs w:val="22"/>
        </w:rPr>
        <w:t>. [online] Available at: https://www.gov.wales/written-statement-bame-communities-contributions-and-cynefin-new-curriculum-group-interim-report [Accessed 17 Mar. 2023].</w:t>
      </w:r>
    </w:p>
    <w:p w14:paraId="75C9959F"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Harmey</w:t>
      </w:r>
      <w:proofErr w:type="spellEnd"/>
      <w:r w:rsidRPr="001F6E0F">
        <w:rPr>
          <w:rFonts w:ascii="Arial" w:hAnsi="Arial" w:cs="Arial"/>
          <w:sz w:val="22"/>
          <w:szCs w:val="22"/>
        </w:rPr>
        <w:t xml:space="preserve">, S. and Moss, G. (2021). Learning disruption or learning loss: using evidence from unplanned closures to inform returning to school after COVID-19. </w:t>
      </w:r>
      <w:r w:rsidRPr="001F6E0F">
        <w:rPr>
          <w:rFonts w:ascii="Arial" w:hAnsi="Arial" w:cs="Arial"/>
          <w:i/>
          <w:iCs/>
          <w:sz w:val="22"/>
          <w:szCs w:val="22"/>
        </w:rPr>
        <w:t>Educational Review</w:t>
      </w:r>
      <w:r w:rsidRPr="001F6E0F">
        <w:rPr>
          <w:rFonts w:ascii="Arial" w:hAnsi="Arial" w:cs="Arial"/>
          <w:sz w:val="22"/>
          <w:szCs w:val="22"/>
        </w:rPr>
        <w:t>, pp.1–20.</w:t>
      </w:r>
    </w:p>
    <w:p w14:paraId="517DEAC6" w14:textId="1DC12123"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Healthy eating in maintained schools Statutory guidance for local authorities and governing bodies Guidance. (n.d.). Available at: https://www.gov.wales/sites/default/files/publications/2018-12/healthy-eating-in-maintained-schools-statutory-guidance-for-local-authorities-and-governing-bodies.pdf [Accessed 14 Mar. 2023].</w:t>
      </w:r>
    </w:p>
    <w:p w14:paraId="30506540"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222222"/>
          <w:sz w:val="22"/>
          <w:szCs w:val="22"/>
          <w:shd w:val="clear" w:color="auto" w:fill="FFFFFF"/>
        </w:rPr>
        <w:t>Henderson, A. T., &amp; Mapp, K. L. (2002). A New Wave of Evidence: The Impact of School, Family, and Community Connections on Student Achievement. Annual Synthesis 2002.</w:t>
      </w:r>
      <w:r w:rsidRPr="001F6E0F">
        <w:rPr>
          <w:rFonts w:ascii="Arial" w:hAnsi="Arial" w:cs="Arial"/>
          <w:i/>
          <w:iCs/>
          <w:color w:val="222222"/>
          <w:sz w:val="22"/>
          <w:szCs w:val="22"/>
          <w:shd w:val="clear" w:color="auto" w:fill="FFFFFF"/>
        </w:rPr>
        <w:t xml:space="preserve">National </w:t>
      </w:r>
      <w:proofErr w:type="spellStart"/>
      <w:r w:rsidRPr="001F6E0F">
        <w:rPr>
          <w:rFonts w:ascii="Arial" w:hAnsi="Arial" w:cs="Arial"/>
          <w:i/>
          <w:iCs/>
          <w:color w:val="222222"/>
          <w:sz w:val="22"/>
          <w:szCs w:val="22"/>
          <w:shd w:val="clear" w:color="auto" w:fill="FFFFFF"/>
        </w:rPr>
        <w:t>Center</w:t>
      </w:r>
      <w:proofErr w:type="spellEnd"/>
      <w:r w:rsidRPr="001F6E0F">
        <w:rPr>
          <w:rFonts w:ascii="Arial" w:hAnsi="Arial" w:cs="Arial"/>
          <w:i/>
          <w:iCs/>
          <w:color w:val="222222"/>
          <w:sz w:val="22"/>
          <w:szCs w:val="22"/>
          <w:shd w:val="clear" w:color="auto" w:fill="FFFFFF"/>
        </w:rPr>
        <w:t xml:space="preserve"> for Family and Community Connections with Schools</w:t>
      </w:r>
      <w:r w:rsidRPr="001F6E0F">
        <w:rPr>
          <w:rFonts w:ascii="Arial" w:hAnsi="Arial" w:cs="Arial"/>
          <w:color w:val="222222"/>
          <w:sz w:val="22"/>
          <w:szCs w:val="22"/>
          <w:shd w:val="clear" w:color="auto" w:fill="FFFFFF"/>
        </w:rPr>
        <w:t>.</w:t>
      </w:r>
    </w:p>
    <w:p w14:paraId="15210F30"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25B5624A"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212529"/>
          <w:sz w:val="22"/>
          <w:szCs w:val="22"/>
        </w:rPr>
        <w:t xml:space="preserve">Honig, M. I., </w:t>
      </w:r>
      <w:proofErr w:type="spellStart"/>
      <w:r w:rsidRPr="001F6E0F">
        <w:rPr>
          <w:rFonts w:ascii="Arial" w:hAnsi="Arial" w:cs="Arial"/>
          <w:color w:val="212529"/>
          <w:sz w:val="22"/>
          <w:szCs w:val="22"/>
        </w:rPr>
        <w:t>Kahne</w:t>
      </w:r>
      <w:proofErr w:type="spellEnd"/>
      <w:r w:rsidRPr="001F6E0F">
        <w:rPr>
          <w:rFonts w:ascii="Arial" w:hAnsi="Arial" w:cs="Arial"/>
          <w:color w:val="212529"/>
          <w:sz w:val="22"/>
          <w:szCs w:val="22"/>
        </w:rPr>
        <w:t>, J., &amp; McLaughlin, M. W. (2001). School-community connections: Strengthening opportunity to learn and opportunity to teach. </w:t>
      </w:r>
      <w:r w:rsidRPr="001F6E0F">
        <w:rPr>
          <w:rFonts w:ascii="Arial" w:hAnsi="Arial" w:cs="Arial"/>
          <w:i/>
          <w:iCs/>
          <w:color w:val="212529"/>
          <w:sz w:val="22"/>
          <w:szCs w:val="22"/>
        </w:rPr>
        <w:t>Handbook of research on teaching</w:t>
      </w:r>
      <w:r w:rsidRPr="001F6E0F">
        <w:rPr>
          <w:rFonts w:ascii="Arial" w:hAnsi="Arial" w:cs="Arial"/>
          <w:color w:val="212529"/>
          <w:sz w:val="22"/>
          <w:szCs w:val="22"/>
        </w:rPr>
        <w:t>, </w:t>
      </w:r>
      <w:r w:rsidRPr="001F6E0F">
        <w:rPr>
          <w:rFonts w:ascii="Arial" w:hAnsi="Arial" w:cs="Arial"/>
          <w:i/>
          <w:iCs/>
          <w:color w:val="212529"/>
          <w:sz w:val="22"/>
          <w:szCs w:val="22"/>
        </w:rPr>
        <w:t>4</w:t>
      </w:r>
      <w:r w:rsidRPr="001F6E0F">
        <w:rPr>
          <w:rFonts w:ascii="Arial" w:hAnsi="Arial" w:cs="Arial"/>
          <w:color w:val="212529"/>
          <w:sz w:val="22"/>
          <w:szCs w:val="22"/>
        </w:rPr>
        <w:t>.</w:t>
      </w:r>
    </w:p>
    <w:p w14:paraId="5680A14B"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66A48B10" w14:textId="44784F22"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lastRenderedPageBreak/>
        <w:t xml:space="preserve">Holcomb-McCoy, C. and Bryan, J. (2010). Advocacy and Empowerment in Parent Consultation: Implications for Theory and Practice. </w:t>
      </w:r>
      <w:r w:rsidRPr="001F6E0F">
        <w:rPr>
          <w:rFonts w:ascii="Arial" w:hAnsi="Arial" w:cs="Arial"/>
          <w:i/>
          <w:iCs/>
          <w:sz w:val="22"/>
          <w:szCs w:val="22"/>
        </w:rPr>
        <w:t xml:space="preserve">Journal of </w:t>
      </w:r>
      <w:proofErr w:type="spellStart"/>
      <w:r w:rsidRPr="001F6E0F">
        <w:rPr>
          <w:rFonts w:ascii="Arial" w:hAnsi="Arial" w:cs="Arial"/>
          <w:i/>
          <w:iCs/>
          <w:sz w:val="22"/>
          <w:szCs w:val="22"/>
        </w:rPr>
        <w:t>Counseling</w:t>
      </w:r>
      <w:proofErr w:type="spellEnd"/>
      <w:r w:rsidRPr="001F6E0F">
        <w:rPr>
          <w:rFonts w:ascii="Arial" w:hAnsi="Arial" w:cs="Arial"/>
          <w:i/>
          <w:iCs/>
          <w:sz w:val="22"/>
          <w:szCs w:val="22"/>
        </w:rPr>
        <w:t xml:space="preserve"> &amp; Development</w:t>
      </w:r>
      <w:r w:rsidRPr="001F6E0F">
        <w:rPr>
          <w:rFonts w:ascii="Arial" w:hAnsi="Arial" w:cs="Arial"/>
          <w:sz w:val="22"/>
          <w:szCs w:val="22"/>
        </w:rPr>
        <w:t>, 88(3), pp.259–268.</w:t>
      </w:r>
    </w:p>
    <w:p w14:paraId="5177DC8C" w14:textId="00A8FE86"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proofErr w:type="gramStart"/>
      <w:r w:rsidRPr="001F6E0F">
        <w:rPr>
          <w:rFonts w:ascii="Arial" w:hAnsi="Arial" w:cs="Arial"/>
          <w:sz w:val="22"/>
          <w:szCs w:val="22"/>
        </w:rPr>
        <w:t>hwb.gov.wales</w:t>
      </w:r>
      <w:proofErr w:type="spellEnd"/>
      <w:proofErr w:type="gramEnd"/>
      <w:r w:rsidRPr="001F6E0F">
        <w:rPr>
          <w:rFonts w:ascii="Arial" w:hAnsi="Arial" w:cs="Arial"/>
          <w:sz w:val="22"/>
          <w:szCs w:val="22"/>
        </w:rPr>
        <w:t xml:space="preserve">. (n.d.). </w:t>
      </w:r>
      <w:r w:rsidRPr="001F6E0F">
        <w:rPr>
          <w:rFonts w:ascii="Arial" w:hAnsi="Arial" w:cs="Arial"/>
          <w:i/>
          <w:iCs/>
          <w:sz w:val="22"/>
          <w:szCs w:val="22"/>
        </w:rPr>
        <w:t>Humanities: Designing your curriculum - Hwb</w:t>
      </w:r>
      <w:r w:rsidRPr="001F6E0F">
        <w:rPr>
          <w:rFonts w:ascii="Arial" w:hAnsi="Arial" w:cs="Arial"/>
          <w:sz w:val="22"/>
          <w:szCs w:val="22"/>
        </w:rPr>
        <w:t>. [online] Available at: https://hwb.gov.wales/curriculum-for-wales/humanities/designing-your-curriculum/ [Accessed 16 Mar. 2023].</w:t>
      </w:r>
    </w:p>
    <w:p w14:paraId="1E9486EC" w14:textId="77777777" w:rsidR="00174BC7" w:rsidRPr="001F6E0F" w:rsidRDefault="00174BC7"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karuna. “The International School of Kuala Lumpur (ISKL).” </w:t>
      </w:r>
      <w:r w:rsidRPr="001F6E0F">
        <w:rPr>
          <w:rFonts w:ascii="Arial" w:hAnsi="Arial" w:cs="Arial"/>
          <w:i/>
          <w:iCs/>
          <w:sz w:val="22"/>
          <w:szCs w:val="22"/>
        </w:rPr>
        <w:t>The International School of Kuala Lumpur (ISKL)</w:t>
      </w:r>
      <w:r w:rsidRPr="001F6E0F">
        <w:rPr>
          <w:rFonts w:ascii="Arial" w:hAnsi="Arial" w:cs="Arial"/>
          <w:sz w:val="22"/>
          <w:szCs w:val="22"/>
        </w:rPr>
        <w:t>, 2022, www.iskl.edu.my/.</w:t>
      </w:r>
    </w:p>
    <w:p w14:paraId="6E3901B7" w14:textId="1C03BBAD"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79906CCE"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212529"/>
          <w:sz w:val="22"/>
          <w:szCs w:val="22"/>
          <w:shd w:val="clear" w:color="auto" w:fill="FFFFFF"/>
        </w:rPr>
        <w:t>Kellner, Grace Catherine, “Growing Food Security: The Impact of Community Gardens on Food Security in Denver, Colorado” (2016). </w:t>
      </w:r>
    </w:p>
    <w:p w14:paraId="130C400C" w14:textId="7A28D195" w:rsidR="00764DA4" w:rsidRPr="001F6E0F" w:rsidRDefault="00764DA4" w:rsidP="001F6E0F">
      <w:pPr>
        <w:pStyle w:val="AssignBody"/>
        <w:rPr>
          <w:rFonts w:cs="Arial"/>
          <w:b/>
          <w:bCs/>
          <w:u w:val="single"/>
        </w:rPr>
      </w:pPr>
    </w:p>
    <w:p w14:paraId="0AFD3C77" w14:textId="3A92E8A8" w:rsidR="00A761B7" w:rsidRPr="001F6E0F" w:rsidRDefault="00A761B7" w:rsidP="001F6E0F">
      <w:pPr>
        <w:pStyle w:val="AssignBody"/>
        <w:ind w:left="360"/>
        <w:rPr>
          <w:rStyle w:val="publisher-name"/>
          <w:rFonts w:cs="Arial"/>
          <w:color w:val="333333"/>
          <w:bdr w:val="none" w:sz="0" w:space="0" w:color="auto" w:frame="1"/>
          <w:shd w:val="clear" w:color="auto" w:fill="FFFFFF"/>
        </w:rPr>
      </w:pPr>
      <w:r w:rsidRPr="001F6E0F">
        <w:rPr>
          <w:rStyle w:val="surname"/>
          <w:rFonts w:cs="Arial"/>
          <w:color w:val="333333"/>
          <w:bdr w:val="none" w:sz="0" w:space="0" w:color="auto" w:frame="1"/>
          <w:shd w:val="clear" w:color="auto" w:fill="FFFFFF"/>
        </w:rPr>
        <w:t>KINSELLA</w:t>
      </w:r>
      <w:r w:rsidRPr="001F6E0F">
        <w:rPr>
          <w:rStyle w:val="name"/>
          <w:rFonts w:cs="Arial"/>
          <w:color w:val="333333"/>
          <w:bdr w:val="none" w:sz="0" w:space="0" w:color="auto" w:frame="1"/>
          <w:shd w:val="clear" w:color="auto" w:fill="FFFFFF"/>
        </w:rPr>
        <w:t>, </w:t>
      </w:r>
      <w:r w:rsidRPr="001F6E0F">
        <w:rPr>
          <w:rStyle w:val="given-names"/>
          <w:rFonts w:cs="Arial"/>
          <w:color w:val="333333"/>
          <w:bdr w:val="none" w:sz="0" w:space="0" w:color="auto" w:frame="1"/>
          <w:shd w:val="clear" w:color="auto" w:fill="FFFFFF"/>
        </w:rPr>
        <w:t>V.</w:t>
      </w:r>
      <w:r w:rsidRPr="001F6E0F">
        <w:rPr>
          <w:rFonts w:cs="Arial"/>
          <w:color w:val="333333"/>
          <w:shd w:val="clear" w:color="auto" w:fill="FFFFFF"/>
        </w:rPr>
        <w:t> &amp; </w:t>
      </w:r>
      <w:r w:rsidRPr="001F6E0F">
        <w:rPr>
          <w:rStyle w:val="surname"/>
          <w:rFonts w:cs="Arial"/>
          <w:color w:val="333333"/>
          <w:bdr w:val="none" w:sz="0" w:space="0" w:color="auto" w:frame="1"/>
          <w:shd w:val="clear" w:color="auto" w:fill="FFFFFF"/>
        </w:rPr>
        <w:t>FAUTLEY</w:t>
      </w:r>
      <w:r w:rsidRPr="001F6E0F">
        <w:rPr>
          <w:rStyle w:val="name"/>
          <w:rFonts w:cs="Arial"/>
          <w:color w:val="333333"/>
          <w:bdr w:val="none" w:sz="0" w:space="0" w:color="auto" w:frame="1"/>
          <w:shd w:val="clear" w:color="auto" w:fill="FFFFFF"/>
        </w:rPr>
        <w:t>, </w:t>
      </w:r>
      <w:r w:rsidRPr="001F6E0F">
        <w:rPr>
          <w:rStyle w:val="given-names"/>
          <w:rFonts w:cs="Arial"/>
          <w:color w:val="333333"/>
          <w:bdr w:val="none" w:sz="0" w:space="0" w:color="auto" w:frame="1"/>
          <w:shd w:val="clear" w:color="auto" w:fill="FFFFFF"/>
        </w:rPr>
        <w:t>M.</w:t>
      </w:r>
      <w:r w:rsidRPr="001F6E0F">
        <w:rPr>
          <w:rFonts w:cs="Arial"/>
          <w:color w:val="333333"/>
          <w:shd w:val="clear" w:color="auto" w:fill="FFFFFF"/>
        </w:rPr>
        <w:t> (</w:t>
      </w:r>
      <w:r w:rsidRPr="001F6E0F">
        <w:rPr>
          <w:rStyle w:val="year"/>
          <w:rFonts w:cs="Arial"/>
          <w:color w:val="333333"/>
          <w:bdr w:val="none" w:sz="0" w:space="0" w:color="auto" w:frame="1"/>
          <w:shd w:val="clear" w:color="auto" w:fill="FFFFFF"/>
        </w:rPr>
        <w:t>2017</w:t>
      </w:r>
      <w:r w:rsidRPr="001F6E0F">
        <w:rPr>
          <w:rFonts w:cs="Arial"/>
          <w:color w:val="333333"/>
          <w:shd w:val="clear" w:color="auto" w:fill="FFFFFF"/>
        </w:rPr>
        <w:t>) </w:t>
      </w:r>
      <w:r w:rsidRPr="001F6E0F">
        <w:rPr>
          <w:rStyle w:val="chapter-title"/>
          <w:rFonts w:cs="Arial"/>
          <w:color w:val="333333"/>
          <w:bdr w:val="none" w:sz="0" w:space="0" w:color="auto" w:frame="1"/>
          <w:shd w:val="clear" w:color="auto" w:fill="FFFFFF"/>
        </w:rPr>
        <w:t>The use of activity theory as an analytical tool for the music learning processes</w:t>
      </w:r>
      <w:r w:rsidRPr="001F6E0F">
        <w:rPr>
          <w:rFonts w:cs="Arial"/>
          <w:color w:val="333333"/>
          <w:shd w:val="clear" w:color="auto" w:fill="FFFFFF"/>
        </w:rPr>
        <w:t>. In </w:t>
      </w:r>
      <w:proofErr w:type="spellStart"/>
      <w:r w:rsidRPr="001F6E0F">
        <w:rPr>
          <w:rStyle w:val="surname"/>
          <w:rFonts w:cs="Arial"/>
          <w:color w:val="333333"/>
          <w:bdr w:val="none" w:sz="0" w:space="0" w:color="auto" w:frame="1"/>
          <w:shd w:val="clear" w:color="auto" w:fill="FFFFFF"/>
        </w:rPr>
        <w:t>Bugos</w:t>
      </w:r>
      <w:proofErr w:type="spellEnd"/>
      <w:r w:rsidRPr="001F6E0F">
        <w:rPr>
          <w:rStyle w:val="string-name"/>
          <w:rFonts w:cs="Arial"/>
          <w:color w:val="333333"/>
          <w:bdr w:val="none" w:sz="0" w:space="0" w:color="auto" w:frame="1"/>
          <w:shd w:val="clear" w:color="auto" w:fill="FFFFFF"/>
        </w:rPr>
        <w:t>, </w:t>
      </w:r>
      <w:r w:rsidRPr="001F6E0F">
        <w:rPr>
          <w:rStyle w:val="given-names"/>
          <w:rFonts w:cs="Arial"/>
          <w:color w:val="333333"/>
          <w:bdr w:val="none" w:sz="0" w:space="0" w:color="auto" w:frame="1"/>
          <w:shd w:val="clear" w:color="auto" w:fill="FFFFFF"/>
        </w:rPr>
        <w:t>J. A</w:t>
      </w:r>
      <w:r w:rsidRPr="001F6E0F">
        <w:rPr>
          <w:rFonts w:cs="Arial"/>
          <w:color w:val="333333"/>
          <w:shd w:val="clear" w:color="auto" w:fill="FFFFFF"/>
        </w:rPr>
        <w:t> (Ed.), </w:t>
      </w:r>
      <w:r w:rsidRPr="001F6E0F">
        <w:rPr>
          <w:rStyle w:val="source"/>
          <w:rFonts w:cs="Arial"/>
          <w:color w:val="333333"/>
          <w:bdr w:val="none" w:sz="0" w:space="0" w:color="auto" w:frame="1"/>
          <w:shd w:val="clear" w:color="auto" w:fill="FFFFFF"/>
        </w:rPr>
        <w:t>Contemporary Research in Music Learning Across the Lifespan</w:t>
      </w:r>
      <w:r w:rsidRPr="001F6E0F">
        <w:rPr>
          <w:rFonts w:cs="Arial"/>
          <w:color w:val="333333"/>
          <w:shd w:val="clear" w:color="auto" w:fill="FFFFFF"/>
        </w:rPr>
        <w:t> (pp. </w:t>
      </w:r>
      <w:r w:rsidRPr="001F6E0F">
        <w:rPr>
          <w:rStyle w:val="fpage"/>
          <w:rFonts w:cs="Arial"/>
          <w:color w:val="333333"/>
          <w:bdr w:val="none" w:sz="0" w:space="0" w:color="auto" w:frame="1"/>
          <w:shd w:val="clear" w:color="auto" w:fill="FFFFFF"/>
        </w:rPr>
        <w:t>26</w:t>
      </w:r>
      <w:r w:rsidRPr="001F6E0F">
        <w:rPr>
          <w:rFonts w:cs="Arial"/>
          <w:color w:val="333333"/>
          <w:shd w:val="clear" w:color="auto" w:fill="FFFFFF"/>
        </w:rPr>
        <w:t>–</w:t>
      </w:r>
      <w:r w:rsidRPr="001F6E0F">
        <w:rPr>
          <w:rStyle w:val="lpage"/>
          <w:rFonts w:cs="Arial"/>
          <w:color w:val="333333"/>
          <w:bdr w:val="none" w:sz="0" w:space="0" w:color="auto" w:frame="1"/>
          <w:shd w:val="clear" w:color="auto" w:fill="FFFFFF"/>
        </w:rPr>
        <w:t>38</w:t>
      </w:r>
      <w:r w:rsidRPr="001F6E0F">
        <w:rPr>
          <w:rFonts w:cs="Arial"/>
          <w:color w:val="333333"/>
          <w:shd w:val="clear" w:color="auto" w:fill="FFFFFF"/>
        </w:rPr>
        <w:t>). </w:t>
      </w:r>
      <w:r w:rsidRPr="001F6E0F">
        <w:rPr>
          <w:rStyle w:val="publisher-loc"/>
          <w:rFonts w:cs="Arial"/>
          <w:color w:val="333333"/>
          <w:bdr w:val="none" w:sz="0" w:space="0" w:color="auto" w:frame="1"/>
          <w:shd w:val="clear" w:color="auto" w:fill="FFFFFF"/>
        </w:rPr>
        <w:t>New York</w:t>
      </w:r>
      <w:r w:rsidRPr="001F6E0F">
        <w:rPr>
          <w:rFonts w:cs="Arial"/>
          <w:color w:val="333333"/>
          <w:shd w:val="clear" w:color="auto" w:fill="FFFFFF"/>
        </w:rPr>
        <w:t>: </w:t>
      </w:r>
      <w:r w:rsidRPr="001F6E0F">
        <w:rPr>
          <w:rStyle w:val="publisher-name"/>
          <w:rFonts w:cs="Arial"/>
          <w:color w:val="333333"/>
          <w:bdr w:val="none" w:sz="0" w:space="0" w:color="auto" w:frame="1"/>
          <w:shd w:val="clear" w:color="auto" w:fill="FFFFFF"/>
        </w:rPr>
        <w:t>Routledge</w:t>
      </w:r>
    </w:p>
    <w:p w14:paraId="30F45876" w14:textId="77777777" w:rsidR="00A761B7" w:rsidRPr="001F6E0F" w:rsidRDefault="00A761B7" w:rsidP="001F6E0F">
      <w:pPr>
        <w:pStyle w:val="AssignBody"/>
        <w:rPr>
          <w:rFonts w:cs="Arial"/>
          <w:b/>
          <w:bCs/>
          <w:u w:val="single"/>
        </w:rPr>
      </w:pPr>
    </w:p>
    <w:p w14:paraId="39E88056" w14:textId="18ADA9EC" w:rsidR="00174BC7" w:rsidRPr="001F6E0F" w:rsidRDefault="00764DA4" w:rsidP="001F6E0F">
      <w:pPr>
        <w:pStyle w:val="AssignBody"/>
        <w:ind w:left="360"/>
        <w:rPr>
          <w:rFonts w:cs="Arial"/>
          <w:color w:val="282828"/>
          <w:shd w:val="clear" w:color="auto" w:fill="FFFFFF"/>
        </w:rPr>
      </w:pPr>
      <w:r w:rsidRPr="001F6E0F">
        <w:rPr>
          <w:rFonts w:cs="Arial"/>
          <w:color w:val="282828"/>
          <w:shd w:val="clear" w:color="auto" w:fill="FFFFFF"/>
        </w:rPr>
        <w:t>Kolb, D. A. (1984). </w:t>
      </w:r>
      <w:r w:rsidRPr="001F6E0F">
        <w:rPr>
          <w:rStyle w:val="Emphasis"/>
          <w:rFonts w:cs="Arial"/>
          <w:color w:val="282828"/>
          <w:shd w:val="clear" w:color="auto" w:fill="FFFFFF"/>
        </w:rPr>
        <w:t>Experiential learning: Experience as the source of learning and development</w:t>
      </w:r>
      <w:r w:rsidRPr="001F6E0F">
        <w:rPr>
          <w:rFonts w:cs="Arial"/>
          <w:color w:val="282828"/>
          <w:shd w:val="clear" w:color="auto" w:fill="FFFFFF"/>
        </w:rPr>
        <w:t> (Vol. 1). Englewood Cliffs, NJ: Prentice-Hall.</w:t>
      </w:r>
    </w:p>
    <w:p w14:paraId="4A976E25" w14:textId="77777777" w:rsidR="00174BC7" w:rsidRPr="001F6E0F" w:rsidRDefault="00174BC7" w:rsidP="001F6E0F">
      <w:pPr>
        <w:pStyle w:val="AssignBody"/>
        <w:rPr>
          <w:rFonts w:cs="Arial"/>
          <w:color w:val="282828"/>
          <w:shd w:val="clear" w:color="auto" w:fill="FFFFFF"/>
        </w:rPr>
      </w:pPr>
    </w:p>
    <w:p w14:paraId="7E54CABC"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Lambie-Mumford, H. (2018). The growth of food banks in Britain and what they mean for social policy. </w:t>
      </w:r>
      <w:r w:rsidRPr="001F6E0F">
        <w:rPr>
          <w:rFonts w:ascii="Arial" w:hAnsi="Arial" w:cs="Arial"/>
          <w:i/>
          <w:iCs/>
          <w:sz w:val="22"/>
          <w:szCs w:val="22"/>
        </w:rPr>
        <w:t>Critical Social Policy</w:t>
      </w:r>
      <w:r w:rsidRPr="001F6E0F">
        <w:rPr>
          <w:rFonts w:ascii="Arial" w:hAnsi="Arial" w:cs="Arial"/>
          <w:sz w:val="22"/>
          <w:szCs w:val="22"/>
        </w:rPr>
        <w:t>, 39(1), pp.3–22.</w:t>
      </w:r>
    </w:p>
    <w:p w14:paraId="15F2935F" w14:textId="3CC9147A"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Leventhal, T. and Brooks-Gunn, J. (2000). The </w:t>
      </w:r>
      <w:proofErr w:type="spellStart"/>
      <w:r w:rsidRPr="001F6E0F">
        <w:rPr>
          <w:rFonts w:ascii="Arial" w:hAnsi="Arial" w:cs="Arial"/>
          <w:sz w:val="22"/>
          <w:szCs w:val="22"/>
        </w:rPr>
        <w:t>Neighborhoods</w:t>
      </w:r>
      <w:proofErr w:type="spellEnd"/>
      <w:r w:rsidRPr="001F6E0F">
        <w:rPr>
          <w:rFonts w:ascii="Arial" w:hAnsi="Arial" w:cs="Arial"/>
          <w:sz w:val="22"/>
          <w:szCs w:val="22"/>
        </w:rPr>
        <w:t xml:space="preserve"> They Live </w:t>
      </w:r>
      <w:proofErr w:type="gramStart"/>
      <w:r w:rsidRPr="001F6E0F">
        <w:rPr>
          <w:rFonts w:ascii="Arial" w:hAnsi="Arial" w:cs="Arial"/>
          <w:sz w:val="22"/>
          <w:szCs w:val="22"/>
        </w:rPr>
        <w:t>in:</w:t>
      </w:r>
      <w:proofErr w:type="gramEnd"/>
      <w:r w:rsidRPr="001F6E0F">
        <w:rPr>
          <w:rFonts w:ascii="Arial" w:hAnsi="Arial" w:cs="Arial"/>
          <w:sz w:val="22"/>
          <w:szCs w:val="22"/>
        </w:rPr>
        <w:t xml:space="preserve"> the Effects of </w:t>
      </w:r>
      <w:proofErr w:type="spellStart"/>
      <w:r w:rsidRPr="001F6E0F">
        <w:rPr>
          <w:rFonts w:ascii="Arial" w:hAnsi="Arial" w:cs="Arial"/>
          <w:sz w:val="22"/>
          <w:szCs w:val="22"/>
        </w:rPr>
        <w:t>Neighborhood</w:t>
      </w:r>
      <w:proofErr w:type="spellEnd"/>
      <w:r w:rsidRPr="001F6E0F">
        <w:rPr>
          <w:rFonts w:ascii="Arial" w:hAnsi="Arial" w:cs="Arial"/>
          <w:sz w:val="22"/>
          <w:szCs w:val="22"/>
        </w:rPr>
        <w:t xml:space="preserve"> Residence on Child and Adolescent outcomes. </w:t>
      </w:r>
      <w:r w:rsidRPr="001F6E0F">
        <w:rPr>
          <w:rFonts w:ascii="Arial" w:hAnsi="Arial" w:cs="Arial"/>
          <w:i/>
          <w:iCs/>
          <w:sz w:val="22"/>
          <w:szCs w:val="22"/>
        </w:rPr>
        <w:t>Psychological Bulletin</w:t>
      </w:r>
      <w:r w:rsidRPr="001F6E0F">
        <w:rPr>
          <w:rFonts w:ascii="Arial" w:hAnsi="Arial" w:cs="Arial"/>
          <w:sz w:val="22"/>
          <w:szCs w:val="22"/>
        </w:rPr>
        <w:t>, [online] 126(2), pp.309–337. Available at: https://courses.cit.cornell.edu/dea6610/leventhal.pdf [Accessed 11 Mar. 2023].</w:t>
      </w:r>
    </w:p>
    <w:p w14:paraId="09236869" w14:textId="7F04D6E1" w:rsidR="002A41CB" w:rsidRPr="001F6E0F" w:rsidRDefault="002A41CB"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Laevers</w:t>
      </w:r>
      <w:proofErr w:type="spellEnd"/>
      <w:r w:rsidRPr="001F6E0F">
        <w:rPr>
          <w:rFonts w:ascii="Arial" w:hAnsi="Arial" w:cs="Arial"/>
          <w:sz w:val="22"/>
          <w:szCs w:val="22"/>
        </w:rPr>
        <w:t>, F. (2000). Forward to Basics! Deep-Level-Learning and the Experiential Approach. Early Years, 20(2), 20–29.</w:t>
      </w:r>
    </w:p>
    <w:p w14:paraId="32687F81" w14:textId="77777777" w:rsidR="008A00B4" w:rsidRPr="001F6E0F" w:rsidRDefault="008A00B4" w:rsidP="001F6E0F">
      <w:pPr>
        <w:shd w:val="clear" w:color="auto" w:fill="FFFFFF"/>
        <w:spacing w:before="100" w:beforeAutospacing="1" w:after="100" w:afterAutospacing="1" w:line="240" w:lineRule="auto"/>
        <w:ind w:left="360"/>
        <w:rPr>
          <w:rFonts w:ascii="Arial" w:eastAsia="Times New Roman" w:hAnsi="Arial" w:cs="Arial"/>
          <w:color w:val="212529"/>
          <w:lang w:eastAsia="en-GB"/>
        </w:rPr>
      </w:pPr>
      <w:proofErr w:type="spellStart"/>
      <w:r w:rsidRPr="001F6E0F">
        <w:rPr>
          <w:rFonts w:ascii="Arial" w:eastAsia="Times New Roman" w:hAnsi="Arial" w:cs="Arial"/>
          <w:color w:val="212529"/>
          <w:lang w:eastAsia="en-GB"/>
        </w:rPr>
        <w:t>Lowcock</w:t>
      </w:r>
      <w:proofErr w:type="spellEnd"/>
      <w:r w:rsidRPr="001F6E0F">
        <w:rPr>
          <w:rFonts w:ascii="Arial" w:eastAsia="Times New Roman" w:hAnsi="Arial" w:cs="Arial"/>
          <w:color w:val="212529"/>
          <w:lang w:eastAsia="en-GB"/>
        </w:rPr>
        <w:t xml:space="preserve">, A. (n.d.). Planning for Inclusive and Welcoming Spaces in Vancouver. Retrieved February 9, 2019, from https://sustain.ubc.ca/sites/sustain.ubc.ca/files/Sustainability Scholars/GCS reports 2014/More than vibrant green spaces: Improving access to community gardens as a source of healthy, fresh, and low-cost food for under-represented </w:t>
      </w:r>
      <w:proofErr w:type="gramStart"/>
      <w:r w:rsidRPr="001F6E0F">
        <w:rPr>
          <w:rFonts w:ascii="Arial" w:eastAsia="Times New Roman" w:hAnsi="Arial" w:cs="Arial"/>
          <w:color w:val="212529"/>
          <w:lang w:eastAsia="en-GB"/>
        </w:rPr>
        <w:t>residents.pdf</w:t>
      </w:r>
      <w:proofErr w:type="gramEnd"/>
      <w:r w:rsidRPr="001F6E0F">
        <w:rPr>
          <w:rFonts w:ascii="Arial" w:eastAsia="Times New Roman" w:hAnsi="Arial" w:cs="Arial"/>
          <w:color w:val="212529"/>
          <w:lang w:eastAsia="en-GB"/>
        </w:rPr>
        <w:t> </w:t>
      </w:r>
    </w:p>
    <w:p w14:paraId="6ACF6BD3"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1CA739CD" w14:textId="0D954A2E" w:rsidR="008A00B4" w:rsidRPr="001F6E0F" w:rsidRDefault="008A00B4" w:rsidP="001F6E0F">
      <w:pPr>
        <w:shd w:val="clear" w:color="auto" w:fill="FFFFFF"/>
        <w:spacing w:after="0" w:line="240" w:lineRule="auto"/>
        <w:ind w:left="360"/>
        <w:rPr>
          <w:rFonts w:ascii="Arial" w:eastAsia="Times New Roman" w:hAnsi="Arial" w:cs="Arial"/>
          <w:color w:val="212529"/>
          <w:lang w:eastAsia="en-GB"/>
        </w:rPr>
      </w:pPr>
      <w:r w:rsidRPr="001F6E0F">
        <w:rPr>
          <w:rFonts w:ascii="Arial" w:eastAsia="Times New Roman" w:hAnsi="Arial" w:cs="Arial"/>
          <w:color w:val="212529"/>
          <w:lang w:eastAsia="en-GB"/>
        </w:rPr>
        <w:lastRenderedPageBreak/>
        <w:t xml:space="preserve">Mapp, K. L., &amp; </w:t>
      </w:r>
      <w:proofErr w:type="spellStart"/>
      <w:r w:rsidRPr="001F6E0F">
        <w:rPr>
          <w:rFonts w:ascii="Arial" w:eastAsia="Times New Roman" w:hAnsi="Arial" w:cs="Arial"/>
          <w:color w:val="212529"/>
          <w:lang w:eastAsia="en-GB"/>
        </w:rPr>
        <w:t>Kuttner</w:t>
      </w:r>
      <w:proofErr w:type="spellEnd"/>
      <w:r w:rsidRPr="001F6E0F">
        <w:rPr>
          <w:rFonts w:ascii="Arial" w:eastAsia="Times New Roman" w:hAnsi="Arial" w:cs="Arial"/>
          <w:color w:val="212529"/>
          <w:lang w:eastAsia="en-GB"/>
        </w:rPr>
        <w:t>, P. J. (2013). Partners in Education: A Dual Capacity-Building Framework for Family-School Partnerships. </w:t>
      </w:r>
      <w:r w:rsidRPr="001F6E0F">
        <w:rPr>
          <w:rFonts w:ascii="Arial" w:eastAsia="Times New Roman" w:hAnsi="Arial" w:cs="Arial"/>
          <w:i/>
          <w:iCs/>
          <w:color w:val="212529"/>
          <w:lang w:eastAsia="en-GB"/>
        </w:rPr>
        <w:t>SEDL</w:t>
      </w:r>
      <w:r w:rsidRPr="001F6E0F">
        <w:rPr>
          <w:rFonts w:ascii="Arial" w:eastAsia="Times New Roman" w:hAnsi="Arial" w:cs="Arial"/>
          <w:color w:val="212529"/>
          <w:lang w:eastAsia="en-GB"/>
        </w:rPr>
        <w:t>.</w:t>
      </w:r>
    </w:p>
    <w:p w14:paraId="334B90BE" w14:textId="74FC8E2E" w:rsidR="00651CAB" w:rsidRPr="001F6E0F" w:rsidRDefault="00651CAB" w:rsidP="001F6E0F">
      <w:pPr>
        <w:shd w:val="clear" w:color="auto" w:fill="FFFFFF"/>
        <w:spacing w:after="0" w:line="240" w:lineRule="auto"/>
        <w:rPr>
          <w:rFonts w:ascii="Arial" w:eastAsia="Times New Roman" w:hAnsi="Arial" w:cs="Arial"/>
          <w:color w:val="212529"/>
          <w:lang w:eastAsia="en-GB"/>
        </w:rPr>
      </w:pPr>
    </w:p>
    <w:p w14:paraId="7DF2398F" w14:textId="77777777" w:rsidR="00EE663C" w:rsidRPr="001F6E0F" w:rsidRDefault="00651CAB" w:rsidP="001F6E0F">
      <w:pPr>
        <w:pStyle w:val="NormalWeb"/>
        <w:shd w:val="clear" w:color="auto" w:fill="FFFFFF"/>
        <w:spacing w:before="0" w:beforeAutospacing="0" w:after="0" w:afterAutospacing="0" w:line="480" w:lineRule="auto"/>
        <w:ind w:left="360"/>
        <w:textAlignment w:val="baseline"/>
        <w:rPr>
          <w:rFonts w:ascii="Arial" w:hAnsi="Arial" w:cs="Arial"/>
          <w:sz w:val="22"/>
          <w:szCs w:val="22"/>
        </w:rPr>
      </w:pPr>
      <w:r w:rsidRPr="001F6E0F">
        <w:rPr>
          <w:rFonts w:ascii="Arial" w:hAnsi="Arial" w:cs="Arial"/>
          <w:color w:val="2A2A2A"/>
          <w:spacing w:val="5"/>
          <w:sz w:val="22"/>
          <w:szCs w:val="22"/>
        </w:rPr>
        <w:t xml:space="preserve">Mapp, K. &amp; </w:t>
      </w:r>
      <w:proofErr w:type="spellStart"/>
      <w:r w:rsidRPr="001F6E0F">
        <w:rPr>
          <w:rFonts w:ascii="Arial" w:hAnsi="Arial" w:cs="Arial"/>
          <w:color w:val="2A2A2A"/>
          <w:spacing w:val="5"/>
          <w:sz w:val="22"/>
          <w:szCs w:val="22"/>
        </w:rPr>
        <w:t>Kuttner</w:t>
      </w:r>
      <w:proofErr w:type="spellEnd"/>
      <w:r w:rsidRPr="001F6E0F">
        <w:rPr>
          <w:rFonts w:ascii="Arial" w:hAnsi="Arial" w:cs="Arial"/>
          <w:color w:val="2A2A2A"/>
          <w:spacing w:val="5"/>
          <w:sz w:val="22"/>
          <w:szCs w:val="22"/>
        </w:rPr>
        <w:t>, P. (2013). </w:t>
      </w:r>
      <w:hyperlink r:id="rId10" w:tgtFrame="_blank" w:history="1">
        <w:r w:rsidRPr="001F6E0F">
          <w:rPr>
            <w:rStyle w:val="Strong"/>
            <w:rFonts w:ascii="Arial" w:hAnsi="Arial" w:cs="Arial"/>
            <w:i/>
            <w:iCs/>
            <w:color w:val="002A4D"/>
            <w:spacing w:val="5"/>
            <w:sz w:val="22"/>
            <w:szCs w:val="22"/>
            <w:u w:val="single"/>
            <w:bdr w:val="none" w:sz="0" w:space="0" w:color="auto" w:frame="1"/>
          </w:rPr>
          <w:t>Partners in Education: A Dual Capacity-Building Framework for Family-School Partnerships</w:t>
        </w:r>
      </w:hyperlink>
      <w:r w:rsidRPr="001F6E0F">
        <w:rPr>
          <w:rFonts w:ascii="Arial" w:hAnsi="Arial" w:cs="Arial"/>
          <w:color w:val="2A2A2A"/>
          <w:spacing w:val="5"/>
          <w:sz w:val="22"/>
          <w:szCs w:val="22"/>
        </w:rPr>
        <w:t>. Austin, TX: Southwest Educational Development Laboratory in association with the U.S. Department of Education.</w:t>
      </w:r>
    </w:p>
    <w:p w14:paraId="5097300A" w14:textId="77777777" w:rsidR="00EE663C" w:rsidRPr="001F6E0F" w:rsidRDefault="00EE663C" w:rsidP="001F6E0F">
      <w:pPr>
        <w:pStyle w:val="ListParagraph"/>
        <w:rPr>
          <w:rFonts w:ascii="Arial" w:hAnsi="Arial" w:cs="Arial"/>
        </w:rPr>
      </w:pPr>
    </w:p>
    <w:p w14:paraId="73347060" w14:textId="5EC9C75E" w:rsidR="00EE663C" w:rsidRPr="001F6E0F" w:rsidRDefault="00EE663C" w:rsidP="001F6E0F">
      <w:pPr>
        <w:pStyle w:val="NormalWeb"/>
        <w:shd w:val="clear" w:color="auto" w:fill="FFFFFF"/>
        <w:spacing w:before="0" w:beforeAutospacing="0" w:after="0" w:afterAutospacing="0" w:line="480" w:lineRule="auto"/>
        <w:ind w:left="360"/>
        <w:textAlignment w:val="baseline"/>
        <w:rPr>
          <w:rFonts w:ascii="Arial" w:hAnsi="Arial" w:cs="Arial"/>
          <w:sz w:val="22"/>
          <w:szCs w:val="22"/>
        </w:rPr>
      </w:pPr>
      <w:proofErr w:type="spellStart"/>
      <w:r w:rsidRPr="001F6E0F">
        <w:rPr>
          <w:rFonts w:ascii="Arial" w:hAnsi="Arial" w:cs="Arial"/>
          <w:sz w:val="22"/>
          <w:szCs w:val="22"/>
        </w:rPr>
        <w:t>Mayesky</w:t>
      </w:r>
      <w:proofErr w:type="spellEnd"/>
      <w:r w:rsidRPr="001F6E0F">
        <w:rPr>
          <w:rFonts w:ascii="Arial" w:hAnsi="Arial" w:cs="Arial"/>
          <w:sz w:val="22"/>
          <w:szCs w:val="22"/>
        </w:rPr>
        <w:t xml:space="preserve">, Mary. </w:t>
      </w:r>
      <w:r w:rsidRPr="001F6E0F">
        <w:rPr>
          <w:rFonts w:ascii="Arial" w:hAnsi="Arial" w:cs="Arial"/>
          <w:i/>
          <w:iCs/>
          <w:sz w:val="22"/>
          <w:szCs w:val="22"/>
        </w:rPr>
        <w:t>Creative Activities and Curriculum for Young Children</w:t>
      </w:r>
      <w:r w:rsidRPr="001F6E0F">
        <w:rPr>
          <w:rFonts w:ascii="Arial" w:hAnsi="Arial" w:cs="Arial"/>
          <w:sz w:val="22"/>
          <w:szCs w:val="22"/>
        </w:rPr>
        <w:t>. 2011. Cengage, 2014.</w:t>
      </w:r>
    </w:p>
    <w:p w14:paraId="17E76DA7" w14:textId="77777777" w:rsidR="00651CAB" w:rsidRPr="001F6E0F" w:rsidRDefault="00651CAB" w:rsidP="001F6E0F">
      <w:pPr>
        <w:shd w:val="clear" w:color="auto" w:fill="FFFFFF"/>
        <w:spacing w:after="0" w:line="240" w:lineRule="auto"/>
        <w:rPr>
          <w:rFonts w:ascii="Arial" w:hAnsi="Arial" w:cs="Arial"/>
          <w:color w:val="3B3A3A"/>
        </w:rPr>
      </w:pPr>
    </w:p>
    <w:p w14:paraId="2EA8CC02"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160C6DC5"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McLeod, S. (2023). </w:t>
      </w:r>
      <w:r w:rsidRPr="001F6E0F">
        <w:rPr>
          <w:rFonts w:ascii="Arial" w:hAnsi="Arial" w:cs="Arial"/>
          <w:i/>
          <w:iCs/>
          <w:sz w:val="22"/>
          <w:szCs w:val="22"/>
        </w:rPr>
        <w:t>Bronfenbrenner’s Ecological Systems Theory | Simply Psychology</w:t>
      </w:r>
      <w:r w:rsidRPr="001F6E0F">
        <w:rPr>
          <w:rFonts w:ascii="Arial" w:hAnsi="Arial" w:cs="Arial"/>
          <w:sz w:val="22"/>
          <w:szCs w:val="22"/>
        </w:rPr>
        <w:t>. [online] www.simplypsychology.org. Available at: https://simplypsychology.org/Bronfenbrenner.html [Accessed 11 Mar. 2023].</w:t>
      </w:r>
    </w:p>
    <w:p w14:paraId="75DBD244"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Mcleod</w:t>
      </w:r>
      <w:proofErr w:type="spellEnd"/>
      <w:r w:rsidRPr="001F6E0F">
        <w:rPr>
          <w:rFonts w:ascii="Arial" w:hAnsi="Arial" w:cs="Arial"/>
          <w:sz w:val="22"/>
          <w:szCs w:val="22"/>
        </w:rPr>
        <w:t xml:space="preserve">, S. (2013). Kolb’s Learning Styles and Experiential Learning Cycle. </w:t>
      </w:r>
      <w:r w:rsidRPr="001F6E0F">
        <w:rPr>
          <w:rFonts w:ascii="Arial" w:hAnsi="Arial" w:cs="Arial"/>
          <w:i/>
          <w:iCs/>
          <w:sz w:val="22"/>
          <w:szCs w:val="22"/>
        </w:rPr>
        <w:t>www.simplypsychology.org</w:t>
      </w:r>
      <w:r w:rsidRPr="001F6E0F">
        <w:rPr>
          <w:rFonts w:ascii="Arial" w:hAnsi="Arial" w:cs="Arial"/>
          <w:sz w:val="22"/>
          <w:szCs w:val="22"/>
        </w:rPr>
        <w:t>. [online] Available at: https://simplypsychology.org/learning-kolb.html [Accessed 11 Mar. 2023].</w:t>
      </w:r>
    </w:p>
    <w:p w14:paraId="0D1E6149"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Meschkat</w:t>
      </w:r>
      <w:proofErr w:type="spellEnd"/>
      <w:r w:rsidRPr="001F6E0F">
        <w:rPr>
          <w:rFonts w:ascii="Arial" w:hAnsi="Arial" w:cs="Arial"/>
          <w:sz w:val="22"/>
          <w:szCs w:val="22"/>
        </w:rPr>
        <w:t xml:space="preserve">, C. (n.d.). </w:t>
      </w:r>
      <w:r w:rsidRPr="001F6E0F">
        <w:rPr>
          <w:rFonts w:ascii="Arial" w:hAnsi="Arial" w:cs="Arial"/>
          <w:i/>
          <w:iCs/>
          <w:sz w:val="22"/>
          <w:szCs w:val="22"/>
        </w:rPr>
        <w:t>Design A School Garden STEM Project</w:t>
      </w:r>
      <w:r w:rsidRPr="001F6E0F">
        <w:rPr>
          <w:rFonts w:ascii="Arial" w:hAnsi="Arial" w:cs="Arial"/>
          <w:sz w:val="22"/>
          <w:szCs w:val="22"/>
        </w:rPr>
        <w:t>. [online] Vivify STEM. Available at: https://www.vivifystem.com/blog/2021/school-garden-stem-project [Accessed 12 Mar. 2023].</w:t>
      </w:r>
    </w:p>
    <w:p w14:paraId="6186D441"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Mohd, N. (2022). </w:t>
      </w:r>
      <w:r w:rsidRPr="001F6E0F">
        <w:rPr>
          <w:rFonts w:ascii="Arial" w:hAnsi="Arial" w:cs="Arial"/>
          <w:i/>
          <w:iCs/>
          <w:sz w:val="22"/>
          <w:szCs w:val="22"/>
        </w:rPr>
        <w:t xml:space="preserve">How A Holistic Approach </w:t>
      </w:r>
      <w:proofErr w:type="gramStart"/>
      <w:r w:rsidRPr="001F6E0F">
        <w:rPr>
          <w:rFonts w:ascii="Arial" w:hAnsi="Arial" w:cs="Arial"/>
          <w:i/>
          <w:iCs/>
          <w:sz w:val="22"/>
          <w:szCs w:val="22"/>
        </w:rPr>
        <w:t>In</w:t>
      </w:r>
      <w:proofErr w:type="gramEnd"/>
      <w:r w:rsidRPr="001F6E0F">
        <w:rPr>
          <w:rFonts w:ascii="Arial" w:hAnsi="Arial" w:cs="Arial"/>
          <w:i/>
          <w:iCs/>
          <w:sz w:val="22"/>
          <w:szCs w:val="22"/>
        </w:rPr>
        <w:t xml:space="preserve"> Education Benefits Students</w:t>
      </w:r>
      <w:r w:rsidRPr="001F6E0F">
        <w:rPr>
          <w:rFonts w:ascii="Arial" w:hAnsi="Arial" w:cs="Arial"/>
          <w:sz w:val="22"/>
          <w:szCs w:val="22"/>
        </w:rPr>
        <w:t>. [online] The International School of Kuala Lumpur (ISKL). Available at: https://www.iskl.edu.my/how-a-holistic-approach-in-education-benefits-students/ [Accessed 17 Mar. 2023].</w:t>
      </w:r>
    </w:p>
    <w:p w14:paraId="0C89BE4C" w14:textId="7C711808"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Möller</w:t>
      </w:r>
      <w:proofErr w:type="spellEnd"/>
      <w:r w:rsidRPr="001F6E0F">
        <w:rPr>
          <w:rFonts w:ascii="Arial" w:hAnsi="Arial" w:cs="Arial"/>
          <w:sz w:val="22"/>
          <w:szCs w:val="22"/>
        </w:rPr>
        <w:t xml:space="preserve">, C. (2021). Discipline and Feed: Food Banks, Pastoral Power, and the Medicalisation of Poverty in the UK. </w:t>
      </w:r>
      <w:r w:rsidRPr="001F6E0F">
        <w:rPr>
          <w:rFonts w:ascii="Arial" w:hAnsi="Arial" w:cs="Arial"/>
          <w:i/>
          <w:iCs/>
          <w:sz w:val="22"/>
          <w:szCs w:val="22"/>
        </w:rPr>
        <w:t>Sociological Research Online</w:t>
      </w:r>
      <w:r w:rsidRPr="001F6E0F">
        <w:rPr>
          <w:rFonts w:ascii="Arial" w:hAnsi="Arial" w:cs="Arial"/>
          <w:sz w:val="22"/>
          <w:szCs w:val="22"/>
        </w:rPr>
        <w:t>, 26(4), p.136078042098262.</w:t>
      </w:r>
    </w:p>
    <w:p w14:paraId="241EDC10" w14:textId="77777777" w:rsidR="008A00B4" w:rsidRPr="001F6E0F" w:rsidRDefault="008A00B4" w:rsidP="001F6E0F">
      <w:pPr>
        <w:shd w:val="clear" w:color="auto" w:fill="FFFFFF"/>
        <w:spacing w:after="0" w:line="240" w:lineRule="auto"/>
        <w:ind w:left="360"/>
        <w:rPr>
          <w:rFonts w:ascii="Arial" w:hAnsi="Arial" w:cs="Arial"/>
          <w:color w:val="3B3A3A"/>
        </w:rPr>
      </w:pPr>
      <w:r w:rsidRPr="001F6E0F">
        <w:rPr>
          <w:rFonts w:ascii="Arial" w:hAnsi="Arial" w:cs="Arial"/>
        </w:rPr>
        <w:t xml:space="preserve">Moss, G., Webster, R., Bradbury, A., &amp; </w:t>
      </w:r>
      <w:proofErr w:type="spellStart"/>
      <w:r w:rsidRPr="001F6E0F">
        <w:rPr>
          <w:rFonts w:ascii="Arial" w:hAnsi="Arial" w:cs="Arial"/>
        </w:rPr>
        <w:t>Harmey</w:t>
      </w:r>
      <w:proofErr w:type="spellEnd"/>
      <w:r w:rsidRPr="001F6E0F">
        <w:rPr>
          <w:rFonts w:ascii="Arial" w:hAnsi="Arial" w:cs="Arial"/>
        </w:rPr>
        <w:t xml:space="preserve">, S. (2021). Unsung heroes: The role of teaching assistants and classroom assistants in keeping schools functioning during lockdown. https://discovery.ucl.ac. </w:t>
      </w:r>
      <w:proofErr w:type="spellStart"/>
      <w:r w:rsidRPr="001F6E0F">
        <w:rPr>
          <w:rFonts w:ascii="Arial" w:hAnsi="Arial" w:cs="Arial"/>
        </w:rPr>
        <w:t>uk</w:t>
      </w:r>
      <w:proofErr w:type="spellEnd"/>
      <w:r w:rsidRPr="001F6E0F">
        <w:rPr>
          <w:rFonts w:ascii="Arial" w:hAnsi="Arial" w:cs="Arial"/>
        </w:rPr>
        <w:t>/id/</w:t>
      </w:r>
      <w:proofErr w:type="spellStart"/>
      <w:r w:rsidRPr="001F6E0F">
        <w:rPr>
          <w:rFonts w:ascii="Arial" w:hAnsi="Arial" w:cs="Arial"/>
        </w:rPr>
        <w:t>eprint</w:t>
      </w:r>
      <w:proofErr w:type="spellEnd"/>
      <w:r w:rsidRPr="001F6E0F">
        <w:rPr>
          <w:rFonts w:ascii="Arial" w:hAnsi="Arial" w:cs="Arial"/>
        </w:rPr>
        <w:t>/10125467/</w:t>
      </w:r>
    </w:p>
    <w:p w14:paraId="19B3DC80" w14:textId="77777777"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1B5626AE"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proofErr w:type="gramStart"/>
      <w:r w:rsidRPr="001F6E0F">
        <w:rPr>
          <w:rFonts w:ascii="Arial" w:hAnsi="Arial" w:cs="Arial"/>
          <w:sz w:val="22"/>
          <w:szCs w:val="22"/>
        </w:rPr>
        <w:t>mylocalschool.gov.wales</w:t>
      </w:r>
      <w:proofErr w:type="spellEnd"/>
      <w:proofErr w:type="gramEnd"/>
      <w:r w:rsidRPr="001F6E0F">
        <w:rPr>
          <w:rFonts w:ascii="Arial" w:hAnsi="Arial" w:cs="Arial"/>
          <w:sz w:val="22"/>
          <w:szCs w:val="22"/>
        </w:rPr>
        <w:t xml:space="preserve">. (n.d.). </w:t>
      </w:r>
      <w:r w:rsidRPr="001F6E0F">
        <w:rPr>
          <w:rFonts w:ascii="Arial" w:hAnsi="Arial" w:cs="Arial"/>
          <w:i/>
          <w:iCs/>
          <w:sz w:val="22"/>
          <w:szCs w:val="22"/>
        </w:rPr>
        <w:t>Richmond Park Primary School</w:t>
      </w:r>
      <w:r w:rsidRPr="001F6E0F">
        <w:rPr>
          <w:rFonts w:ascii="Arial" w:hAnsi="Arial" w:cs="Arial"/>
          <w:sz w:val="22"/>
          <w:szCs w:val="22"/>
        </w:rPr>
        <w:t>. [online] Available at: https://mylocalschool.gov.wales/School/6692380?lang=en [Accessed 9 Mar. 2023].</w:t>
      </w:r>
    </w:p>
    <w:p w14:paraId="4A3EFC79" w14:textId="77777777" w:rsidR="002652EC" w:rsidRPr="001F6E0F" w:rsidRDefault="002652EC" w:rsidP="001F6E0F">
      <w:pPr>
        <w:pStyle w:val="ListParagraph"/>
        <w:rPr>
          <w:rFonts w:ascii="Arial" w:hAnsi="Arial" w:cs="Arial"/>
        </w:rPr>
      </w:pPr>
    </w:p>
    <w:p w14:paraId="06B778AB" w14:textId="77777777" w:rsidR="002652EC" w:rsidRPr="001F6E0F" w:rsidRDefault="002652EC"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Padgett, Deborah. </w:t>
      </w:r>
      <w:r w:rsidRPr="001F6E0F">
        <w:rPr>
          <w:rFonts w:ascii="Arial" w:hAnsi="Arial" w:cs="Arial"/>
          <w:i/>
          <w:iCs/>
          <w:sz w:val="22"/>
          <w:szCs w:val="22"/>
        </w:rPr>
        <w:t>Qualitative and Mixed Methods in Public Health</w:t>
      </w:r>
      <w:r w:rsidRPr="001F6E0F">
        <w:rPr>
          <w:rFonts w:ascii="Arial" w:hAnsi="Arial" w:cs="Arial"/>
          <w:sz w:val="22"/>
          <w:szCs w:val="22"/>
        </w:rPr>
        <w:t>. Sage, 2012.</w:t>
      </w:r>
    </w:p>
    <w:p w14:paraId="2432C1BC" w14:textId="77777777" w:rsidR="002652EC" w:rsidRPr="001F6E0F" w:rsidRDefault="002652EC" w:rsidP="001F6E0F">
      <w:pPr>
        <w:pStyle w:val="NormalWeb"/>
        <w:spacing w:before="0" w:beforeAutospacing="0" w:after="240" w:afterAutospacing="0" w:line="360" w:lineRule="auto"/>
        <w:ind w:left="360"/>
        <w:rPr>
          <w:rFonts w:ascii="Arial" w:hAnsi="Arial" w:cs="Arial"/>
          <w:sz w:val="22"/>
          <w:szCs w:val="22"/>
        </w:rPr>
      </w:pPr>
    </w:p>
    <w:p w14:paraId="5316961C"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PartSelect.com. (2016). </w:t>
      </w:r>
      <w:r w:rsidRPr="001F6E0F">
        <w:rPr>
          <w:rFonts w:ascii="Arial" w:hAnsi="Arial" w:cs="Arial"/>
          <w:i/>
          <w:iCs/>
          <w:sz w:val="22"/>
          <w:szCs w:val="22"/>
        </w:rPr>
        <w:t>Getting Schooled in the Garden: How to Start a School Garden</w:t>
      </w:r>
      <w:r w:rsidRPr="001F6E0F">
        <w:rPr>
          <w:rFonts w:ascii="Arial" w:hAnsi="Arial" w:cs="Arial"/>
          <w:sz w:val="22"/>
          <w:szCs w:val="22"/>
        </w:rPr>
        <w:t>. [online] Available at: https://www.fix.com/blog/start-a-garden-at-your-school/ [Accessed 16 Mar. 2023].</w:t>
      </w:r>
    </w:p>
    <w:p w14:paraId="446C6A18" w14:textId="77777777" w:rsidR="00697F90"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sz w:val="22"/>
          <w:szCs w:val="22"/>
        </w:rPr>
        <w:t>Pedwar</w:t>
      </w:r>
      <w:proofErr w:type="spellEnd"/>
      <w:r w:rsidRPr="001F6E0F">
        <w:rPr>
          <w:rFonts w:ascii="Arial" w:hAnsi="Arial" w:cs="Arial"/>
          <w:sz w:val="22"/>
          <w:szCs w:val="22"/>
        </w:rPr>
        <w:t xml:space="preserve"> </w:t>
      </w:r>
      <w:proofErr w:type="spellStart"/>
      <w:r w:rsidRPr="001F6E0F">
        <w:rPr>
          <w:rFonts w:ascii="Arial" w:hAnsi="Arial" w:cs="Arial"/>
          <w:sz w:val="22"/>
          <w:szCs w:val="22"/>
        </w:rPr>
        <w:t>diben</w:t>
      </w:r>
      <w:proofErr w:type="spellEnd"/>
      <w:r w:rsidRPr="001F6E0F">
        <w:rPr>
          <w:rFonts w:ascii="Arial" w:hAnsi="Arial" w:cs="Arial"/>
          <w:sz w:val="22"/>
          <w:szCs w:val="22"/>
        </w:rPr>
        <w:t xml:space="preserve"> y </w:t>
      </w:r>
      <w:proofErr w:type="spellStart"/>
      <w:r w:rsidRPr="001F6E0F">
        <w:rPr>
          <w:rFonts w:ascii="Arial" w:hAnsi="Arial" w:cs="Arial"/>
          <w:sz w:val="22"/>
          <w:szCs w:val="22"/>
        </w:rPr>
        <w:t>cwricwlwm</w:t>
      </w:r>
      <w:proofErr w:type="spellEnd"/>
      <w:r w:rsidRPr="001F6E0F">
        <w:rPr>
          <w:rFonts w:ascii="Arial" w:hAnsi="Arial" w:cs="Arial"/>
          <w:sz w:val="22"/>
          <w:szCs w:val="22"/>
        </w:rPr>
        <w:t xml:space="preserve"> </w:t>
      </w:r>
      <w:proofErr w:type="spellStart"/>
      <w:r w:rsidRPr="001F6E0F">
        <w:rPr>
          <w:rFonts w:ascii="Arial" w:hAnsi="Arial" w:cs="Arial"/>
          <w:sz w:val="22"/>
          <w:szCs w:val="22"/>
        </w:rPr>
        <w:t>i</w:t>
      </w:r>
      <w:proofErr w:type="spellEnd"/>
      <w:r w:rsidRPr="001F6E0F">
        <w:rPr>
          <w:rFonts w:ascii="Arial" w:hAnsi="Arial" w:cs="Arial"/>
          <w:sz w:val="22"/>
          <w:szCs w:val="22"/>
        </w:rPr>
        <w:t xml:space="preserve"> </w:t>
      </w:r>
      <w:proofErr w:type="spellStart"/>
      <w:r w:rsidRPr="001F6E0F">
        <w:rPr>
          <w:rFonts w:ascii="Arial" w:hAnsi="Arial" w:cs="Arial"/>
          <w:sz w:val="22"/>
          <w:szCs w:val="22"/>
        </w:rPr>
        <w:t>Gymru</w:t>
      </w:r>
      <w:proofErr w:type="spellEnd"/>
      <w:r w:rsidRPr="001F6E0F">
        <w:rPr>
          <w:rFonts w:ascii="Arial" w:hAnsi="Arial" w:cs="Arial"/>
          <w:sz w:val="22"/>
          <w:szCs w:val="22"/>
        </w:rPr>
        <w:t xml:space="preserve"> The four purposes of the curriculum for Wales. (n.d.). Available at: </w:t>
      </w:r>
      <w:hyperlink r:id="rId11" w:history="1">
        <w:r w:rsidR="00697F90" w:rsidRPr="001F6E0F">
          <w:rPr>
            <w:rStyle w:val="Hyperlink"/>
            <w:rFonts w:ascii="Arial" w:hAnsi="Arial" w:cs="Arial"/>
            <w:sz w:val="22"/>
            <w:szCs w:val="22"/>
          </w:rPr>
          <w:t>https://www.gov.wales/sites/default/files/publications/2018-03/the-four-purposes-of-the-curriculum-for-wales.pdf</w:t>
        </w:r>
      </w:hyperlink>
      <w:r w:rsidRPr="001F6E0F">
        <w:rPr>
          <w:rFonts w:ascii="Arial" w:hAnsi="Arial" w:cs="Arial"/>
          <w:sz w:val="22"/>
          <w:szCs w:val="22"/>
        </w:rPr>
        <w:t>.</w:t>
      </w:r>
    </w:p>
    <w:p w14:paraId="5F21A391" w14:textId="6176926A" w:rsidR="0019037E" w:rsidRPr="001F6E0F" w:rsidRDefault="00697F90" w:rsidP="001F6E0F">
      <w:pPr>
        <w:pStyle w:val="NormalWeb"/>
        <w:spacing w:before="0" w:beforeAutospacing="0" w:after="240" w:afterAutospacing="0" w:line="360" w:lineRule="auto"/>
        <w:ind w:left="360"/>
        <w:rPr>
          <w:rFonts w:ascii="Arial" w:hAnsi="Arial" w:cs="Arial"/>
          <w:sz w:val="22"/>
          <w:szCs w:val="22"/>
        </w:rPr>
      </w:pPr>
      <w:proofErr w:type="spellStart"/>
      <w:r w:rsidRPr="001F6E0F">
        <w:rPr>
          <w:rFonts w:ascii="Arial" w:hAnsi="Arial" w:cs="Arial"/>
          <w:color w:val="3B3A3A"/>
          <w:sz w:val="22"/>
          <w:szCs w:val="22"/>
        </w:rPr>
        <w:t>Phenice</w:t>
      </w:r>
      <w:proofErr w:type="spellEnd"/>
      <w:r w:rsidRPr="001F6E0F">
        <w:rPr>
          <w:rFonts w:ascii="Arial" w:hAnsi="Arial" w:cs="Arial"/>
          <w:color w:val="3B3A3A"/>
          <w:sz w:val="22"/>
          <w:szCs w:val="22"/>
        </w:rPr>
        <w:t xml:space="preserve">, L. &amp; </w:t>
      </w:r>
      <w:proofErr w:type="spellStart"/>
      <w:r w:rsidRPr="001F6E0F">
        <w:rPr>
          <w:rFonts w:ascii="Arial" w:hAnsi="Arial" w:cs="Arial"/>
          <w:color w:val="3B3A3A"/>
          <w:sz w:val="22"/>
          <w:szCs w:val="22"/>
        </w:rPr>
        <w:t>Griffore</w:t>
      </w:r>
      <w:proofErr w:type="spellEnd"/>
      <w:r w:rsidRPr="001F6E0F">
        <w:rPr>
          <w:rFonts w:ascii="Arial" w:hAnsi="Arial" w:cs="Arial"/>
          <w:color w:val="3B3A3A"/>
          <w:sz w:val="22"/>
          <w:szCs w:val="22"/>
        </w:rPr>
        <w:t>, R. (2003). Young Children and the Natural World. </w:t>
      </w:r>
      <w:r w:rsidRPr="001F6E0F">
        <w:rPr>
          <w:rFonts w:ascii="Arial" w:hAnsi="Arial" w:cs="Arial"/>
          <w:i/>
          <w:iCs/>
          <w:color w:val="3B3A3A"/>
          <w:sz w:val="22"/>
          <w:szCs w:val="22"/>
        </w:rPr>
        <w:t>Contemporary Issues in Early Childhood</w:t>
      </w:r>
      <w:r w:rsidRPr="001F6E0F">
        <w:rPr>
          <w:rFonts w:ascii="Arial" w:hAnsi="Arial" w:cs="Arial"/>
          <w:color w:val="3B3A3A"/>
          <w:sz w:val="22"/>
          <w:szCs w:val="22"/>
        </w:rPr>
        <w:t>. 4(2), 167-178</w:t>
      </w:r>
    </w:p>
    <w:p w14:paraId="698CAD3C" w14:textId="77777777" w:rsidR="00697F90" w:rsidRPr="001F6E0F" w:rsidRDefault="00697F90" w:rsidP="001F6E0F">
      <w:pPr>
        <w:pStyle w:val="NormalWeb"/>
        <w:spacing w:before="0" w:beforeAutospacing="0" w:after="240" w:afterAutospacing="0" w:line="360" w:lineRule="auto"/>
        <w:rPr>
          <w:rFonts w:ascii="Arial" w:hAnsi="Arial" w:cs="Arial"/>
          <w:sz w:val="22"/>
          <w:szCs w:val="22"/>
        </w:rPr>
      </w:pPr>
    </w:p>
    <w:p w14:paraId="11D72DF1" w14:textId="6A923FE4" w:rsidR="00697F90" w:rsidRPr="001F6E0F" w:rsidRDefault="00697F90"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Piaget, Jean. (1962). Play, dreams, and imagination in children. New York: Norton. </w:t>
      </w:r>
    </w:p>
    <w:p w14:paraId="11F39296" w14:textId="77777777" w:rsidR="0019037E" w:rsidRPr="001F6E0F" w:rsidRDefault="0019037E" w:rsidP="001F6E0F">
      <w:pPr>
        <w:pStyle w:val="ListParagraph"/>
        <w:rPr>
          <w:rFonts w:ascii="Arial" w:hAnsi="Arial" w:cs="Arial"/>
        </w:rPr>
      </w:pPr>
    </w:p>
    <w:p w14:paraId="484B423C" w14:textId="77777777" w:rsidR="0019037E" w:rsidRPr="001F6E0F" w:rsidRDefault="0019037E"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“Provision of Material Provided by Teachers to Enable Distance Learning during Lockdown, England: April to June 2020 - Office for National Statistics.” </w:t>
      </w:r>
      <w:r w:rsidRPr="001F6E0F">
        <w:rPr>
          <w:rFonts w:ascii="Arial" w:hAnsi="Arial" w:cs="Arial"/>
          <w:i/>
          <w:iCs/>
          <w:sz w:val="22"/>
          <w:szCs w:val="22"/>
        </w:rPr>
        <w:t>Www.ons.gov.uk</w:t>
      </w:r>
      <w:r w:rsidRPr="001F6E0F">
        <w:rPr>
          <w:rFonts w:ascii="Arial" w:hAnsi="Arial" w:cs="Arial"/>
          <w:sz w:val="22"/>
          <w:szCs w:val="22"/>
        </w:rPr>
        <w:t>, 2020, www.ons.gov.uk/economy/governmentpublicsectorandtaxes/publicsectorfinance/adhocs/12155provisionofmaterialprovidedbyteacherstoenabledistancelearningduringlockdownenglandapriltojune2020.</w:t>
      </w:r>
    </w:p>
    <w:p w14:paraId="3B96597B" w14:textId="77777777" w:rsidR="0019037E" w:rsidRPr="001F6E0F" w:rsidRDefault="0019037E" w:rsidP="001F6E0F">
      <w:pPr>
        <w:pStyle w:val="NormalWeb"/>
        <w:spacing w:before="0" w:beforeAutospacing="0" w:after="240" w:afterAutospacing="0" w:line="360" w:lineRule="auto"/>
        <w:ind w:left="360"/>
        <w:rPr>
          <w:rFonts w:ascii="Arial" w:hAnsi="Arial" w:cs="Arial"/>
          <w:sz w:val="22"/>
          <w:szCs w:val="22"/>
        </w:rPr>
      </w:pPr>
    </w:p>
    <w:p w14:paraId="4CDF16FC" w14:textId="4AE77D6C"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proofErr w:type="spellStart"/>
      <w:proofErr w:type="gramStart"/>
      <w:r w:rsidRPr="001F6E0F">
        <w:rPr>
          <w:rFonts w:ascii="Arial" w:hAnsi="Arial" w:cs="Arial"/>
          <w:sz w:val="22"/>
          <w:szCs w:val="22"/>
        </w:rPr>
        <w:t>research.senedd</w:t>
      </w:r>
      <w:proofErr w:type="gramEnd"/>
      <w:r w:rsidRPr="001F6E0F">
        <w:rPr>
          <w:rFonts w:ascii="Arial" w:hAnsi="Arial" w:cs="Arial"/>
          <w:sz w:val="22"/>
          <w:szCs w:val="22"/>
        </w:rPr>
        <w:t>.wales</w:t>
      </w:r>
      <w:proofErr w:type="spellEnd"/>
      <w:r w:rsidRPr="001F6E0F">
        <w:rPr>
          <w:rFonts w:ascii="Arial" w:hAnsi="Arial" w:cs="Arial"/>
          <w:sz w:val="22"/>
          <w:szCs w:val="22"/>
        </w:rPr>
        <w:t xml:space="preserve">. (n.d.). </w:t>
      </w:r>
      <w:r w:rsidRPr="001F6E0F">
        <w:rPr>
          <w:rFonts w:ascii="Arial" w:hAnsi="Arial" w:cs="Arial"/>
          <w:i/>
          <w:iCs/>
          <w:sz w:val="22"/>
          <w:szCs w:val="22"/>
        </w:rPr>
        <w:t>Poverty in Wales: are we getting the full picture?</w:t>
      </w:r>
      <w:r w:rsidRPr="001F6E0F">
        <w:rPr>
          <w:rFonts w:ascii="Arial" w:hAnsi="Arial" w:cs="Arial"/>
          <w:sz w:val="22"/>
          <w:szCs w:val="22"/>
        </w:rPr>
        <w:t xml:space="preserve"> [online] Available at: https://research.senedd.wales/research-articles/poverty-in-wales-are-we-getting-the-full-picture/ [Accessed 9 Mar. 2023].</w:t>
      </w:r>
    </w:p>
    <w:p w14:paraId="59DE09CD" w14:textId="77777777" w:rsidR="002A41CB" w:rsidRPr="001F6E0F" w:rsidRDefault="002A41CB"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Pollard, Elizabeth, and Patrice Lee. </w:t>
      </w:r>
      <w:r w:rsidRPr="001F6E0F">
        <w:rPr>
          <w:rFonts w:ascii="Arial" w:hAnsi="Arial" w:cs="Arial"/>
          <w:i/>
          <w:iCs/>
          <w:sz w:val="22"/>
          <w:szCs w:val="22"/>
        </w:rPr>
        <w:t>CHILD WELL-BEING: A SYSTEMATIC REVIEW of the LITERATURE</w:t>
      </w:r>
      <w:r w:rsidRPr="001F6E0F">
        <w:rPr>
          <w:rFonts w:ascii="Arial" w:hAnsi="Arial" w:cs="Arial"/>
          <w:sz w:val="22"/>
          <w:szCs w:val="22"/>
        </w:rPr>
        <w:t>. 2002.</w:t>
      </w:r>
    </w:p>
    <w:p w14:paraId="2DC37EE3" w14:textId="77777777" w:rsidR="002A41CB" w:rsidRPr="001F6E0F" w:rsidRDefault="002A41CB" w:rsidP="001F6E0F">
      <w:pPr>
        <w:pStyle w:val="NormalWeb"/>
        <w:spacing w:before="0" w:beforeAutospacing="0" w:after="240" w:afterAutospacing="0" w:line="360" w:lineRule="auto"/>
        <w:rPr>
          <w:rFonts w:ascii="Arial" w:hAnsi="Arial" w:cs="Arial"/>
          <w:sz w:val="22"/>
          <w:szCs w:val="22"/>
        </w:rPr>
      </w:pPr>
    </w:p>
    <w:p w14:paraId="258196E4" w14:textId="2CC23815"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lastRenderedPageBreak/>
        <w:t xml:space="preserve">Sewell, D. (2018). </w:t>
      </w:r>
      <w:r w:rsidRPr="001F6E0F">
        <w:rPr>
          <w:rFonts w:ascii="Arial" w:hAnsi="Arial" w:cs="Arial"/>
          <w:i/>
          <w:iCs/>
          <w:sz w:val="22"/>
          <w:szCs w:val="22"/>
        </w:rPr>
        <w:t>The Importance of School Gardens as a Community</w:t>
      </w:r>
      <w:r w:rsidRPr="001F6E0F">
        <w:rPr>
          <w:rFonts w:ascii="Arial" w:hAnsi="Arial" w:cs="Arial"/>
          <w:sz w:val="22"/>
          <w:szCs w:val="22"/>
        </w:rPr>
        <w:t>. [online] Community Gardens Ireland. Available at: https://cgireland.org/the-importance-of-school-garden-as-a-community/ [Accessed 12 Mar. 2023].</w:t>
      </w:r>
    </w:p>
    <w:p w14:paraId="005CA57C" w14:textId="69412DB8" w:rsidR="00CE57A3" w:rsidRPr="001F6E0F" w:rsidRDefault="00697F90" w:rsidP="001F6E0F">
      <w:pPr>
        <w:pStyle w:val="s"/>
        <w:shd w:val="clear" w:color="auto" w:fill="FFFFFF"/>
        <w:spacing w:before="120" w:beforeAutospacing="0" w:after="120" w:afterAutospacing="0"/>
        <w:ind w:left="360"/>
        <w:rPr>
          <w:rFonts w:ascii="Arial" w:hAnsi="Arial" w:cs="Arial"/>
          <w:color w:val="222222"/>
          <w:sz w:val="22"/>
          <w:szCs w:val="22"/>
          <w:shd w:val="clear" w:color="auto" w:fill="FFFFFF"/>
        </w:rPr>
      </w:pPr>
      <w:r w:rsidRPr="001F6E0F">
        <w:rPr>
          <w:rFonts w:ascii="Arial" w:hAnsi="Arial" w:cs="Arial"/>
          <w:color w:val="222222"/>
          <w:sz w:val="22"/>
          <w:szCs w:val="22"/>
          <w:shd w:val="clear" w:color="auto" w:fill="FFFFFF"/>
        </w:rPr>
        <w:t xml:space="preserve">Sheldon, S. B. (2003). Linking school–family–community partnerships in urban elementary schools to student achievement on state </w:t>
      </w:r>
      <w:proofErr w:type="spellStart"/>
      <w:proofErr w:type="gramStart"/>
      <w:r w:rsidRPr="001F6E0F">
        <w:rPr>
          <w:rFonts w:ascii="Arial" w:hAnsi="Arial" w:cs="Arial"/>
          <w:color w:val="222222"/>
          <w:sz w:val="22"/>
          <w:szCs w:val="22"/>
          <w:shd w:val="clear" w:color="auto" w:fill="FFFFFF"/>
        </w:rPr>
        <w:t>tests.</w:t>
      </w:r>
      <w:r w:rsidRPr="001F6E0F">
        <w:rPr>
          <w:rFonts w:ascii="Arial" w:hAnsi="Arial" w:cs="Arial"/>
          <w:i/>
          <w:iCs/>
          <w:color w:val="222222"/>
          <w:sz w:val="22"/>
          <w:szCs w:val="22"/>
          <w:shd w:val="clear" w:color="auto" w:fill="FFFFFF"/>
        </w:rPr>
        <w:t>The</w:t>
      </w:r>
      <w:proofErr w:type="spellEnd"/>
      <w:proofErr w:type="gramEnd"/>
      <w:r w:rsidRPr="001F6E0F">
        <w:rPr>
          <w:rFonts w:ascii="Arial" w:hAnsi="Arial" w:cs="Arial"/>
          <w:i/>
          <w:iCs/>
          <w:color w:val="222222"/>
          <w:sz w:val="22"/>
          <w:szCs w:val="22"/>
          <w:shd w:val="clear" w:color="auto" w:fill="FFFFFF"/>
        </w:rPr>
        <w:t xml:space="preserve"> Urban Review</w:t>
      </w:r>
      <w:r w:rsidRPr="001F6E0F">
        <w:rPr>
          <w:rFonts w:ascii="Arial" w:hAnsi="Arial" w:cs="Arial"/>
          <w:color w:val="222222"/>
          <w:sz w:val="22"/>
          <w:szCs w:val="22"/>
          <w:shd w:val="clear" w:color="auto" w:fill="FFFFFF"/>
        </w:rPr>
        <w:t>,</w:t>
      </w:r>
      <w:r w:rsidRPr="001F6E0F">
        <w:rPr>
          <w:rFonts w:ascii="Arial" w:hAnsi="Arial" w:cs="Arial"/>
          <w:i/>
          <w:iCs/>
          <w:color w:val="222222"/>
          <w:sz w:val="22"/>
          <w:szCs w:val="22"/>
          <w:shd w:val="clear" w:color="auto" w:fill="FFFFFF"/>
        </w:rPr>
        <w:t>35</w:t>
      </w:r>
      <w:r w:rsidRPr="001F6E0F">
        <w:rPr>
          <w:rFonts w:ascii="Arial" w:hAnsi="Arial" w:cs="Arial"/>
          <w:color w:val="222222"/>
          <w:sz w:val="22"/>
          <w:szCs w:val="22"/>
          <w:shd w:val="clear" w:color="auto" w:fill="FFFFFF"/>
        </w:rPr>
        <w:t>(2), 149-165.</w:t>
      </w:r>
    </w:p>
    <w:p w14:paraId="0483C95C" w14:textId="77777777" w:rsidR="00CE57A3" w:rsidRPr="001F6E0F" w:rsidRDefault="00CE57A3" w:rsidP="001F6E0F">
      <w:pPr>
        <w:pStyle w:val="s"/>
        <w:shd w:val="clear" w:color="auto" w:fill="FFFFFF"/>
        <w:spacing w:before="120" w:beforeAutospacing="0" w:after="120" w:afterAutospacing="0"/>
        <w:rPr>
          <w:rFonts w:ascii="Arial" w:hAnsi="Arial" w:cs="Arial"/>
          <w:color w:val="222222"/>
          <w:sz w:val="22"/>
          <w:szCs w:val="22"/>
          <w:shd w:val="clear" w:color="auto" w:fill="FFFFFF"/>
        </w:rPr>
      </w:pPr>
    </w:p>
    <w:p w14:paraId="5A616736" w14:textId="77777777" w:rsidR="00CE57A3" w:rsidRPr="001F6E0F" w:rsidRDefault="00CE57A3"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3B3A3A"/>
          <w:sz w:val="22"/>
          <w:szCs w:val="22"/>
        </w:rPr>
        <w:t>Sobel, David, (1996). </w:t>
      </w:r>
      <w:r w:rsidRPr="001F6E0F">
        <w:rPr>
          <w:rFonts w:ascii="Arial" w:hAnsi="Arial" w:cs="Arial"/>
          <w:i/>
          <w:iCs/>
          <w:color w:val="3B3A3A"/>
          <w:sz w:val="22"/>
          <w:szCs w:val="22"/>
        </w:rPr>
        <w:t>Beyond Ecophobia: Reclaiming the Heart of Nature Education</w:t>
      </w:r>
      <w:r w:rsidRPr="001F6E0F">
        <w:rPr>
          <w:rFonts w:ascii="Arial" w:hAnsi="Arial" w:cs="Arial"/>
          <w:color w:val="3B3A3A"/>
          <w:sz w:val="22"/>
          <w:szCs w:val="22"/>
        </w:rPr>
        <w:t>, Great Barrington, MA: The Orion Society.</w:t>
      </w:r>
    </w:p>
    <w:p w14:paraId="643A68F1" w14:textId="77777777" w:rsidR="00212164" w:rsidRPr="001F6E0F" w:rsidRDefault="00212164" w:rsidP="001F6E0F">
      <w:pPr>
        <w:pStyle w:val="ListParagraph"/>
        <w:rPr>
          <w:rFonts w:ascii="Arial" w:hAnsi="Arial" w:cs="Arial"/>
          <w:color w:val="3B3A3A"/>
        </w:rPr>
      </w:pPr>
    </w:p>
    <w:p w14:paraId="2901B62A" w14:textId="77777777" w:rsidR="00CC61C8" w:rsidRPr="001F6E0F" w:rsidRDefault="00212164"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i/>
          <w:iCs/>
          <w:sz w:val="22"/>
          <w:szCs w:val="22"/>
        </w:rPr>
        <w:t>Teacher Wellbeing Index 2018</w:t>
      </w:r>
      <w:r w:rsidRPr="001F6E0F">
        <w:rPr>
          <w:rFonts w:ascii="Arial" w:hAnsi="Arial" w:cs="Arial"/>
          <w:sz w:val="22"/>
          <w:szCs w:val="22"/>
        </w:rPr>
        <w:t xml:space="preserve">. 2020, </w:t>
      </w:r>
      <w:hyperlink r:id="rId12" w:history="1">
        <w:r w:rsidR="007B088B" w:rsidRPr="001F6E0F">
          <w:rPr>
            <w:rStyle w:val="Hyperlink"/>
            <w:rFonts w:ascii="Arial" w:hAnsi="Arial" w:cs="Arial"/>
            <w:sz w:val="22"/>
            <w:szCs w:val="22"/>
          </w:rPr>
          <w:t>www.educationsupportpartnership.org.uk/sites/default/files/teacher_wellbeing_index_2018.pdf</w:t>
        </w:r>
      </w:hyperlink>
      <w:r w:rsidRPr="001F6E0F">
        <w:rPr>
          <w:rFonts w:ascii="Arial" w:hAnsi="Arial" w:cs="Arial"/>
          <w:sz w:val="22"/>
          <w:szCs w:val="22"/>
        </w:rPr>
        <w:t>.</w:t>
      </w:r>
    </w:p>
    <w:p w14:paraId="41B62D71" w14:textId="77777777" w:rsidR="00CC61C8" w:rsidRPr="001F6E0F" w:rsidRDefault="00CC61C8" w:rsidP="001F6E0F">
      <w:pPr>
        <w:pStyle w:val="ListParagraph"/>
        <w:rPr>
          <w:rFonts w:ascii="Arial" w:hAnsi="Arial" w:cs="Arial"/>
          <w:color w:val="3B3A3A"/>
        </w:rPr>
      </w:pPr>
    </w:p>
    <w:p w14:paraId="6AA8AE7A" w14:textId="12001A68" w:rsidR="00212164" w:rsidRPr="001F6E0F" w:rsidRDefault="00CC61C8"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color w:val="3B3A3A"/>
          <w:sz w:val="22"/>
          <w:szCs w:val="22"/>
        </w:rPr>
        <w:t>Thomas, James &amp; Sutcliffe, Katy &amp; Harden, Angela &amp; Oakley, Ann &amp; Oliver, Sandy &amp; Rees, Rebecca &amp; Brunton, Ginny &amp; Kavanagh, Josephine. (2003). Children and Healthy Eating: A Systematic Review of Barriers and Facilitators.</w:t>
      </w:r>
    </w:p>
    <w:p w14:paraId="31EE3993" w14:textId="77777777" w:rsidR="00697F90" w:rsidRPr="001F6E0F" w:rsidRDefault="00697F90" w:rsidP="001F6E0F">
      <w:pPr>
        <w:pStyle w:val="NormalWeb"/>
        <w:spacing w:before="0" w:beforeAutospacing="0" w:after="240" w:afterAutospacing="0" w:line="360" w:lineRule="auto"/>
        <w:rPr>
          <w:rFonts w:ascii="Arial" w:hAnsi="Arial" w:cs="Arial"/>
          <w:sz w:val="22"/>
          <w:szCs w:val="22"/>
        </w:rPr>
      </w:pPr>
    </w:p>
    <w:p w14:paraId="77867E65" w14:textId="1AC27868"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The Big Issue. (2021). </w:t>
      </w:r>
      <w:r w:rsidRPr="001F6E0F">
        <w:rPr>
          <w:rFonts w:ascii="Arial" w:hAnsi="Arial" w:cs="Arial"/>
          <w:i/>
          <w:iCs/>
          <w:sz w:val="22"/>
          <w:szCs w:val="22"/>
        </w:rPr>
        <w:t>Concerns over pupil hunger as one in five UK schools start food bank</w:t>
      </w:r>
      <w:r w:rsidRPr="001F6E0F">
        <w:rPr>
          <w:rFonts w:ascii="Arial" w:hAnsi="Arial" w:cs="Arial"/>
          <w:sz w:val="22"/>
          <w:szCs w:val="22"/>
        </w:rPr>
        <w:t xml:space="preserve">. [online] Available at: </w:t>
      </w:r>
      <w:hyperlink r:id="rId13" w:history="1">
        <w:r w:rsidR="00651CAB" w:rsidRPr="001F6E0F">
          <w:rPr>
            <w:rStyle w:val="Hyperlink"/>
            <w:rFonts w:ascii="Arial" w:hAnsi="Arial" w:cs="Arial"/>
            <w:sz w:val="22"/>
            <w:szCs w:val="22"/>
          </w:rPr>
          <w:t>https://www.bigissue.com/news/activism/school-foodbank-uk-teachers-coronavirus/</w:t>
        </w:r>
      </w:hyperlink>
      <w:r w:rsidRPr="001F6E0F">
        <w:rPr>
          <w:rFonts w:ascii="Arial" w:hAnsi="Arial" w:cs="Arial"/>
          <w:sz w:val="22"/>
          <w:szCs w:val="22"/>
        </w:rPr>
        <w:t>.</w:t>
      </w:r>
    </w:p>
    <w:p w14:paraId="3536A3B4" w14:textId="5B6B01EF" w:rsidR="00651CAB" w:rsidRPr="001F6E0F" w:rsidRDefault="00651CAB"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Tuckman, Bruce. (1965). Development Sequence in Small Groups. Psychological bulletin. 63. 384-99. 10.1037/h0022100.</w:t>
      </w:r>
    </w:p>
    <w:p w14:paraId="7DABD329" w14:textId="193D03BE"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UCL (2022). </w:t>
      </w:r>
      <w:r w:rsidRPr="001F6E0F">
        <w:rPr>
          <w:rFonts w:ascii="Arial" w:hAnsi="Arial" w:cs="Arial"/>
          <w:i/>
          <w:iCs/>
          <w:sz w:val="22"/>
          <w:szCs w:val="22"/>
        </w:rPr>
        <w:t>Food banks in schools: exploring the impact on children’s learning</w:t>
      </w:r>
      <w:r w:rsidRPr="001F6E0F">
        <w:rPr>
          <w:rFonts w:ascii="Arial" w:hAnsi="Arial" w:cs="Arial"/>
          <w:sz w:val="22"/>
          <w:szCs w:val="22"/>
        </w:rPr>
        <w:t>. [online] IOE - Faculty of Education and Society. Available at: https://www.ucl.ac.uk/ioe/departments-and-centres/centres/helen-hamlyn-centre-pedagogy-0-11-years/research-themes/social-justice/food-banks-schools-exploring-impact-childrens-learning [Accessed 17 Mar. 2023].</w:t>
      </w:r>
    </w:p>
    <w:p w14:paraId="54C55AE0" w14:textId="323C2ED3" w:rsidR="005E169D" w:rsidRPr="001F6E0F" w:rsidRDefault="005E169D" w:rsidP="001F6E0F">
      <w:pPr>
        <w:pStyle w:val="NormalWeb"/>
        <w:spacing w:before="0" w:beforeAutospacing="0" w:after="240" w:afterAutospacing="0" w:line="360" w:lineRule="auto"/>
        <w:rPr>
          <w:rFonts w:ascii="Arial" w:hAnsi="Arial" w:cs="Arial"/>
          <w:sz w:val="22"/>
          <w:szCs w:val="22"/>
        </w:rPr>
      </w:pPr>
    </w:p>
    <w:p w14:paraId="2848B7CA" w14:textId="08BF773C" w:rsidR="00441479" w:rsidRPr="001F6E0F" w:rsidRDefault="005E169D"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“Understanding the Growth Mindset – Academic Skills </w:t>
      </w:r>
      <w:proofErr w:type="spellStart"/>
      <w:r w:rsidRPr="001F6E0F">
        <w:rPr>
          <w:rFonts w:ascii="Arial" w:hAnsi="Arial" w:cs="Arial"/>
          <w:sz w:val="22"/>
          <w:szCs w:val="22"/>
        </w:rPr>
        <w:t>Center</w:t>
      </w:r>
      <w:proofErr w:type="spellEnd"/>
      <w:r w:rsidRPr="001F6E0F">
        <w:rPr>
          <w:rFonts w:ascii="Arial" w:hAnsi="Arial" w:cs="Arial"/>
          <w:sz w:val="22"/>
          <w:szCs w:val="22"/>
        </w:rPr>
        <w:t xml:space="preserve"> Blog.” </w:t>
      </w:r>
      <w:r w:rsidRPr="001F6E0F">
        <w:rPr>
          <w:rFonts w:ascii="Arial" w:hAnsi="Arial" w:cs="Arial"/>
          <w:i/>
          <w:iCs/>
          <w:sz w:val="22"/>
          <w:szCs w:val="22"/>
        </w:rPr>
        <w:t>Sites.dartmouth.edu</w:t>
      </w:r>
      <w:r w:rsidRPr="001F6E0F">
        <w:rPr>
          <w:rFonts w:ascii="Arial" w:hAnsi="Arial" w:cs="Arial"/>
          <w:sz w:val="22"/>
          <w:szCs w:val="22"/>
        </w:rPr>
        <w:t>, 2017, sites.dartmouth.edu/learning/2017/05/18/understanding-the-</w:t>
      </w:r>
      <w:r w:rsidRPr="001F6E0F">
        <w:rPr>
          <w:rFonts w:ascii="Arial" w:hAnsi="Arial" w:cs="Arial"/>
          <w:sz w:val="22"/>
          <w:szCs w:val="22"/>
        </w:rPr>
        <w:lastRenderedPageBreak/>
        <w:t>growth-mindset/</w:t>
      </w:r>
      <w:proofErr w:type="gramStart"/>
      <w:r w:rsidRPr="001F6E0F">
        <w:rPr>
          <w:rFonts w:ascii="Arial" w:hAnsi="Arial" w:cs="Arial"/>
          <w:sz w:val="22"/>
          <w:szCs w:val="22"/>
        </w:rPr>
        <w:t>#:~</w:t>
      </w:r>
      <w:proofErr w:type="gramEnd"/>
      <w:r w:rsidRPr="001F6E0F">
        <w:rPr>
          <w:rFonts w:ascii="Arial" w:hAnsi="Arial" w:cs="Arial"/>
          <w:sz w:val="22"/>
          <w:szCs w:val="22"/>
        </w:rPr>
        <w:t>:text=Well%20according%20to%20Stanford%20University%20Professor%20of%20Psychology%2C.</w:t>
      </w:r>
      <w:r w:rsidR="00441479" w:rsidRPr="001F6E0F">
        <w:rPr>
          <w:rFonts w:ascii="Arial" w:hAnsi="Arial" w:cs="Arial"/>
          <w:sz w:val="22"/>
          <w:szCs w:val="22"/>
        </w:rPr>
        <w:t xml:space="preserve"> </w:t>
      </w:r>
    </w:p>
    <w:p w14:paraId="344DEAC6" w14:textId="77777777" w:rsidR="00441479" w:rsidRPr="001F6E0F" w:rsidRDefault="00441479" w:rsidP="001F6E0F">
      <w:pPr>
        <w:pStyle w:val="NormalWeb"/>
        <w:spacing w:before="0" w:beforeAutospacing="0" w:after="0" w:afterAutospacing="0" w:line="480" w:lineRule="auto"/>
        <w:rPr>
          <w:rFonts w:ascii="Arial" w:hAnsi="Arial" w:cs="Arial"/>
          <w:sz w:val="22"/>
          <w:szCs w:val="22"/>
        </w:rPr>
      </w:pPr>
    </w:p>
    <w:p w14:paraId="4874A2FE" w14:textId="07D2425E" w:rsidR="005E169D" w:rsidRPr="001F6E0F" w:rsidRDefault="00441479"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Van den Bos, K. (2003). On the subjective quality of social justice: </w:t>
      </w:r>
      <w:proofErr w:type="spellStart"/>
      <w:r w:rsidRPr="001F6E0F">
        <w:rPr>
          <w:rFonts w:ascii="Arial" w:hAnsi="Arial" w:cs="Arial"/>
          <w:sz w:val="22"/>
          <w:szCs w:val="22"/>
        </w:rPr>
        <w:t>Therole</w:t>
      </w:r>
      <w:proofErr w:type="spellEnd"/>
      <w:r w:rsidRPr="001F6E0F">
        <w:rPr>
          <w:rFonts w:ascii="Arial" w:hAnsi="Arial" w:cs="Arial"/>
          <w:sz w:val="22"/>
          <w:szCs w:val="22"/>
        </w:rPr>
        <w:t xml:space="preserve"> of affect as information in the psychology of justice </w:t>
      </w:r>
      <w:proofErr w:type="spellStart"/>
      <w:r w:rsidRPr="001F6E0F">
        <w:rPr>
          <w:rFonts w:ascii="Arial" w:hAnsi="Arial" w:cs="Arial"/>
          <w:sz w:val="22"/>
          <w:szCs w:val="22"/>
        </w:rPr>
        <w:t>judg-ments</w:t>
      </w:r>
      <w:proofErr w:type="spellEnd"/>
      <w:r w:rsidRPr="001F6E0F">
        <w:rPr>
          <w:rFonts w:ascii="Arial" w:hAnsi="Arial" w:cs="Arial"/>
          <w:sz w:val="22"/>
          <w:szCs w:val="22"/>
        </w:rPr>
        <w:t>. Journal of Personality and Social Psychology, 85, 482–498</w:t>
      </w:r>
    </w:p>
    <w:p w14:paraId="02FBB31B" w14:textId="77777777" w:rsidR="00441479" w:rsidRPr="001F6E0F" w:rsidRDefault="00441479" w:rsidP="001F6E0F">
      <w:pPr>
        <w:shd w:val="clear" w:color="auto" w:fill="FFFFFF"/>
        <w:spacing w:after="0" w:line="0" w:lineRule="auto"/>
        <w:ind w:left="360"/>
        <w:rPr>
          <w:rFonts w:ascii="Arial" w:eastAsia="Times New Roman" w:hAnsi="Arial" w:cs="Arial"/>
          <w:color w:val="000000"/>
          <w:lang w:eastAsia="en-GB"/>
        </w:rPr>
      </w:pPr>
      <w:r w:rsidRPr="001F6E0F">
        <w:rPr>
          <w:rFonts w:ascii="Arial" w:eastAsia="Times New Roman" w:hAnsi="Arial" w:cs="Arial"/>
          <w:color w:val="000000"/>
          <w:lang w:eastAsia="en-GB"/>
        </w:rPr>
        <w:t>Van den Bos, K. (2003). On the subjective quality of social justice: The</w:t>
      </w:r>
    </w:p>
    <w:p w14:paraId="0D12D38D" w14:textId="77777777" w:rsidR="00441479" w:rsidRPr="001F6E0F" w:rsidRDefault="00441479" w:rsidP="001F6E0F">
      <w:pPr>
        <w:shd w:val="clear" w:color="auto" w:fill="FFFFFF"/>
        <w:spacing w:after="0" w:line="0" w:lineRule="auto"/>
        <w:ind w:left="360"/>
        <w:rPr>
          <w:rFonts w:ascii="Arial" w:eastAsia="Times New Roman" w:hAnsi="Arial" w:cs="Arial"/>
          <w:color w:val="000000"/>
          <w:lang w:eastAsia="en-GB"/>
        </w:rPr>
      </w:pPr>
      <w:r w:rsidRPr="001F6E0F">
        <w:rPr>
          <w:rFonts w:ascii="Arial" w:eastAsia="Times New Roman" w:hAnsi="Arial" w:cs="Arial"/>
          <w:color w:val="000000"/>
          <w:lang w:eastAsia="en-GB"/>
        </w:rPr>
        <w:t xml:space="preserve">role of affect as information in the psychology of justice </w:t>
      </w:r>
      <w:proofErr w:type="spellStart"/>
      <w:r w:rsidRPr="001F6E0F">
        <w:rPr>
          <w:rFonts w:ascii="Arial" w:eastAsia="Times New Roman" w:hAnsi="Arial" w:cs="Arial"/>
          <w:color w:val="000000"/>
          <w:lang w:eastAsia="en-GB"/>
        </w:rPr>
        <w:t>judg</w:t>
      </w:r>
      <w:proofErr w:type="spellEnd"/>
      <w:r w:rsidRPr="001F6E0F">
        <w:rPr>
          <w:rFonts w:ascii="Arial" w:eastAsia="Times New Roman" w:hAnsi="Arial" w:cs="Arial"/>
          <w:color w:val="000000"/>
          <w:lang w:eastAsia="en-GB"/>
        </w:rPr>
        <w:t>-</w:t>
      </w:r>
    </w:p>
    <w:p w14:paraId="264A794E" w14:textId="77777777" w:rsidR="00441479" w:rsidRPr="001F6E0F" w:rsidRDefault="00441479" w:rsidP="001F6E0F">
      <w:pPr>
        <w:shd w:val="clear" w:color="auto" w:fill="FFFFFF"/>
        <w:spacing w:after="0" w:line="0" w:lineRule="auto"/>
        <w:ind w:left="360"/>
        <w:rPr>
          <w:rFonts w:ascii="Arial" w:eastAsia="Times New Roman" w:hAnsi="Arial" w:cs="Arial"/>
          <w:color w:val="000000"/>
          <w:lang w:eastAsia="en-GB"/>
        </w:rPr>
      </w:pPr>
      <w:proofErr w:type="spellStart"/>
      <w:r w:rsidRPr="001F6E0F">
        <w:rPr>
          <w:rFonts w:ascii="Arial" w:eastAsia="Times New Roman" w:hAnsi="Arial" w:cs="Arial"/>
          <w:color w:val="000000"/>
          <w:lang w:eastAsia="en-GB"/>
        </w:rPr>
        <w:t>ments</w:t>
      </w:r>
      <w:proofErr w:type="spellEnd"/>
      <w:r w:rsidRPr="001F6E0F">
        <w:rPr>
          <w:rFonts w:ascii="Arial" w:eastAsia="Times New Roman" w:hAnsi="Arial" w:cs="Arial"/>
          <w:color w:val="000000"/>
          <w:lang w:eastAsia="en-GB"/>
        </w:rPr>
        <w:t>. Journal of Personality and Social Psychology, 85, 482–498</w:t>
      </w:r>
    </w:p>
    <w:p w14:paraId="49DD1A43" w14:textId="77777777" w:rsidR="005E169D" w:rsidRPr="001F6E0F" w:rsidRDefault="005E169D" w:rsidP="001F6E0F">
      <w:pPr>
        <w:pStyle w:val="NormalWeb"/>
        <w:spacing w:before="0" w:beforeAutospacing="0" w:after="240" w:afterAutospacing="0" w:line="360" w:lineRule="auto"/>
        <w:rPr>
          <w:rFonts w:ascii="Arial" w:hAnsi="Arial" w:cs="Arial"/>
          <w:sz w:val="22"/>
          <w:szCs w:val="22"/>
        </w:rPr>
      </w:pPr>
    </w:p>
    <w:p w14:paraId="43D0D071" w14:textId="532FE09F"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warwick.ac.uk. (2021). </w:t>
      </w:r>
      <w:r w:rsidRPr="001F6E0F">
        <w:rPr>
          <w:rFonts w:ascii="Arial" w:hAnsi="Arial" w:cs="Arial"/>
          <w:i/>
          <w:iCs/>
          <w:sz w:val="22"/>
          <w:szCs w:val="22"/>
        </w:rPr>
        <w:t>Confidentiality &amp; Anonymity</w:t>
      </w:r>
      <w:r w:rsidRPr="001F6E0F">
        <w:rPr>
          <w:rFonts w:ascii="Arial" w:hAnsi="Arial" w:cs="Arial"/>
          <w:sz w:val="22"/>
          <w:szCs w:val="22"/>
        </w:rPr>
        <w:t>. [online] Available at: https://warwick.ac.uk/services/ris/research_integrity/humanparticipants_material_data/research_personal_data/confidentialityanonymity/ [Accessed Mar. 17AD].</w:t>
      </w:r>
    </w:p>
    <w:p w14:paraId="7CD7B92F" w14:textId="5EA09887" w:rsidR="00CE57A3" w:rsidRPr="001F6E0F" w:rsidRDefault="00CE57A3"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Welsh Government (2022). </w:t>
      </w:r>
      <w:r w:rsidRPr="001F6E0F">
        <w:rPr>
          <w:rFonts w:ascii="Arial" w:hAnsi="Arial" w:cs="Arial"/>
          <w:i/>
          <w:iCs/>
          <w:sz w:val="22"/>
          <w:szCs w:val="22"/>
        </w:rPr>
        <w:t>Local Authority Budgeted Expenditure on Schools: 2022-23</w:t>
      </w:r>
      <w:r w:rsidRPr="001F6E0F">
        <w:rPr>
          <w:rFonts w:ascii="Arial" w:hAnsi="Arial" w:cs="Arial"/>
          <w:sz w:val="22"/>
          <w:szCs w:val="22"/>
        </w:rPr>
        <w:t>. [online] Available at: https://www.gov.wales/sites/default/files/statistics-and-research/2022-07/local-authority-budgeted-expenditure-on-schools-april-2022-to-march-2023-472.pdf [Accessed 15 Mar. 2023].</w:t>
      </w:r>
    </w:p>
    <w:p w14:paraId="6EC91FCE" w14:textId="77777777" w:rsidR="00CE57A3" w:rsidRPr="001F6E0F" w:rsidRDefault="00CE57A3" w:rsidP="001F6E0F">
      <w:pPr>
        <w:pStyle w:val="NormalWeb"/>
        <w:spacing w:before="0" w:beforeAutospacing="0" w:after="240" w:afterAutospacing="0" w:line="360" w:lineRule="auto"/>
        <w:rPr>
          <w:rFonts w:ascii="Arial" w:hAnsi="Arial" w:cs="Arial"/>
          <w:sz w:val="22"/>
          <w:szCs w:val="22"/>
        </w:rPr>
      </w:pPr>
    </w:p>
    <w:p w14:paraId="3CD96554" w14:textId="61D181DE"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White, R. (2019). </w:t>
      </w:r>
      <w:r w:rsidRPr="001F6E0F">
        <w:rPr>
          <w:rFonts w:ascii="Arial" w:hAnsi="Arial" w:cs="Arial"/>
          <w:i/>
          <w:iCs/>
          <w:sz w:val="22"/>
          <w:szCs w:val="22"/>
        </w:rPr>
        <w:t>Young Children’s Relationship with Nature: Its Importance to Children’s Development and the Earth’s Future</w:t>
      </w:r>
      <w:r w:rsidRPr="001F6E0F">
        <w:rPr>
          <w:rFonts w:ascii="Arial" w:hAnsi="Arial" w:cs="Arial"/>
          <w:sz w:val="22"/>
          <w:szCs w:val="22"/>
        </w:rPr>
        <w:t>. [online] Whitehutchinson.com. Available at: https://www.whitehutchinson.com/children/articles/childrennature.shtml [Accessed 16 Mar. 2023].</w:t>
      </w:r>
    </w:p>
    <w:p w14:paraId="05BB2C97" w14:textId="77777777" w:rsidR="004F66A7" w:rsidRPr="001F6E0F" w:rsidRDefault="004F66A7"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Williams, Bridget, et al. </w:t>
      </w:r>
      <w:r w:rsidRPr="001F6E0F">
        <w:rPr>
          <w:rFonts w:ascii="Arial" w:hAnsi="Arial" w:cs="Arial"/>
          <w:i/>
          <w:iCs/>
          <w:sz w:val="22"/>
          <w:szCs w:val="22"/>
        </w:rPr>
        <w:t>Parental Involvement in Education RESEARCH</w:t>
      </w:r>
      <w:r w:rsidRPr="001F6E0F">
        <w:rPr>
          <w:rFonts w:ascii="Arial" w:hAnsi="Arial" w:cs="Arial"/>
          <w:sz w:val="22"/>
          <w:szCs w:val="22"/>
        </w:rPr>
        <w:t>. 2002, dera.ioe.ac.uk/4669/1/RR332.pdf.</w:t>
      </w:r>
    </w:p>
    <w:p w14:paraId="3D7018EF" w14:textId="77777777" w:rsidR="004F66A7" w:rsidRPr="001F6E0F" w:rsidRDefault="004F66A7" w:rsidP="001F6E0F">
      <w:pPr>
        <w:pStyle w:val="NormalWeb"/>
        <w:spacing w:before="0" w:beforeAutospacing="0" w:after="240" w:afterAutospacing="0" w:line="360" w:lineRule="auto"/>
        <w:rPr>
          <w:rFonts w:ascii="Arial" w:hAnsi="Arial" w:cs="Arial"/>
          <w:sz w:val="22"/>
          <w:szCs w:val="22"/>
        </w:rPr>
      </w:pPr>
    </w:p>
    <w:p w14:paraId="135700D1" w14:textId="77777777" w:rsidR="008A00B4" w:rsidRPr="001F6E0F" w:rsidRDefault="008A00B4" w:rsidP="001F6E0F">
      <w:pPr>
        <w:pStyle w:val="s"/>
        <w:shd w:val="clear" w:color="auto" w:fill="FFFFFF"/>
        <w:spacing w:before="0" w:beforeAutospacing="0" w:after="0" w:afterAutospacing="0"/>
        <w:ind w:left="360"/>
        <w:rPr>
          <w:rFonts w:ascii="Arial" w:hAnsi="Arial" w:cs="Arial"/>
          <w:color w:val="3B3A3A"/>
          <w:sz w:val="22"/>
          <w:szCs w:val="22"/>
        </w:rPr>
      </w:pPr>
      <w:r w:rsidRPr="001F6E0F">
        <w:rPr>
          <w:rFonts w:ascii="Arial" w:hAnsi="Arial" w:cs="Arial"/>
          <w:color w:val="3B3A3A"/>
          <w:sz w:val="22"/>
          <w:szCs w:val="22"/>
        </w:rPr>
        <w:t>Wilson, Ruth A. (1996). </w:t>
      </w:r>
      <w:r w:rsidRPr="001F6E0F">
        <w:rPr>
          <w:rFonts w:ascii="Arial" w:hAnsi="Arial" w:cs="Arial"/>
          <w:i/>
          <w:iCs/>
          <w:color w:val="3B3A3A"/>
          <w:sz w:val="22"/>
          <w:szCs w:val="22"/>
        </w:rPr>
        <w:t>Starting Early Environmental Education During the Early Childhood Years</w:t>
      </w:r>
      <w:r w:rsidRPr="001F6E0F">
        <w:rPr>
          <w:rFonts w:ascii="Arial" w:hAnsi="Arial" w:cs="Arial"/>
          <w:color w:val="3B3A3A"/>
          <w:sz w:val="22"/>
          <w:szCs w:val="22"/>
        </w:rPr>
        <w:t> (ERIC Digest). Columbus, OH: ERIC Clearinghouse for Science, Mathematics and Environmental Education (ERIC Identifier ED 402147).</w:t>
      </w:r>
    </w:p>
    <w:p w14:paraId="462EFAC4" w14:textId="2FE83A62" w:rsidR="008A00B4" w:rsidRPr="001F6E0F" w:rsidRDefault="008A00B4" w:rsidP="001F6E0F">
      <w:pPr>
        <w:pStyle w:val="NormalWeb"/>
        <w:spacing w:before="0" w:beforeAutospacing="0" w:after="240" w:afterAutospacing="0" w:line="360" w:lineRule="auto"/>
        <w:rPr>
          <w:rFonts w:ascii="Arial" w:hAnsi="Arial" w:cs="Arial"/>
          <w:sz w:val="22"/>
          <w:szCs w:val="22"/>
        </w:rPr>
      </w:pPr>
    </w:p>
    <w:p w14:paraId="47CEC1B1" w14:textId="77777777" w:rsidR="00A761B7" w:rsidRPr="001F6E0F" w:rsidRDefault="00A761B7" w:rsidP="001F6E0F">
      <w:pPr>
        <w:pStyle w:val="NormalWeb"/>
        <w:spacing w:before="0" w:beforeAutospacing="0" w:after="0" w:afterAutospacing="0" w:line="480" w:lineRule="auto"/>
        <w:ind w:left="360"/>
        <w:rPr>
          <w:rFonts w:ascii="Arial" w:hAnsi="Arial" w:cs="Arial"/>
          <w:sz w:val="22"/>
          <w:szCs w:val="22"/>
        </w:rPr>
      </w:pPr>
      <w:r w:rsidRPr="001F6E0F">
        <w:rPr>
          <w:rFonts w:ascii="Arial" w:hAnsi="Arial" w:cs="Arial"/>
          <w:sz w:val="22"/>
          <w:szCs w:val="22"/>
        </w:rPr>
        <w:t xml:space="preserve">Wood, Elizabeth. “Learning, Development and the Early Childhood Curriculum: A Critical Discourse Analysis of the Early Years Foundation Stage in England.” </w:t>
      </w:r>
      <w:r w:rsidRPr="001F6E0F">
        <w:rPr>
          <w:rFonts w:ascii="Arial" w:hAnsi="Arial" w:cs="Arial"/>
          <w:i/>
          <w:iCs/>
          <w:sz w:val="22"/>
          <w:szCs w:val="22"/>
        </w:rPr>
        <w:t xml:space="preserve">Journal of Early </w:t>
      </w:r>
      <w:r w:rsidRPr="001F6E0F">
        <w:rPr>
          <w:rFonts w:ascii="Arial" w:hAnsi="Arial" w:cs="Arial"/>
          <w:i/>
          <w:iCs/>
          <w:sz w:val="22"/>
          <w:szCs w:val="22"/>
        </w:rPr>
        <w:lastRenderedPageBreak/>
        <w:t>Childhood Research</w:t>
      </w:r>
      <w:r w:rsidRPr="001F6E0F">
        <w:rPr>
          <w:rFonts w:ascii="Arial" w:hAnsi="Arial" w:cs="Arial"/>
          <w:sz w:val="22"/>
          <w:szCs w:val="22"/>
        </w:rPr>
        <w:t xml:space="preserve">, vol. 18, no. 3, July 2020, p. 1476718X2092772, </w:t>
      </w:r>
      <w:proofErr w:type="spellStart"/>
      <w:proofErr w:type="gramStart"/>
      <w:r w:rsidRPr="001F6E0F">
        <w:rPr>
          <w:rFonts w:ascii="Arial" w:hAnsi="Arial" w:cs="Arial"/>
          <w:sz w:val="22"/>
          <w:szCs w:val="22"/>
        </w:rPr>
        <w:t>doi:https</w:t>
      </w:r>
      <w:proofErr w:type="spellEnd"/>
      <w:r w:rsidRPr="001F6E0F">
        <w:rPr>
          <w:rFonts w:ascii="Arial" w:hAnsi="Arial" w:cs="Arial"/>
          <w:sz w:val="22"/>
          <w:szCs w:val="22"/>
        </w:rPr>
        <w:t>://doi.org/10.1177/1476718x20927726</w:t>
      </w:r>
      <w:proofErr w:type="gramEnd"/>
      <w:r w:rsidRPr="001F6E0F">
        <w:rPr>
          <w:rFonts w:ascii="Arial" w:hAnsi="Arial" w:cs="Arial"/>
          <w:sz w:val="22"/>
          <w:szCs w:val="22"/>
        </w:rPr>
        <w:t>.</w:t>
      </w:r>
    </w:p>
    <w:p w14:paraId="7B14967E" w14:textId="77777777" w:rsidR="00A761B7" w:rsidRPr="001F6E0F" w:rsidRDefault="00A761B7" w:rsidP="001F6E0F">
      <w:pPr>
        <w:pStyle w:val="NormalWeb"/>
        <w:spacing w:before="0" w:beforeAutospacing="0" w:after="240" w:afterAutospacing="0" w:line="360" w:lineRule="auto"/>
        <w:rPr>
          <w:rFonts w:ascii="Arial" w:hAnsi="Arial" w:cs="Arial"/>
          <w:sz w:val="22"/>
          <w:szCs w:val="22"/>
        </w:rPr>
      </w:pPr>
    </w:p>
    <w:p w14:paraId="7B111F07"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www.estyn.gov.wales. (n.d.). </w:t>
      </w:r>
      <w:r w:rsidRPr="001F6E0F">
        <w:rPr>
          <w:rFonts w:ascii="Arial" w:hAnsi="Arial" w:cs="Arial"/>
          <w:i/>
          <w:iCs/>
          <w:sz w:val="22"/>
          <w:szCs w:val="22"/>
        </w:rPr>
        <w:t>Richmond Park Primary School | Estyn</w:t>
      </w:r>
      <w:r w:rsidRPr="001F6E0F">
        <w:rPr>
          <w:rFonts w:ascii="Arial" w:hAnsi="Arial" w:cs="Arial"/>
          <w:sz w:val="22"/>
          <w:szCs w:val="22"/>
        </w:rPr>
        <w:t>. [online] Available at: https://www.estyn.gov.wales/provider/6692380 [Accessed 17 Mar. 2023].</w:t>
      </w:r>
    </w:p>
    <w:p w14:paraId="5AE055BD"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www.mindtools.com. (n.d.). </w:t>
      </w:r>
      <w:r w:rsidRPr="001F6E0F">
        <w:rPr>
          <w:rFonts w:ascii="Arial" w:hAnsi="Arial" w:cs="Arial"/>
          <w:i/>
          <w:iCs/>
          <w:sz w:val="22"/>
          <w:szCs w:val="22"/>
        </w:rPr>
        <w:t>MindTools | Home</w:t>
      </w:r>
      <w:r w:rsidRPr="001F6E0F">
        <w:rPr>
          <w:rFonts w:ascii="Arial" w:hAnsi="Arial" w:cs="Arial"/>
          <w:sz w:val="22"/>
          <w:szCs w:val="22"/>
        </w:rPr>
        <w:t>. [online] Available at: https://www.mindtools.com/atddimk/the-cynefin-framework.</w:t>
      </w:r>
    </w:p>
    <w:p w14:paraId="6B4619C9"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www.salvationarmy.org.uk. (n.d.). </w:t>
      </w:r>
      <w:r w:rsidRPr="001F6E0F">
        <w:rPr>
          <w:rFonts w:ascii="Arial" w:hAnsi="Arial" w:cs="Arial"/>
          <w:i/>
          <w:iCs/>
          <w:sz w:val="22"/>
          <w:szCs w:val="22"/>
        </w:rPr>
        <w:t>Cost of Living | The Salvation Army</w:t>
      </w:r>
      <w:r w:rsidRPr="001F6E0F">
        <w:rPr>
          <w:rFonts w:ascii="Arial" w:hAnsi="Arial" w:cs="Arial"/>
          <w:sz w:val="22"/>
          <w:szCs w:val="22"/>
        </w:rPr>
        <w:t>. [online] Available at: https://www.salvationarmy.org.uk/cost-living.</w:t>
      </w:r>
    </w:p>
    <w:p w14:paraId="7B5823F6"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www.salvationarmy.org.uk. (n.d.). </w:t>
      </w:r>
      <w:r w:rsidRPr="001F6E0F">
        <w:rPr>
          <w:rFonts w:ascii="Arial" w:hAnsi="Arial" w:cs="Arial"/>
          <w:i/>
          <w:iCs/>
          <w:sz w:val="22"/>
          <w:szCs w:val="22"/>
        </w:rPr>
        <w:t>Salvation Army launches ‘operation food parcel’ | The Salvation Army</w:t>
      </w:r>
      <w:r w:rsidRPr="001F6E0F">
        <w:rPr>
          <w:rFonts w:ascii="Arial" w:hAnsi="Arial" w:cs="Arial"/>
          <w:sz w:val="22"/>
          <w:szCs w:val="22"/>
        </w:rPr>
        <w:t>. [online] Available at: https://www.salvationarmy.org.uk/news/salvation-army-launches-operation-food-parcel.</w:t>
      </w:r>
    </w:p>
    <w:p w14:paraId="7F687C97" w14:textId="77777777" w:rsidR="00764DA4" w:rsidRPr="001F6E0F" w:rsidRDefault="00764DA4" w:rsidP="001F6E0F">
      <w:pPr>
        <w:pStyle w:val="NormalWeb"/>
        <w:spacing w:before="0" w:beforeAutospacing="0" w:after="240" w:afterAutospacing="0" w:line="360" w:lineRule="auto"/>
        <w:ind w:left="360"/>
        <w:rPr>
          <w:rFonts w:ascii="Arial" w:hAnsi="Arial" w:cs="Arial"/>
          <w:sz w:val="22"/>
          <w:szCs w:val="22"/>
        </w:rPr>
      </w:pPr>
      <w:r w:rsidRPr="001F6E0F">
        <w:rPr>
          <w:rFonts w:ascii="Arial" w:hAnsi="Arial" w:cs="Arial"/>
          <w:sz w:val="22"/>
          <w:szCs w:val="22"/>
        </w:rPr>
        <w:t xml:space="preserve">Ysgol Parc </w:t>
      </w:r>
      <w:proofErr w:type="spellStart"/>
      <w:r w:rsidRPr="001F6E0F">
        <w:rPr>
          <w:rFonts w:ascii="Arial" w:hAnsi="Arial" w:cs="Arial"/>
          <w:sz w:val="22"/>
          <w:szCs w:val="22"/>
        </w:rPr>
        <w:t>Waundew</w:t>
      </w:r>
      <w:proofErr w:type="spellEnd"/>
      <w:r w:rsidRPr="001F6E0F">
        <w:rPr>
          <w:rFonts w:ascii="Arial" w:hAnsi="Arial" w:cs="Arial"/>
          <w:sz w:val="22"/>
          <w:szCs w:val="22"/>
        </w:rPr>
        <w:t xml:space="preserve"> RICHMOND PARK SCHOOL. (2021). Available at: https://cdnfiles.j2bloggy.com/32001_b/wp-content/uploads/2022/07/Prospectus-2021-22.pdf [Accessed 17 Mar. 2023].</w:t>
      </w:r>
    </w:p>
    <w:p w14:paraId="30A74E08" w14:textId="1D696572" w:rsidR="00776AEA" w:rsidRPr="001F6E0F" w:rsidRDefault="00776AEA" w:rsidP="001F6E0F">
      <w:pPr>
        <w:pStyle w:val="AssignBody"/>
        <w:rPr>
          <w:rFonts w:cs="Arial"/>
        </w:rPr>
      </w:pPr>
    </w:p>
    <w:p w14:paraId="6F658666" w14:textId="24E1FBE8" w:rsidR="00776AEA" w:rsidRPr="001F6E0F" w:rsidRDefault="00776AEA" w:rsidP="001F6E0F">
      <w:pPr>
        <w:pStyle w:val="AssignBody"/>
        <w:rPr>
          <w:rFonts w:cs="Arial"/>
        </w:rPr>
      </w:pPr>
    </w:p>
    <w:p w14:paraId="0C89A8B5" w14:textId="1819EECA" w:rsidR="00776AEA" w:rsidRPr="001F6E0F" w:rsidRDefault="00776AEA" w:rsidP="001F6E0F">
      <w:pPr>
        <w:pStyle w:val="AssignBody"/>
        <w:rPr>
          <w:rFonts w:cs="Arial"/>
        </w:rPr>
      </w:pPr>
    </w:p>
    <w:p w14:paraId="35EA765A" w14:textId="7ECB32A8" w:rsidR="00776AEA" w:rsidRPr="001F6E0F" w:rsidRDefault="00776AEA" w:rsidP="001F6E0F">
      <w:pPr>
        <w:pStyle w:val="AssignBody"/>
        <w:rPr>
          <w:rFonts w:cs="Arial"/>
        </w:rPr>
      </w:pPr>
    </w:p>
    <w:p w14:paraId="1748242B" w14:textId="2B81DC2B" w:rsidR="00776AEA" w:rsidRPr="001F6E0F" w:rsidRDefault="00776AEA" w:rsidP="001F6E0F">
      <w:pPr>
        <w:pStyle w:val="s"/>
        <w:shd w:val="clear" w:color="auto" w:fill="FFFFFF"/>
        <w:spacing w:before="0" w:beforeAutospacing="0" w:after="0" w:afterAutospacing="0"/>
        <w:rPr>
          <w:rFonts w:ascii="Arial" w:hAnsi="Arial" w:cs="Arial"/>
          <w:color w:val="3B3A3A"/>
          <w:sz w:val="22"/>
          <w:szCs w:val="22"/>
        </w:rPr>
      </w:pPr>
    </w:p>
    <w:p w14:paraId="6188DC3E" w14:textId="77777777" w:rsidR="003700B8" w:rsidRPr="001F6E0F" w:rsidRDefault="003700B8" w:rsidP="001F6E0F">
      <w:pPr>
        <w:pStyle w:val="s"/>
        <w:shd w:val="clear" w:color="auto" w:fill="FFFFFF"/>
        <w:spacing w:before="0" w:beforeAutospacing="0" w:after="0" w:afterAutospacing="0"/>
        <w:rPr>
          <w:rFonts w:ascii="Arial" w:hAnsi="Arial" w:cs="Arial"/>
          <w:color w:val="3B3A3A"/>
          <w:sz w:val="22"/>
          <w:szCs w:val="22"/>
        </w:rPr>
      </w:pPr>
    </w:p>
    <w:p w14:paraId="02BF9F06" w14:textId="77777777" w:rsidR="003700B8" w:rsidRPr="001F6E0F" w:rsidRDefault="003700B8" w:rsidP="001F6E0F">
      <w:pPr>
        <w:pStyle w:val="s"/>
        <w:shd w:val="clear" w:color="auto" w:fill="FFFFFF"/>
        <w:spacing w:before="0" w:beforeAutospacing="0" w:after="0" w:afterAutospacing="0"/>
        <w:rPr>
          <w:rFonts w:ascii="Arial" w:hAnsi="Arial" w:cs="Arial"/>
          <w:color w:val="3B3A3A"/>
          <w:sz w:val="22"/>
          <w:szCs w:val="22"/>
        </w:rPr>
      </w:pPr>
    </w:p>
    <w:p w14:paraId="362D6480" w14:textId="77777777" w:rsidR="003700B8" w:rsidRPr="001F6E0F" w:rsidRDefault="003700B8" w:rsidP="001F6E0F">
      <w:pPr>
        <w:pStyle w:val="s"/>
        <w:shd w:val="clear" w:color="auto" w:fill="FFFFFF"/>
        <w:spacing w:before="0" w:beforeAutospacing="0" w:after="0" w:afterAutospacing="0"/>
        <w:rPr>
          <w:rFonts w:ascii="Arial" w:hAnsi="Arial" w:cs="Arial"/>
          <w:color w:val="3B3A3A"/>
          <w:sz w:val="22"/>
          <w:szCs w:val="22"/>
        </w:rPr>
      </w:pPr>
    </w:p>
    <w:p w14:paraId="5C1F70E6"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1CCDE490"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4A2D2EA5"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79344B3E"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7BC55513"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12D90E36"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067C3C25"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37CDA2B6"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6A64B515"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3FF6D0AF"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4051DEA9"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351D3E7D"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67B2AE4B"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2FBE625C"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11801CDE"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051B82B0"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13D93703"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5F94BF42"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33CA9B40" w14:textId="77777777" w:rsidR="001F6E0F" w:rsidRDefault="001F6E0F" w:rsidP="00776AEA">
      <w:pPr>
        <w:pStyle w:val="s"/>
        <w:shd w:val="clear" w:color="auto" w:fill="FFFFFF"/>
        <w:spacing w:before="0" w:beforeAutospacing="0" w:after="0" w:afterAutospacing="0"/>
        <w:rPr>
          <w:rFonts w:ascii="Verdana" w:hAnsi="Verdana"/>
          <w:color w:val="3B3A3A"/>
          <w:sz w:val="17"/>
          <w:szCs w:val="17"/>
        </w:rPr>
      </w:pPr>
    </w:p>
    <w:p w14:paraId="3063CF34" w14:textId="77777777" w:rsidR="003700B8" w:rsidRDefault="003700B8" w:rsidP="00776AEA">
      <w:pPr>
        <w:pStyle w:val="s"/>
        <w:shd w:val="clear" w:color="auto" w:fill="FFFFFF"/>
        <w:spacing w:before="0" w:beforeAutospacing="0" w:after="0" w:afterAutospacing="0"/>
        <w:rPr>
          <w:rFonts w:ascii="Verdana" w:hAnsi="Verdana"/>
          <w:color w:val="3B3A3A"/>
          <w:sz w:val="17"/>
          <w:szCs w:val="17"/>
        </w:rPr>
      </w:pPr>
    </w:p>
    <w:p w14:paraId="705C7AA8" w14:textId="3F8F64F0" w:rsidR="003700B8" w:rsidRPr="001F6E0F" w:rsidRDefault="003700B8" w:rsidP="00776AEA">
      <w:pPr>
        <w:pStyle w:val="s"/>
        <w:shd w:val="clear" w:color="auto" w:fill="FFFFFF"/>
        <w:spacing w:before="0" w:beforeAutospacing="0" w:after="0" w:afterAutospacing="0"/>
        <w:rPr>
          <w:rFonts w:ascii="Arial" w:hAnsi="Arial" w:cs="Arial"/>
          <w:b/>
          <w:bCs/>
          <w:color w:val="3B3A3A"/>
          <w:sz w:val="22"/>
          <w:szCs w:val="22"/>
          <w:u w:val="single"/>
        </w:rPr>
      </w:pPr>
      <w:r w:rsidRPr="001F6E0F">
        <w:rPr>
          <w:rFonts w:ascii="Arial" w:hAnsi="Arial" w:cs="Arial"/>
          <w:b/>
          <w:bCs/>
          <w:color w:val="3B3A3A"/>
          <w:sz w:val="22"/>
          <w:szCs w:val="22"/>
          <w:u w:val="single"/>
        </w:rPr>
        <w:t>Appendix</w:t>
      </w:r>
    </w:p>
    <w:p w14:paraId="18B56C30" w14:textId="77777777" w:rsidR="003700B8" w:rsidRPr="001F6E0F" w:rsidRDefault="003700B8" w:rsidP="00776AEA">
      <w:pPr>
        <w:pStyle w:val="s"/>
        <w:shd w:val="clear" w:color="auto" w:fill="FFFFFF"/>
        <w:spacing w:before="0" w:beforeAutospacing="0" w:after="0" w:afterAutospacing="0"/>
        <w:rPr>
          <w:rFonts w:ascii="Arial" w:hAnsi="Arial" w:cs="Arial"/>
          <w:b/>
          <w:bCs/>
          <w:color w:val="3B3A3A"/>
          <w:sz w:val="22"/>
          <w:szCs w:val="22"/>
          <w:u w:val="single"/>
        </w:rPr>
      </w:pPr>
    </w:p>
    <w:p w14:paraId="405D986A" w14:textId="77777777" w:rsidR="004A33FB" w:rsidRPr="001F6E0F" w:rsidRDefault="004A33FB" w:rsidP="004A33FB">
      <w:pPr>
        <w:pStyle w:val="s"/>
        <w:shd w:val="clear" w:color="auto" w:fill="FFFFFF"/>
        <w:spacing w:before="0" w:beforeAutospacing="0" w:after="0" w:afterAutospacing="0"/>
        <w:rPr>
          <w:rFonts w:ascii="Arial" w:hAnsi="Arial" w:cs="Arial"/>
          <w:b/>
          <w:bCs/>
          <w:color w:val="3B3A3A"/>
          <w:sz w:val="22"/>
          <w:szCs w:val="22"/>
          <w:u w:val="single"/>
        </w:rPr>
      </w:pPr>
      <w:r w:rsidRPr="001F6E0F">
        <w:rPr>
          <w:rFonts w:ascii="Arial" w:hAnsi="Arial" w:cs="Arial"/>
          <w:b/>
          <w:bCs/>
          <w:color w:val="3B3A3A"/>
          <w:sz w:val="22"/>
          <w:szCs w:val="22"/>
          <w:u w:val="single"/>
        </w:rPr>
        <w:t xml:space="preserve">Appendix 1: SWOT Analysis </w:t>
      </w:r>
    </w:p>
    <w:p w14:paraId="61ACF685" w14:textId="77777777" w:rsidR="004A33FB" w:rsidRPr="001F6E0F" w:rsidRDefault="004A33FB" w:rsidP="004A33FB">
      <w:pPr>
        <w:pStyle w:val="s"/>
        <w:shd w:val="clear" w:color="auto" w:fill="FFFFFF"/>
        <w:spacing w:before="0" w:beforeAutospacing="0" w:after="0" w:afterAutospacing="0"/>
        <w:rPr>
          <w:rFonts w:ascii="Arial" w:hAnsi="Arial" w:cs="Arial"/>
          <w:color w:val="3B3A3A"/>
          <w:sz w:val="22"/>
          <w:szCs w:val="22"/>
        </w:rPr>
      </w:pPr>
    </w:p>
    <w:p w14:paraId="437A2841" w14:textId="77777777" w:rsidR="004A33FB" w:rsidRPr="001F6E0F" w:rsidRDefault="004A33FB" w:rsidP="004A33FB">
      <w:pPr>
        <w:pStyle w:val="s"/>
        <w:shd w:val="clear" w:color="auto" w:fill="FFFFFF"/>
        <w:spacing w:before="0" w:beforeAutospacing="0" w:after="0" w:afterAutospacing="0"/>
        <w:rPr>
          <w:rFonts w:ascii="Arial" w:hAnsi="Arial" w:cs="Arial"/>
          <w:color w:val="3B3A3A"/>
          <w:sz w:val="22"/>
          <w:szCs w:val="22"/>
        </w:rPr>
      </w:pPr>
    </w:p>
    <w:tbl>
      <w:tblPr>
        <w:tblStyle w:val="TableGrid"/>
        <w:tblpPr w:leftFromText="181" w:rightFromText="181" w:vertAnchor="text" w:horzAnchor="margin" w:tblpY="-7"/>
        <w:tblW w:w="0" w:type="auto"/>
        <w:tblLook w:val="04A0" w:firstRow="1" w:lastRow="0" w:firstColumn="1" w:lastColumn="0" w:noHBand="0" w:noVBand="1"/>
      </w:tblPr>
      <w:tblGrid>
        <w:gridCol w:w="1494"/>
        <w:gridCol w:w="3750"/>
        <w:gridCol w:w="3772"/>
      </w:tblGrid>
      <w:tr w:rsidR="004A33FB" w:rsidRPr="001F6E0F" w14:paraId="2EFF1BB0" w14:textId="77777777" w:rsidTr="007B474F">
        <w:trPr>
          <w:trHeight w:val="475"/>
        </w:trPr>
        <w:tc>
          <w:tcPr>
            <w:tcW w:w="1494" w:type="dxa"/>
          </w:tcPr>
          <w:p w14:paraId="40671A95" w14:textId="77777777" w:rsidR="004A33FB" w:rsidRPr="001F6E0F" w:rsidRDefault="004A33FB" w:rsidP="007B474F">
            <w:pPr>
              <w:rPr>
                <w:rFonts w:ascii="Arial" w:hAnsi="Arial" w:cs="Arial"/>
              </w:rPr>
            </w:pPr>
          </w:p>
        </w:tc>
        <w:tc>
          <w:tcPr>
            <w:tcW w:w="3750" w:type="dxa"/>
          </w:tcPr>
          <w:p w14:paraId="4E739F38" w14:textId="77777777" w:rsidR="004A33FB" w:rsidRPr="001F6E0F" w:rsidRDefault="004A33FB" w:rsidP="007B474F">
            <w:pPr>
              <w:jc w:val="center"/>
              <w:rPr>
                <w:rFonts w:ascii="Arial" w:hAnsi="Arial" w:cs="Arial"/>
              </w:rPr>
            </w:pPr>
            <w:r w:rsidRPr="001F6E0F">
              <w:rPr>
                <w:rFonts w:ascii="Arial" w:hAnsi="Arial" w:cs="Arial"/>
              </w:rPr>
              <w:t>HELPFUL</w:t>
            </w:r>
          </w:p>
        </w:tc>
        <w:tc>
          <w:tcPr>
            <w:tcW w:w="3772" w:type="dxa"/>
          </w:tcPr>
          <w:p w14:paraId="44B0000F" w14:textId="77777777" w:rsidR="004A33FB" w:rsidRPr="001F6E0F" w:rsidRDefault="004A33FB" w:rsidP="007B474F">
            <w:pPr>
              <w:jc w:val="center"/>
              <w:rPr>
                <w:rFonts w:ascii="Arial" w:hAnsi="Arial" w:cs="Arial"/>
              </w:rPr>
            </w:pPr>
            <w:r w:rsidRPr="001F6E0F">
              <w:rPr>
                <w:rFonts w:ascii="Arial" w:hAnsi="Arial" w:cs="Arial"/>
              </w:rPr>
              <w:t>HARMFUL</w:t>
            </w:r>
          </w:p>
        </w:tc>
      </w:tr>
      <w:tr w:rsidR="004A33FB" w:rsidRPr="001F6E0F" w14:paraId="5468A841" w14:textId="77777777" w:rsidTr="007B474F">
        <w:trPr>
          <w:trHeight w:val="3402"/>
        </w:trPr>
        <w:tc>
          <w:tcPr>
            <w:tcW w:w="1494" w:type="dxa"/>
          </w:tcPr>
          <w:p w14:paraId="0BD5F96B" w14:textId="77777777" w:rsidR="004A33FB" w:rsidRPr="001F6E0F" w:rsidRDefault="004A33FB" w:rsidP="007B474F">
            <w:pPr>
              <w:rPr>
                <w:rFonts w:ascii="Arial" w:hAnsi="Arial" w:cs="Arial"/>
              </w:rPr>
            </w:pPr>
            <w:r w:rsidRPr="001F6E0F">
              <w:rPr>
                <w:rFonts w:ascii="Arial" w:hAnsi="Arial" w:cs="Arial"/>
              </w:rPr>
              <w:t>INTERNAL</w:t>
            </w:r>
          </w:p>
          <w:p w14:paraId="2ACE467A" w14:textId="77777777" w:rsidR="004A33FB" w:rsidRPr="001F6E0F" w:rsidRDefault="004A33FB" w:rsidP="007B474F">
            <w:pPr>
              <w:rPr>
                <w:rFonts w:ascii="Arial" w:hAnsi="Arial" w:cs="Arial"/>
              </w:rPr>
            </w:pPr>
            <w:r w:rsidRPr="001F6E0F">
              <w:rPr>
                <w:rFonts w:ascii="Arial" w:hAnsi="Arial" w:cs="Arial"/>
              </w:rPr>
              <w:t>(Within the school)</w:t>
            </w:r>
          </w:p>
        </w:tc>
        <w:tc>
          <w:tcPr>
            <w:tcW w:w="3750" w:type="dxa"/>
          </w:tcPr>
          <w:p w14:paraId="46729089" w14:textId="77777777" w:rsidR="004A33FB" w:rsidRPr="001F6E0F" w:rsidRDefault="004A33FB" w:rsidP="007B474F">
            <w:pPr>
              <w:rPr>
                <w:rFonts w:ascii="Arial" w:hAnsi="Arial" w:cs="Arial"/>
              </w:rPr>
            </w:pPr>
            <w:r w:rsidRPr="001F6E0F">
              <w:rPr>
                <w:rFonts w:ascii="Arial" w:hAnsi="Arial" w:cs="Arial"/>
              </w:rPr>
              <w:t>Strengths</w:t>
            </w:r>
          </w:p>
          <w:p w14:paraId="341FA5EC" w14:textId="77777777" w:rsidR="004A33FB" w:rsidRPr="001F6E0F" w:rsidRDefault="004A33FB" w:rsidP="007B474F">
            <w:pPr>
              <w:rPr>
                <w:rFonts w:ascii="Arial" w:hAnsi="Arial" w:cs="Arial"/>
              </w:rPr>
            </w:pPr>
          </w:p>
          <w:p w14:paraId="3D2D1385"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Staff expertise</w:t>
            </w:r>
          </w:p>
          <w:p w14:paraId="0552A56B"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Pupil engagement </w:t>
            </w:r>
          </w:p>
          <w:p w14:paraId="4EA0B404"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Other projects that have succeeded within the school e.g., ‘Family Friday’. </w:t>
            </w:r>
          </w:p>
          <w:p w14:paraId="0626D57F" w14:textId="77777777" w:rsidR="004A33FB" w:rsidRPr="001F6E0F" w:rsidRDefault="004A33FB" w:rsidP="007B474F">
            <w:pPr>
              <w:rPr>
                <w:rFonts w:ascii="Arial" w:hAnsi="Arial" w:cs="Arial"/>
              </w:rPr>
            </w:pPr>
          </w:p>
        </w:tc>
        <w:tc>
          <w:tcPr>
            <w:tcW w:w="3772" w:type="dxa"/>
          </w:tcPr>
          <w:p w14:paraId="1AD92D06" w14:textId="77777777" w:rsidR="004A33FB" w:rsidRPr="001F6E0F" w:rsidRDefault="004A33FB" w:rsidP="007B474F">
            <w:pPr>
              <w:rPr>
                <w:rFonts w:ascii="Arial" w:hAnsi="Arial" w:cs="Arial"/>
              </w:rPr>
            </w:pPr>
            <w:r w:rsidRPr="001F6E0F">
              <w:rPr>
                <w:rFonts w:ascii="Arial" w:hAnsi="Arial" w:cs="Arial"/>
              </w:rPr>
              <w:t>Weaknesses</w:t>
            </w:r>
          </w:p>
          <w:p w14:paraId="18A10863" w14:textId="77777777" w:rsidR="004A33FB" w:rsidRPr="001F6E0F" w:rsidRDefault="004A33FB" w:rsidP="007B474F">
            <w:pPr>
              <w:rPr>
                <w:rFonts w:ascii="Arial" w:hAnsi="Arial" w:cs="Arial"/>
              </w:rPr>
            </w:pPr>
          </w:p>
          <w:p w14:paraId="74CB8332"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Staffing</w:t>
            </w:r>
          </w:p>
          <w:p w14:paraId="3E750F13"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Pupil motivation</w:t>
            </w:r>
          </w:p>
          <w:p w14:paraId="2BD013C3"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Lack of understanding of the learning that can take place and the benefits.</w:t>
            </w:r>
          </w:p>
          <w:p w14:paraId="6892DABB"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Estyn Report – due to the targets set currently.</w:t>
            </w:r>
          </w:p>
          <w:p w14:paraId="64DE2F4B"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Lack of resources </w:t>
            </w:r>
          </w:p>
          <w:p w14:paraId="3AC937A6"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Increased teacher workload with the school garden</w:t>
            </w:r>
          </w:p>
        </w:tc>
      </w:tr>
      <w:tr w:rsidR="004A33FB" w:rsidRPr="001F6E0F" w14:paraId="19B578D8" w14:textId="77777777" w:rsidTr="007B474F">
        <w:trPr>
          <w:trHeight w:val="3026"/>
        </w:trPr>
        <w:tc>
          <w:tcPr>
            <w:tcW w:w="1494" w:type="dxa"/>
          </w:tcPr>
          <w:p w14:paraId="4E0BB45B" w14:textId="77777777" w:rsidR="004A33FB" w:rsidRPr="001F6E0F" w:rsidRDefault="004A33FB" w:rsidP="007B474F">
            <w:pPr>
              <w:rPr>
                <w:rFonts w:ascii="Arial" w:hAnsi="Arial" w:cs="Arial"/>
              </w:rPr>
            </w:pPr>
            <w:r w:rsidRPr="001F6E0F">
              <w:rPr>
                <w:rFonts w:ascii="Arial" w:hAnsi="Arial" w:cs="Arial"/>
              </w:rPr>
              <w:t xml:space="preserve">EXTERNAL </w:t>
            </w:r>
          </w:p>
          <w:p w14:paraId="3212F2BB" w14:textId="77777777" w:rsidR="004A33FB" w:rsidRPr="001F6E0F" w:rsidRDefault="004A33FB" w:rsidP="007B474F">
            <w:pPr>
              <w:rPr>
                <w:rFonts w:ascii="Arial" w:hAnsi="Arial" w:cs="Arial"/>
              </w:rPr>
            </w:pPr>
            <w:r w:rsidRPr="001F6E0F">
              <w:rPr>
                <w:rFonts w:ascii="Arial" w:hAnsi="Arial" w:cs="Arial"/>
              </w:rPr>
              <w:t>(Outside the school)</w:t>
            </w:r>
          </w:p>
        </w:tc>
        <w:tc>
          <w:tcPr>
            <w:tcW w:w="3750" w:type="dxa"/>
          </w:tcPr>
          <w:p w14:paraId="1BF6CA73" w14:textId="77777777" w:rsidR="004A33FB" w:rsidRPr="001F6E0F" w:rsidRDefault="004A33FB" w:rsidP="007B474F">
            <w:pPr>
              <w:rPr>
                <w:rFonts w:ascii="Arial" w:hAnsi="Arial" w:cs="Arial"/>
              </w:rPr>
            </w:pPr>
            <w:r w:rsidRPr="001F6E0F">
              <w:rPr>
                <w:rFonts w:ascii="Arial" w:hAnsi="Arial" w:cs="Arial"/>
              </w:rPr>
              <w:t>Opportunities</w:t>
            </w:r>
          </w:p>
          <w:p w14:paraId="65C16170" w14:textId="77777777" w:rsidR="004A33FB" w:rsidRPr="001F6E0F" w:rsidRDefault="004A33FB" w:rsidP="007B474F">
            <w:pPr>
              <w:rPr>
                <w:rFonts w:ascii="Arial" w:hAnsi="Arial" w:cs="Arial"/>
              </w:rPr>
            </w:pPr>
          </w:p>
          <w:p w14:paraId="46C3E05A"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Strengthening the relationships between the school and the community </w:t>
            </w:r>
          </w:p>
          <w:p w14:paraId="6382AE4A"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Focusing on developing the Four purposes.</w:t>
            </w:r>
          </w:p>
          <w:p w14:paraId="276545AB"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Engaging parents and carers in their child’s learning</w:t>
            </w:r>
          </w:p>
          <w:p w14:paraId="732E8377"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Building trusting relationships between parents and staff. </w:t>
            </w:r>
          </w:p>
          <w:p w14:paraId="5A765DF8" w14:textId="77777777" w:rsidR="004A33FB" w:rsidRPr="001F6E0F" w:rsidRDefault="004A33FB" w:rsidP="007B474F">
            <w:pPr>
              <w:rPr>
                <w:rFonts w:ascii="Arial" w:hAnsi="Arial" w:cs="Arial"/>
              </w:rPr>
            </w:pPr>
          </w:p>
          <w:p w14:paraId="09FFE91C" w14:textId="77777777" w:rsidR="004A33FB" w:rsidRPr="001F6E0F" w:rsidRDefault="004A33FB" w:rsidP="007B474F">
            <w:pPr>
              <w:rPr>
                <w:rFonts w:ascii="Arial" w:hAnsi="Arial" w:cs="Arial"/>
              </w:rPr>
            </w:pPr>
          </w:p>
        </w:tc>
        <w:tc>
          <w:tcPr>
            <w:tcW w:w="3772" w:type="dxa"/>
          </w:tcPr>
          <w:p w14:paraId="399E8DDF" w14:textId="77777777" w:rsidR="004A33FB" w:rsidRPr="001F6E0F" w:rsidRDefault="004A33FB" w:rsidP="007B474F">
            <w:pPr>
              <w:rPr>
                <w:rFonts w:ascii="Arial" w:hAnsi="Arial" w:cs="Arial"/>
              </w:rPr>
            </w:pPr>
            <w:r w:rsidRPr="001F6E0F">
              <w:rPr>
                <w:rFonts w:ascii="Arial" w:hAnsi="Arial" w:cs="Arial"/>
              </w:rPr>
              <w:t>Threats</w:t>
            </w:r>
          </w:p>
          <w:p w14:paraId="12B56E6B" w14:textId="77777777" w:rsidR="004A33FB" w:rsidRPr="001F6E0F" w:rsidRDefault="004A33FB" w:rsidP="007B474F">
            <w:pPr>
              <w:rPr>
                <w:rFonts w:ascii="Arial" w:hAnsi="Arial" w:cs="Arial"/>
              </w:rPr>
            </w:pPr>
          </w:p>
          <w:p w14:paraId="5559C082"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Budget</w:t>
            </w:r>
          </w:p>
          <w:p w14:paraId="6F3B198F"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 xml:space="preserve">Lack of engagement when raising money </w:t>
            </w:r>
          </w:p>
          <w:p w14:paraId="49507716"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Lack of involvement from parents</w:t>
            </w:r>
          </w:p>
          <w:p w14:paraId="2EF575D0" w14:textId="77777777" w:rsidR="004A33FB" w:rsidRPr="001F6E0F" w:rsidRDefault="004A33FB" w:rsidP="004A33FB">
            <w:pPr>
              <w:pStyle w:val="ListParagraph"/>
              <w:numPr>
                <w:ilvl w:val="0"/>
                <w:numId w:val="14"/>
              </w:numPr>
              <w:rPr>
                <w:rFonts w:ascii="Arial" w:hAnsi="Arial" w:cs="Arial"/>
              </w:rPr>
            </w:pPr>
            <w:r w:rsidRPr="001F6E0F">
              <w:rPr>
                <w:rFonts w:ascii="Arial" w:hAnsi="Arial" w:cs="Arial"/>
              </w:rPr>
              <w:t>Risk of learners not being engaged within the school garden.</w:t>
            </w:r>
          </w:p>
        </w:tc>
      </w:tr>
    </w:tbl>
    <w:p w14:paraId="61E9A67F" w14:textId="77777777" w:rsidR="004A33FB" w:rsidRPr="001F6E0F" w:rsidRDefault="004A33FB" w:rsidP="004A33FB">
      <w:pPr>
        <w:pStyle w:val="s"/>
        <w:shd w:val="clear" w:color="auto" w:fill="FFFFFF"/>
        <w:spacing w:before="0" w:beforeAutospacing="0" w:after="0" w:afterAutospacing="0"/>
        <w:rPr>
          <w:rFonts w:ascii="Arial" w:hAnsi="Arial" w:cs="Arial"/>
          <w:color w:val="3B3A3A"/>
          <w:sz w:val="22"/>
          <w:szCs w:val="22"/>
        </w:rPr>
      </w:pPr>
    </w:p>
    <w:p w14:paraId="5BA54089" w14:textId="77777777" w:rsidR="004A33FB" w:rsidRPr="001F6E0F" w:rsidRDefault="004A33FB" w:rsidP="004A33FB">
      <w:pPr>
        <w:pStyle w:val="s"/>
        <w:shd w:val="clear" w:color="auto" w:fill="FFFFFF"/>
        <w:spacing w:before="0" w:beforeAutospacing="0" w:after="0" w:afterAutospacing="0"/>
        <w:rPr>
          <w:rFonts w:ascii="Arial" w:hAnsi="Arial" w:cs="Arial"/>
          <w:color w:val="3B3A3A"/>
          <w:sz w:val="22"/>
          <w:szCs w:val="22"/>
        </w:rPr>
      </w:pPr>
    </w:p>
    <w:p w14:paraId="6DA99EE9" w14:textId="77777777" w:rsidR="004A33FB" w:rsidRPr="001F6E0F" w:rsidRDefault="004A33FB" w:rsidP="004A33FB">
      <w:pPr>
        <w:rPr>
          <w:rFonts w:ascii="Arial" w:hAnsi="Arial" w:cs="Arial"/>
        </w:rPr>
      </w:pPr>
    </w:p>
    <w:p w14:paraId="50BFFF0F" w14:textId="77777777" w:rsidR="003700B8" w:rsidRPr="001F6E0F" w:rsidRDefault="003700B8" w:rsidP="00776AEA">
      <w:pPr>
        <w:pStyle w:val="s"/>
        <w:shd w:val="clear" w:color="auto" w:fill="FFFFFF"/>
        <w:spacing w:before="0" w:beforeAutospacing="0" w:after="0" w:afterAutospacing="0"/>
        <w:rPr>
          <w:rFonts w:ascii="Arial" w:hAnsi="Arial" w:cs="Arial"/>
          <w:b/>
          <w:bCs/>
          <w:color w:val="3B3A3A"/>
          <w:sz w:val="22"/>
          <w:szCs w:val="22"/>
          <w:u w:val="single"/>
        </w:rPr>
      </w:pPr>
    </w:p>
    <w:sectPr w:rsidR="003700B8" w:rsidRPr="001F6E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FD9CA" w14:textId="77777777" w:rsidR="004F7692" w:rsidRDefault="004F7692" w:rsidP="00E611D9">
      <w:pPr>
        <w:spacing w:after="0" w:line="240" w:lineRule="auto"/>
      </w:pPr>
      <w:r>
        <w:separator/>
      </w:r>
    </w:p>
  </w:endnote>
  <w:endnote w:type="continuationSeparator" w:id="0">
    <w:p w14:paraId="730433FD" w14:textId="77777777" w:rsidR="004F7692" w:rsidRDefault="004F769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8BB92" w14:textId="77777777" w:rsidR="004F7692" w:rsidRDefault="004F7692" w:rsidP="00E611D9">
      <w:pPr>
        <w:spacing w:after="0" w:line="240" w:lineRule="auto"/>
      </w:pPr>
      <w:r>
        <w:separator/>
      </w:r>
    </w:p>
  </w:footnote>
  <w:footnote w:type="continuationSeparator" w:id="0">
    <w:p w14:paraId="363A942D" w14:textId="77777777" w:rsidR="004F7692" w:rsidRDefault="004F769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3599224"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E1EEF">
            <w:rPr>
              <w:rFonts w:ascii="Arial" w:hAnsi="Arial" w:cs="Arial"/>
            </w:rPr>
            <w:t>5009</w:t>
          </w:r>
        </w:p>
      </w:tc>
      <w:tc>
        <w:tcPr>
          <w:tcW w:w="4508" w:type="dxa"/>
        </w:tcPr>
        <w:p w14:paraId="51D506A0" w14:textId="492E3A1A" w:rsidR="00E611D9" w:rsidRPr="00E611D9" w:rsidRDefault="00E611D9" w:rsidP="002E1EEF">
          <w:pPr>
            <w:pStyle w:val="Header"/>
            <w:rPr>
              <w:rFonts w:ascii="Arial" w:hAnsi="Arial" w:cs="Arial"/>
            </w:rPr>
          </w:pPr>
          <w:r>
            <w:rPr>
              <w:rFonts w:ascii="Arial" w:hAnsi="Arial" w:cs="Arial"/>
            </w:rPr>
            <w:t xml:space="preserve"> Rhif Myfyriwr / Student Number: </w:t>
          </w:r>
          <w:r w:rsidR="002E1EEF">
            <w:rPr>
              <w:rFonts w:ascii="Arial" w:hAnsi="Arial" w:cs="Arial"/>
            </w:rPr>
            <w:t>2103163</w:t>
          </w:r>
        </w:p>
      </w:tc>
    </w:tr>
  </w:tbl>
  <w:p w14:paraId="31028CA5" w14:textId="4A785944" w:rsidR="00E611D9" w:rsidRDefault="002E1EEF">
    <w:pPr>
      <w:pStyle w:val="Header"/>
    </w:pPr>
    <w:r>
      <w:t>Katie Pointer-Carlyle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378EA"/>
    <w:multiLevelType w:val="multilevel"/>
    <w:tmpl w:val="D3062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06ADE"/>
    <w:multiLevelType w:val="multilevel"/>
    <w:tmpl w:val="35928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32D18"/>
    <w:multiLevelType w:val="multilevel"/>
    <w:tmpl w:val="595CA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503CB"/>
    <w:multiLevelType w:val="multilevel"/>
    <w:tmpl w:val="54606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6F2CE3"/>
    <w:multiLevelType w:val="multilevel"/>
    <w:tmpl w:val="58009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7539E9"/>
    <w:multiLevelType w:val="multilevel"/>
    <w:tmpl w:val="B3568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D10DA5"/>
    <w:multiLevelType w:val="multilevel"/>
    <w:tmpl w:val="6972D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923C3A"/>
    <w:multiLevelType w:val="multilevel"/>
    <w:tmpl w:val="60E23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EA746F"/>
    <w:multiLevelType w:val="multilevel"/>
    <w:tmpl w:val="35960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EC31BA"/>
    <w:multiLevelType w:val="multilevel"/>
    <w:tmpl w:val="B37AF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A71A7A"/>
    <w:multiLevelType w:val="hybridMultilevel"/>
    <w:tmpl w:val="C4660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791CA5"/>
    <w:multiLevelType w:val="multilevel"/>
    <w:tmpl w:val="5A9A6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FA1175"/>
    <w:multiLevelType w:val="multilevel"/>
    <w:tmpl w:val="C9149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60588C"/>
    <w:multiLevelType w:val="multilevel"/>
    <w:tmpl w:val="7FFC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325733"/>
    <w:multiLevelType w:val="multilevel"/>
    <w:tmpl w:val="0AA0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893292">
    <w:abstractNumId w:val="8"/>
  </w:num>
  <w:num w:numId="2" w16cid:durableId="878736717">
    <w:abstractNumId w:val="14"/>
  </w:num>
  <w:num w:numId="3" w16cid:durableId="463157731">
    <w:abstractNumId w:val="2"/>
  </w:num>
  <w:num w:numId="4" w16cid:durableId="1754814523">
    <w:abstractNumId w:val="10"/>
  </w:num>
  <w:num w:numId="5" w16cid:durableId="880897102">
    <w:abstractNumId w:val="0"/>
  </w:num>
  <w:num w:numId="6" w16cid:durableId="1805198657">
    <w:abstractNumId w:val="7"/>
  </w:num>
  <w:num w:numId="7" w16cid:durableId="1481656500">
    <w:abstractNumId w:val="5"/>
  </w:num>
  <w:num w:numId="8" w16cid:durableId="1306812144">
    <w:abstractNumId w:val="12"/>
  </w:num>
  <w:num w:numId="9" w16cid:durableId="1164852706">
    <w:abstractNumId w:val="9"/>
  </w:num>
  <w:num w:numId="10" w16cid:durableId="1124538199">
    <w:abstractNumId w:val="15"/>
  </w:num>
  <w:num w:numId="11" w16cid:durableId="732198327">
    <w:abstractNumId w:val="13"/>
  </w:num>
  <w:num w:numId="12" w16cid:durableId="192962132">
    <w:abstractNumId w:val="6"/>
  </w:num>
  <w:num w:numId="13" w16cid:durableId="2057047318">
    <w:abstractNumId w:val="3"/>
  </w:num>
  <w:num w:numId="14" w16cid:durableId="922490544">
    <w:abstractNumId w:val="4"/>
  </w:num>
  <w:num w:numId="15" w16cid:durableId="1064330661">
    <w:abstractNumId w:val="1"/>
  </w:num>
  <w:num w:numId="16" w16cid:durableId="17469980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D1240"/>
    <w:rsid w:val="00065A92"/>
    <w:rsid w:val="000B1D09"/>
    <w:rsid w:val="000B69AD"/>
    <w:rsid w:val="000D7F44"/>
    <w:rsid w:val="00105D46"/>
    <w:rsid w:val="0013448C"/>
    <w:rsid w:val="00154AD4"/>
    <w:rsid w:val="00170E9A"/>
    <w:rsid w:val="00174BC7"/>
    <w:rsid w:val="00182330"/>
    <w:rsid w:val="0019037E"/>
    <w:rsid w:val="00193DE7"/>
    <w:rsid w:val="001A5C72"/>
    <w:rsid w:val="001B76D7"/>
    <w:rsid w:val="001C0A07"/>
    <w:rsid w:val="001D034B"/>
    <w:rsid w:val="001E1DF3"/>
    <w:rsid w:val="001F4A68"/>
    <w:rsid w:val="001F6E0F"/>
    <w:rsid w:val="00207A73"/>
    <w:rsid w:val="00212164"/>
    <w:rsid w:val="002229F0"/>
    <w:rsid w:val="00232C6C"/>
    <w:rsid w:val="00234D27"/>
    <w:rsid w:val="002416A9"/>
    <w:rsid w:val="0024251A"/>
    <w:rsid w:val="0026048D"/>
    <w:rsid w:val="002652EC"/>
    <w:rsid w:val="00272E18"/>
    <w:rsid w:val="002A1A7A"/>
    <w:rsid w:val="002A41CB"/>
    <w:rsid w:val="002A5BA5"/>
    <w:rsid w:val="002E0E3D"/>
    <w:rsid w:val="002E1EEF"/>
    <w:rsid w:val="0030364E"/>
    <w:rsid w:val="00327E9F"/>
    <w:rsid w:val="00356F22"/>
    <w:rsid w:val="00367A03"/>
    <w:rsid w:val="003700B8"/>
    <w:rsid w:val="003743A1"/>
    <w:rsid w:val="003A370F"/>
    <w:rsid w:val="00417608"/>
    <w:rsid w:val="004248A4"/>
    <w:rsid w:val="00441479"/>
    <w:rsid w:val="00463565"/>
    <w:rsid w:val="004A33FB"/>
    <w:rsid w:val="004B7A63"/>
    <w:rsid w:val="004C5F08"/>
    <w:rsid w:val="004E287D"/>
    <w:rsid w:val="004F66A7"/>
    <w:rsid w:val="004F7692"/>
    <w:rsid w:val="005172FF"/>
    <w:rsid w:val="00527510"/>
    <w:rsid w:val="00581D6C"/>
    <w:rsid w:val="00582E71"/>
    <w:rsid w:val="005908D2"/>
    <w:rsid w:val="005C4B9D"/>
    <w:rsid w:val="005E169D"/>
    <w:rsid w:val="005E1F6F"/>
    <w:rsid w:val="005F3FF7"/>
    <w:rsid w:val="006015C6"/>
    <w:rsid w:val="006239CF"/>
    <w:rsid w:val="006419C3"/>
    <w:rsid w:val="00651CAB"/>
    <w:rsid w:val="0069063A"/>
    <w:rsid w:val="00691A46"/>
    <w:rsid w:val="00697F90"/>
    <w:rsid w:val="006B33CC"/>
    <w:rsid w:val="006B5861"/>
    <w:rsid w:val="00717604"/>
    <w:rsid w:val="007275B0"/>
    <w:rsid w:val="00740294"/>
    <w:rsid w:val="0075440A"/>
    <w:rsid w:val="0075508D"/>
    <w:rsid w:val="00764DA4"/>
    <w:rsid w:val="00776AEA"/>
    <w:rsid w:val="00793A3A"/>
    <w:rsid w:val="0079516F"/>
    <w:rsid w:val="00795ED4"/>
    <w:rsid w:val="007B088B"/>
    <w:rsid w:val="00814F40"/>
    <w:rsid w:val="00817F7A"/>
    <w:rsid w:val="00825067"/>
    <w:rsid w:val="00890E79"/>
    <w:rsid w:val="008A00B4"/>
    <w:rsid w:val="008A5FC6"/>
    <w:rsid w:val="008C6DFA"/>
    <w:rsid w:val="008C72BF"/>
    <w:rsid w:val="008F5FAB"/>
    <w:rsid w:val="00936DA5"/>
    <w:rsid w:val="0094489A"/>
    <w:rsid w:val="009850CE"/>
    <w:rsid w:val="00A27D62"/>
    <w:rsid w:val="00A33007"/>
    <w:rsid w:val="00A33C12"/>
    <w:rsid w:val="00A51F66"/>
    <w:rsid w:val="00A64BF8"/>
    <w:rsid w:val="00A761B7"/>
    <w:rsid w:val="00A971AF"/>
    <w:rsid w:val="00AC5BE0"/>
    <w:rsid w:val="00B00BD6"/>
    <w:rsid w:val="00B31F76"/>
    <w:rsid w:val="00B46601"/>
    <w:rsid w:val="00B475AA"/>
    <w:rsid w:val="00BA02E2"/>
    <w:rsid w:val="00BB1C68"/>
    <w:rsid w:val="00BC651E"/>
    <w:rsid w:val="00BE0897"/>
    <w:rsid w:val="00C40893"/>
    <w:rsid w:val="00C425FF"/>
    <w:rsid w:val="00C97297"/>
    <w:rsid w:val="00CC61C8"/>
    <w:rsid w:val="00CD1240"/>
    <w:rsid w:val="00CE57A3"/>
    <w:rsid w:val="00CE7DBB"/>
    <w:rsid w:val="00D10115"/>
    <w:rsid w:val="00D30AD9"/>
    <w:rsid w:val="00D323E3"/>
    <w:rsid w:val="00D773BF"/>
    <w:rsid w:val="00DA303A"/>
    <w:rsid w:val="00DE6C03"/>
    <w:rsid w:val="00E2404E"/>
    <w:rsid w:val="00E611D9"/>
    <w:rsid w:val="00E70DB3"/>
    <w:rsid w:val="00EE3FD0"/>
    <w:rsid w:val="00EE663C"/>
    <w:rsid w:val="00F20321"/>
    <w:rsid w:val="00F3281E"/>
    <w:rsid w:val="00F81275"/>
    <w:rsid w:val="00F906FF"/>
    <w:rsid w:val="00F95641"/>
    <w:rsid w:val="00FC5C9D"/>
    <w:rsid w:val="00FD681F"/>
    <w:rsid w:val="00FD7049"/>
    <w:rsid w:val="00FE2DBD"/>
    <w:rsid w:val="00FF39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D9FAC0DD-4324-46D0-84A6-2A3218B9B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
    <w:name w:val="s"/>
    <w:basedOn w:val="Normal"/>
    <w:rsid w:val="008250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743A1"/>
    <w:rPr>
      <w:i/>
      <w:iCs/>
    </w:rPr>
  </w:style>
  <w:style w:type="paragraph" w:styleId="ListParagraph">
    <w:name w:val="List Paragraph"/>
    <w:basedOn w:val="Normal"/>
    <w:uiPriority w:val="34"/>
    <w:qFormat/>
    <w:rsid w:val="00795ED4"/>
    <w:pPr>
      <w:ind w:left="720"/>
      <w:contextualSpacing/>
    </w:pPr>
  </w:style>
  <w:style w:type="character" w:styleId="Hyperlink">
    <w:name w:val="Hyperlink"/>
    <w:basedOn w:val="DefaultParagraphFont"/>
    <w:uiPriority w:val="99"/>
    <w:unhideWhenUsed/>
    <w:rsid w:val="00795ED4"/>
    <w:rPr>
      <w:color w:val="0000FF"/>
      <w:u w:val="single"/>
    </w:rPr>
  </w:style>
  <w:style w:type="paragraph" w:styleId="NormalWeb">
    <w:name w:val="Normal (Web)"/>
    <w:basedOn w:val="Normal"/>
    <w:uiPriority w:val="99"/>
    <w:unhideWhenUsed/>
    <w:rsid w:val="00764D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97F90"/>
    <w:rPr>
      <w:color w:val="605E5C"/>
      <w:shd w:val="clear" w:color="auto" w:fill="E1DFDD"/>
    </w:rPr>
  </w:style>
  <w:style w:type="character" w:styleId="Strong">
    <w:name w:val="Strong"/>
    <w:basedOn w:val="DefaultParagraphFont"/>
    <w:uiPriority w:val="22"/>
    <w:qFormat/>
    <w:rsid w:val="00651CAB"/>
    <w:rPr>
      <w:b/>
      <w:bCs/>
    </w:rPr>
  </w:style>
  <w:style w:type="character" w:customStyle="1" w:styleId="name">
    <w:name w:val="name"/>
    <w:basedOn w:val="DefaultParagraphFont"/>
    <w:rsid w:val="00A761B7"/>
  </w:style>
  <w:style w:type="character" w:customStyle="1" w:styleId="surname">
    <w:name w:val="surname"/>
    <w:basedOn w:val="DefaultParagraphFont"/>
    <w:rsid w:val="00A761B7"/>
  </w:style>
  <w:style w:type="character" w:customStyle="1" w:styleId="given-names">
    <w:name w:val="given-names"/>
    <w:basedOn w:val="DefaultParagraphFont"/>
    <w:rsid w:val="00A761B7"/>
  </w:style>
  <w:style w:type="character" w:customStyle="1" w:styleId="year">
    <w:name w:val="year"/>
    <w:basedOn w:val="DefaultParagraphFont"/>
    <w:rsid w:val="00A761B7"/>
  </w:style>
  <w:style w:type="character" w:customStyle="1" w:styleId="chapter-title">
    <w:name w:val="chapter-title"/>
    <w:basedOn w:val="DefaultParagraphFont"/>
    <w:rsid w:val="00A761B7"/>
  </w:style>
  <w:style w:type="character" w:customStyle="1" w:styleId="string-name">
    <w:name w:val="string-name"/>
    <w:basedOn w:val="DefaultParagraphFont"/>
    <w:rsid w:val="00A761B7"/>
  </w:style>
  <w:style w:type="character" w:customStyle="1" w:styleId="source">
    <w:name w:val="source"/>
    <w:basedOn w:val="DefaultParagraphFont"/>
    <w:rsid w:val="00A761B7"/>
  </w:style>
  <w:style w:type="character" w:customStyle="1" w:styleId="fpage">
    <w:name w:val="fpage"/>
    <w:basedOn w:val="DefaultParagraphFont"/>
    <w:rsid w:val="00A761B7"/>
  </w:style>
  <w:style w:type="character" w:customStyle="1" w:styleId="lpage">
    <w:name w:val="lpage"/>
    <w:basedOn w:val="DefaultParagraphFont"/>
    <w:rsid w:val="00A761B7"/>
  </w:style>
  <w:style w:type="character" w:customStyle="1" w:styleId="publisher-loc">
    <w:name w:val="publisher-loc"/>
    <w:basedOn w:val="DefaultParagraphFont"/>
    <w:rsid w:val="00A761B7"/>
  </w:style>
  <w:style w:type="character" w:customStyle="1" w:styleId="publisher-name">
    <w:name w:val="publisher-name"/>
    <w:basedOn w:val="DefaultParagraphFont"/>
    <w:rsid w:val="00A761B7"/>
  </w:style>
  <w:style w:type="character" w:customStyle="1" w:styleId="ff4">
    <w:name w:val="ff4"/>
    <w:basedOn w:val="DefaultParagraphFont"/>
    <w:rsid w:val="00441479"/>
  </w:style>
  <w:style w:type="character" w:customStyle="1" w:styleId="ws30">
    <w:name w:val="ws30"/>
    <w:basedOn w:val="DefaultParagraphFont"/>
    <w:rsid w:val="00441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0007">
      <w:bodyDiv w:val="1"/>
      <w:marLeft w:val="0"/>
      <w:marRight w:val="0"/>
      <w:marTop w:val="0"/>
      <w:marBottom w:val="0"/>
      <w:divBdr>
        <w:top w:val="none" w:sz="0" w:space="0" w:color="auto"/>
        <w:left w:val="none" w:sz="0" w:space="0" w:color="auto"/>
        <w:bottom w:val="none" w:sz="0" w:space="0" w:color="auto"/>
        <w:right w:val="none" w:sz="0" w:space="0" w:color="auto"/>
      </w:divBdr>
    </w:div>
    <w:div w:id="31424086">
      <w:bodyDiv w:val="1"/>
      <w:marLeft w:val="0"/>
      <w:marRight w:val="0"/>
      <w:marTop w:val="0"/>
      <w:marBottom w:val="0"/>
      <w:divBdr>
        <w:top w:val="none" w:sz="0" w:space="0" w:color="auto"/>
        <w:left w:val="none" w:sz="0" w:space="0" w:color="auto"/>
        <w:bottom w:val="none" w:sz="0" w:space="0" w:color="auto"/>
        <w:right w:val="none" w:sz="0" w:space="0" w:color="auto"/>
      </w:divBdr>
      <w:divsChild>
        <w:div w:id="882211715">
          <w:marLeft w:val="0"/>
          <w:marRight w:val="0"/>
          <w:marTop w:val="0"/>
          <w:marBottom w:val="0"/>
          <w:divBdr>
            <w:top w:val="none" w:sz="0" w:space="0" w:color="auto"/>
            <w:left w:val="none" w:sz="0" w:space="0" w:color="auto"/>
            <w:bottom w:val="none" w:sz="0" w:space="0" w:color="auto"/>
            <w:right w:val="none" w:sz="0" w:space="0" w:color="auto"/>
          </w:divBdr>
        </w:div>
      </w:divsChild>
    </w:div>
    <w:div w:id="117721855">
      <w:bodyDiv w:val="1"/>
      <w:marLeft w:val="0"/>
      <w:marRight w:val="0"/>
      <w:marTop w:val="0"/>
      <w:marBottom w:val="0"/>
      <w:divBdr>
        <w:top w:val="none" w:sz="0" w:space="0" w:color="auto"/>
        <w:left w:val="none" w:sz="0" w:space="0" w:color="auto"/>
        <w:bottom w:val="none" w:sz="0" w:space="0" w:color="auto"/>
        <w:right w:val="none" w:sz="0" w:space="0" w:color="auto"/>
      </w:divBdr>
    </w:div>
    <w:div w:id="222984930">
      <w:bodyDiv w:val="1"/>
      <w:marLeft w:val="0"/>
      <w:marRight w:val="0"/>
      <w:marTop w:val="0"/>
      <w:marBottom w:val="0"/>
      <w:divBdr>
        <w:top w:val="none" w:sz="0" w:space="0" w:color="auto"/>
        <w:left w:val="none" w:sz="0" w:space="0" w:color="auto"/>
        <w:bottom w:val="none" w:sz="0" w:space="0" w:color="auto"/>
        <w:right w:val="none" w:sz="0" w:space="0" w:color="auto"/>
      </w:divBdr>
    </w:div>
    <w:div w:id="226380932">
      <w:bodyDiv w:val="1"/>
      <w:marLeft w:val="0"/>
      <w:marRight w:val="0"/>
      <w:marTop w:val="0"/>
      <w:marBottom w:val="0"/>
      <w:divBdr>
        <w:top w:val="none" w:sz="0" w:space="0" w:color="auto"/>
        <w:left w:val="none" w:sz="0" w:space="0" w:color="auto"/>
        <w:bottom w:val="none" w:sz="0" w:space="0" w:color="auto"/>
        <w:right w:val="none" w:sz="0" w:space="0" w:color="auto"/>
      </w:divBdr>
    </w:div>
    <w:div w:id="255213414">
      <w:bodyDiv w:val="1"/>
      <w:marLeft w:val="0"/>
      <w:marRight w:val="0"/>
      <w:marTop w:val="0"/>
      <w:marBottom w:val="0"/>
      <w:divBdr>
        <w:top w:val="none" w:sz="0" w:space="0" w:color="auto"/>
        <w:left w:val="none" w:sz="0" w:space="0" w:color="auto"/>
        <w:bottom w:val="none" w:sz="0" w:space="0" w:color="auto"/>
        <w:right w:val="none" w:sz="0" w:space="0" w:color="auto"/>
      </w:divBdr>
    </w:div>
    <w:div w:id="283583671">
      <w:bodyDiv w:val="1"/>
      <w:marLeft w:val="0"/>
      <w:marRight w:val="0"/>
      <w:marTop w:val="0"/>
      <w:marBottom w:val="0"/>
      <w:divBdr>
        <w:top w:val="none" w:sz="0" w:space="0" w:color="auto"/>
        <w:left w:val="none" w:sz="0" w:space="0" w:color="auto"/>
        <w:bottom w:val="none" w:sz="0" w:space="0" w:color="auto"/>
        <w:right w:val="none" w:sz="0" w:space="0" w:color="auto"/>
      </w:divBdr>
      <w:divsChild>
        <w:div w:id="1065958808">
          <w:marLeft w:val="0"/>
          <w:marRight w:val="0"/>
          <w:marTop w:val="0"/>
          <w:marBottom w:val="0"/>
          <w:divBdr>
            <w:top w:val="none" w:sz="0" w:space="0" w:color="auto"/>
            <w:left w:val="none" w:sz="0" w:space="0" w:color="auto"/>
            <w:bottom w:val="none" w:sz="0" w:space="0" w:color="auto"/>
            <w:right w:val="none" w:sz="0" w:space="0" w:color="auto"/>
          </w:divBdr>
        </w:div>
      </w:divsChild>
    </w:div>
    <w:div w:id="307168546">
      <w:bodyDiv w:val="1"/>
      <w:marLeft w:val="0"/>
      <w:marRight w:val="0"/>
      <w:marTop w:val="0"/>
      <w:marBottom w:val="0"/>
      <w:divBdr>
        <w:top w:val="none" w:sz="0" w:space="0" w:color="auto"/>
        <w:left w:val="none" w:sz="0" w:space="0" w:color="auto"/>
        <w:bottom w:val="none" w:sz="0" w:space="0" w:color="auto"/>
        <w:right w:val="none" w:sz="0" w:space="0" w:color="auto"/>
      </w:divBdr>
    </w:div>
    <w:div w:id="340009696">
      <w:bodyDiv w:val="1"/>
      <w:marLeft w:val="0"/>
      <w:marRight w:val="0"/>
      <w:marTop w:val="0"/>
      <w:marBottom w:val="0"/>
      <w:divBdr>
        <w:top w:val="none" w:sz="0" w:space="0" w:color="auto"/>
        <w:left w:val="none" w:sz="0" w:space="0" w:color="auto"/>
        <w:bottom w:val="none" w:sz="0" w:space="0" w:color="auto"/>
        <w:right w:val="none" w:sz="0" w:space="0" w:color="auto"/>
      </w:divBdr>
    </w:div>
    <w:div w:id="520969738">
      <w:bodyDiv w:val="1"/>
      <w:marLeft w:val="0"/>
      <w:marRight w:val="0"/>
      <w:marTop w:val="0"/>
      <w:marBottom w:val="0"/>
      <w:divBdr>
        <w:top w:val="none" w:sz="0" w:space="0" w:color="auto"/>
        <w:left w:val="none" w:sz="0" w:space="0" w:color="auto"/>
        <w:bottom w:val="none" w:sz="0" w:space="0" w:color="auto"/>
        <w:right w:val="none" w:sz="0" w:space="0" w:color="auto"/>
      </w:divBdr>
      <w:divsChild>
        <w:div w:id="1736077274">
          <w:marLeft w:val="0"/>
          <w:marRight w:val="0"/>
          <w:marTop w:val="0"/>
          <w:marBottom w:val="0"/>
          <w:divBdr>
            <w:top w:val="none" w:sz="0" w:space="0" w:color="auto"/>
            <w:left w:val="none" w:sz="0" w:space="0" w:color="auto"/>
            <w:bottom w:val="none" w:sz="0" w:space="0" w:color="auto"/>
            <w:right w:val="none" w:sz="0" w:space="0" w:color="auto"/>
          </w:divBdr>
        </w:div>
      </w:divsChild>
    </w:div>
    <w:div w:id="572203044">
      <w:bodyDiv w:val="1"/>
      <w:marLeft w:val="0"/>
      <w:marRight w:val="0"/>
      <w:marTop w:val="0"/>
      <w:marBottom w:val="0"/>
      <w:divBdr>
        <w:top w:val="none" w:sz="0" w:space="0" w:color="auto"/>
        <w:left w:val="none" w:sz="0" w:space="0" w:color="auto"/>
        <w:bottom w:val="none" w:sz="0" w:space="0" w:color="auto"/>
        <w:right w:val="none" w:sz="0" w:space="0" w:color="auto"/>
      </w:divBdr>
    </w:div>
    <w:div w:id="596981475">
      <w:bodyDiv w:val="1"/>
      <w:marLeft w:val="0"/>
      <w:marRight w:val="0"/>
      <w:marTop w:val="0"/>
      <w:marBottom w:val="0"/>
      <w:divBdr>
        <w:top w:val="none" w:sz="0" w:space="0" w:color="auto"/>
        <w:left w:val="none" w:sz="0" w:space="0" w:color="auto"/>
        <w:bottom w:val="none" w:sz="0" w:space="0" w:color="auto"/>
        <w:right w:val="none" w:sz="0" w:space="0" w:color="auto"/>
      </w:divBdr>
      <w:divsChild>
        <w:div w:id="1686059493">
          <w:marLeft w:val="0"/>
          <w:marRight w:val="0"/>
          <w:marTop w:val="0"/>
          <w:marBottom w:val="0"/>
          <w:divBdr>
            <w:top w:val="none" w:sz="0" w:space="0" w:color="auto"/>
            <w:left w:val="none" w:sz="0" w:space="0" w:color="auto"/>
            <w:bottom w:val="none" w:sz="0" w:space="0" w:color="auto"/>
            <w:right w:val="none" w:sz="0" w:space="0" w:color="auto"/>
          </w:divBdr>
        </w:div>
      </w:divsChild>
    </w:div>
    <w:div w:id="719481835">
      <w:bodyDiv w:val="1"/>
      <w:marLeft w:val="0"/>
      <w:marRight w:val="0"/>
      <w:marTop w:val="0"/>
      <w:marBottom w:val="0"/>
      <w:divBdr>
        <w:top w:val="none" w:sz="0" w:space="0" w:color="auto"/>
        <w:left w:val="none" w:sz="0" w:space="0" w:color="auto"/>
        <w:bottom w:val="none" w:sz="0" w:space="0" w:color="auto"/>
        <w:right w:val="none" w:sz="0" w:space="0" w:color="auto"/>
      </w:divBdr>
      <w:divsChild>
        <w:div w:id="1746101389">
          <w:marLeft w:val="0"/>
          <w:marRight w:val="0"/>
          <w:marTop w:val="0"/>
          <w:marBottom w:val="0"/>
          <w:divBdr>
            <w:top w:val="none" w:sz="0" w:space="0" w:color="auto"/>
            <w:left w:val="none" w:sz="0" w:space="0" w:color="auto"/>
            <w:bottom w:val="none" w:sz="0" w:space="0" w:color="auto"/>
            <w:right w:val="none" w:sz="0" w:space="0" w:color="auto"/>
          </w:divBdr>
        </w:div>
      </w:divsChild>
    </w:div>
    <w:div w:id="766735223">
      <w:bodyDiv w:val="1"/>
      <w:marLeft w:val="0"/>
      <w:marRight w:val="0"/>
      <w:marTop w:val="0"/>
      <w:marBottom w:val="0"/>
      <w:divBdr>
        <w:top w:val="none" w:sz="0" w:space="0" w:color="auto"/>
        <w:left w:val="none" w:sz="0" w:space="0" w:color="auto"/>
        <w:bottom w:val="none" w:sz="0" w:space="0" w:color="auto"/>
        <w:right w:val="none" w:sz="0" w:space="0" w:color="auto"/>
      </w:divBdr>
    </w:div>
    <w:div w:id="779421853">
      <w:bodyDiv w:val="1"/>
      <w:marLeft w:val="0"/>
      <w:marRight w:val="0"/>
      <w:marTop w:val="0"/>
      <w:marBottom w:val="0"/>
      <w:divBdr>
        <w:top w:val="none" w:sz="0" w:space="0" w:color="auto"/>
        <w:left w:val="none" w:sz="0" w:space="0" w:color="auto"/>
        <w:bottom w:val="none" w:sz="0" w:space="0" w:color="auto"/>
        <w:right w:val="none" w:sz="0" w:space="0" w:color="auto"/>
      </w:divBdr>
      <w:divsChild>
        <w:div w:id="1489054667">
          <w:marLeft w:val="0"/>
          <w:marRight w:val="0"/>
          <w:marTop w:val="0"/>
          <w:marBottom w:val="0"/>
          <w:divBdr>
            <w:top w:val="none" w:sz="0" w:space="0" w:color="auto"/>
            <w:left w:val="none" w:sz="0" w:space="0" w:color="auto"/>
            <w:bottom w:val="none" w:sz="0" w:space="0" w:color="auto"/>
            <w:right w:val="none" w:sz="0" w:space="0" w:color="auto"/>
          </w:divBdr>
        </w:div>
      </w:divsChild>
    </w:div>
    <w:div w:id="788355771">
      <w:bodyDiv w:val="1"/>
      <w:marLeft w:val="0"/>
      <w:marRight w:val="0"/>
      <w:marTop w:val="0"/>
      <w:marBottom w:val="0"/>
      <w:divBdr>
        <w:top w:val="none" w:sz="0" w:space="0" w:color="auto"/>
        <w:left w:val="none" w:sz="0" w:space="0" w:color="auto"/>
        <w:bottom w:val="none" w:sz="0" w:space="0" w:color="auto"/>
        <w:right w:val="none" w:sz="0" w:space="0" w:color="auto"/>
      </w:divBdr>
    </w:div>
    <w:div w:id="1015958322">
      <w:bodyDiv w:val="1"/>
      <w:marLeft w:val="0"/>
      <w:marRight w:val="0"/>
      <w:marTop w:val="0"/>
      <w:marBottom w:val="0"/>
      <w:divBdr>
        <w:top w:val="none" w:sz="0" w:space="0" w:color="auto"/>
        <w:left w:val="none" w:sz="0" w:space="0" w:color="auto"/>
        <w:bottom w:val="none" w:sz="0" w:space="0" w:color="auto"/>
        <w:right w:val="none" w:sz="0" w:space="0" w:color="auto"/>
      </w:divBdr>
      <w:divsChild>
        <w:div w:id="283313844">
          <w:marLeft w:val="0"/>
          <w:marRight w:val="0"/>
          <w:marTop w:val="0"/>
          <w:marBottom w:val="0"/>
          <w:divBdr>
            <w:top w:val="none" w:sz="0" w:space="0" w:color="auto"/>
            <w:left w:val="none" w:sz="0" w:space="0" w:color="auto"/>
            <w:bottom w:val="none" w:sz="0" w:space="0" w:color="auto"/>
            <w:right w:val="none" w:sz="0" w:space="0" w:color="auto"/>
          </w:divBdr>
        </w:div>
      </w:divsChild>
    </w:div>
    <w:div w:id="1118572757">
      <w:bodyDiv w:val="1"/>
      <w:marLeft w:val="0"/>
      <w:marRight w:val="0"/>
      <w:marTop w:val="0"/>
      <w:marBottom w:val="0"/>
      <w:divBdr>
        <w:top w:val="none" w:sz="0" w:space="0" w:color="auto"/>
        <w:left w:val="none" w:sz="0" w:space="0" w:color="auto"/>
        <w:bottom w:val="none" w:sz="0" w:space="0" w:color="auto"/>
        <w:right w:val="none" w:sz="0" w:space="0" w:color="auto"/>
      </w:divBdr>
      <w:divsChild>
        <w:div w:id="545802550">
          <w:marLeft w:val="0"/>
          <w:marRight w:val="0"/>
          <w:marTop w:val="0"/>
          <w:marBottom w:val="0"/>
          <w:divBdr>
            <w:top w:val="none" w:sz="0" w:space="0" w:color="auto"/>
            <w:left w:val="none" w:sz="0" w:space="0" w:color="auto"/>
            <w:bottom w:val="none" w:sz="0" w:space="0" w:color="auto"/>
            <w:right w:val="none" w:sz="0" w:space="0" w:color="auto"/>
          </w:divBdr>
        </w:div>
      </w:divsChild>
    </w:div>
    <w:div w:id="1227909966">
      <w:bodyDiv w:val="1"/>
      <w:marLeft w:val="0"/>
      <w:marRight w:val="0"/>
      <w:marTop w:val="0"/>
      <w:marBottom w:val="0"/>
      <w:divBdr>
        <w:top w:val="none" w:sz="0" w:space="0" w:color="auto"/>
        <w:left w:val="none" w:sz="0" w:space="0" w:color="auto"/>
        <w:bottom w:val="none" w:sz="0" w:space="0" w:color="auto"/>
        <w:right w:val="none" w:sz="0" w:space="0" w:color="auto"/>
      </w:divBdr>
      <w:divsChild>
        <w:div w:id="1571578038">
          <w:marLeft w:val="0"/>
          <w:marRight w:val="0"/>
          <w:marTop w:val="0"/>
          <w:marBottom w:val="0"/>
          <w:divBdr>
            <w:top w:val="none" w:sz="0" w:space="0" w:color="auto"/>
            <w:left w:val="none" w:sz="0" w:space="0" w:color="auto"/>
            <w:bottom w:val="none" w:sz="0" w:space="0" w:color="auto"/>
            <w:right w:val="none" w:sz="0" w:space="0" w:color="auto"/>
          </w:divBdr>
        </w:div>
      </w:divsChild>
    </w:div>
    <w:div w:id="1231840990">
      <w:bodyDiv w:val="1"/>
      <w:marLeft w:val="0"/>
      <w:marRight w:val="0"/>
      <w:marTop w:val="0"/>
      <w:marBottom w:val="0"/>
      <w:divBdr>
        <w:top w:val="none" w:sz="0" w:space="0" w:color="auto"/>
        <w:left w:val="none" w:sz="0" w:space="0" w:color="auto"/>
        <w:bottom w:val="none" w:sz="0" w:space="0" w:color="auto"/>
        <w:right w:val="none" w:sz="0" w:space="0" w:color="auto"/>
      </w:divBdr>
      <w:divsChild>
        <w:div w:id="1474833803">
          <w:marLeft w:val="0"/>
          <w:marRight w:val="0"/>
          <w:marTop w:val="0"/>
          <w:marBottom w:val="0"/>
          <w:divBdr>
            <w:top w:val="none" w:sz="0" w:space="0" w:color="auto"/>
            <w:left w:val="none" w:sz="0" w:space="0" w:color="auto"/>
            <w:bottom w:val="none" w:sz="0" w:space="0" w:color="auto"/>
            <w:right w:val="none" w:sz="0" w:space="0" w:color="auto"/>
          </w:divBdr>
        </w:div>
      </w:divsChild>
    </w:div>
    <w:div w:id="1269391076">
      <w:bodyDiv w:val="1"/>
      <w:marLeft w:val="0"/>
      <w:marRight w:val="0"/>
      <w:marTop w:val="0"/>
      <w:marBottom w:val="0"/>
      <w:divBdr>
        <w:top w:val="none" w:sz="0" w:space="0" w:color="auto"/>
        <w:left w:val="none" w:sz="0" w:space="0" w:color="auto"/>
        <w:bottom w:val="none" w:sz="0" w:space="0" w:color="auto"/>
        <w:right w:val="none" w:sz="0" w:space="0" w:color="auto"/>
      </w:divBdr>
      <w:divsChild>
        <w:div w:id="973367802">
          <w:marLeft w:val="0"/>
          <w:marRight w:val="0"/>
          <w:marTop w:val="0"/>
          <w:marBottom w:val="0"/>
          <w:divBdr>
            <w:top w:val="none" w:sz="0" w:space="0" w:color="auto"/>
            <w:left w:val="none" w:sz="0" w:space="0" w:color="auto"/>
            <w:bottom w:val="none" w:sz="0" w:space="0" w:color="auto"/>
            <w:right w:val="none" w:sz="0" w:space="0" w:color="auto"/>
          </w:divBdr>
        </w:div>
      </w:divsChild>
    </w:div>
    <w:div w:id="1287657341">
      <w:bodyDiv w:val="1"/>
      <w:marLeft w:val="0"/>
      <w:marRight w:val="0"/>
      <w:marTop w:val="0"/>
      <w:marBottom w:val="0"/>
      <w:divBdr>
        <w:top w:val="none" w:sz="0" w:space="0" w:color="auto"/>
        <w:left w:val="none" w:sz="0" w:space="0" w:color="auto"/>
        <w:bottom w:val="none" w:sz="0" w:space="0" w:color="auto"/>
        <w:right w:val="none" w:sz="0" w:space="0" w:color="auto"/>
      </w:divBdr>
      <w:divsChild>
        <w:div w:id="154810767">
          <w:marLeft w:val="0"/>
          <w:marRight w:val="0"/>
          <w:marTop w:val="0"/>
          <w:marBottom w:val="0"/>
          <w:divBdr>
            <w:top w:val="none" w:sz="0" w:space="0" w:color="auto"/>
            <w:left w:val="none" w:sz="0" w:space="0" w:color="auto"/>
            <w:bottom w:val="none" w:sz="0" w:space="0" w:color="auto"/>
            <w:right w:val="none" w:sz="0" w:space="0" w:color="auto"/>
          </w:divBdr>
        </w:div>
      </w:divsChild>
    </w:div>
    <w:div w:id="1305768597">
      <w:bodyDiv w:val="1"/>
      <w:marLeft w:val="0"/>
      <w:marRight w:val="0"/>
      <w:marTop w:val="0"/>
      <w:marBottom w:val="0"/>
      <w:divBdr>
        <w:top w:val="none" w:sz="0" w:space="0" w:color="auto"/>
        <w:left w:val="none" w:sz="0" w:space="0" w:color="auto"/>
        <w:bottom w:val="none" w:sz="0" w:space="0" w:color="auto"/>
        <w:right w:val="none" w:sz="0" w:space="0" w:color="auto"/>
      </w:divBdr>
    </w:div>
    <w:div w:id="1314993697">
      <w:bodyDiv w:val="1"/>
      <w:marLeft w:val="0"/>
      <w:marRight w:val="0"/>
      <w:marTop w:val="0"/>
      <w:marBottom w:val="0"/>
      <w:divBdr>
        <w:top w:val="none" w:sz="0" w:space="0" w:color="auto"/>
        <w:left w:val="none" w:sz="0" w:space="0" w:color="auto"/>
        <w:bottom w:val="none" w:sz="0" w:space="0" w:color="auto"/>
        <w:right w:val="none" w:sz="0" w:space="0" w:color="auto"/>
      </w:divBdr>
    </w:div>
    <w:div w:id="1657873788">
      <w:bodyDiv w:val="1"/>
      <w:marLeft w:val="0"/>
      <w:marRight w:val="0"/>
      <w:marTop w:val="0"/>
      <w:marBottom w:val="0"/>
      <w:divBdr>
        <w:top w:val="none" w:sz="0" w:space="0" w:color="auto"/>
        <w:left w:val="none" w:sz="0" w:space="0" w:color="auto"/>
        <w:bottom w:val="none" w:sz="0" w:space="0" w:color="auto"/>
        <w:right w:val="none" w:sz="0" w:space="0" w:color="auto"/>
      </w:divBdr>
    </w:div>
    <w:div w:id="1743329120">
      <w:bodyDiv w:val="1"/>
      <w:marLeft w:val="0"/>
      <w:marRight w:val="0"/>
      <w:marTop w:val="0"/>
      <w:marBottom w:val="0"/>
      <w:divBdr>
        <w:top w:val="none" w:sz="0" w:space="0" w:color="auto"/>
        <w:left w:val="none" w:sz="0" w:space="0" w:color="auto"/>
        <w:bottom w:val="none" w:sz="0" w:space="0" w:color="auto"/>
        <w:right w:val="none" w:sz="0" w:space="0" w:color="auto"/>
      </w:divBdr>
    </w:div>
    <w:div w:id="1762800723">
      <w:bodyDiv w:val="1"/>
      <w:marLeft w:val="0"/>
      <w:marRight w:val="0"/>
      <w:marTop w:val="0"/>
      <w:marBottom w:val="0"/>
      <w:divBdr>
        <w:top w:val="none" w:sz="0" w:space="0" w:color="auto"/>
        <w:left w:val="none" w:sz="0" w:space="0" w:color="auto"/>
        <w:bottom w:val="none" w:sz="0" w:space="0" w:color="auto"/>
        <w:right w:val="none" w:sz="0" w:space="0" w:color="auto"/>
      </w:divBdr>
      <w:divsChild>
        <w:div w:id="1395543225">
          <w:marLeft w:val="0"/>
          <w:marRight w:val="0"/>
          <w:marTop w:val="0"/>
          <w:marBottom w:val="0"/>
          <w:divBdr>
            <w:top w:val="none" w:sz="0" w:space="0" w:color="auto"/>
            <w:left w:val="none" w:sz="0" w:space="0" w:color="auto"/>
            <w:bottom w:val="none" w:sz="0" w:space="0" w:color="auto"/>
            <w:right w:val="none" w:sz="0" w:space="0" w:color="auto"/>
          </w:divBdr>
        </w:div>
      </w:divsChild>
    </w:div>
    <w:div w:id="1832478008">
      <w:bodyDiv w:val="1"/>
      <w:marLeft w:val="0"/>
      <w:marRight w:val="0"/>
      <w:marTop w:val="0"/>
      <w:marBottom w:val="0"/>
      <w:divBdr>
        <w:top w:val="none" w:sz="0" w:space="0" w:color="auto"/>
        <w:left w:val="none" w:sz="0" w:space="0" w:color="auto"/>
        <w:bottom w:val="none" w:sz="0" w:space="0" w:color="auto"/>
        <w:right w:val="none" w:sz="0" w:space="0" w:color="auto"/>
      </w:divBdr>
    </w:div>
    <w:div w:id="1841314937">
      <w:bodyDiv w:val="1"/>
      <w:marLeft w:val="0"/>
      <w:marRight w:val="0"/>
      <w:marTop w:val="0"/>
      <w:marBottom w:val="0"/>
      <w:divBdr>
        <w:top w:val="none" w:sz="0" w:space="0" w:color="auto"/>
        <w:left w:val="none" w:sz="0" w:space="0" w:color="auto"/>
        <w:bottom w:val="none" w:sz="0" w:space="0" w:color="auto"/>
        <w:right w:val="none" w:sz="0" w:space="0" w:color="auto"/>
      </w:divBdr>
      <w:divsChild>
        <w:div w:id="273513640">
          <w:marLeft w:val="0"/>
          <w:marRight w:val="0"/>
          <w:marTop w:val="0"/>
          <w:marBottom w:val="0"/>
          <w:divBdr>
            <w:top w:val="none" w:sz="0" w:space="0" w:color="auto"/>
            <w:left w:val="none" w:sz="0" w:space="0" w:color="auto"/>
            <w:bottom w:val="none" w:sz="0" w:space="0" w:color="auto"/>
            <w:right w:val="none" w:sz="0" w:space="0" w:color="auto"/>
          </w:divBdr>
        </w:div>
      </w:divsChild>
    </w:div>
    <w:div w:id="2045017845">
      <w:bodyDiv w:val="1"/>
      <w:marLeft w:val="0"/>
      <w:marRight w:val="0"/>
      <w:marTop w:val="0"/>
      <w:marBottom w:val="0"/>
      <w:divBdr>
        <w:top w:val="none" w:sz="0" w:space="0" w:color="auto"/>
        <w:left w:val="none" w:sz="0" w:space="0" w:color="auto"/>
        <w:bottom w:val="none" w:sz="0" w:space="0" w:color="auto"/>
        <w:right w:val="none" w:sz="0" w:space="0" w:color="auto"/>
      </w:divBdr>
    </w:div>
    <w:div w:id="2068451156">
      <w:bodyDiv w:val="1"/>
      <w:marLeft w:val="0"/>
      <w:marRight w:val="0"/>
      <w:marTop w:val="0"/>
      <w:marBottom w:val="0"/>
      <w:divBdr>
        <w:top w:val="none" w:sz="0" w:space="0" w:color="auto"/>
        <w:left w:val="none" w:sz="0" w:space="0" w:color="auto"/>
        <w:bottom w:val="none" w:sz="0" w:space="0" w:color="auto"/>
        <w:right w:val="none" w:sz="0" w:space="0" w:color="auto"/>
      </w:divBdr>
      <w:divsChild>
        <w:div w:id="163520794">
          <w:marLeft w:val="0"/>
          <w:marRight w:val="0"/>
          <w:marTop w:val="0"/>
          <w:marBottom w:val="0"/>
          <w:divBdr>
            <w:top w:val="none" w:sz="0" w:space="0" w:color="auto"/>
            <w:left w:val="none" w:sz="0" w:space="0" w:color="auto"/>
            <w:bottom w:val="none" w:sz="0" w:space="0" w:color="auto"/>
            <w:right w:val="none" w:sz="0" w:space="0" w:color="auto"/>
          </w:divBdr>
        </w:div>
      </w:divsChild>
    </w:div>
    <w:div w:id="2070613039">
      <w:bodyDiv w:val="1"/>
      <w:marLeft w:val="0"/>
      <w:marRight w:val="0"/>
      <w:marTop w:val="0"/>
      <w:marBottom w:val="0"/>
      <w:divBdr>
        <w:top w:val="none" w:sz="0" w:space="0" w:color="auto"/>
        <w:left w:val="none" w:sz="0" w:space="0" w:color="auto"/>
        <w:bottom w:val="none" w:sz="0" w:space="0" w:color="auto"/>
        <w:right w:val="none" w:sz="0" w:space="0" w:color="auto"/>
      </w:divBdr>
    </w:div>
    <w:div w:id="2103141367">
      <w:bodyDiv w:val="1"/>
      <w:marLeft w:val="0"/>
      <w:marRight w:val="0"/>
      <w:marTop w:val="0"/>
      <w:marBottom w:val="0"/>
      <w:divBdr>
        <w:top w:val="none" w:sz="0" w:space="0" w:color="auto"/>
        <w:left w:val="none" w:sz="0" w:space="0" w:color="auto"/>
        <w:bottom w:val="none" w:sz="0" w:space="0" w:color="auto"/>
        <w:right w:val="none" w:sz="0" w:space="0" w:color="auto"/>
      </w:divBdr>
      <w:divsChild>
        <w:div w:id="200366185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igissue.com/news/activism/school-foodbank-uk-teachers-coronaviru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educationsupportpartnership.org.uk/sites/default/files/teacher_wellbeing_index_2018.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wales/sites/default/files/publications/2018-03/the-four-purposes-of-the-curriculum-for-wales.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2.ed.gov/documents/family-community/partners-educatio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6218</Words>
  <Characters>35447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Katie Carlyle</cp:lastModifiedBy>
  <cp:revision>19</cp:revision>
  <dcterms:created xsi:type="dcterms:W3CDTF">2023-03-18T01:33:00Z</dcterms:created>
  <dcterms:modified xsi:type="dcterms:W3CDTF">2023-03-18T15:24:00Z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