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00123C" w14:textId="77777777" w:rsidR="00CE0969" w:rsidRDefault="00CE0969">
      <w:pPr>
        <w:spacing w:line="276" w:lineRule="auto"/>
        <w:jc w:val="left"/>
      </w:pPr>
      <w:r>
        <w:rPr>
          <w:noProof/>
        </w:rPr>
        <w:drawing>
          <wp:anchor distT="0" distB="0" distL="114300" distR="114300" simplePos="0" relativeHeight="251658240" behindDoc="1" locked="0" layoutInCell="1" allowOverlap="1" wp14:anchorId="457B9E51" wp14:editId="06030818">
            <wp:simplePos x="0" y="0"/>
            <wp:positionH relativeFrom="column">
              <wp:posOffset>1760220</wp:posOffset>
            </wp:positionH>
            <wp:positionV relativeFrom="paragraph">
              <wp:posOffset>7620</wp:posOffset>
            </wp:positionV>
            <wp:extent cx="2209800" cy="723900"/>
            <wp:effectExtent l="0" t="0" r="0" b="0"/>
            <wp:wrapTight wrapText="bothSides">
              <wp:wrapPolygon edited="0">
                <wp:start x="0" y="0"/>
                <wp:lineTo x="0" y="21032"/>
                <wp:lineTo x="21414" y="21032"/>
                <wp:lineTo x="2141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209800" cy="723900"/>
                    </a:xfrm>
                    <a:prstGeom prst="rect">
                      <a:avLst/>
                    </a:prstGeom>
                  </pic:spPr>
                </pic:pic>
              </a:graphicData>
            </a:graphic>
            <wp14:sizeRelH relativeFrom="margin">
              <wp14:pctWidth>0</wp14:pctWidth>
            </wp14:sizeRelH>
            <wp14:sizeRelV relativeFrom="margin">
              <wp14:pctHeight>0</wp14:pctHeight>
            </wp14:sizeRelV>
          </wp:anchor>
        </w:drawing>
      </w:r>
    </w:p>
    <w:p w14:paraId="2FC85772" w14:textId="77777777" w:rsidR="00CE0969" w:rsidRDefault="00CE0969">
      <w:pPr>
        <w:spacing w:line="276" w:lineRule="auto"/>
        <w:jc w:val="left"/>
      </w:pPr>
    </w:p>
    <w:p w14:paraId="33CF8D7A" w14:textId="77777777" w:rsidR="00CE0969" w:rsidRDefault="00CE0969">
      <w:pPr>
        <w:spacing w:line="276" w:lineRule="auto"/>
        <w:jc w:val="left"/>
      </w:pPr>
    </w:p>
    <w:p w14:paraId="3C734BBA" w14:textId="77777777" w:rsidR="00CE0969" w:rsidRPr="00CE0969" w:rsidRDefault="00CE0969" w:rsidP="00CE0969">
      <w:pPr>
        <w:spacing w:line="276" w:lineRule="auto"/>
        <w:jc w:val="center"/>
        <w:rPr>
          <w:b/>
          <w:sz w:val="30"/>
          <w:szCs w:val="30"/>
        </w:rPr>
      </w:pPr>
      <w:r w:rsidRPr="00CE0969">
        <w:rPr>
          <w:b/>
          <w:sz w:val="30"/>
          <w:szCs w:val="30"/>
        </w:rPr>
        <w:t>Module Title: Introduction to Health and Social Care</w:t>
      </w:r>
    </w:p>
    <w:p w14:paraId="2E2CE035" w14:textId="77777777" w:rsidR="00CE0969" w:rsidRDefault="00CE0969" w:rsidP="00CE0969">
      <w:pPr>
        <w:spacing w:line="276" w:lineRule="auto"/>
        <w:jc w:val="center"/>
        <w:rPr>
          <w:b/>
          <w:sz w:val="30"/>
          <w:szCs w:val="30"/>
        </w:rPr>
      </w:pPr>
      <w:r w:rsidRPr="00CE0969">
        <w:rPr>
          <w:b/>
          <w:sz w:val="30"/>
          <w:szCs w:val="30"/>
        </w:rPr>
        <w:t>Module C</w:t>
      </w:r>
      <w:r>
        <w:rPr>
          <w:b/>
          <w:sz w:val="30"/>
          <w:szCs w:val="30"/>
        </w:rPr>
        <w:t xml:space="preserve">ode: </w:t>
      </w:r>
      <w:r w:rsidRPr="00CE0969">
        <w:rPr>
          <w:b/>
          <w:sz w:val="30"/>
          <w:szCs w:val="30"/>
        </w:rPr>
        <w:t>LCHS4003</w:t>
      </w:r>
    </w:p>
    <w:p w14:paraId="53F5B5F4" w14:textId="77777777" w:rsidR="00D51BD8" w:rsidRDefault="008245C6" w:rsidP="00CE0969">
      <w:pPr>
        <w:spacing w:line="276" w:lineRule="auto"/>
        <w:jc w:val="center"/>
        <w:rPr>
          <w:bCs/>
          <w:szCs w:val="24"/>
        </w:rPr>
      </w:pPr>
      <w:r>
        <w:rPr>
          <w:bCs/>
          <w:szCs w:val="24"/>
        </w:rPr>
        <w:t>Com</w:t>
      </w:r>
      <w:r w:rsidR="00740297">
        <w:rPr>
          <w:bCs/>
          <w:szCs w:val="24"/>
        </w:rPr>
        <w:t>ponent 1</w:t>
      </w:r>
    </w:p>
    <w:p w14:paraId="66C660CC" w14:textId="6167535B" w:rsidR="004526DC" w:rsidRPr="004526DC" w:rsidRDefault="004526DC" w:rsidP="00CE0969">
      <w:pPr>
        <w:spacing w:line="276" w:lineRule="auto"/>
        <w:jc w:val="center"/>
        <w:rPr>
          <w:bCs/>
          <w:szCs w:val="24"/>
        </w:rPr>
      </w:pPr>
      <w:r w:rsidRPr="004526DC">
        <w:rPr>
          <w:bCs/>
          <w:szCs w:val="24"/>
        </w:rPr>
        <w:t>(Portfolio – Two Tasks)</w:t>
      </w:r>
    </w:p>
    <w:p w14:paraId="0AA22F98" w14:textId="77777777" w:rsidR="00CE0969" w:rsidRDefault="00CE0969" w:rsidP="00CE0969">
      <w:pPr>
        <w:spacing w:line="276" w:lineRule="auto"/>
        <w:jc w:val="center"/>
      </w:pPr>
    </w:p>
    <w:p w14:paraId="0B0881A2" w14:textId="77777777" w:rsidR="00CE0969" w:rsidRDefault="00CE0969" w:rsidP="00CE0969">
      <w:pPr>
        <w:spacing w:line="276" w:lineRule="auto"/>
        <w:jc w:val="center"/>
      </w:pPr>
    </w:p>
    <w:p w14:paraId="6061EC28" w14:textId="5D11B79A" w:rsidR="00CE0969" w:rsidRPr="007E5397" w:rsidRDefault="00CE0969" w:rsidP="004526DC">
      <w:pPr>
        <w:spacing w:line="276" w:lineRule="auto"/>
        <w:ind w:left="2880"/>
        <w:jc w:val="left"/>
        <w:rPr>
          <w:b/>
          <w:bCs/>
          <w:sz w:val="28"/>
          <w:szCs w:val="28"/>
        </w:rPr>
      </w:pPr>
      <w:r w:rsidRPr="007E5397">
        <w:rPr>
          <w:b/>
          <w:bCs/>
          <w:sz w:val="28"/>
          <w:szCs w:val="28"/>
        </w:rPr>
        <w:t>Student Name</w:t>
      </w:r>
      <w:r w:rsidR="00D73185">
        <w:rPr>
          <w:b/>
          <w:bCs/>
          <w:sz w:val="28"/>
          <w:szCs w:val="28"/>
        </w:rPr>
        <w:t>:</w:t>
      </w:r>
      <w:r w:rsidR="004526DC" w:rsidRPr="007E5397">
        <w:rPr>
          <w:b/>
          <w:bCs/>
          <w:sz w:val="28"/>
          <w:szCs w:val="28"/>
        </w:rPr>
        <w:tab/>
      </w:r>
      <w:r w:rsidR="005566B8" w:rsidRPr="007E5397">
        <w:rPr>
          <w:b/>
          <w:bCs/>
          <w:sz w:val="28"/>
          <w:szCs w:val="28"/>
        </w:rPr>
        <w:t>Gloria</w:t>
      </w:r>
      <w:r w:rsidR="0053776A" w:rsidRPr="007E5397">
        <w:rPr>
          <w:b/>
          <w:bCs/>
          <w:sz w:val="28"/>
          <w:szCs w:val="28"/>
        </w:rPr>
        <w:t xml:space="preserve"> Armoo</w:t>
      </w:r>
    </w:p>
    <w:p w14:paraId="27AD9F3D" w14:textId="1A84E8F5" w:rsidR="004F34F6" w:rsidRPr="007E5397" w:rsidRDefault="00CE0969" w:rsidP="004526DC">
      <w:pPr>
        <w:spacing w:line="276" w:lineRule="auto"/>
        <w:ind w:left="2160" w:firstLine="720"/>
        <w:jc w:val="left"/>
        <w:rPr>
          <w:b/>
          <w:bCs/>
          <w:sz w:val="28"/>
          <w:szCs w:val="28"/>
        </w:rPr>
      </w:pPr>
      <w:r w:rsidRPr="007E5397">
        <w:rPr>
          <w:b/>
          <w:bCs/>
          <w:sz w:val="28"/>
          <w:szCs w:val="28"/>
        </w:rPr>
        <w:t>Student ID</w:t>
      </w:r>
      <w:r w:rsidR="00D73185">
        <w:rPr>
          <w:b/>
          <w:bCs/>
          <w:sz w:val="28"/>
          <w:szCs w:val="28"/>
        </w:rPr>
        <w:t>:</w:t>
      </w:r>
      <w:r w:rsidR="004526DC" w:rsidRPr="007E5397">
        <w:rPr>
          <w:b/>
          <w:bCs/>
          <w:sz w:val="28"/>
          <w:szCs w:val="28"/>
        </w:rPr>
        <w:tab/>
      </w:r>
      <w:r w:rsidR="004526DC" w:rsidRPr="007E5397">
        <w:rPr>
          <w:b/>
          <w:bCs/>
          <w:sz w:val="28"/>
          <w:szCs w:val="28"/>
        </w:rPr>
        <w:tab/>
      </w:r>
      <w:r w:rsidR="0053776A" w:rsidRPr="007E5397">
        <w:rPr>
          <w:b/>
          <w:bCs/>
          <w:sz w:val="28"/>
          <w:szCs w:val="28"/>
        </w:rPr>
        <w:t>251152</w:t>
      </w:r>
      <w:r w:rsidR="000A3861" w:rsidRPr="007E5397">
        <w:rPr>
          <w:b/>
          <w:bCs/>
          <w:sz w:val="28"/>
          <w:szCs w:val="28"/>
        </w:rPr>
        <w:t>3</w:t>
      </w:r>
    </w:p>
    <w:p w14:paraId="4AC29F6E" w14:textId="77777777" w:rsidR="004F34F6" w:rsidRDefault="004F34F6">
      <w:pPr>
        <w:spacing w:line="276" w:lineRule="auto"/>
        <w:jc w:val="left"/>
      </w:pPr>
      <w:r>
        <w:br w:type="page"/>
      </w:r>
    </w:p>
    <w:sdt>
      <w:sdtPr>
        <w:rPr>
          <w:rFonts w:ascii="Times New Roman" w:eastAsiaTheme="minorHAnsi" w:hAnsi="Times New Roman" w:cstheme="minorBidi"/>
          <w:b w:val="0"/>
          <w:bCs w:val="0"/>
          <w:color w:val="auto"/>
          <w:sz w:val="24"/>
          <w:szCs w:val="22"/>
          <w:lang w:eastAsia="en-US"/>
        </w:rPr>
        <w:id w:val="8421734"/>
        <w:docPartObj>
          <w:docPartGallery w:val="Table of Contents"/>
          <w:docPartUnique/>
        </w:docPartObj>
      </w:sdtPr>
      <w:sdtEndPr>
        <w:rPr>
          <w:noProof/>
        </w:rPr>
      </w:sdtEndPr>
      <w:sdtContent>
        <w:p w14:paraId="276B289D" w14:textId="2CA41C1C" w:rsidR="004F34F6" w:rsidRDefault="004F34F6" w:rsidP="00E903A3">
          <w:pPr>
            <w:pStyle w:val="TOCHeading"/>
            <w:tabs>
              <w:tab w:val="left" w:pos="3444"/>
            </w:tabs>
          </w:pPr>
          <w:r>
            <w:t>Table of Contents</w:t>
          </w:r>
          <w:r w:rsidR="00E903A3">
            <w:tab/>
          </w:r>
        </w:p>
        <w:p w14:paraId="375E720A" w14:textId="77777777" w:rsidR="006C1558" w:rsidRPr="006C1558" w:rsidRDefault="006C1558" w:rsidP="002C3765">
          <w:pPr>
            <w:jc w:val="right"/>
            <w:rPr>
              <w:lang w:eastAsia="ja-JP"/>
            </w:rPr>
          </w:pPr>
        </w:p>
        <w:p w14:paraId="5501C6DB" w14:textId="77777777" w:rsidR="004F34F6" w:rsidRDefault="004F34F6">
          <w:pPr>
            <w:pStyle w:val="TOC1"/>
            <w:tabs>
              <w:tab w:val="right" w:leader="dot" w:pos="9350"/>
            </w:tabs>
            <w:rPr>
              <w:noProof/>
            </w:rPr>
          </w:pPr>
          <w:r>
            <w:fldChar w:fldCharType="begin"/>
          </w:r>
          <w:r>
            <w:instrText xml:space="preserve"> TOC \o "1-3" \h \z \u </w:instrText>
          </w:r>
          <w:r>
            <w:fldChar w:fldCharType="separate"/>
          </w:r>
          <w:hyperlink w:anchor="_Toc220581190" w:history="1">
            <w:r w:rsidRPr="002646F8">
              <w:rPr>
                <w:rStyle w:val="Hyperlink"/>
                <w:noProof/>
              </w:rPr>
              <w:t>Task 1: Poster</w:t>
            </w:r>
            <w:r>
              <w:rPr>
                <w:noProof/>
                <w:webHidden/>
              </w:rPr>
              <w:tab/>
            </w:r>
            <w:r>
              <w:rPr>
                <w:noProof/>
                <w:webHidden/>
              </w:rPr>
              <w:fldChar w:fldCharType="begin"/>
            </w:r>
            <w:r>
              <w:rPr>
                <w:noProof/>
                <w:webHidden/>
              </w:rPr>
              <w:instrText xml:space="preserve"> PAGEREF _Toc220581190 \h </w:instrText>
            </w:r>
            <w:r>
              <w:rPr>
                <w:noProof/>
                <w:webHidden/>
              </w:rPr>
            </w:r>
            <w:r>
              <w:rPr>
                <w:noProof/>
                <w:webHidden/>
              </w:rPr>
              <w:fldChar w:fldCharType="separate"/>
            </w:r>
            <w:r>
              <w:rPr>
                <w:noProof/>
                <w:webHidden/>
              </w:rPr>
              <w:t>3</w:t>
            </w:r>
            <w:r>
              <w:rPr>
                <w:noProof/>
                <w:webHidden/>
              </w:rPr>
              <w:fldChar w:fldCharType="end"/>
            </w:r>
          </w:hyperlink>
        </w:p>
        <w:p w14:paraId="4036A5C3" w14:textId="77777777" w:rsidR="004F34F6" w:rsidRDefault="004F34F6">
          <w:pPr>
            <w:pStyle w:val="TOC2"/>
            <w:tabs>
              <w:tab w:val="right" w:leader="dot" w:pos="9350"/>
            </w:tabs>
            <w:rPr>
              <w:noProof/>
            </w:rPr>
          </w:pPr>
          <w:hyperlink w:anchor="_Toc220581191" w:history="1">
            <w:r w:rsidRPr="002646F8">
              <w:rPr>
                <w:rStyle w:val="Hyperlink"/>
                <w:noProof/>
              </w:rPr>
              <w:t>Introduction</w:t>
            </w:r>
            <w:r>
              <w:rPr>
                <w:noProof/>
                <w:webHidden/>
              </w:rPr>
              <w:tab/>
            </w:r>
            <w:r>
              <w:rPr>
                <w:noProof/>
                <w:webHidden/>
              </w:rPr>
              <w:fldChar w:fldCharType="begin"/>
            </w:r>
            <w:r>
              <w:rPr>
                <w:noProof/>
                <w:webHidden/>
              </w:rPr>
              <w:instrText xml:space="preserve"> PAGEREF _Toc220581191 \h </w:instrText>
            </w:r>
            <w:r>
              <w:rPr>
                <w:noProof/>
                <w:webHidden/>
              </w:rPr>
            </w:r>
            <w:r>
              <w:rPr>
                <w:noProof/>
                <w:webHidden/>
              </w:rPr>
              <w:fldChar w:fldCharType="separate"/>
            </w:r>
            <w:r>
              <w:rPr>
                <w:noProof/>
                <w:webHidden/>
              </w:rPr>
              <w:t>3</w:t>
            </w:r>
            <w:r>
              <w:rPr>
                <w:noProof/>
                <w:webHidden/>
              </w:rPr>
              <w:fldChar w:fldCharType="end"/>
            </w:r>
          </w:hyperlink>
        </w:p>
        <w:p w14:paraId="0B81FA64" w14:textId="77777777" w:rsidR="004F34F6" w:rsidRDefault="004F34F6">
          <w:pPr>
            <w:pStyle w:val="TOC2"/>
            <w:tabs>
              <w:tab w:val="right" w:leader="dot" w:pos="9350"/>
            </w:tabs>
            <w:rPr>
              <w:noProof/>
            </w:rPr>
          </w:pPr>
          <w:hyperlink w:anchor="_Toc220581192" w:history="1">
            <w:r w:rsidRPr="002646F8">
              <w:rPr>
                <w:rStyle w:val="Hyperlink"/>
                <w:noProof/>
              </w:rPr>
              <w:t>Explanation of Community Mental Health Services</w:t>
            </w:r>
            <w:r>
              <w:rPr>
                <w:noProof/>
                <w:webHidden/>
              </w:rPr>
              <w:tab/>
            </w:r>
            <w:r>
              <w:rPr>
                <w:noProof/>
                <w:webHidden/>
              </w:rPr>
              <w:fldChar w:fldCharType="begin"/>
            </w:r>
            <w:r>
              <w:rPr>
                <w:noProof/>
                <w:webHidden/>
              </w:rPr>
              <w:instrText xml:space="preserve"> PAGEREF _Toc220581192 \h </w:instrText>
            </w:r>
            <w:r>
              <w:rPr>
                <w:noProof/>
                <w:webHidden/>
              </w:rPr>
            </w:r>
            <w:r>
              <w:rPr>
                <w:noProof/>
                <w:webHidden/>
              </w:rPr>
              <w:fldChar w:fldCharType="separate"/>
            </w:r>
            <w:r>
              <w:rPr>
                <w:noProof/>
                <w:webHidden/>
              </w:rPr>
              <w:t>4</w:t>
            </w:r>
            <w:r>
              <w:rPr>
                <w:noProof/>
                <w:webHidden/>
              </w:rPr>
              <w:fldChar w:fldCharType="end"/>
            </w:r>
          </w:hyperlink>
        </w:p>
        <w:p w14:paraId="146F8BEC" w14:textId="77777777" w:rsidR="004F34F6" w:rsidRDefault="004F34F6">
          <w:pPr>
            <w:pStyle w:val="TOC2"/>
            <w:tabs>
              <w:tab w:val="right" w:leader="dot" w:pos="9350"/>
            </w:tabs>
            <w:rPr>
              <w:noProof/>
            </w:rPr>
          </w:pPr>
          <w:hyperlink w:anchor="_Toc220581193" w:history="1">
            <w:r w:rsidRPr="002646F8">
              <w:rPr>
                <w:rStyle w:val="Hyperlink"/>
                <w:noProof/>
              </w:rPr>
              <w:t>Brief History of Community Mental Health Services</w:t>
            </w:r>
            <w:r>
              <w:rPr>
                <w:noProof/>
                <w:webHidden/>
              </w:rPr>
              <w:tab/>
            </w:r>
            <w:r>
              <w:rPr>
                <w:noProof/>
                <w:webHidden/>
              </w:rPr>
              <w:fldChar w:fldCharType="begin"/>
            </w:r>
            <w:r>
              <w:rPr>
                <w:noProof/>
                <w:webHidden/>
              </w:rPr>
              <w:instrText xml:space="preserve"> PAGEREF _Toc220581193 \h </w:instrText>
            </w:r>
            <w:r>
              <w:rPr>
                <w:noProof/>
                <w:webHidden/>
              </w:rPr>
            </w:r>
            <w:r>
              <w:rPr>
                <w:noProof/>
                <w:webHidden/>
              </w:rPr>
              <w:fldChar w:fldCharType="separate"/>
            </w:r>
            <w:r>
              <w:rPr>
                <w:noProof/>
                <w:webHidden/>
              </w:rPr>
              <w:t>4</w:t>
            </w:r>
            <w:r>
              <w:rPr>
                <w:noProof/>
                <w:webHidden/>
              </w:rPr>
              <w:fldChar w:fldCharType="end"/>
            </w:r>
          </w:hyperlink>
        </w:p>
        <w:p w14:paraId="16579C0D" w14:textId="77777777" w:rsidR="004F34F6" w:rsidRDefault="004F34F6">
          <w:pPr>
            <w:pStyle w:val="TOC2"/>
            <w:tabs>
              <w:tab w:val="right" w:leader="dot" w:pos="9350"/>
            </w:tabs>
            <w:rPr>
              <w:noProof/>
            </w:rPr>
          </w:pPr>
          <w:hyperlink w:anchor="_Toc220581194" w:history="1">
            <w:r w:rsidRPr="002646F8">
              <w:rPr>
                <w:rStyle w:val="Hyperlink"/>
                <w:noProof/>
              </w:rPr>
              <w:t>Current Functioning of Community Mental Health Services</w:t>
            </w:r>
            <w:r>
              <w:rPr>
                <w:noProof/>
                <w:webHidden/>
              </w:rPr>
              <w:tab/>
            </w:r>
            <w:r>
              <w:rPr>
                <w:noProof/>
                <w:webHidden/>
              </w:rPr>
              <w:fldChar w:fldCharType="begin"/>
            </w:r>
            <w:r>
              <w:rPr>
                <w:noProof/>
                <w:webHidden/>
              </w:rPr>
              <w:instrText xml:space="preserve"> PAGEREF _Toc220581194 \h </w:instrText>
            </w:r>
            <w:r>
              <w:rPr>
                <w:noProof/>
                <w:webHidden/>
              </w:rPr>
            </w:r>
            <w:r>
              <w:rPr>
                <w:noProof/>
                <w:webHidden/>
              </w:rPr>
              <w:fldChar w:fldCharType="separate"/>
            </w:r>
            <w:r>
              <w:rPr>
                <w:noProof/>
                <w:webHidden/>
              </w:rPr>
              <w:t>5</w:t>
            </w:r>
            <w:r>
              <w:rPr>
                <w:noProof/>
                <w:webHidden/>
              </w:rPr>
              <w:fldChar w:fldCharType="end"/>
            </w:r>
          </w:hyperlink>
        </w:p>
        <w:p w14:paraId="3A0A64DB" w14:textId="77C237EB" w:rsidR="004F34F6" w:rsidRDefault="004F34F6">
          <w:pPr>
            <w:pStyle w:val="TOC2"/>
            <w:tabs>
              <w:tab w:val="right" w:leader="dot" w:pos="9350"/>
            </w:tabs>
            <w:rPr>
              <w:noProof/>
            </w:rPr>
          </w:pPr>
          <w:hyperlink w:anchor="_Toc220581195" w:history="1">
            <w:r w:rsidRPr="002646F8">
              <w:rPr>
                <w:rStyle w:val="Hyperlink"/>
                <w:noProof/>
              </w:rPr>
              <w:t>Challenges Faced by Community Mental Health Services</w:t>
            </w:r>
            <w:r>
              <w:rPr>
                <w:noProof/>
                <w:webHidden/>
              </w:rPr>
              <w:tab/>
            </w:r>
            <w:r w:rsidR="001C4B9F">
              <w:rPr>
                <w:noProof/>
                <w:webHidden/>
              </w:rPr>
              <w:t>6</w:t>
            </w:r>
          </w:hyperlink>
        </w:p>
        <w:p w14:paraId="3BCBFFFF" w14:textId="77777777" w:rsidR="004F34F6" w:rsidRDefault="004F34F6">
          <w:pPr>
            <w:pStyle w:val="TOC2"/>
            <w:tabs>
              <w:tab w:val="right" w:leader="dot" w:pos="9350"/>
            </w:tabs>
            <w:rPr>
              <w:noProof/>
            </w:rPr>
          </w:pPr>
          <w:hyperlink w:anchor="_Toc220581196" w:history="1">
            <w:r w:rsidRPr="002646F8">
              <w:rPr>
                <w:rStyle w:val="Hyperlink"/>
                <w:noProof/>
              </w:rPr>
              <w:t>Conclusion</w:t>
            </w:r>
            <w:r>
              <w:rPr>
                <w:noProof/>
                <w:webHidden/>
              </w:rPr>
              <w:tab/>
            </w:r>
            <w:r>
              <w:rPr>
                <w:noProof/>
                <w:webHidden/>
              </w:rPr>
              <w:fldChar w:fldCharType="begin"/>
            </w:r>
            <w:r>
              <w:rPr>
                <w:noProof/>
                <w:webHidden/>
              </w:rPr>
              <w:instrText xml:space="preserve"> PAGEREF _Toc220581196 \h </w:instrText>
            </w:r>
            <w:r>
              <w:rPr>
                <w:noProof/>
                <w:webHidden/>
              </w:rPr>
            </w:r>
            <w:r>
              <w:rPr>
                <w:noProof/>
                <w:webHidden/>
              </w:rPr>
              <w:fldChar w:fldCharType="separate"/>
            </w:r>
            <w:r>
              <w:rPr>
                <w:noProof/>
                <w:webHidden/>
              </w:rPr>
              <w:t>6</w:t>
            </w:r>
            <w:r>
              <w:rPr>
                <w:noProof/>
                <w:webHidden/>
              </w:rPr>
              <w:fldChar w:fldCharType="end"/>
            </w:r>
          </w:hyperlink>
        </w:p>
        <w:p w14:paraId="61DBB115" w14:textId="465D4F8A" w:rsidR="004F34F6" w:rsidRDefault="004F34F6">
          <w:pPr>
            <w:pStyle w:val="TOC1"/>
            <w:tabs>
              <w:tab w:val="right" w:leader="dot" w:pos="9350"/>
            </w:tabs>
            <w:rPr>
              <w:noProof/>
            </w:rPr>
          </w:pPr>
          <w:hyperlink w:anchor="_Toc220581198" w:history="1">
            <w:r w:rsidRPr="002646F8">
              <w:rPr>
                <w:rStyle w:val="Hyperlink"/>
                <w:noProof/>
              </w:rPr>
              <w:t>Task 2: Essay</w:t>
            </w:r>
            <w:r>
              <w:rPr>
                <w:noProof/>
                <w:webHidden/>
              </w:rPr>
              <w:tab/>
            </w:r>
            <w:r w:rsidR="00BE4D4E">
              <w:rPr>
                <w:noProof/>
                <w:webHidden/>
              </w:rPr>
              <w:t>7</w:t>
            </w:r>
          </w:hyperlink>
        </w:p>
        <w:p w14:paraId="44256A37" w14:textId="254BCE10" w:rsidR="004F34F6" w:rsidRDefault="004F34F6" w:rsidP="009C0899">
          <w:pPr>
            <w:pStyle w:val="TOC2"/>
            <w:tabs>
              <w:tab w:val="right" w:leader="dot" w:pos="9350"/>
            </w:tabs>
            <w:ind w:left="0"/>
            <w:rPr>
              <w:noProof/>
            </w:rPr>
          </w:pPr>
          <w:hyperlink w:anchor="_Toc220581199" w:history="1">
            <w:r w:rsidRPr="002646F8">
              <w:rPr>
                <w:rStyle w:val="Hyperlink"/>
                <w:noProof/>
              </w:rPr>
              <w:t>Introduction</w:t>
            </w:r>
            <w:r>
              <w:rPr>
                <w:noProof/>
                <w:webHidden/>
              </w:rPr>
              <w:tab/>
            </w:r>
            <w:r w:rsidR="000D1C48">
              <w:rPr>
                <w:noProof/>
                <w:webHidden/>
              </w:rPr>
              <w:t>7</w:t>
            </w:r>
          </w:hyperlink>
        </w:p>
        <w:p w14:paraId="6A6895EC" w14:textId="1EEA7B4C" w:rsidR="004F34F6" w:rsidRDefault="004F34F6" w:rsidP="009C0899">
          <w:pPr>
            <w:pStyle w:val="TOC2"/>
            <w:tabs>
              <w:tab w:val="right" w:leader="dot" w:pos="9350"/>
            </w:tabs>
            <w:ind w:left="0"/>
            <w:rPr>
              <w:noProof/>
            </w:rPr>
          </w:pPr>
          <w:hyperlink w:anchor="_Toc220581200" w:history="1">
            <w:r w:rsidRPr="002646F8">
              <w:rPr>
                <w:rStyle w:val="Hyperlink"/>
                <w:noProof/>
              </w:rPr>
              <w:t>Origins and Historical Context</w:t>
            </w:r>
            <w:r>
              <w:rPr>
                <w:noProof/>
                <w:webHidden/>
              </w:rPr>
              <w:tab/>
            </w:r>
            <w:r w:rsidR="000D1C48">
              <w:rPr>
                <w:noProof/>
                <w:webHidden/>
              </w:rPr>
              <w:t>7</w:t>
            </w:r>
          </w:hyperlink>
        </w:p>
        <w:p w14:paraId="494C65B0" w14:textId="32965874" w:rsidR="004F34F6" w:rsidRDefault="004F34F6" w:rsidP="00C46CD8">
          <w:pPr>
            <w:pStyle w:val="TOC2"/>
            <w:tabs>
              <w:tab w:val="right" w:leader="dot" w:pos="9350"/>
            </w:tabs>
            <w:ind w:left="0"/>
            <w:rPr>
              <w:noProof/>
            </w:rPr>
          </w:pPr>
          <w:hyperlink w:anchor="_Toc220581201" w:history="1">
            <w:r w:rsidRPr="002646F8">
              <w:rPr>
                <w:rStyle w:val="Hyperlink"/>
                <w:noProof/>
              </w:rPr>
              <w:t>Critical Evaluation of Current Functioning</w:t>
            </w:r>
            <w:r>
              <w:rPr>
                <w:noProof/>
                <w:webHidden/>
              </w:rPr>
              <w:tab/>
            </w:r>
            <w:r w:rsidR="000D1C48">
              <w:rPr>
                <w:noProof/>
                <w:webHidden/>
              </w:rPr>
              <w:t>8</w:t>
            </w:r>
          </w:hyperlink>
        </w:p>
        <w:p w14:paraId="12E5DA72" w14:textId="78696CB3" w:rsidR="004F34F6" w:rsidRDefault="004F34F6" w:rsidP="00C46CD8">
          <w:pPr>
            <w:pStyle w:val="TOC2"/>
            <w:tabs>
              <w:tab w:val="right" w:leader="dot" w:pos="9350"/>
            </w:tabs>
            <w:ind w:left="0"/>
            <w:rPr>
              <w:noProof/>
            </w:rPr>
          </w:pPr>
          <w:hyperlink w:anchor="_Toc220581202" w:history="1">
            <w:r w:rsidRPr="002646F8">
              <w:rPr>
                <w:rStyle w:val="Hyperlink"/>
                <w:noProof/>
              </w:rPr>
              <w:t>Impact on Quality of Life</w:t>
            </w:r>
            <w:r>
              <w:rPr>
                <w:noProof/>
                <w:webHidden/>
              </w:rPr>
              <w:tab/>
            </w:r>
            <w:r w:rsidR="00890A68">
              <w:rPr>
                <w:noProof/>
                <w:webHidden/>
              </w:rPr>
              <w:t>8</w:t>
            </w:r>
          </w:hyperlink>
        </w:p>
        <w:p w14:paraId="16FA0229" w14:textId="30E32542" w:rsidR="004F34F6" w:rsidRDefault="004F34F6" w:rsidP="00C46CD8">
          <w:pPr>
            <w:pStyle w:val="TOC2"/>
            <w:tabs>
              <w:tab w:val="right" w:leader="dot" w:pos="9350"/>
            </w:tabs>
            <w:ind w:left="0"/>
            <w:rPr>
              <w:noProof/>
            </w:rPr>
          </w:pPr>
          <w:hyperlink w:anchor="_Toc220581203" w:history="1">
            <w:r w:rsidRPr="002646F8">
              <w:rPr>
                <w:rStyle w:val="Hyperlink"/>
                <w:noProof/>
              </w:rPr>
              <w:t>Conclusion</w:t>
            </w:r>
            <w:r>
              <w:rPr>
                <w:noProof/>
                <w:webHidden/>
              </w:rPr>
              <w:tab/>
            </w:r>
            <w:r w:rsidR="00A11962">
              <w:rPr>
                <w:noProof/>
                <w:webHidden/>
              </w:rPr>
              <w:t>9</w:t>
            </w:r>
          </w:hyperlink>
        </w:p>
        <w:p w14:paraId="1031A1F5" w14:textId="787301EF" w:rsidR="004F34F6" w:rsidRDefault="004F34F6">
          <w:pPr>
            <w:pStyle w:val="TOC1"/>
            <w:tabs>
              <w:tab w:val="right" w:leader="dot" w:pos="9350"/>
            </w:tabs>
          </w:pPr>
          <w:hyperlink w:anchor="_Toc220581204" w:history="1">
            <w:r w:rsidRPr="002646F8">
              <w:rPr>
                <w:rStyle w:val="Hyperlink"/>
                <w:noProof/>
                <w:shd w:val="clear" w:color="auto" w:fill="FFFFFF"/>
              </w:rPr>
              <w:t>References</w:t>
            </w:r>
            <w:r>
              <w:rPr>
                <w:noProof/>
                <w:webHidden/>
              </w:rPr>
              <w:tab/>
            </w:r>
            <w:r w:rsidR="00A11962">
              <w:rPr>
                <w:noProof/>
                <w:webHidden/>
              </w:rPr>
              <w:t>10</w:t>
            </w:r>
          </w:hyperlink>
          <w:r w:rsidR="001114B9">
            <w:t>/11</w:t>
          </w:r>
        </w:p>
        <w:p w14:paraId="593F0ECF" w14:textId="77777777" w:rsidR="001114B9" w:rsidRPr="001114B9" w:rsidRDefault="001114B9" w:rsidP="001114B9"/>
        <w:p w14:paraId="5B1EFD48" w14:textId="77777777" w:rsidR="004F34F6" w:rsidRDefault="004F34F6">
          <w:r>
            <w:rPr>
              <w:b/>
              <w:bCs/>
              <w:noProof/>
            </w:rPr>
            <w:fldChar w:fldCharType="end"/>
          </w:r>
        </w:p>
      </w:sdtContent>
    </w:sdt>
    <w:p w14:paraId="4EE7A5B9" w14:textId="77777777" w:rsidR="00CE0969" w:rsidRDefault="00CE0969" w:rsidP="00CE0969">
      <w:pPr>
        <w:spacing w:line="276" w:lineRule="auto"/>
        <w:jc w:val="center"/>
      </w:pPr>
      <w:r>
        <w:br w:type="page"/>
      </w:r>
    </w:p>
    <w:p w14:paraId="27CD79A2" w14:textId="77777777" w:rsidR="00A127E7" w:rsidRDefault="00CE0969" w:rsidP="00CE0969">
      <w:pPr>
        <w:pStyle w:val="Heading1"/>
      </w:pPr>
      <w:bookmarkStart w:id="0" w:name="_Toc220581190"/>
      <w:r w:rsidRPr="00CE0969">
        <w:lastRenderedPageBreak/>
        <w:t xml:space="preserve">Task 1: </w:t>
      </w:r>
      <w:r>
        <w:t>P</w:t>
      </w:r>
      <w:r w:rsidRPr="00CE0969">
        <w:t>oster</w:t>
      </w:r>
      <w:bookmarkEnd w:id="0"/>
    </w:p>
    <w:p w14:paraId="10C00403" w14:textId="77777777" w:rsidR="00CE0969" w:rsidRDefault="00CE0969" w:rsidP="00CE0969">
      <w:pPr>
        <w:rPr>
          <w:b/>
        </w:rPr>
      </w:pPr>
      <w:r w:rsidRPr="00CE0969">
        <w:rPr>
          <w:b/>
        </w:rPr>
        <w:t>Community Mental Health Services (CMHS)</w:t>
      </w:r>
    </w:p>
    <w:p w14:paraId="4184FD7A" w14:textId="09927769" w:rsidR="00B133A6" w:rsidRDefault="002C1B31" w:rsidP="00B133A6">
      <w:pPr>
        <w:rPr>
          <w:rFonts w:ascii="Arial" w:hAnsi="Arial" w:cs="Arial"/>
          <w:szCs w:val="24"/>
        </w:rPr>
      </w:pPr>
      <w:bookmarkStart w:id="1" w:name="_Toc220581191"/>
      <w:r>
        <w:rPr>
          <w:rFonts w:ascii="Arial" w:hAnsi="Arial" w:cs="Arial"/>
          <w:noProof/>
          <w:szCs w:val="24"/>
        </w:rPr>
        <w:drawing>
          <wp:inline distT="0" distB="0" distL="0" distR="0" wp14:anchorId="14EE4418" wp14:editId="08E9BA08">
            <wp:extent cx="5944235" cy="4425950"/>
            <wp:effectExtent l="0" t="0" r="0" b="0"/>
            <wp:docPr id="1481131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4425950"/>
                    </a:xfrm>
                    <a:prstGeom prst="rect">
                      <a:avLst/>
                    </a:prstGeom>
                    <a:noFill/>
                  </pic:spPr>
                </pic:pic>
              </a:graphicData>
            </a:graphic>
          </wp:inline>
        </w:drawing>
      </w:r>
    </w:p>
    <w:p w14:paraId="75E189BD" w14:textId="77777777" w:rsidR="00B133A6" w:rsidRDefault="00B133A6" w:rsidP="00B133A6">
      <w:pPr>
        <w:rPr>
          <w:rFonts w:ascii="Arial" w:hAnsi="Arial" w:cs="Arial"/>
          <w:szCs w:val="24"/>
        </w:rPr>
      </w:pPr>
    </w:p>
    <w:p w14:paraId="5F158EB8" w14:textId="77777777" w:rsidR="00944B3E" w:rsidRDefault="00CE0969" w:rsidP="00B133A6">
      <w:pPr>
        <w:rPr>
          <w:b/>
          <w:sz w:val="28"/>
          <w:szCs w:val="28"/>
        </w:rPr>
      </w:pPr>
      <w:r w:rsidRPr="001C0B93">
        <w:rPr>
          <w:rFonts w:ascii="Arial" w:hAnsi="Arial" w:cs="Arial"/>
          <w:sz w:val="28"/>
          <w:szCs w:val="28"/>
        </w:rPr>
        <w:t>Introduction</w:t>
      </w:r>
      <w:bookmarkEnd w:id="1"/>
    </w:p>
    <w:p w14:paraId="14E9489D" w14:textId="77777777" w:rsidR="00944B3E" w:rsidRDefault="00F35426" w:rsidP="000515B1">
      <w:pPr>
        <w:rPr>
          <w:b/>
          <w:sz w:val="28"/>
          <w:szCs w:val="28"/>
        </w:rPr>
      </w:pPr>
      <w:r w:rsidRPr="00F35426">
        <w:t xml:space="preserve">Community Mental Health Services (CMHS) refers to a segment of the UK health and social care system, which is intended to assist patients with mental health conditions, not in hospitals. These services are designed to provide care that is not exclusive, long-term oriented at recovery, not short-term crisis management. CMHS is vital in minimising hospitalisation, promoting self-sufficiency, and empowering service users to have social contacts, jobs, and houses. Community-based care is however, regarded as progressive although its success largely relies on sufficient resources, </w:t>
      </w:r>
      <w:r w:rsidR="00D022C2" w:rsidRPr="00F35426">
        <w:t>and coordinated</w:t>
      </w:r>
      <w:r w:rsidRPr="00F35426">
        <w:t xml:space="preserve"> working and constant service delivery. This poster is a critical analysis </w:t>
      </w:r>
      <w:r w:rsidRPr="00F35426">
        <w:lastRenderedPageBreak/>
        <w:t>of the role, formation, and actual functioning of Mental Health Services Community and the main challenges.</w:t>
      </w:r>
      <w:bookmarkStart w:id="2" w:name="_Toc220581192"/>
    </w:p>
    <w:p w14:paraId="3522EE2B" w14:textId="77777777" w:rsidR="00944B3E" w:rsidRDefault="00944B3E" w:rsidP="000515B1">
      <w:pPr>
        <w:rPr>
          <w:b/>
          <w:sz w:val="28"/>
          <w:szCs w:val="28"/>
        </w:rPr>
      </w:pPr>
    </w:p>
    <w:p w14:paraId="47C183E2" w14:textId="549361FC" w:rsidR="00944B3E" w:rsidRPr="00944B3E" w:rsidRDefault="00CE0969" w:rsidP="000515B1">
      <w:pPr>
        <w:rPr>
          <w:b/>
          <w:sz w:val="28"/>
          <w:szCs w:val="28"/>
        </w:rPr>
      </w:pPr>
      <w:r w:rsidRPr="001C0B93">
        <w:rPr>
          <w:rFonts w:ascii="Arial" w:hAnsi="Arial" w:cs="Arial"/>
          <w:sz w:val="28"/>
          <w:szCs w:val="28"/>
        </w:rPr>
        <w:t>Explanation of Community Mental Health Services</w:t>
      </w:r>
      <w:bookmarkEnd w:id="2"/>
    </w:p>
    <w:p w14:paraId="602657F2" w14:textId="407D98FE" w:rsidR="00BF1D4B" w:rsidRPr="00944B3E" w:rsidRDefault="00BF1D4B" w:rsidP="000515B1">
      <w:pPr>
        <w:rPr>
          <w:sz w:val="28"/>
          <w:szCs w:val="28"/>
        </w:rPr>
      </w:pPr>
      <w:r w:rsidRPr="00C83B4F">
        <w:rPr>
          <w:rFonts w:ascii="Arial" w:hAnsi="Arial" w:cs="Arial"/>
          <w:szCs w:val="24"/>
        </w:rPr>
        <w:t>Community Mental Health Services offer systematic mental health care to individuals in society experiencing moderate and severe mental complications. Contrary to the inpatient services, CMHS is about assisting individuals in their daily environments, as recovery is strongly associated with social stability, meaningful activity and connection with the community</w:t>
      </w:r>
      <w:r w:rsidR="00A8570E" w:rsidRPr="00C83B4F">
        <w:rPr>
          <w:rFonts w:ascii="Arial" w:hAnsi="Arial" w:cs="Arial"/>
          <w:szCs w:val="24"/>
        </w:rPr>
        <w:t xml:space="preserve"> </w:t>
      </w:r>
      <w:r w:rsidR="00A8570E" w:rsidRPr="00C83B4F">
        <w:rPr>
          <w:rFonts w:ascii="Arial" w:hAnsi="Arial" w:cs="Arial"/>
          <w:color w:val="222222"/>
          <w:szCs w:val="24"/>
          <w:shd w:val="clear" w:color="auto" w:fill="FFFFFF"/>
        </w:rPr>
        <w:t>(Harvey et al., 2023)</w:t>
      </w:r>
      <w:r w:rsidRPr="00C83B4F">
        <w:rPr>
          <w:rFonts w:ascii="Arial" w:hAnsi="Arial" w:cs="Arial"/>
          <w:szCs w:val="24"/>
        </w:rPr>
        <w:t>.</w:t>
      </w:r>
    </w:p>
    <w:p w14:paraId="3A08D214" w14:textId="6D8D0501" w:rsidR="00BF1D4B" w:rsidRPr="00C83B4F" w:rsidRDefault="00BF1D4B" w:rsidP="000515B1">
      <w:pPr>
        <w:rPr>
          <w:rFonts w:ascii="Arial" w:hAnsi="Arial" w:cs="Arial"/>
          <w:szCs w:val="24"/>
        </w:rPr>
      </w:pPr>
      <w:r w:rsidRPr="00C83B4F">
        <w:rPr>
          <w:rFonts w:ascii="Arial" w:hAnsi="Arial" w:cs="Arial"/>
          <w:szCs w:val="24"/>
        </w:rPr>
        <w:t xml:space="preserve">CMHS deals with patients with schizophrenia, bipolar disorders, severe depression, and multifaceted anxieties. Multidisciplinary teams provide </w:t>
      </w:r>
      <w:r w:rsidR="00D129AA" w:rsidRPr="00C83B4F">
        <w:rPr>
          <w:rFonts w:ascii="Arial" w:hAnsi="Arial" w:cs="Arial"/>
          <w:szCs w:val="24"/>
        </w:rPr>
        <w:t>services</w:t>
      </w:r>
      <w:r w:rsidRPr="00C83B4F">
        <w:rPr>
          <w:rFonts w:ascii="Arial" w:hAnsi="Arial" w:cs="Arial"/>
          <w:szCs w:val="24"/>
        </w:rPr>
        <w:t xml:space="preserve"> such as community psychiatric nurses, social workers, psychiatrists, psychologists, and occupational therapists. Both specialists bring professional knowledge to the care, and thus, both clinical and social requirements are addressed</w:t>
      </w:r>
      <w:r w:rsidR="00B14386" w:rsidRPr="00C83B4F">
        <w:rPr>
          <w:rFonts w:ascii="Arial" w:hAnsi="Arial" w:cs="Arial"/>
          <w:szCs w:val="24"/>
        </w:rPr>
        <w:t xml:space="preserve"> </w:t>
      </w:r>
      <w:r w:rsidR="00B14386" w:rsidRPr="00C83B4F">
        <w:rPr>
          <w:rFonts w:ascii="Arial" w:hAnsi="Arial" w:cs="Arial"/>
          <w:color w:val="222222"/>
          <w:szCs w:val="24"/>
          <w:shd w:val="clear" w:color="auto" w:fill="FFFFFF"/>
        </w:rPr>
        <w:t>(Arajärvi et al., 2025)</w:t>
      </w:r>
      <w:r w:rsidRPr="00C83B4F">
        <w:rPr>
          <w:rFonts w:ascii="Arial" w:hAnsi="Arial" w:cs="Arial"/>
          <w:szCs w:val="24"/>
        </w:rPr>
        <w:t>.</w:t>
      </w:r>
    </w:p>
    <w:p w14:paraId="1F6C7F38" w14:textId="27B0BB1C" w:rsidR="00681B02" w:rsidRDefault="00BF1D4B" w:rsidP="000515B1">
      <w:pPr>
        <w:rPr>
          <w:rFonts w:ascii="Arial" w:hAnsi="Arial" w:cs="Arial"/>
          <w:szCs w:val="24"/>
        </w:rPr>
      </w:pPr>
      <w:r w:rsidRPr="00C83B4F">
        <w:rPr>
          <w:rFonts w:ascii="Arial" w:hAnsi="Arial" w:cs="Arial"/>
          <w:szCs w:val="24"/>
        </w:rPr>
        <w:t>The main strength of CMHS is its holistic approach. Support does not only apply to the management of symptoms, but also assists with aid in housing, employment, benefits, and the skills of daily living</w:t>
      </w:r>
      <w:r w:rsidR="00553DB3" w:rsidRPr="00C83B4F">
        <w:rPr>
          <w:rFonts w:ascii="Arial" w:hAnsi="Arial" w:cs="Arial"/>
          <w:szCs w:val="24"/>
        </w:rPr>
        <w:t xml:space="preserve"> </w:t>
      </w:r>
      <w:r w:rsidR="00553DB3" w:rsidRPr="00C83B4F">
        <w:rPr>
          <w:rFonts w:ascii="Arial" w:hAnsi="Arial" w:cs="Arial"/>
          <w:color w:val="222222"/>
          <w:szCs w:val="24"/>
          <w:shd w:val="clear" w:color="auto" w:fill="FFFFFF"/>
        </w:rPr>
        <w:t>(Cui, 2024)</w:t>
      </w:r>
      <w:r w:rsidRPr="00C83B4F">
        <w:rPr>
          <w:rFonts w:ascii="Arial" w:hAnsi="Arial" w:cs="Arial"/>
          <w:szCs w:val="24"/>
        </w:rPr>
        <w:t xml:space="preserve">. Nonetheless, not all regions have the same level of performance </w:t>
      </w:r>
      <w:r w:rsidR="00C13B9A" w:rsidRPr="00C83B4F">
        <w:rPr>
          <w:rFonts w:ascii="Arial" w:hAnsi="Arial" w:cs="Arial"/>
          <w:szCs w:val="24"/>
        </w:rPr>
        <w:t>as</w:t>
      </w:r>
      <w:r w:rsidRPr="00C83B4F">
        <w:rPr>
          <w:rFonts w:ascii="Arial" w:hAnsi="Arial" w:cs="Arial"/>
          <w:szCs w:val="24"/>
        </w:rPr>
        <w:t xml:space="preserve"> such an approach, as the number and quality of </w:t>
      </w:r>
      <w:r w:rsidR="00E97249" w:rsidRPr="00C83B4F">
        <w:rPr>
          <w:rFonts w:ascii="Arial" w:hAnsi="Arial" w:cs="Arial"/>
          <w:szCs w:val="24"/>
        </w:rPr>
        <w:t>services provided</w:t>
      </w:r>
      <w:r w:rsidR="00EF628E">
        <w:rPr>
          <w:rFonts w:ascii="Arial" w:hAnsi="Arial" w:cs="Arial"/>
          <w:szCs w:val="24"/>
        </w:rPr>
        <w:t xml:space="preserve"> </w:t>
      </w:r>
      <w:r w:rsidR="002C3765" w:rsidRPr="00C83B4F">
        <w:rPr>
          <w:rFonts w:ascii="Arial" w:hAnsi="Arial" w:cs="Arial"/>
          <w:szCs w:val="24"/>
        </w:rPr>
        <w:t>depends</w:t>
      </w:r>
      <w:r w:rsidRPr="00C83B4F">
        <w:rPr>
          <w:rFonts w:ascii="Arial" w:hAnsi="Arial" w:cs="Arial"/>
          <w:szCs w:val="24"/>
        </w:rPr>
        <w:t xml:space="preserve"> largely on local budget funding and the workforce.</w:t>
      </w:r>
      <w:bookmarkStart w:id="3" w:name="_Toc220581193"/>
    </w:p>
    <w:p w14:paraId="1DC752B5" w14:textId="77777777" w:rsidR="00681B02" w:rsidRDefault="00681B02" w:rsidP="000515B1">
      <w:pPr>
        <w:rPr>
          <w:rFonts w:ascii="Arial" w:hAnsi="Arial" w:cs="Arial"/>
          <w:szCs w:val="24"/>
        </w:rPr>
      </w:pPr>
    </w:p>
    <w:p w14:paraId="578EF96D" w14:textId="205952B9" w:rsidR="00944B3E" w:rsidRPr="00944B3E" w:rsidRDefault="00CE0969" w:rsidP="000515B1">
      <w:pPr>
        <w:rPr>
          <w:rFonts w:ascii="Arial" w:hAnsi="Arial" w:cs="Arial"/>
          <w:szCs w:val="24"/>
        </w:rPr>
      </w:pPr>
      <w:r w:rsidRPr="00C13B9A">
        <w:rPr>
          <w:rFonts w:ascii="Arial" w:hAnsi="Arial" w:cs="Arial"/>
          <w:sz w:val="28"/>
          <w:szCs w:val="28"/>
        </w:rPr>
        <w:t>Brief History of Community Mental Health Services</w:t>
      </w:r>
      <w:bookmarkEnd w:id="3"/>
    </w:p>
    <w:p w14:paraId="768483FA" w14:textId="0FEB7909" w:rsidR="001D4DB9" w:rsidRPr="00944B3E" w:rsidRDefault="001D4DB9" w:rsidP="000515B1">
      <w:pPr>
        <w:rPr>
          <w:rFonts w:ascii="Arial" w:hAnsi="Arial" w:cs="Arial"/>
          <w:sz w:val="28"/>
          <w:szCs w:val="28"/>
        </w:rPr>
      </w:pPr>
      <w:r w:rsidRPr="00C83B4F">
        <w:rPr>
          <w:rFonts w:ascii="Arial" w:hAnsi="Arial" w:cs="Arial"/>
          <w:szCs w:val="24"/>
        </w:rPr>
        <w:t xml:space="preserve">Historically, the UK mental health care was led by institutionalisation, whereby an individual was admitted to a long-stay psychiatric institution where he or she was usually permanently kept. The poor living conditions, low therapeutic value and social isolation were </w:t>
      </w:r>
      <w:r w:rsidR="00383C26" w:rsidRPr="00C83B4F">
        <w:rPr>
          <w:rFonts w:ascii="Arial" w:hAnsi="Arial" w:cs="Arial"/>
          <w:szCs w:val="24"/>
        </w:rPr>
        <w:t>criticized</w:t>
      </w:r>
      <w:r w:rsidRPr="00C83B4F">
        <w:rPr>
          <w:rFonts w:ascii="Arial" w:hAnsi="Arial" w:cs="Arial"/>
          <w:szCs w:val="24"/>
        </w:rPr>
        <w:t xml:space="preserve"> in these institutions.</w:t>
      </w:r>
    </w:p>
    <w:p w14:paraId="54C805DB" w14:textId="3261A345" w:rsidR="001D4DB9" w:rsidRPr="00C83B4F" w:rsidRDefault="001D4DB9" w:rsidP="000515B1">
      <w:pPr>
        <w:rPr>
          <w:rFonts w:ascii="Arial" w:hAnsi="Arial" w:cs="Arial"/>
          <w:szCs w:val="24"/>
        </w:rPr>
      </w:pPr>
      <w:r w:rsidRPr="00C83B4F">
        <w:rPr>
          <w:rFonts w:ascii="Arial" w:hAnsi="Arial" w:cs="Arial"/>
          <w:szCs w:val="24"/>
        </w:rPr>
        <w:lastRenderedPageBreak/>
        <w:t xml:space="preserve">Community care started to emerge in the mid-20th century due to the development of the new attitude to human rights and the invention of effective psychiatric drugs. The Mental Health Act 1959 advocated alternative treatment outside of hospital </w:t>
      </w:r>
      <w:r w:rsidR="00C56A68" w:rsidRPr="00C83B4F">
        <w:rPr>
          <w:rFonts w:ascii="Arial" w:hAnsi="Arial" w:cs="Arial"/>
          <w:szCs w:val="24"/>
        </w:rPr>
        <w:t>care</w:t>
      </w:r>
      <w:r w:rsidRPr="00C83B4F">
        <w:rPr>
          <w:rFonts w:ascii="Arial" w:hAnsi="Arial" w:cs="Arial"/>
          <w:szCs w:val="24"/>
        </w:rPr>
        <w:t xml:space="preserve"> and this treatment </w:t>
      </w:r>
      <w:r w:rsidR="00E54904" w:rsidRPr="00C83B4F">
        <w:rPr>
          <w:rFonts w:ascii="Arial" w:hAnsi="Arial" w:cs="Arial"/>
          <w:szCs w:val="24"/>
        </w:rPr>
        <w:t>was</w:t>
      </w:r>
      <w:r w:rsidRPr="00C83B4F">
        <w:rPr>
          <w:rFonts w:ascii="Arial" w:hAnsi="Arial" w:cs="Arial"/>
          <w:szCs w:val="24"/>
        </w:rPr>
        <w:t xml:space="preserve"> supported by </w:t>
      </w:r>
      <w:r w:rsidR="00683798" w:rsidRPr="00C83B4F">
        <w:rPr>
          <w:rFonts w:ascii="Arial" w:hAnsi="Arial" w:cs="Arial"/>
          <w:szCs w:val="24"/>
        </w:rPr>
        <w:t>Care</w:t>
      </w:r>
      <w:r w:rsidRPr="00C83B4F">
        <w:rPr>
          <w:rFonts w:ascii="Arial" w:hAnsi="Arial" w:cs="Arial"/>
          <w:szCs w:val="24"/>
        </w:rPr>
        <w:t xml:space="preserve"> in the Community policy of the 1980s and 1990s. </w:t>
      </w:r>
      <w:r w:rsidR="00E54904" w:rsidRPr="00C83B4F">
        <w:rPr>
          <w:rFonts w:ascii="Arial" w:hAnsi="Arial" w:cs="Arial"/>
          <w:szCs w:val="24"/>
        </w:rPr>
        <w:t>Mega patients</w:t>
      </w:r>
      <w:r w:rsidRPr="00C83B4F">
        <w:rPr>
          <w:rFonts w:ascii="Arial" w:hAnsi="Arial" w:cs="Arial"/>
          <w:szCs w:val="24"/>
        </w:rPr>
        <w:t xml:space="preserve"> asylum </w:t>
      </w:r>
      <w:r w:rsidR="00E54904" w:rsidRPr="00C83B4F">
        <w:rPr>
          <w:rFonts w:ascii="Arial" w:hAnsi="Arial" w:cs="Arial"/>
          <w:szCs w:val="24"/>
        </w:rPr>
        <w:t>centers</w:t>
      </w:r>
      <w:r w:rsidRPr="00C83B4F">
        <w:rPr>
          <w:rFonts w:ascii="Arial" w:hAnsi="Arial" w:cs="Arial"/>
          <w:szCs w:val="24"/>
        </w:rPr>
        <w:t xml:space="preserve"> were shut, and care was transferred to community services</w:t>
      </w:r>
      <w:r w:rsidR="00683798">
        <w:rPr>
          <w:rFonts w:ascii="Arial" w:hAnsi="Arial" w:cs="Arial"/>
          <w:szCs w:val="24"/>
        </w:rPr>
        <w:t xml:space="preserve"> </w:t>
      </w:r>
      <w:r w:rsidR="002B2128" w:rsidRPr="00C83B4F">
        <w:rPr>
          <w:rFonts w:ascii="Arial" w:hAnsi="Arial" w:cs="Arial"/>
          <w:color w:val="222222"/>
          <w:szCs w:val="24"/>
          <w:shd w:val="clear" w:color="auto" w:fill="FFFFFF"/>
        </w:rPr>
        <w:t>(Laing, 2023)</w:t>
      </w:r>
      <w:r w:rsidRPr="00C83B4F">
        <w:rPr>
          <w:rFonts w:ascii="Arial" w:hAnsi="Arial" w:cs="Arial"/>
          <w:szCs w:val="24"/>
        </w:rPr>
        <w:t>.</w:t>
      </w:r>
    </w:p>
    <w:p w14:paraId="47D36841" w14:textId="77777777" w:rsidR="006812E6" w:rsidRDefault="001D4DB9" w:rsidP="00D672DE">
      <w:pPr>
        <w:rPr>
          <w:rFonts w:ascii="Arial" w:hAnsi="Arial" w:cs="Arial"/>
          <w:szCs w:val="24"/>
        </w:rPr>
      </w:pPr>
      <w:r w:rsidRPr="00C83B4F">
        <w:rPr>
          <w:rFonts w:ascii="Arial" w:hAnsi="Arial" w:cs="Arial"/>
          <w:szCs w:val="24"/>
        </w:rPr>
        <w:t>Although this transition was a move to enhance better living conditions, it did not necessarily receive adequate investment. Due to this, CMHS emerged unevenly, with certain services failing to respond well to complicated needs due to the inadequate resources</w:t>
      </w:r>
      <w:r w:rsidR="00460445" w:rsidRPr="00C83B4F">
        <w:rPr>
          <w:rFonts w:ascii="Arial" w:hAnsi="Arial" w:cs="Arial"/>
          <w:szCs w:val="24"/>
        </w:rPr>
        <w:t xml:space="preserve"> </w:t>
      </w:r>
      <w:r w:rsidR="00460445" w:rsidRPr="00C83B4F">
        <w:rPr>
          <w:rFonts w:ascii="Arial" w:hAnsi="Arial" w:cs="Arial"/>
          <w:color w:val="222222"/>
          <w:szCs w:val="24"/>
          <w:shd w:val="clear" w:color="auto" w:fill="FFFFFF"/>
        </w:rPr>
        <w:t>(Barnes et al., 2026)</w:t>
      </w:r>
      <w:r w:rsidRPr="00C83B4F">
        <w:rPr>
          <w:rFonts w:ascii="Arial" w:hAnsi="Arial" w:cs="Arial"/>
          <w:szCs w:val="24"/>
        </w:rPr>
        <w:t xml:space="preserve">. This historical under-investment has continued to </w:t>
      </w:r>
      <w:r w:rsidR="00503F43" w:rsidRPr="00C83B4F">
        <w:rPr>
          <w:rFonts w:ascii="Arial" w:hAnsi="Arial" w:cs="Arial"/>
          <w:szCs w:val="24"/>
        </w:rPr>
        <w:t>impact on</w:t>
      </w:r>
      <w:r w:rsidRPr="00C83B4F">
        <w:rPr>
          <w:rFonts w:ascii="Arial" w:hAnsi="Arial" w:cs="Arial"/>
          <w:szCs w:val="24"/>
        </w:rPr>
        <w:t xml:space="preserve"> </w:t>
      </w:r>
      <w:r w:rsidR="00D672DE" w:rsidRPr="00C83B4F">
        <w:rPr>
          <w:rFonts w:ascii="Arial" w:hAnsi="Arial" w:cs="Arial"/>
          <w:szCs w:val="24"/>
        </w:rPr>
        <w:t>present delivery service</w:t>
      </w:r>
      <w:r w:rsidRPr="00C83B4F">
        <w:rPr>
          <w:rFonts w:ascii="Arial" w:hAnsi="Arial" w:cs="Arial"/>
          <w:szCs w:val="24"/>
        </w:rPr>
        <w:t>.</w:t>
      </w:r>
      <w:bookmarkStart w:id="4" w:name="_Toc220581194"/>
    </w:p>
    <w:p w14:paraId="5DC99394" w14:textId="77777777" w:rsidR="006812E6" w:rsidRDefault="006812E6" w:rsidP="00D672DE">
      <w:pPr>
        <w:rPr>
          <w:rFonts w:ascii="Arial" w:hAnsi="Arial" w:cs="Arial"/>
          <w:szCs w:val="24"/>
        </w:rPr>
      </w:pPr>
    </w:p>
    <w:p w14:paraId="39C6A73F" w14:textId="14536154" w:rsidR="00CE0969" w:rsidRPr="006812E6" w:rsidRDefault="00CE0969" w:rsidP="00D672DE">
      <w:pPr>
        <w:rPr>
          <w:rFonts w:ascii="Arial" w:hAnsi="Arial" w:cs="Arial"/>
          <w:szCs w:val="24"/>
        </w:rPr>
      </w:pPr>
      <w:r w:rsidRPr="008D3CB1">
        <w:rPr>
          <w:rFonts w:ascii="Arial" w:hAnsi="Arial" w:cs="Arial"/>
          <w:sz w:val="28"/>
          <w:szCs w:val="28"/>
        </w:rPr>
        <w:t>Current Functioning of Community Mental Health Services</w:t>
      </w:r>
      <w:bookmarkEnd w:id="4"/>
    </w:p>
    <w:p w14:paraId="150ADF66" w14:textId="567630E7" w:rsidR="00FF4D75" w:rsidRPr="00C83B4F" w:rsidRDefault="00FF4D75" w:rsidP="000515B1">
      <w:pPr>
        <w:rPr>
          <w:rFonts w:ascii="Arial" w:hAnsi="Arial" w:cs="Arial"/>
          <w:szCs w:val="24"/>
        </w:rPr>
      </w:pPr>
      <w:r w:rsidRPr="00C83B4F">
        <w:rPr>
          <w:rFonts w:ascii="Arial" w:hAnsi="Arial" w:cs="Arial"/>
          <w:szCs w:val="24"/>
        </w:rPr>
        <w:t xml:space="preserve">CMHS currently collaborates frequently with NHS and local authority systems, as well as with voluntary and third-sector organisations. The services are typically accessed </w:t>
      </w:r>
      <w:r w:rsidR="00C56FFC" w:rsidRPr="00C83B4F">
        <w:rPr>
          <w:rFonts w:ascii="Arial" w:hAnsi="Arial" w:cs="Arial"/>
          <w:szCs w:val="24"/>
        </w:rPr>
        <w:t>by</w:t>
      </w:r>
      <w:r w:rsidRPr="00C83B4F">
        <w:rPr>
          <w:rFonts w:ascii="Arial" w:hAnsi="Arial" w:cs="Arial"/>
          <w:szCs w:val="24"/>
        </w:rPr>
        <w:t xml:space="preserve"> a GP or hospital, which may pose challenges for individuals who find it difficult to interact with primary care.</w:t>
      </w:r>
    </w:p>
    <w:p w14:paraId="5D2918C8" w14:textId="38FC1695" w:rsidR="00FF4D75" w:rsidRPr="00C83B4F" w:rsidRDefault="00FF4D75" w:rsidP="000515B1">
      <w:pPr>
        <w:rPr>
          <w:rFonts w:ascii="Arial" w:hAnsi="Arial" w:cs="Arial"/>
          <w:szCs w:val="24"/>
        </w:rPr>
      </w:pPr>
      <w:r w:rsidRPr="00C83B4F">
        <w:rPr>
          <w:rFonts w:ascii="Arial" w:hAnsi="Arial" w:cs="Arial"/>
          <w:szCs w:val="24"/>
        </w:rPr>
        <w:t xml:space="preserve">Service users </w:t>
      </w:r>
      <w:r w:rsidR="00454D98">
        <w:rPr>
          <w:rFonts w:ascii="Arial" w:hAnsi="Arial" w:cs="Arial"/>
          <w:szCs w:val="24"/>
        </w:rPr>
        <w:t>un</w:t>
      </w:r>
      <w:r w:rsidR="00F25523">
        <w:rPr>
          <w:rFonts w:ascii="Arial" w:hAnsi="Arial" w:cs="Arial"/>
          <w:szCs w:val="24"/>
        </w:rPr>
        <w:t>dergo a</w:t>
      </w:r>
      <w:r w:rsidR="00B23F4C">
        <w:rPr>
          <w:rFonts w:ascii="Arial" w:hAnsi="Arial" w:cs="Arial"/>
          <w:szCs w:val="24"/>
        </w:rPr>
        <w:t xml:space="preserve">n </w:t>
      </w:r>
      <w:r w:rsidR="000E5DF1">
        <w:rPr>
          <w:rFonts w:ascii="Arial" w:hAnsi="Arial" w:cs="Arial"/>
          <w:szCs w:val="24"/>
        </w:rPr>
        <w:t xml:space="preserve">extensive </w:t>
      </w:r>
      <w:r w:rsidR="000E5DF1" w:rsidRPr="00C83B4F">
        <w:rPr>
          <w:rFonts w:ascii="Arial" w:hAnsi="Arial" w:cs="Arial"/>
          <w:szCs w:val="24"/>
        </w:rPr>
        <w:t>assessment</w:t>
      </w:r>
      <w:r w:rsidR="00D64FF4">
        <w:rPr>
          <w:rFonts w:ascii="Arial" w:hAnsi="Arial" w:cs="Arial"/>
          <w:szCs w:val="24"/>
        </w:rPr>
        <w:t xml:space="preserve"> </w:t>
      </w:r>
      <w:r w:rsidR="00E86ECA">
        <w:rPr>
          <w:rFonts w:ascii="Arial" w:hAnsi="Arial" w:cs="Arial"/>
          <w:szCs w:val="24"/>
        </w:rPr>
        <w:t>to identify their</w:t>
      </w:r>
      <w:r w:rsidR="006F682F">
        <w:rPr>
          <w:rFonts w:ascii="Arial" w:hAnsi="Arial" w:cs="Arial"/>
          <w:szCs w:val="24"/>
        </w:rPr>
        <w:t xml:space="preserve"> mental health needs</w:t>
      </w:r>
      <w:r w:rsidR="002856FB">
        <w:rPr>
          <w:rFonts w:ascii="Arial" w:hAnsi="Arial" w:cs="Arial"/>
          <w:szCs w:val="24"/>
        </w:rPr>
        <w:t>.</w:t>
      </w:r>
      <w:r w:rsidRPr="00C83B4F">
        <w:rPr>
          <w:rFonts w:ascii="Arial" w:hAnsi="Arial" w:cs="Arial"/>
          <w:szCs w:val="24"/>
        </w:rPr>
        <w:t xml:space="preserve"> </w:t>
      </w:r>
      <w:r w:rsidR="00692B1F">
        <w:rPr>
          <w:rFonts w:ascii="Arial" w:hAnsi="Arial" w:cs="Arial"/>
          <w:szCs w:val="24"/>
        </w:rPr>
        <w:t xml:space="preserve">Based on </w:t>
      </w:r>
      <w:r w:rsidR="00EC0A60">
        <w:rPr>
          <w:rFonts w:ascii="Arial" w:hAnsi="Arial" w:cs="Arial"/>
          <w:szCs w:val="24"/>
        </w:rPr>
        <w:t xml:space="preserve">the assessment </w:t>
      </w:r>
      <w:r w:rsidR="00BD5266">
        <w:rPr>
          <w:rFonts w:ascii="Arial" w:hAnsi="Arial" w:cs="Arial"/>
          <w:szCs w:val="24"/>
        </w:rPr>
        <w:t xml:space="preserve">a </w:t>
      </w:r>
      <w:r w:rsidRPr="00C83B4F">
        <w:rPr>
          <w:rFonts w:ascii="Arial" w:hAnsi="Arial" w:cs="Arial"/>
          <w:szCs w:val="24"/>
        </w:rPr>
        <w:t xml:space="preserve">custom care plans </w:t>
      </w:r>
      <w:r w:rsidR="00B26FFB">
        <w:rPr>
          <w:rFonts w:ascii="Arial" w:hAnsi="Arial" w:cs="Arial"/>
          <w:szCs w:val="24"/>
        </w:rPr>
        <w:t>are</w:t>
      </w:r>
      <w:r w:rsidR="00FE3628">
        <w:rPr>
          <w:rFonts w:ascii="Arial" w:hAnsi="Arial" w:cs="Arial"/>
          <w:szCs w:val="24"/>
        </w:rPr>
        <w:t xml:space="preserve"> develo</w:t>
      </w:r>
      <w:r w:rsidR="005F6C3A">
        <w:rPr>
          <w:rFonts w:ascii="Arial" w:hAnsi="Arial" w:cs="Arial"/>
          <w:szCs w:val="24"/>
        </w:rPr>
        <w:t>ped to g</w:t>
      </w:r>
      <w:r w:rsidR="007175FF">
        <w:rPr>
          <w:rFonts w:ascii="Arial" w:hAnsi="Arial" w:cs="Arial"/>
          <w:szCs w:val="24"/>
        </w:rPr>
        <w:t>uide support and treatment</w:t>
      </w:r>
      <w:r w:rsidR="00D77FD3">
        <w:rPr>
          <w:rFonts w:ascii="Arial" w:hAnsi="Arial" w:cs="Arial"/>
          <w:szCs w:val="24"/>
        </w:rPr>
        <w:t xml:space="preserve"> </w:t>
      </w:r>
      <w:r w:rsidRPr="00C83B4F">
        <w:rPr>
          <w:rFonts w:ascii="Arial" w:hAnsi="Arial" w:cs="Arial"/>
          <w:szCs w:val="24"/>
        </w:rPr>
        <w:t xml:space="preserve">upon acceptance. CMHS </w:t>
      </w:r>
      <w:r w:rsidR="0094267C">
        <w:rPr>
          <w:rFonts w:ascii="Arial" w:hAnsi="Arial" w:cs="Arial"/>
          <w:szCs w:val="24"/>
        </w:rPr>
        <w:t>prov</w:t>
      </w:r>
      <w:r w:rsidR="00E24842">
        <w:rPr>
          <w:rFonts w:ascii="Arial" w:hAnsi="Arial" w:cs="Arial"/>
          <w:szCs w:val="24"/>
        </w:rPr>
        <w:t>ides</w:t>
      </w:r>
      <w:r w:rsidRPr="00C83B4F">
        <w:rPr>
          <w:rFonts w:ascii="Arial" w:hAnsi="Arial" w:cs="Arial"/>
          <w:szCs w:val="24"/>
        </w:rPr>
        <w:t xml:space="preserve"> routine monitoring, medication supervision, psychological treatment, prevention of crisis and social support</w:t>
      </w:r>
      <w:r w:rsidR="00707ABD" w:rsidRPr="00C83B4F">
        <w:rPr>
          <w:rFonts w:ascii="Arial" w:hAnsi="Arial" w:cs="Arial"/>
          <w:szCs w:val="24"/>
        </w:rPr>
        <w:t xml:space="preserve"> </w:t>
      </w:r>
      <w:r w:rsidR="00707ABD" w:rsidRPr="00C83B4F">
        <w:rPr>
          <w:rFonts w:ascii="Arial" w:hAnsi="Arial" w:cs="Arial"/>
          <w:color w:val="222222"/>
          <w:szCs w:val="24"/>
          <w:shd w:val="clear" w:color="auto" w:fill="FFFFFF"/>
        </w:rPr>
        <w:t>(Mahdanian et al., 2023)</w:t>
      </w:r>
      <w:r w:rsidRPr="00C83B4F">
        <w:rPr>
          <w:rFonts w:ascii="Arial" w:hAnsi="Arial" w:cs="Arial"/>
          <w:szCs w:val="24"/>
        </w:rPr>
        <w:t xml:space="preserve">. The service turns </w:t>
      </w:r>
      <w:r w:rsidR="001E11F2" w:rsidRPr="00C83B4F">
        <w:rPr>
          <w:rFonts w:ascii="Arial" w:hAnsi="Arial" w:cs="Arial"/>
          <w:szCs w:val="24"/>
        </w:rPr>
        <w:t>more</w:t>
      </w:r>
      <w:r w:rsidRPr="00C83B4F">
        <w:rPr>
          <w:rFonts w:ascii="Arial" w:hAnsi="Arial" w:cs="Arial"/>
          <w:szCs w:val="24"/>
        </w:rPr>
        <w:t xml:space="preserve"> to a recovery-focused model which focuses on service user and engagement, strengths-based practice and shared decision-making.</w:t>
      </w:r>
    </w:p>
    <w:p w14:paraId="748A1C41" w14:textId="77777777" w:rsidR="006812E6" w:rsidRDefault="00FF4D75" w:rsidP="006812E6">
      <w:pPr>
        <w:rPr>
          <w:rFonts w:ascii="Arial" w:hAnsi="Arial" w:cs="Arial"/>
          <w:szCs w:val="24"/>
        </w:rPr>
      </w:pPr>
      <w:r w:rsidRPr="00C83B4F">
        <w:rPr>
          <w:rFonts w:ascii="Arial" w:hAnsi="Arial" w:cs="Arial"/>
          <w:szCs w:val="24"/>
        </w:rPr>
        <w:t xml:space="preserve">CMHS has practical constraints </w:t>
      </w:r>
      <w:r w:rsidR="006D4BEF" w:rsidRPr="00C83B4F">
        <w:rPr>
          <w:rFonts w:ascii="Arial" w:hAnsi="Arial" w:cs="Arial"/>
          <w:szCs w:val="24"/>
        </w:rPr>
        <w:t>despite</w:t>
      </w:r>
      <w:r w:rsidRPr="00C83B4F">
        <w:rPr>
          <w:rFonts w:ascii="Arial" w:hAnsi="Arial" w:cs="Arial"/>
          <w:szCs w:val="24"/>
        </w:rPr>
        <w:t xml:space="preserve"> these good principles. A large caseload tends to limit the time that the professionals can spend with each service user, and this denies them time to develop meaningful therapeutic relationships</w:t>
      </w:r>
      <w:r w:rsidR="00707ABD" w:rsidRPr="00C83B4F">
        <w:rPr>
          <w:rFonts w:ascii="Arial" w:hAnsi="Arial" w:cs="Arial"/>
          <w:szCs w:val="24"/>
        </w:rPr>
        <w:t xml:space="preserve"> </w:t>
      </w:r>
      <w:r w:rsidR="00707ABD" w:rsidRPr="00C83B4F">
        <w:rPr>
          <w:rFonts w:ascii="Arial" w:hAnsi="Arial" w:cs="Arial"/>
          <w:color w:val="222222"/>
          <w:szCs w:val="24"/>
          <w:shd w:val="clear" w:color="auto" w:fill="FFFFFF"/>
        </w:rPr>
        <w:t>(McGorry et al., 2022)</w:t>
      </w:r>
      <w:r w:rsidRPr="00C83B4F">
        <w:rPr>
          <w:rFonts w:ascii="Arial" w:hAnsi="Arial" w:cs="Arial"/>
          <w:szCs w:val="24"/>
        </w:rPr>
        <w:t>. Consequently, care can turn out to be responsive rather than preventive, aiming at risk management as opposed to facilitating a long-term recovery.</w:t>
      </w:r>
      <w:bookmarkStart w:id="5" w:name="_Toc220581195"/>
    </w:p>
    <w:p w14:paraId="38D5FBCF" w14:textId="716ACFAA" w:rsidR="00CE0969" w:rsidRPr="006812E6" w:rsidRDefault="00CE0969" w:rsidP="006812E6">
      <w:pPr>
        <w:rPr>
          <w:rFonts w:ascii="Arial" w:hAnsi="Arial" w:cs="Arial"/>
          <w:sz w:val="28"/>
          <w:szCs w:val="28"/>
        </w:rPr>
      </w:pPr>
      <w:r w:rsidRPr="006812E6">
        <w:rPr>
          <w:rFonts w:ascii="Arial" w:hAnsi="Arial" w:cs="Arial"/>
          <w:sz w:val="28"/>
          <w:szCs w:val="28"/>
        </w:rPr>
        <w:lastRenderedPageBreak/>
        <w:t>Challenges Faced by Community Mental Health Services</w:t>
      </w:r>
      <w:bookmarkEnd w:id="5"/>
    </w:p>
    <w:p w14:paraId="042A0D98" w14:textId="77777777" w:rsidR="00CE0969" w:rsidRPr="00C83B4F" w:rsidRDefault="00CE0969" w:rsidP="000515B1">
      <w:pPr>
        <w:rPr>
          <w:rFonts w:ascii="Arial" w:hAnsi="Arial" w:cs="Arial"/>
          <w:szCs w:val="24"/>
        </w:rPr>
      </w:pPr>
      <w:r w:rsidRPr="00C83B4F">
        <w:rPr>
          <w:rFonts w:ascii="Arial" w:hAnsi="Arial" w:cs="Arial"/>
          <w:szCs w:val="24"/>
        </w:rPr>
        <w:t>Challenge 1: Resource Constraints and Workforce Pressures</w:t>
      </w:r>
    </w:p>
    <w:p w14:paraId="7CA6991B" w14:textId="77777777" w:rsidR="0072466E" w:rsidRDefault="00F74FF3" w:rsidP="000515B1">
      <w:pPr>
        <w:rPr>
          <w:rFonts w:ascii="Arial" w:hAnsi="Arial" w:cs="Arial"/>
          <w:szCs w:val="24"/>
        </w:rPr>
      </w:pPr>
      <w:r w:rsidRPr="00C83B4F">
        <w:rPr>
          <w:rFonts w:ascii="Arial" w:hAnsi="Arial" w:cs="Arial"/>
          <w:szCs w:val="24"/>
        </w:rPr>
        <w:t>One of the key problems that CMHS faces is a lack of resources due to the increased demand. Raised awareness of mental health and socioeconomic strains and post-pandemic mental health demands has greatly raised the referrals</w:t>
      </w:r>
      <w:r w:rsidR="0024335F" w:rsidRPr="00C83B4F">
        <w:rPr>
          <w:rFonts w:ascii="Arial" w:hAnsi="Arial" w:cs="Arial"/>
          <w:szCs w:val="24"/>
        </w:rPr>
        <w:t xml:space="preserve"> </w:t>
      </w:r>
      <w:r w:rsidR="0024335F" w:rsidRPr="00C83B4F">
        <w:rPr>
          <w:rFonts w:ascii="Arial" w:hAnsi="Arial" w:cs="Arial"/>
          <w:color w:val="222222"/>
          <w:szCs w:val="24"/>
          <w:shd w:val="clear" w:color="auto" w:fill="FFFFFF"/>
        </w:rPr>
        <w:t>(Goh et al., 2022)</w:t>
      </w:r>
      <w:r w:rsidRPr="00C83B4F">
        <w:rPr>
          <w:rFonts w:ascii="Arial" w:hAnsi="Arial" w:cs="Arial"/>
          <w:szCs w:val="24"/>
        </w:rPr>
        <w:t xml:space="preserve">. Nevertheless, the number of staff has not </w:t>
      </w:r>
      <w:r w:rsidR="0098764A" w:rsidRPr="00C83B4F">
        <w:rPr>
          <w:rFonts w:ascii="Arial" w:hAnsi="Arial" w:cs="Arial"/>
          <w:szCs w:val="24"/>
        </w:rPr>
        <w:t>doubled</w:t>
      </w:r>
      <w:r w:rsidRPr="00C83B4F">
        <w:rPr>
          <w:rFonts w:ascii="Arial" w:hAnsi="Arial" w:cs="Arial"/>
          <w:szCs w:val="24"/>
        </w:rPr>
        <w:t xml:space="preserve"> accordingly, and burnout, staff turnover, and lower service continuity have resulted. This has direct implications towards the quality of services and the services to service users.</w:t>
      </w:r>
    </w:p>
    <w:p w14:paraId="7BE3CC2E" w14:textId="77777777" w:rsidR="0072466E" w:rsidRDefault="0072466E" w:rsidP="000515B1">
      <w:pPr>
        <w:rPr>
          <w:rFonts w:ascii="Arial" w:hAnsi="Arial" w:cs="Arial"/>
          <w:szCs w:val="24"/>
        </w:rPr>
      </w:pPr>
    </w:p>
    <w:p w14:paraId="3D067962" w14:textId="1E4C9B05" w:rsidR="00F74FF3" w:rsidRPr="00907499" w:rsidRDefault="00F74FF3" w:rsidP="000515B1">
      <w:pPr>
        <w:rPr>
          <w:rFonts w:ascii="Arial" w:hAnsi="Arial" w:cs="Arial"/>
          <w:sz w:val="28"/>
          <w:szCs w:val="28"/>
        </w:rPr>
      </w:pPr>
      <w:r w:rsidRPr="00907499">
        <w:rPr>
          <w:rFonts w:ascii="Arial" w:hAnsi="Arial" w:cs="Arial"/>
          <w:sz w:val="28"/>
          <w:szCs w:val="28"/>
        </w:rPr>
        <w:t>Challenge 2: Fragmented Care and Inequality of Access</w:t>
      </w:r>
    </w:p>
    <w:p w14:paraId="389F3B6A" w14:textId="77777777" w:rsidR="00110CDD" w:rsidRDefault="00F74FF3" w:rsidP="00FD7F77">
      <w:pPr>
        <w:rPr>
          <w:rFonts w:ascii="Arial" w:hAnsi="Arial" w:cs="Arial"/>
          <w:szCs w:val="24"/>
        </w:rPr>
      </w:pPr>
      <w:r w:rsidRPr="00C83B4F">
        <w:rPr>
          <w:rFonts w:ascii="Arial" w:hAnsi="Arial" w:cs="Arial"/>
          <w:szCs w:val="24"/>
        </w:rPr>
        <w:t>The other significant problem is incomplete care between services. CMHS frequently collaborates with social services, housing providers, voluntary organisations, and primary care. Lack of effective communication systems or poor role definitions may result in discontinuity in the support systems, looseness of redetermination processes, and unheard service users</w:t>
      </w:r>
      <w:r w:rsidR="005456C2" w:rsidRPr="00C83B4F">
        <w:rPr>
          <w:rFonts w:ascii="Arial" w:hAnsi="Arial" w:cs="Arial"/>
          <w:szCs w:val="24"/>
        </w:rPr>
        <w:t xml:space="preserve"> </w:t>
      </w:r>
      <w:r w:rsidR="005456C2" w:rsidRPr="00C83B4F">
        <w:rPr>
          <w:rFonts w:ascii="Arial" w:hAnsi="Arial" w:cs="Arial"/>
          <w:color w:val="222222"/>
          <w:szCs w:val="24"/>
          <w:shd w:val="clear" w:color="auto" w:fill="FFFFFF"/>
        </w:rPr>
        <w:t>(Weaver, 2022)</w:t>
      </w:r>
      <w:r w:rsidRPr="00C83B4F">
        <w:rPr>
          <w:rFonts w:ascii="Arial" w:hAnsi="Arial" w:cs="Arial"/>
          <w:szCs w:val="24"/>
        </w:rPr>
        <w:t>. There is also a geographical inequality in CMHS whereby people in certain regions are also better supported than others.</w:t>
      </w:r>
      <w:bookmarkStart w:id="6" w:name="_Toc220581196"/>
    </w:p>
    <w:p w14:paraId="4134C4EF" w14:textId="77777777" w:rsidR="00110CDD" w:rsidRDefault="00110CDD" w:rsidP="00FD7F77">
      <w:pPr>
        <w:rPr>
          <w:rFonts w:ascii="Arial" w:hAnsi="Arial" w:cs="Arial"/>
          <w:szCs w:val="24"/>
        </w:rPr>
      </w:pPr>
    </w:p>
    <w:p w14:paraId="00CABEA7" w14:textId="4FB72C8C" w:rsidR="00CE0969" w:rsidRPr="00110CDD" w:rsidRDefault="00CE0969" w:rsidP="00FD7F77">
      <w:pPr>
        <w:rPr>
          <w:rFonts w:ascii="Arial" w:hAnsi="Arial" w:cs="Arial"/>
          <w:sz w:val="28"/>
          <w:szCs w:val="28"/>
        </w:rPr>
      </w:pPr>
      <w:r w:rsidRPr="00110CDD">
        <w:rPr>
          <w:rFonts w:ascii="Arial" w:hAnsi="Arial" w:cs="Arial"/>
          <w:sz w:val="28"/>
          <w:szCs w:val="28"/>
        </w:rPr>
        <w:t>Conclusion</w:t>
      </w:r>
      <w:bookmarkEnd w:id="6"/>
    </w:p>
    <w:p w14:paraId="2FA3F6C2" w14:textId="77777777" w:rsidR="00C35488" w:rsidRDefault="006F65B6" w:rsidP="00C35488">
      <w:pPr>
        <w:rPr>
          <w:rFonts w:ascii="Arial" w:hAnsi="Arial" w:cs="Arial"/>
          <w:szCs w:val="24"/>
        </w:rPr>
      </w:pPr>
      <w:r w:rsidRPr="00C83B4F">
        <w:rPr>
          <w:rFonts w:ascii="Arial" w:hAnsi="Arial" w:cs="Arial"/>
          <w:szCs w:val="24"/>
        </w:rPr>
        <w:t>Community Mental Health Services constitute a major change in the institutional care to the model of mental health care that is more humane and inclusive. CMHS could enhance the long-term outcomes and the quality of life of service users by meeting both the clinical and social needs. But its effectiveness is hampered by historical underinvestment as well as the lack of workforce and disjointed service delivery. To achieve its objectives fully, CMHS needs to pay more attention to sustainable investment, combined employment, and provision across community boundaries. These systemic issues have caused a community-based mental health care approach to fail in its intended purpose in the absence of an address to them.</w:t>
      </w:r>
      <w:bookmarkStart w:id="7" w:name="_Toc220581198"/>
    </w:p>
    <w:p w14:paraId="614037BF" w14:textId="5E76F41D" w:rsidR="00202E44" w:rsidRDefault="00CE0969" w:rsidP="00202E44">
      <w:pPr>
        <w:rPr>
          <w:rFonts w:ascii="Arial" w:hAnsi="Arial" w:cs="Arial"/>
          <w:sz w:val="28"/>
          <w:szCs w:val="28"/>
        </w:rPr>
      </w:pPr>
      <w:r w:rsidRPr="00202E44">
        <w:rPr>
          <w:rFonts w:ascii="Arial" w:hAnsi="Arial" w:cs="Arial"/>
          <w:sz w:val="28"/>
          <w:szCs w:val="28"/>
        </w:rPr>
        <w:lastRenderedPageBreak/>
        <w:t>Task 2: Essay</w:t>
      </w:r>
      <w:bookmarkStart w:id="8" w:name="_Toc220581199"/>
      <w:bookmarkEnd w:id="7"/>
      <w:r w:rsidR="00F547A6">
        <w:rPr>
          <w:rFonts w:ascii="Arial" w:hAnsi="Arial" w:cs="Arial"/>
          <w:sz w:val="28"/>
          <w:szCs w:val="28"/>
        </w:rPr>
        <w:t xml:space="preserve"> </w:t>
      </w:r>
    </w:p>
    <w:p w14:paraId="5A8A864F" w14:textId="58FA7A2E" w:rsidR="007946F2" w:rsidRPr="00202E44" w:rsidRDefault="007946F2" w:rsidP="00202E44">
      <w:pPr>
        <w:rPr>
          <w:rFonts w:ascii="Arial" w:hAnsi="Arial" w:cs="Arial"/>
          <w:sz w:val="28"/>
          <w:szCs w:val="28"/>
        </w:rPr>
      </w:pPr>
      <w:r>
        <w:rPr>
          <w:rFonts w:ascii="Arial" w:hAnsi="Arial" w:cs="Arial"/>
          <w:sz w:val="28"/>
          <w:szCs w:val="28"/>
        </w:rPr>
        <w:t>Ambulance Ser</w:t>
      </w:r>
      <w:r w:rsidR="00590E8E">
        <w:rPr>
          <w:rFonts w:ascii="Arial" w:hAnsi="Arial" w:cs="Arial"/>
          <w:sz w:val="28"/>
          <w:szCs w:val="28"/>
        </w:rPr>
        <w:t>vices</w:t>
      </w:r>
    </w:p>
    <w:p w14:paraId="67D98ECD" w14:textId="0B4B426E" w:rsidR="00CE0969" w:rsidRPr="00202E44" w:rsidRDefault="00CE0969" w:rsidP="00202E44">
      <w:pPr>
        <w:rPr>
          <w:rFonts w:ascii="Arial" w:hAnsi="Arial" w:cs="Arial"/>
          <w:sz w:val="28"/>
          <w:szCs w:val="28"/>
        </w:rPr>
      </w:pPr>
      <w:r w:rsidRPr="00202E44">
        <w:rPr>
          <w:rFonts w:ascii="Arial" w:hAnsi="Arial" w:cs="Arial"/>
          <w:sz w:val="28"/>
          <w:szCs w:val="28"/>
        </w:rPr>
        <w:t>Introduction</w:t>
      </w:r>
      <w:bookmarkEnd w:id="8"/>
    </w:p>
    <w:p w14:paraId="09ACF83A" w14:textId="77777777" w:rsidR="00202E44" w:rsidRDefault="00EF6D3E" w:rsidP="00202E44">
      <w:pPr>
        <w:rPr>
          <w:rFonts w:ascii="Arial" w:hAnsi="Arial" w:cs="Arial"/>
          <w:szCs w:val="24"/>
        </w:rPr>
      </w:pPr>
      <w:r w:rsidRPr="00533E5D">
        <w:rPr>
          <w:rFonts w:ascii="Arial" w:hAnsi="Arial" w:cs="Arial"/>
          <w:szCs w:val="24"/>
        </w:rPr>
        <w:t>The UK healthcare system uses ambulance services as one of the frontline activities, which offer immediate clinical services in medical emergencies. Their evolution represents the general shifts in the population health priorities, healthcare expertise, and anticipations of care delivered by the state. Although some people relate ambulance services to quick response and transportation, nowadays, as part of their work, they engage in complicated clinical decision-making and risk management. In this essay, the author highlights the history of ambulance services, critically analyses how they work in the modern world, and how they have helped make the lives of users of the services better.</w:t>
      </w:r>
      <w:bookmarkStart w:id="9" w:name="_Toc220581200"/>
    </w:p>
    <w:p w14:paraId="7297792D" w14:textId="77777777" w:rsidR="00202E44" w:rsidRDefault="00202E44" w:rsidP="00202E44">
      <w:pPr>
        <w:rPr>
          <w:rFonts w:ascii="Arial" w:hAnsi="Arial" w:cs="Arial"/>
          <w:szCs w:val="24"/>
        </w:rPr>
      </w:pPr>
    </w:p>
    <w:p w14:paraId="0F3BC8D4" w14:textId="4BBB7C2C" w:rsidR="00EF6D3E" w:rsidRPr="00202E44" w:rsidRDefault="00EF6D3E" w:rsidP="00202E44">
      <w:pPr>
        <w:rPr>
          <w:rFonts w:ascii="Arial" w:hAnsi="Arial" w:cs="Arial"/>
          <w:sz w:val="28"/>
          <w:szCs w:val="28"/>
        </w:rPr>
      </w:pPr>
      <w:r w:rsidRPr="00202E44">
        <w:rPr>
          <w:rFonts w:ascii="Arial" w:hAnsi="Arial" w:cs="Arial"/>
          <w:sz w:val="28"/>
          <w:szCs w:val="28"/>
        </w:rPr>
        <w:t>Origins and Historical Context</w:t>
      </w:r>
      <w:bookmarkEnd w:id="9"/>
    </w:p>
    <w:p w14:paraId="03941AE0" w14:textId="186649D9" w:rsidR="00EF6D3E" w:rsidRPr="00C83B4F" w:rsidRDefault="00EF6D3E" w:rsidP="000515B1">
      <w:pPr>
        <w:rPr>
          <w:rFonts w:ascii="Arial" w:hAnsi="Arial" w:cs="Arial"/>
          <w:szCs w:val="24"/>
        </w:rPr>
      </w:pPr>
      <w:r w:rsidRPr="00C83B4F">
        <w:rPr>
          <w:rFonts w:ascii="Arial" w:hAnsi="Arial" w:cs="Arial"/>
          <w:szCs w:val="24"/>
        </w:rPr>
        <w:t xml:space="preserve">In the UK, the ambulance service was not a formal service before the late nineteenth century. The police officers, firefighters or volunteers would carry injured persons to hospitals in their non-medical vehicles. </w:t>
      </w:r>
      <w:r w:rsidR="00CE4FB9">
        <w:rPr>
          <w:rFonts w:ascii="Arial" w:hAnsi="Arial" w:cs="Arial"/>
          <w:szCs w:val="24"/>
        </w:rPr>
        <w:t>S</w:t>
      </w:r>
      <w:r w:rsidR="00696256">
        <w:rPr>
          <w:rFonts w:ascii="Arial" w:hAnsi="Arial" w:cs="Arial"/>
          <w:szCs w:val="24"/>
        </w:rPr>
        <w:t>chlussel et al.</w:t>
      </w:r>
      <w:r w:rsidR="0052485A">
        <w:rPr>
          <w:rFonts w:ascii="Arial" w:hAnsi="Arial" w:cs="Arial"/>
          <w:szCs w:val="24"/>
        </w:rPr>
        <w:t xml:space="preserve">, </w:t>
      </w:r>
      <w:r w:rsidR="009F5CC4">
        <w:rPr>
          <w:rFonts w:ascii="Arial" w:hAnsi="Arial" w:cs="Arial"/>
          <w:szCs w:val="24"/>
        </w:rPr>
        <w:t>(</w:t>
      </w:r>
      <w:r w:rsidR="0052485A">
        <w:rPr>
          <w:rFonts w:ascii="Arial" w:hAnsi="Arial" w:cs="Arial"/>
          <w:szCs w:val="24"/>
        </w:rPr>
        <w:t>2025</w:t>
      </w:r>
      <w:r w:rsidR="009F5CC4">
        <w:rPr>
          <w:rFonts w:ascii="Arial" w:hAnsi="Arial" w:cs="Arial"/>
          <w:szCs w:val="24"/>
        </w:rPr>
        <w:t>)</w:t>
      </w:r>
      <w:r w:rsidR="00301A3C">
        <w:rPr>
          <w:rFonts w:ascii="Arial" w:hAnsi="Arial" w:cs="Arial"/>
          <w:szCs w:val="24"/>
        </w:rPr>
        <w:t xml:space="preserve"> </w:t>
      </w:r>
      <w:r w:rsidR="00B36C84">
        <w:rPr>
          <w:rFonts w:ascii="Arial" w:hAnsi="Arial" w:cs="Arial"/>
          <w:szCs w:val="24"/>
        </w:rPr>
        <w:t xml:space="preserve">argue that the absence </w:t>
      </w:r>
      <w:r w:rsidR="00F820E0">
        <w:rPr>
          <w:rFonts w:ascii="Arial" w:hAnsi="Arial" w:cs="Arial"/>
          <w:szCs w:val="24"/>
        </w:rPr>
        <w:t>of str</w:t>
      </w:r>
      <w:r w:rsidR="009F52DB">
        <w:rPr>
          <w:rFonts w:ascii="Arial" w:hAnsi="Arial" w:cs="Arial"/>
          <w:szCs w:val="24"/>
        </w:rPr>
        <w:t>uctured ambulance serv</w:t>
      </w:r>
      <w:r w:rsidR="0057658C">
        <w:rPr>
          <w:rFonts w:ascii="Arial" w:hAnsi="Arial" w:cs="Arial"/>
          <w:szCs w:val="24"/>
        </w:rPr>
        <w:t>ices and training personnel contributed to delayed trea</w:t>
      </w:r>
      <w:r w:rsidR="0084453B">
        <w:rPr>
          <w:rFonts w:ascii="Arial" w:hAnsi="Arial" w:cs="Arial"/>
          <w:szCs w:val="24"/>
        </w:rPr>
        <w:t xml:space="preserve">tment and increased mortality rate, </w:t>
      </w:r>
      <w:r w:rsidR="003A7A42">
        <w:rPr>
          <w:rFonts w:ascii="Arial" w:hAnsi="Arial" w:cs="Arial"/>
          <w:szCs w:val="24"/>
        </w:rPr>
        <w:t xml:space="preserve">highlighting the </w:t>
      </w:r>
      <w:r w:rsidR="008A42FD">
        <w:rPr>
          <w:rFonts w:ascii="Arial" w:hAnsi="Arial" w:cs="Arial"/>
          <w:szCs w:val="24"/>
        </w:rPr>
        <w:t>importance</w:t>
      </w:r>
      <w:r w:rsidR="003903B5">
        <w:rPr>
          <w:rFonts w:ascii="Arial" w:hAnsi="Arial" w:cs="Arial"/>
          <w:szCs w:val="24"/>
        </w:rPr>
        <w:t xml:space="preserve"> of organized em</w:t>
      </w:r>
      <w:r w:rsidR="000C2741">
        <w:rPr>
          <w:rFonts w:ascii="Arial" w:hAnsi="Arial" w:cs="Arial"/>
          <w:szCs w:val="24"/>
        </w:rPr>
        <w:t>ergency medical transport</w:t>
      </w:r>
      <w:r w:rsidR="000F4148">
        <w:rPr>
          <w:rFonts w:ascii="Arial" w:hAnsi="Arial" w:cs="Arial"/>
          <w:szCs w:val="24"/>
        </w:rPr>
        <w:t xml:space="preserve"> </w:t>
      </w:r>
      <w:r w:rsidR="0005428D">
        <w:rPr>
          <w:rFonts w:ascii="Arial" w:hAnsi="Arial" w:cs="Arial"/>
          <w:szCs w:val="24"/>
        </w:rPr>
        <w:t>systems</w:t>
      </w:r>
      <w:r w:rsidR="000F4148">
        <w:rPr>
          <w:rFonts w:ascii="Arial" w:hAnsi="Arial" w:cs="Arial"/>
          <w:szCs w:val="24"/>
        </w:rPr>
        <w:t xml:space="preserve"> such as the Mi</w:t>
      </w:r>
      <w:r w:rsidR="0044662B">
        <w:rPr>
          <w:rFonts w:ascii="Arial" w:hAnsi="Arial" w:cs="Arial"/>
          <w:szCs w:val="24"/>
        </w:rPr>
        <w:t>litary medical eva</w:t>
      </w:r>
      <w:r w:rsidR="00743098">
        <w:rPr>
          <w:rFonts w:ascii="Arial" w:hAnsi="Arial" w:cs="Arial"/>
          <w:szCs w:val="24"/>
        </w:rPr>
        <w:t xml:space="preserve">cuation practices </w:t>
      </w:r>
      <w:r w:rsidR="00A813C8">
        <w:rPr>
          <w:rFonts w:ascii="Arial" w:hAnsi="Arial" w:cs="Arial"/>
          <w:szCs w:val="24"/>
        </w:rPr>
        <w:t>which showed</w:t>
      </w:r>
      <w:r w:rsidR="00960F12">
        <w:rPr>
          <w:rFonts w:ascii="Arial" w:hAnsi="Arial" w:cs="Arial"/>
          <w:szCs w:val="24"/>
        </w:rPr>
        <w:t xml:space="preserve"> the significance of fast </w:t>
      </w:r>
      <w:r w:rsidR="00AA0CE9">
        <w:rPr>
          <w:rFonts w:ascii="Arial" w:hAnsi="Arial" w:cs="Arial"/>
          <w:szCs w:val="24"/>
        </w:rPr>
        <w:t>transportation and simple on-site trea</w:t>
      </w:r>
      <w:r w:rsidR="00A336B5">
        <w:rPr>
          <w:rFonts w:ascii="Arial" w:hAnsi="Arial" w:cs="Arial"/>
          <w:szCs w:val="24"/>
        </w:rPr>
        <w:t xml:space="preserve">tment. </w:t>
      </w:r>
    </w:p>
    <w:p w14:paraId="0701EC00" w14:textId="70230B96" w:rsidR="002F1C04" w:rsidRDefault="00983169" w:rsidP="002F1C04">
      <w:pPr>
        <w:rPr>
          <w:rFonts w:ascii="Arial" w:hAnsi="Arial" w:cs="Arial"/>
          <w:szCs w:val="24"/>
        </w:rPr>
      </w:pPr>
      <w:r>
        <w:rPr>
          <w:rFonts w:ascii="Arial" w:hAnsi="Arial" w:cs="Arial"/>
          <w:szCs w:val="24"/>
        </w:rPr>
        <w:t>Acc</w:t>
      </w:r>
      <w:r w:rsidR="00033056">
        <w:rPr>
          <w:rFonts w:ascii="Arial" w:hAnsi="Arial" w:cs="Arial"/>
          <w:szCs w:val="24"/>
        </w:rPr>
        <w:t xml:space="preserve">ording to </w:t>
      </w:r>
      <w:r w:rsidR="00EF6D3E" w:rsidRPr="00C83B4F">
        <w:rPr>
          <w:rFonts w:ascii="Arial" w:hAnsi="Arial" w:cs="Arial"/>
          <w:szCs w:val="24"/>
        </w:rPr>
        <w:t xml:space="preserve">National Health Service </w:t>
      </w:r>
      <w:r w:rsidR="001A31DF">
        <w:rPr>
          <w:rFonts w:ascii="Arial" w:hAnsi="Arial" w:cs="Arial"/>
          <w:szCs w:val="24"/>
        </w:rPr>
        <w:t>(</w:t>
      </w:r>
      <w:r w:rsidR="00EF6D3E" w:rsidRPr="00C83B4F">
        <w:rPr>
          <w:rFonts w:ascii="Arial" w:hAnsi="Arial" w:cs="Arial"/>
          <w:szCs w:val="24"/>
        </w:rPr>
        <w:t>1948</w:t>
      </w:r>
      <w:r w:rsidR="00A44A32">
        <w:rPr>
          <w:rFonts w:ascii="Arial" w:hAnsi="Arial" w:cs="Arial"/>
          <w:szCs w:val="24"/>
        </w:rPr>
        <w:t>)</w:t>
      </w:r>
      <w:r w:rsidR="00EF6D3E" w:rsidRPr="00C83B4F">
        <w:rPr>
          <w:rFonts w:ascii="Arial" w:hAnsi="Arial" w:cs="Arial"/>
          <w:szCs w:val="24"/>
        </w:rPr>
        <w:t>. The ambulance services were nationalised, and regular training started, thus enhancing coordination. Nevertheless, during the past few decades, the service was more transport-driven, with low levels of clinical autonomy</w:t>
      </w:r>
      <w:r w:rsidR="00494882" w:rsidRPr="00C83B4F">
        <w:rPr>
          <w:rFonts w:ascii="Arial" w:hAnsi="Arial" w:cs="Arial"/>
          <w:szCs w:val="24"/>
        </w:rPr>
        <w:t xml:space="preserve"> </w:t>
      </w:r>
      <w:r w:rsidR="00494882" w:rsidRPr="00C83B4F">
        <w:rPr>
          <w:rFonts w:ascii="Arial" w:hAnsi="Arial" w:cs="Arial"/>
          <w:color w:val="222222"/>
          <w:szCs w:val="24"/>
          <w:shd w:val="clear" w:color="auto" w:fill="FFFFFF"/>
        </w:rPr>
        <w:t>(Stein, 2022)</w:t>
      </w:r>
      <w:r w:rsidR="00EF6D3E" w:rsidRPr="00C83B4F">
        <w:rPr>
          <w:rFonts w:ascii="Arial" w:hAnsi="Arial" w:cs="Arial"/>
          <w:szCs w:val="24"/>
        </w:rPr>
        <w:t xml:space="preserve">. It was later in the twentieth century that ambulance care was degraded through </w:t>
      </w:r>
      <w:r w:rsidR="00E9302B" w:rsidRPr="00C83B4F">
        <w:rPr>
          <w:rFonts w:ascii="Arial" w:hAnsi="Arial" w:cs="Arial"/>
          <w:szCs w:val="24"/>
        </w:rPr>
        <w:t>professionalisation</w:t>
      </w:r>
      <w:r w:rsidR="00EF6D3E" w:rsidRPr="00C83B4F">
        <w:rPr>
          <w:rFonts w:ascii="Arial" w:hAnsi="Arial" w:cs="Arial"/>
          <w:szCs w:val="24"/>
        </w:rPr>
        <w:t xml:space="preserve"> and a clinically capable workforce in response to the growth </w:t>
      </w:r>
      <w:r w:rsidR="00EF6D3E" w:rsidRPr="00C83B4F">
        <w:rPr>
          <w:rFonts w:ascii="Arial" w:hAnsi="Arial" w:cs="Arial"/>
          <w:szCs w:val="24"/>
        </w:rPr>
        <w:lastRenderedPageBreak/>
        <w:t>in emergency medicine and the growing pressure on the hospital emergency departments.</w:t>
      </w:r>
      <w:bookmarkStart w:id="10" w:name="_Toc220581201"/>
    </w:p>
    <w:p w14:paraId="66801000" w14:textId="0312E5AE" w:rsidR="00EF6D3E" w:rsidRPr="002F1C04" w:rsidRDefault="00EF6D3E" w:rsidP="002F1C04">
      <w:pPr>
        <w:rPr>
          <w:rFonts w:ascii="Arial" w:hAnsi="Arial" w:cs="Arial"/>
          <w:sz w:val="28"/>
          <w:szCs w:val="28"/>
        </w:rPr>
      </w:pPr>
      <w:r w:rsidRPr="002F1C04">
        <w:rPr>
          <w:rFonts w:ascii="Arial" w:hAnsi="Arial" w:cs="Arial"/>
          <w:sz w:val="28"/>
          <w:szCs w:val="28"/>
        </w:rPr>
        <w:t>Critical Evaluation of Current Functioning</w:t>
      </w:r>
      <w:bookmarkEnd w:id="10"/>
    </w:p>
    <w:p w14:paraId="59F2CEDA" w14:textId="1B5ABF7A" w:rsidR="00EF6D3E" w:rsidRPr="00C83B4F" w:rsidRDefault="00EF6D3E" w:rsidP="000515B1">
      <w:pPr>
        <w:rPr>
          <w:rFonts w:ascii="Arial" w:hAnsi="Arial" w:cs="Arial"/>
          <w:szCs w:val="24"/>
        </w:rPr>
      </w:pPr>
      <w:r w:rsidRPr="00C83B4F">
        <w:rPr>
          <w:rFonts w:ascii="Arial" w:hAnsi="Arial" w:cs="Arial"/>
          <w:szCs w:val="24"/>
        </w:rPr>
        <w:t xml:space="preserve">The UK ambulance services are today based on regional NHS ambulance trusts and offer emergency, urgent and non-emergency services. Paramedics are currently well-trained professionals who can provide advanced pre-hospital care, </w:t>
      </w:r>
      <w:r w:rsidR="009467E6">
        <w:rPr>
          <w:rFonts w:ascii="Arial" w:hAnsi="Arial" w:cs="Arial"/>
          <w:szCs w:val="24"/>
        </w:rPr>
        <w:t xml:space="preserve">including </w:t>
      </w:r>
      <w:r w:rsidR="00AC7461">
        <w:rPr>
          <w:rFonts w:ascii="Arial" w:hAnsi="Arial" w:cs="Arial"/>
          <w:szCs w:val="24"/>
        </w:rPr>
        <w:t>medication admini</w:t>
      </w:r>
      <w:r w:rsidR="001A2A75">
        <w:rPr>
          <w:rFonts w:ascii="Arial" w:hAnsi="Arial" w:cs="Arial"/>
          <w:szCs w:val="24"/>
        </w:rPr>
        <w:t xml:space="preserve">stration, </w:t>
      </w:r>
      <w:r w:rsidRPr="00C83B4F">
        <w:rPr>
          <w:rFonts w:ascii="Arial" w:hAnsi="Arial" w:cs="Arial"/>
          <w:szCs w:val="24"/>
        </w:rPr>
        <w:t>cardiac life support, and provision of trauma care</w:t>
      </w:r>
      <w:r w:rsidR="00506C33" w:rsidRPr="00C83B4F">
        <w:rPr>
          <w:rFonts w:ascii="Arial" w:hAnsi="Arial" w:cs="Arial"/>
          <w:szCs w:val="24"/>
        </w:rPr>
        <w:t xml:space="preserve"> </w:t>
      </w:r>
      <w:r w:rsidR="00506C33" w:rsidRPr="00C83B4F">
        <w:rPr>
          <w:rFonts w:ascii="Arial" w:hAnsi="Arial" w:cs="Arial"/>
          <w:color w:val="222222"/>
          <w:szCs w:val="24"/>
          <w:shd w:val="clear" w:color="auto" w:fill="FFFFFF"/>
        </w:rPr>
        <w:t>(Gunawardena and Lee, 2022)</w:t>
      </w:r>
      <w:r w:rsidRPr="00C83B4F">
        <w:rPr>
          <w:rFonts w:ascii="Arial" w:hAnsi="Arial" w:cs="Arial"/>
          <w:szCs w:val="24"/>
        </w:rPr>
        <w:t>. Notably, there is a change in the role of transporting to treatment, as ambulance clinicians are supposed to independently decide whether to go to the hospital or not.</w:t>
      </w:r>
    </w:p>
    <w:p w14:paraId="52F66EE4" w14:textId="77777777" w:rsidR="00EF6D3E" w:rsidRPr="00C83B4F" w:rsidRDefault="00EF6D3E" w:rsidP="000515B1">
      <w:pPr>
        <w:rPr>
          <w:rFonts w:ascii="Arial" w:hAnsi="Arial" w:cs="Arial"/>
          <w:szCs w:val="24"/>
        </w:rPr>
      </w:pPr>
      <w:r w:rsidRPr="00C83B4F">
        <w:rPr>
          <w:rFonts w:ascii="Arial" w:hAnsi="Arial" w:cs="Arial"/>
          <w:szCs w:val="24"/>
        </w:rPr>
        <w:t xml:space="preserve">With these developments, there are structural challenges that affect the service. The higher </w:t>
      </w:r>
      <w:r w:rsidR="00503E3F" w:rsidRPr="00C83B4F">
        <w:rPr>
          <w:rFonts w:ascii="Arial" w:hAnsi="Arial" w:cs="Arial"/>
          <w:szCs w:val="24"/>
        </w:rPr>
        <w:t>demand due to an ageing population, prevalence of chronic disease and the lack of access to primary care has</w:t>
      </w:r>
      <w:r w:rsidRPr="00C83B4F">
        <w:rPr>
          <w:rFonts w:ascii="Arial" w:hAnsi="Arial" w:cs="Arial"/>
          <w:szCs w:val="24"/>
        </w:rPr>
        <w:t xml:space="preserve"> heightened the trend of higher call volume. The emergency department becomes congested, and the ambulance crews spend hours in a line of patients at the hospital, which means that they cannot attend to the new emergencies</w:t>
      </w:r>
      <w:r w:rsidR="00CC66EB" w:rsidRPr="00C83B4F">
        <w:rPr>
          <w:rFonts w:ascii="Arial" w:hAnsi="Arial" w:cs="Arial"/>
          <w:szCs w:val="24"/>
        </w:rPr>
        <w:t xml:space="preserve"> </w:t>
      </w:r>
      <w:r w:rsidR="00CC66EB" w:rsidRPr="00C83B4F">
        <w:rPr>
          <w:rFonts w:ascii="Arial" w:hAnsi="Arial" w:cs="Arial"/>
          <w:color w:val="222222"/>
          <w:szCs w:val="24"/>
          <w:shd w:val="clear" w:color="auto" w:fill="FFFFFF"/>
        </w:rPr>
        <w:t>(Miles, 2022)</w:t>
      </w:r>
      <w:r w:rsidRPr="00C83B4F">
        <w:rPr>
          <w:rFonts w:ascii="Arial" w:hAnsi="Arial" w:cs="Arial"/>
          <w:szCs w:val="24"/>
        </w:rPr>
        <w:t>. This makes the staff less efficient in their response and puts them under continued pressure of burnout and care errors.</w:t>
      </w:r>
    </w:p>
    <w:p w14:paraId="612554D2" w14:textId="77777777" w:rsidR="00F07317" w:rsidRDefault="00EF6D3E" w:rsidP="005605C3">
      <w:pPr>
        <w:rPr>
          <w:rFonts w:ascii="Arial" w:hAnsi="Arial" w:cs="Arial"/>
          <w:szCs w:val="24"/>
        </w:rPr>
      </w:pPr>
      <w:r w:rsidRPr="00C83B4F">
        <w:rPr>
          <w:rFonts w:ascii="Arial" w:hAnsi="Arial" w:cs="Arial"/>
          <w:szCs w:val="24"/>
        </w:rPr>
        <w:t xml:space="preserve">Also, targets that revolve around response times may be based on speed rather than </w:t>
      </w:r>
      <w:r w:rsidR="00D9306E" w:rsidRPr="00C83B4F">
        <w:rPr>
          <w:rFonts w:ascii="Arial" w:hAnsi="Arial" w:cs="Arial"/>
          <w:szCs w:val="24"/>
        </w:rPr>
        <w:t>quality and</w:t>
      </w:r>
      <w:r w:rsidRPr="00C83B4F">
        <w:rPr>
          <w:rFonts w:ascii="Arial" w:hAnsi="Arial" w:cs="Arial"/>
          <w:szCs w:val="24"/>
        </w:rPr>
        <w:t xml:space="preserve"> thus may </w:t>
      </w:r>
      <w:r w:rsidR="005605C3" w:rsidRPr="00C83B4F">
        <w:rPr>
          <w:rFonts w:ascii="Arial" w:hAnsi="Arial" w:cs="Arial"/>
          <w:szCs w:val="24"/>
        </w:rPr>
        <w:t>jeopardies</w:t>
      </w:r>
      <w:r w:rsidRPr="00C83B4F">
        <w:rPr>
          <w:rFonts w:ascii="Arial" w:hAnsi="Arial" w:cs="Arial"/>
          <w:szCs w:val="24"/>
        </w:rPr>
        <w:t xml:space="preserve"> patient-</w:t>
      </w:r>
      <w:r w:rsidR="004B1659" w:rsidRPr="00C83B4F">
        <w:rPr>
          <w:rFonts w:ascii="Arial" w:hAnsi="Arial" w:cs="Arial"/>
          <w:szCs w:val="24"/>
        </w:rPr>
        <w:t>centered</w:t>
      </w:r>
      <w:r w:rsidRPr="00C83B4F">
        <w:rPr>
          <w:rFonts w:ascii="Arial" w:hAnsi="Arial" w:cs="Arial"/>
          <w:szCs w:val="24"/>
        </w:rPr>
        <w:t xml:space="preserve"> decision-making. These forces bring out a difference in the policy expectations and operational ability.</w:t>
      </w:r>
      <w:bookmarkStart w:id="11" w:name="_Toc220581202"/>
    </w:p>
    <w:p w14:paraId="12ACDF01" w14:textId="77777777" w:rsidR="00F07317" w:rsidRDefault="00F07317" w:rsidP="005605C3">
      <w:pPr>
        <w:rPr>
          <w:rFonts w:ascii="Arial" w:hAnsi="Arial" w:cs="Arial"/>
          <w:szCs w:val="24"/>
        </w:rPr>
      </w:pPr>
    </w:p>
    <w:p w14:paraId="1A1248F8" w14:textId="7033EA35" w:rsidR="00EF6D3E" w:rsidRPr="00F07317" w:rsidRDefault="00EF6D3E" w:rsidP="005605C3">
      <w:pPr>
        <w:rPr>
          <w:rFonts w:ascii="Arial" w:hAnsi="Arial" w:cs="Arial"/>
          <w:szCs w:val="24"/>
        </w:rPr>
      </w:pPr>
      <w:r w:rsidRPr="005605C3">
        <w:rPr>
          <w:rFonts w:ascii="Arial" w:hAnsi="Arial" w:cs="Arial"/>
          <w:sz w:val="28"/>
          <w:szCs w:val="28"/>
        </w:rPr>
        <w:t>Impact on Quality of Life</w:t>
      </w:r>
      <w:bookmarkEnd w:id="11"/>
    </w:p>
    <w:p w14:paraId="4A861082" w14:textId="77777777" w:rsidR="00EF6D3E" w:rsidRPr="00C83B4F" w:rsidRDefault="00EF6D3E" w:rsidP="000515B1">
      <w:pPr>
        <w:rPr>
          <w:rFonts w:ascii="Arial" w:hAnsi="Arial" w:cs="Arial"/>
          <w:szCs w:val="24"/>
        </w:rPr>
      </w:pPr>
      <w:r w:rsidRPr="00C83B4F">
        <w:rPr>
          <w:rFonts w:ascii="Arial" w:hAnsi="Arial" w:cs="Arial"/>
          <w:szCs w:val="24"/>
        </w:rPr>
        <w:t>Ambulance services are important in improving the quality of life through timely interventions that save lives and prevent disabilities in the long term. Timely intervention in cases of strokes, cardiac arrest, and extreme cases of trauma is a high-ranking way of enhancing the recovery rates</w:t>
      </w:r>
      <w:r w:rsidR="008D6A56" w:rsidRPr="00C83B4F">
        <w:rPr>
          <w:rFonts w:ascii="Arial" w:hAnsi="Arial" w:cs="Arial"/>
          <w:szCs w:val="24"/>
        </w:rPr>
        <w:t xml:space="preserve"> </w:t>
      </w:r>
      <w:r w:rsidR="008D6A56" w:rsidRPr="00C83B4F">
        <w:rPr>
          <w:rFonts w:ascii="Arial" w:hAnsi="Arial" w:cs="Arial"/>
          <w:color w:val="222222"/>
          <w:szCs w:val="24"/>
          <w:shd w:val="clear" w:color="auto" w:fill="FFFFFF"/>
        </w:rPr>
        <w:t>(Behura, 2024)</w:t>
      </w:r>
      <w:r w:rsidRPr="00C83B4F">
        <w:rPr>
          <w:rFonts w:ascii="Arial" w:hAnsi="Arial" w:cs="Arial"/>
          <w:szCs w:val="24"/>
        </w:rPr>
        <w:t xml:space="preserve">. Travelling to seek treatment is also preclusive to independence and dignity since unnecessary hospitalisation can be </w:t>
      </w:r>
      <w:r w:rsidRPr="00C83B4F">
        <w:rPr>
          <w:rFonts w:ascii="Arial" w:hAnsi="Arial" w:cs="Arial"/>
          <w:szCs w:val="24"/>
        </w:rPr>
        <w:lastRenderedPageBreak/>
        <w:t>prevented by treating patients at home or referring them to necessary services (or paramedics).</w:t>
      </w:r>
    </w:p>
    <w:p w14:paraId="258F349B" w14:textId="77777777" w:rsidR="00A55BB7" w:rsidRDefault="00EF6D3E" w:rsidP="00A55BB7">
      <w:pPr>
        <w:rPr>
          <w:rFonts w:ascii="Arial" w:hAnsi="Arial" w:cs="Arial"/>
          <w:szCs w:val="24"/>
        </w:rPr>
      </w:pPr>
      <w:r w:rsidRPr="00C83B4F">
        <w:rPr>
          <w:rFonts w:ascii="Arial" w:hAnsi="Arial" w:cs="Arial"/>
          <w:szCs w:val="24"/>
        </w:rPr>
        <w:t>In addition to physical health, ambulance services that offer reassurance, as well as emotional support during crises, especially to vulnerable people, are provided</w:t>
      </w:r>
      <w:r w:rsidR="004A378A" w:rsidRPr="00C83B4F">
        <w:rPr>
          <w:rFonts w:ascii="Arial" w:hAnsi="Arial" w:cs="Arial"/>
          <w:szCs w:val="24"/>
        </w:rPr>
        <w:t xml:space="preserve"> </w:t>
      </w:r>
      <w:r w:rsidR="004A378A" w:rsidRPr="00C83B4F">
        <w:rPr>
          <w:rFonts w:ascii="Arial" w:hAnsi="Arial" w:cs="Arial"/>
          <w:color w:val="222222"/>
          <w:szCs w:val="24"/>
          <w:shd w:val="clear" w:color="auto" w:fill="FFFFFF"/>
        </w:rPr>
        <w:t>(Auth et al., 2022)</w:t>
      </w:r>
      <w:r w:rsidRPr="00C83B4F">
        <w:rPr>
          <w:rFonts w:ascii="Arial" w:hAnsi="Arial" w:cs="Arial"/>
          <w:szCs w:val="24"/>
        </w:rPr>
        <w:t>. Nevertheless, the existence of delays escalates anxiety and health risks, which proves that the system pressure may have a direct influence on the well-being of service users.</w:t>
      </w:r>
      <w:bookmarkStart w:id="12" w:name="_Toc220581203"/>
    </w:p>
    <w:p w14:paraId="504251CB" w14:textId="77777777" w:rsidR="00A55BB7" w:rsidRDefault="00A55BB7" w:rsidP="00A55BB7">
      <w:pPr>
        <w:rPr>
          <w:rFonts w:ascii="Arial" w:hAnsi="Arial" w:cs="Arial"/>
          <w:szCs w:val="24"/>
        </w:rPr>
      </w:pPr>
    </w:p>
    <w:p w14:paraId="31421A8B" w14:textId="01E1D8AF" w:rsidR="00EF6D3E" w:rsidRPr="00A55BB7" w:rsidRDefault="00EF6D3E" w:rsidP="00A55BB7">
      <w:pPr>
        <w:rPr>
          <w:rFonts w:ascii="Arial" w:hAnsi="Arial" w:cs="Arial"/>
          <w:szCs w:val="24"/>
        </w:rPr>
      </w:pPr>
      <w:r w:rsidRPr="00A55BB7">
        <w:rPr>
          <w:rFonts w:ascii="Arial" w:hAnsi="Arial" w:cs="Arial"/>
          <w:sz w:val="28"/>
          <w:szCs w:val="28"/>
        </w:rPr>
        <w:t>Conclusion</w:t>
      </w:r>
      <w:bookmarkEnd w:id="12"/>
    </w:p>
    <w:p w14:paraId="5001250E" w14:textId="6B3DF9E3" w:rsidR="00EF013C" w:rsidRPr="00C83B4F" w:rsidRDefault="00EF6D3E" w:rsidP="000515B1">
      <w:pPr>
        <w:rPr>
          <w:rFonts w:ascii="Arial" w:hAnsi="Arial" w:cs="Arial"/>
          <w:szCs w:val="24"/>
        </w:rPr>
      </w:pPr>
      <w:r w:rsidRPr="00C83B4F">
        <w:rPr>
          <w:rFonts w:ascii="Arial" w:hAnsi="Arial" w:cs="Arial"/>
          <w:szCs w:val="24"/>
        </w:rPr>
        <w:t>In the UK, the practice of ambulance services has developed from simple transportation schemes into highly qualified clinical services due to the historical changes and contemporary healthcare requirements. Although they play a significant role in life-saving and enhancing life quality, their performance is limited by the increased demand levels, staffing overload, and structural inefficiencies. These challenges also need to be addressed so that ambulance services will be in a position to provide safe, responsive, and person-</w:t>
      </w:r>
      <w:r w:rsidR="00431135" w:rsidRPr="00C83B4F">
        <w:rPr>
          <w:rFonts w:ascii="Arial" w:hAnsi="Arial" w:cs="Arial"/>
          <w:szCs w:val="24"/>
        </w:rPr>
        <w:t>centered</w:t>
      </w:r>
      <w:r w:rsidRPr="00C83B4F">
        <w:rPr>
          <w:rFonts w:ascii="Arial" w:hAnsi="Arial" w:cs="Arial"/>
          <w:szCs w:val="24"/>
        </w:rPr>
        <w:t xml:space="preserve"> services.</w:t>
      </w:r>
    </w:p>
    <w:p w14:paraId="6D147D82" w14:textId="7D0406FF" w:rsidR="00EF013C" w:rsidRPr="00531F42" w:rsidRDefault="00EF013C" w:rsidP="00531F42">
      <w:pPr>
        <w:jc w:val="left"/>
        <w:rPr>
          <w:rFonts w:ascii="Arial" w:hAnsi="Arial" w:cs="Arial"/>
          <w:sz w:val="28"/>
          <w:szCs w:val="28"/>
        </w:rPr>
      </w:pPr>
      <w:r w:rsidRPr="00C83B4F">
        <w:rPr>
          <w:rFonts w:ascii="Arial" w:hAnsi="Arial" w:cs="Arial"/>
          <w:szCs w:val="24"/>
        </w:rPr>
        <w:br w:type="page"/>
      </w:r>
      <w:bookmarkStart w:id="13" w:name="_Toc220581204"/>
      <w:r w:rsidRPr="00531F42">
        <w:rPr>
          <w:sz w:val="28"/>
          <w:szCs w:val="28"/>
          <w:shd w:val="clear" w:color="auto" w:fill="FFFFFF"/>
        </w:rPr>
        <w:lastRenderedPageBreak/>
        <w:t>References</w:t>
      </w:r>
      <w:bookmarkEnd w:id="13"/>
    </w:p>
    <w:p w14:paraId="494A3B72" w14:textId="77777777" w:rsidR="00B5473D" w:rsidRPr="00FD6951" w:rsidRDefault="00B5473D" w:rsidP="00FD6951"/>
    <w:p w14:paraId="3FD74E25" w14:textId="77777777" w:rsidR="00B5473D" w:rsidRPr="00FD6951" w:rsidRDefault="00B5473D" w:rsidP="00FD6951">
      <w:r w:rsidRPr="00FD6951">
        <w:t xml:space="preserve">Arajärvi, M., Mönkkönen, K., Kekoni, T., and Toikko, T. (2025). Psychosocial social work as part of interdisciplinary collaboration and care need assessment in psychiatric outpatient care. </w:t>
      </w:r>
      <w:r w:rsidRPr="00FD6951">
        <w:rPr>
          <w:i/>
          <w:iCs/>
        </w:rPr>
        <w:t>Nordic Social Work Research</w:t>
      </w:r>
      <w:r w:rsidRPr="00FD6951">
        <w:t xml:space="preserve">, 15(3), 348-365. </w:t>
      </w:r>
      <w:hyperlink r:id="rId9" w:history="1">
        <w:r w:rsidRPr="00FD6951">
          <w:rPr>
            <w:rStyle w:val="Hyperlink"/>
          </w:rPr>
          <w:t>https://doi.org/10.1080/2156857X.2023.2244502</w:t>
        </w:r>
      </w:hyperlink>
    </w:p>
    <w:p w14:paraId="41DDB117" w14:textId="77777777" w:rsidR="00B5473D" w:rsidRPr="00FD6951" w:rsidRDefault="00B5473D" w:rsidP="00FD6951">
      <w:pPr>
        <w:rPr>
          <w:lang w:val="en-GB"/>
        </w:rPr>
      </w:pPr>
      <w:r w:rsidRPr="00FD6951">
        <w:rPr>
          <w:lang w:val="en-GB"/>
        </w:rPr>
        <w:t>Auth, N.M., Booker, M.J., Wild, J. and Riley, R. (2022). Mental health and help seeking among trauma-exposed emergency service staff: a qualitative evidence synthesis. </w:t>
      </w:r>
      <w:r w:rsidRPr="00FD6951">
        <w:rPr>
          <w:i/>
          <w:iCs/>
          <w:lang w:val="en-GB"/>
        </w:rPr>
        <w:t>BMJ Open</w:t>
      </w:r>
      <w:r w:rsidRPr="00FD6951">
        <w:rPr>
          <w:lang w:val="en-GB"/>
        </w:rPr>
        <w:t xml:space="preserve">, [online] 12(2), p.e047814. doi: </w:t>
      </w:r>
      <w:hyperlink r:id="rId10" w:history="1">
        <w:r w:rsidRPr="00FD6951">
          <w:rPr>
            <w:rStyle w:val="Hyperlink"/>
            <w:lang w:val="en-GB"/>
          </w:rPr>
          <w:t>https://doi.org/10.1136/bmjopen-2020-047814</w:t>
        </w:r>
      </w:hyperlink>
      <w:r w:rsidRPr="00FD6951">
        <w:rPr>
          <w:lang w:val="en-GB"/>
        </w:rPr>
        <w:t>.</w:t>
      </w:r>
    </w:p>
    <w:p w14:paraId="70DF9C6A" w14:textId="77777777" w:rsidR="00B5473D" w:rsidRPr="00FD6951" w:rsidRDefault="00B5473D" w:rsidP="00FD6951">
      <w:r w:rsidRPr="00FD6951">
        <w:t xml:space="preserve">Bark, H., Dixon, J., and Laing, J. M. (2023). The professional identity of social workers in mental health services: a scoping review. </w:t>
      </w:r>
      <w:r w:rsidRPr="00FD6951">
        <w:rPr>
          <w:i/>
          <w:iCs/>
        </w:rPr>
        <w:t>International Journal of Environmental Research and Public Health</w:t>
      </w:r>
      <w:r w:rsidRPr="00FD6951">
        <w:t xml:space="preserve">, 20(11), 5947. </w:t>
      </w:r>
      <w:hyperlink r:id="rId11" w:history="1">
        <w:r w:rsidRPr="00FD6951">
          <w:rPr>
            <w:rStyle w:val="Hyperlink"/>
          </w:rPr>
          <w:t>https://pmc.ncbi.nlm.nih.gov/articles/PMC10252416/</w:t>
        </w:r>
      </w:hyperlink>
    </w:p>
    <w:p w14:paraId="4D807F46" w14:textId="77777777" w:rsidR="00B5473D" w:rsidRPr="00FD6951" w:rsidRDefault="00B5473D" w:rsidP="00FD6951">
      <w:pPr>
        <w:rPr>
          <w:lang w:val="en-GB"/>
        </w:rPr>
      </w:pPr>
      <w:r w:rsidRPr="00FD6951">
        <w:rPr>
          <w:lang w:val="en-GB"/>
        </w:rPr>
        <w:t>Choi, M.R., Cho, H., Chun, J.-W., Yoo, J.H. and Kim, D.-J. (2020). Increase of orexin A in the peripheral blood of adolescents with Internet gaming disorder. </w:t>
      </w:r>
      <w:r w:rsidRPr="00FD6951">
        <w:rPr>
          <w:i/>
          <w:iCs/>
          <w:lang w:val="en-GB"/>
        </w:rPr>
        <w:t>Journal of Behavioral Addictions</w:t>
      </w:r>
      <w:r w:rsidRPr="00FD6951">
        <w:rPr>
          <w:lang w:val="en-GB"/>
        </w:rPr>
        <w:t xml:space="preserve">, 9(1), pp.93–104. doi: </w:t>
      </w:r>
      <w:hyperlink r:id="rId12" w:history="1">
        <w:r w:rsidRPr="00FD6951">
          <w:rPr>
            <w:rStyle w:val="Hyperlink"/>
            <w:lang w:val="en-GB"/>
          </w:rPr>
          <w:t>https://doi.org/10.1556/2006.8.2019.65</w:t>
        </w:r>
      </w:hyperlink>
      <w:r w:rsidRPr="00FD6951">
        <w:rPr>
          <w:lang w:val="en-GB"/>
        </w:rPr>
        <w:t>.</w:t>
      </w:r>
    </w:p>
    <w:p w14:paraId="559F8881" w14:textId="77777777" w:rsidR="00B5473D" w:rsidRPr="00FD6951" w:rsidRDefault="00B5473D" w:rsidP="00FD6951">
      <w:pPr>
        <w:rPr>
          <w:lang w:val="en-GB"/>
        </w:rPr>
      </w:pPr>
      <w:r w:rsidRPr="00FD6951">
        <w:rPr>
          <w:lang w:val="en-GB"/>
        </w:rPr>
        <w:t>Evans, B., Khanom, A., Edwards, A., Edwards, B., Farr, A., Foster, T., Fothergill, R., Gripper, P., Gunson, I., Porter, A., Rees, N., Scott, J., Snooks, H. and Watkins, A. (2023). Experiences and views of people who frequently call emergency ambulance services: A qualitative study of UK service users. </w:t>
      </w:r>
      <w:r w:rsidRPr="00FD6951">
        <w:rPr>
          <w:i/>
          <w:iCs/>
          <w:lang w:val="en-GB"/>
        </w:rPr>
        <w:t>Health Expectations</w:t>
      </w:r>
      <w:r w:rsidRPr="00FD6951">
        <w:rPr>
          <w:lang w:val="en-GB"/>
        </w:rPr>
        <w:t xml:space="preserve">, [online] 27(1). doi: </w:t>
      </w:r>
      <w:hyperlink r:id="rId13" w:history="1">
        <w:r w:rsidRPr="00FD6951">
          <w:rPr>
            <w:rStyle w:val="Hyperlink"/>
            <w:lang w:val="en-GB"/>
          </w:rPr>
          <w:t>https://doi.org/10.1111/hex.13856.</w:t>
        </w:r>
      </w:hyperlink>
    </w:p>
    <w:p w14:paraId="6444A22A" w14:textId="77777777" w:rsidR="00B5473D" w:rsidRPr="00FD6951" w:rsidRDefault="00B5473D" w:rsidP="00FD6951">
      <w:r w:rsidRPr="00FD6951">
        <w:t>Harvey, C., Zirnsak, T. M., Brasier, C., Ennals, P., Fletcher, J., Hamilton, B., ... and Brophy, L. (2023). Community-based models of care facilitating the recovery of people living with persistent and complex mental health needs: a systematic review and narrative synthesis. </w:t>
      </w:r>
      <w:r w:rsidRPr="00FD6951">
        <w:rPr>
          <w:i/>
          <w:iCs/>
        </w:rPr>
        <w:t>Frontiers in Psychiatry</w:t>
      </w:r>
      <w:r w:rsidRPr="00FD6951">
        <w:t>, </w:t>
      </w:r>
      <w:r w:rsidRPr="00FD6951">
        <w:rPr>
          <w:i/>
          <w:iCs/>
        </w:rPr>
        <w:t>14</w:t>
      </w:r>
      <w:r w:rsidRPr="00FD6951">
        <w:t xml:space="preserve">, 1259944. </w:t>
      </w:r>
      <w:hyperlink r:id="rId14" w:history="1">
        <w:r w:rsidRPr="00FD6951">
          <w:rPr>
            <w:rStyle w:val="Hyperlink"/>
          </w:rPr>
          <w:t>https://pmc.ncbi.nlm.nih.gov/articles/PMC10539575/</w:t>
        </w:r>
      </w:hyperlink>
    </w:p>
    <w:p w14:paraId="380E1547" w14:textId="77777777" w:rsidR="00B5473D" w:rsidRPr="00FD6951" w:rsidRDefault="00B5473D" w:rsidP="00FD6951">
      <w:r w:rsidRPr="00FD6951">
        <w:t xml:space="preserve">Harvey, C., Zirnsak, T., Brasier, C., Ennals, P., Fletcher, J., Hamilton, B., Killaspy, H., McKenzie, D., Kennedy, G., and Brophy, L. (2023). Community-based models of care facilitating the recovery of people living with persistent and complex mental health needs: a systematic review and narrative synthesis. </w:t>
      </w:r>
      <w:r w:rsidRPr="00FD6951">
        <w:rPr>
          <w:i/>
          <w:iCs/>
        </w:rPr>
        <w:t>Frontiers in Psychiatry</w:t>
      </w:r>
      <w:r w:rsidRPr="00FD6951">
        <w:t xml:space="preserve">, 14, 1259944. </w:t>
      </w:r>
      <w:hyperlink r:id="rId15" w:history="1">
        <w:r w:rsidRPr="00FD6951">
          <w:rPr>
            <w:rStyle w:val="Hyperlink"/>
          </w:rPr>
          <w:t>https://pmc.ncbi.nlm.nih.gov/articles/PMC10539575/</w:t>
        </w:r>
      </w:hyperlink>
    </w:p>
    <w:p w14:paraId="0F530D7A" w14:textId="77777777" w:rsidR="00B5473D" w:rsidRPr="00FD6951" w:rsidRDefault="00B5473D" w:rsidP="00FD6951">
      <w:r w:rsidRPr="00FD6951">
        <w:lastRenderedPageBreak/>
        <w:t xml:space="preserve">Li, C., Yang, F., Yang, B. X., Chen, W., Wang, Q., Huang, H., Liu, Q., Luo, D., Wang, X. Q., and Ruan, J. (2022). Experiences and challenges faced by community mental health workers when providing care to people with mental illness: a qualitative study. </w:t>
      </w:r>
      <w:r w:rsidRPr="00FD6951">
        <w:rPr>
          <w:i/>
          <w:iCs/>
        </w:rPr>
        <w:t>BMC Psychiatry</w:t>
      </w:r>
      <w:r w:rsidRPr="00FD6951">
        <w:t xml:space="preserve">, 22, 623. </w:t>
      </w:r>
      <w:hyperlink r:id="rId16" w:history="1">
        <w:r w:rsidRPr="00FD6951">
          <w:rPr>
            <w:rStyle w:val="Hyperlink"/>
          </w:rPr>
          <w:t>https://pmc.ncbi.nlm.nih.gov/articles/PMC9490980/</w:t>
        </w:r>
      </w:hyperlink>
    </w:p>
    <w:p w14:paraId="0038BC25" w14:textId="77777777" w:rsidR="00B5473D" w:rsidRPr="00FD6951" w:rsidRDefault="00B5473D" w:rsidP="00FD6951">
      <w:r w:rsidRPr="00FD6951">
        <w:t xml:space="preserve">Mahdanian, A. A., et al. (2023). Human rights in mental healthcare... </w:t>
      </w:r>
      <w:r w:rsidRPr="00FD6951">
        <w:rPr>
          <w:i/>
          <w:iCs/>
        </w:rPr>
        <w:t>International Review of Psychiatry</w:t>
      </w:r>
      <w:r w:rsidRPr="00FD6951">
        <w:t xml:space="preserve">, 35(2), 150-162. </w:t>
      </w:r>
      <w:hyperlink r:id="rId17" w:history="1">
        <w:r w:rsidRPr="00FD6951">
          <w:rPr>
            <w:rStyle w:val="Hyperlink"/>
            <w:b/>
            <w:bCs/>
          </w:rPr>
          <w:t>https://doi.org/10.1080/09540261.2022.2027348</w:t>
        </w:r>
      </w:hyperlink>
    </w:p>
    <w:p w14:paraId="1B967B1C" w14:textId="77777777" w:rsidR="00B5473D" w:rsidRPr="00FD6951" w:rsidRDefault="00B5473D" w:rsidP="00FD6951">
      <w:r w:rsidRPr="00FD6951">
        <w:t>McGorry, P. D., Mei, C., Chanen, A., Hodges, C., Alvarez‐Jimenez, M., and Killackey, E. (2022). Designing and scaling up integrated youth mental health care. </w:t>
      </w:r>
      <w:r w:rsidRPr="00FD6951">
        <w:rPr>
          <w:i/>
          <w:iCs/>
        </w:rPr>
        <w:t>World Psychiatry</w:t>
      </w:r>
      <w:r w:rsidRPr="00FD6951">
        <w:t>, </w:t>
      </w:r>
      <w:r w:rsidRPr="00FD6951">
        <w:rPr>
          <w:i/>
          <w:iCs/>
        </w:rPr>
        <w:t>21</w:t>
      </w:r>
      <w:r w:rsidRPr="00FD6951">
        <w:t xml:space="preserve">(1), 61-76. </w:t>
      </w:r>
      <w:hyperlink r:id="rId18" w:history="1">
        <w:r w:rsidRPr="00FD6951">
          <w:rPr>
            <w:rStyle w:val="Hyperlink"/>
          </w:rPr>
          <w:t>https://pmc.ncbi.nlm.nih.gov/articles/PMC8751571/</w:t>
        </w:r>
      </w:hyperlink>
    </w:p>
    <w:p w14:paraId="76FDA654" w14:textId="77777777" w:rsidR="00B5473D" w:rsidRPr="00FD6951" w:rsidRDefault="00B5473D" w:rsidP="00FD6951">
      <w:pPr>
        <w:rPr>
          <w:lang w:val="en-GB"/>
        </w:rPr>
      </w:pPr>
      <w:r w:rsidRPr="00FD6951">
        <w:rPr>
          <w:lang w:val="en-GB"/>
        </w:rPr>
        <w:t>Monks, T., Harper, A., Allen, M., Collins, L. and Mayne, A. (2023). Forecasting the daily demand for emergency medical ambulances in England and Wales: a benchmark model and external validation. </w:t>
      </w:r>
      <w:r w:rsidRPr="00FD6951">
        <w:rPr>
          <w:i/>
          <w:iCs/>
          <w:lang w:val="en-GB"/>
        </w:rPr>
        <w:t>BMC Medical Informatics and Decision Making</w:t>
      </w:r>
      <w:r w:rsidRPr="00FD6951">
        <w:rPr>
          <w:lang w:val="en-GB"/>
        </w:rPr>
        <w:t xml:space="preserve">, 23(1). doi: </w:t>
      </w:r>
      <w:hyperlink r:id="rId19" w:history="1">
        <w:r w:rsidRPr="00FD6951">
          <w:rPr>
            <w:rStyle w:val="Hyperlink"/>
            <w:lang w:val="en-GB"/>
          </w:rPr>
          <w:t>https://doi.org/10.1186/s12911-023-02218-z</w:t>
        </w:r>
      </w:hyperlink>
      <w:r w:rsidRPr="00FD6951">
        <w:rPr>
          <w:lang w:val="en-GB"/>
        </w:rPr>
        <w:t>.</w:t>
      </w:r>
    </w:p>
    <w:p w14:paraId="7BE2E5D7" w14:textId="77777777" w:rsidR="00B5473D" w:rsidRPr="00FD6951" w:rsidRDefault="00B5473D" w:rsidP="00FD6951">
      <w:r w:rsidRPr="00FD6951">
        <w:t xml:space="preserve">NHS England. (2019). </w:t>
      </w:r>
      <w:r w:rsidRPr="00FD6951">
        <w:rPr>
          <w:i/>
          <w:iCs/>
        </w:rPr>
        <w:t>The NHS long term plan</w:t>
      </w:r>
      <w:r w:rsidRPr="00FD6951">
        <w:t xml:space="preserve">. NHS England. </w:t>
      </w:r>
      <w:hyperlink r:id="rId20" w:history="1">
        <w:r w:rsidRPr="00FD6951">
          <w:rPr>
            <w:rStyle w:val="Hyperlink"/>
          </w:rPr>
          <w:t>https://www.longtermplan.nhs.uk/wp-content/uploads/2019/08/nhs-long-term-plan-version-1.2.pdf</w:t>
        </w:r>
      </w:hyperlink>
    </w:p>
    <w:p w14:paraId="4A9856BA" w14:textId="77777777" w:rsidR="00B5473D" w:rsidRPr="00FD6951" w:rsidRDefault="00B5473D" w:rsidP="00FD6951">
      <w:r w:rsidRPr="00FD6951">
        <w:t xml:space="preserve">Pilbery, R., Teare, M. D., and Goodacre, S. (2022). The effect of a specialist paramedic primary care rotation on appropriate non-conveyance decisions (SPRAINED) study: a controlled interrupted time series analysis. </w:t>
      </w:r>
      <w:r w:rsidRPr="00FD6951">
        <w:rPr>
          <w:i/>
          <w:iCs/>
        </w:rPr>
        <w:t>British Paramedic Journal</w:t>
      </w:r>
      <w:r w:rsidRPr="00FD6951">
        <w:t xml:space="preserve">, 7(1), 9–18. </w:t>
      </w:r>
      <w:hyperlink r:id="rId21" w:history="1">
        <w:r w:rsidRPr="00FD6951">
          <w:rPr>
            <w:rStyle w:val="Hyperlink"/>
          </w:rPr>
          <w:t>https://pmc.ncbi.nlm.nih.gov/articles/PMC9662143/</w:t>
        </w:r>
      </w:hyperlink>
    </w:p>
    <w:p w14:paraId="5143ED85" w14:textId="77777777" w:rsidR="00B5473D" w:rsidRPr="00FD6951" w:rsidRDefault="00B5473D" w:rsidP="00FD6951">
      <w:r w:rsidRPr="00FD6951">
        <w:t xml:space="preserve">Swords, C., and Houston, S. (2023). Exploring the evidence for the paradigms of recovery and social work converging in mental health service delivery worldwide: reflections from an Irish case study. </w:t>
      </w:r>
      <w:r w:rsidRPr="00FD6951">
        <w:rPr>
          <w:i/>
          <w:iCs/>
        </w:rPr>
        <w:t>International Journal of Environmental Research and Public Health</w:t>
      </w:r>
      <w:r w:rsidRPr="00FD6951">
        <w:t xml:space="preserve">, 20(15), 6460. </w:t>
      </w:r>
      <w:hyperlink r:id="rId22" w:history="1">
        <w:r w:rsidRPr="00FD6951">
          <w:rPr>
            <w:rStyle w:val="Hyperlink"/>
          </w:rPr>
          <w:t>https://pmc.ncbi.nlm.nih.gov/articles/PMC10418325/</w:t>
        </w:r>
      </w:hyperlink>
    </w:p>
    <w:p w14:paraId="4F8DC386" w14:textId="33587931" w:rsidR="00CE0969" w:rsidRDefault="00B5473D" w:rsidP="00EF6D3E">
      <w:r w:rsidRPr="00FD6951">
        <w:t xml:space="preserve">World Health Organization (WHO). (2021). </w:t>
      </w:r>
      <w:r w:rsidRPr="00FD6951">
        <w:rPr>
          <w:i/>
          <w:iCs/>
        </w:rPr>
        <w:t>Guidance on community mental health services: Promoting person-centred and rights-based approaches</w:t>
      </w:r>
      <w:r w:rsidRPr="00FD6951">
        <w:t xml:space="preserve">. World Health Organization. </w:t>
      </w:r>
      <w:hyperlink r:id="rId23" w:history="1">
        <w:r w:rsidRPr="00FD6951">
          <w:rPr>
            <w:rStyle w:val="Hyperlink"/>
          </w:rPr>
          <w:t>https://www.who.int/publications/i/item/9789240025707</w:t>
        </w:r>
      </w:hyperlink>
    </w:p>
    <w:sectPr w:rsidR="00CE0969">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7B355D" w14:textId="77777777" w:rsidR="00A37DD0" w:rsidRDefault="00A37DD0" w:rsidP="004F34F6">
      <w:pPr>
        <w:spacing w:after="0" w:line="240" w:lineRule="auto"/>
      </w:pPr>
      <w:r>
        <w:separator/>
      </w:r>
    </w:p>
  </w:endnote>
  <w:endnote w:type="continuationSeparator" w:id="0">
    <w:p w14:paraId="432E4FCB" w14:textId="77777777" w:rsidR="00A37DD0" w:rsidRDefault="00A37DD0" w:rsidP="004F3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1397187"/>
      <w:docPartObj>
        <w:docPartGallery w:val="Page Numbers (Bottom of Page)"/>
        <w:docPartUnique/>
      </w:docPartObj>
    </w:sdtPr>
    <w:sdtContent>
      <w:p w14:paraId="5E47AC89" w14:textId="32115722" w:rsidR="00CF4CF6" w:rsidRDefault="00CF4CF6">
        <w:pPr>
          <w:pStyle w:val="Footer"/>
          <w:jc w:val="center"/>
        </w:pPr>
        <w:r>
          <w:fldChar w:fldCharType="begin"/>
        </w:r>
        <w:r>
          <w:instrText>PAGE   \* MERGEFORMAT</w:instrText>
        </w:r>
        <w:r>
          <w:fldChar w:fldCharType="separate"/>
        </w:r>
        <w:r>
          <w:rPr>
            <w:lang w:val="en-GB"/>
          </w:rPr>
          <w:t>2</w:t>
        </w:r>
        <w:r>
          <w:fldChar w:fldCharType="end"/>
        </w:r>
      </w:p>
    </w:sdtContent>
  </w:sdt>
  <w:p w14:paraId="09E55DCD" w14:textId="77777777" w:rsidR="004F34F6" w:rsidRDefault="004F34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BF242A" w14:textId="77777777" w:rsidR="00A37DD0" w:rsidRDefault="00A37DD0" w:rsidP="004F34F6">
      <w:pPr>
        <w:spacing w:after="0" w:line="240" w:lineRule="auto"/>
      </w:pPr>
      <w:r>
        <w:separator/>
      </w:r>
    </w:p>
  </w:footnote>
  <w:footnote w:type="continuationSeparator" w:id="0">
    <w:p w14:paraId="1349B8D3" w14:textId="77777777" w:rsidR="00A37DD0" w:rsidRDefault="00A37DD0" w:rsidP="004F34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969"/>
    <w:rsid w:val="00002295"/>
    <w:rsid w:val="00033056"/>
    <w:rsid w:val="00046E0A"/>
    <w:rsid w:val="000515B1"/>
    <w:rsid w:val="0005428D"/>
    <w:rsid w:val="00084A7C"/>
    <w:rsid w:val="000A3861"/>
    <w:rsid w:val="000C2741"/>
    <w:rsid w:val="000C3235"/>
    <w:rsid w:val="000D1C48"/>
    <w:rsid w:val="000D2439"/>
    <w:rsid w:val="000E5DF1"/>
    <w:rsid w:val="000F4148"/>
    <w:rsid w:val="001005DF"/>
    <w:rsid w:val="00110CDD"/>
    <w:rsid w:val="001114B9"/>
    <w:rsid w:val="0011391A"/>
    <w:rsid w:val="0012112E"/>
    <w:rsid w:val="00134015"/>
    <w:rsid w:val="001441D9"/>
    <w:rsid w:val="00155779"/>
    <w:rsid w:val="001600A8"/>
    <w:rsid w:val="00192C26"/>
    <w:rsid w:val="001A2A75"/>
    <w:rsid w:val="001A31DF"/>
    <w:rsid w:val="001A3A8B"/>
    <w:rsid w:val="001A3D31"/>
    <w:rsid w:val="001C0B93"/>
    <w:rsid w:val="001C4B9F"/>
    <w:rsid w:val="001C4D23"/>
    <w:rsid w:val="001D4DB9"/>
    <w:rsid w:val="001D6C06"/>
    <w:rsid w:val="001E11F2"/>
    <w:rsid w:val="00202E44"/>
    <w:rsid w:val="002061AA"/>
    <w:rsid w:val="0024335F"/>
    <w:rsid w:val="00251516"/>
    <w:rsid w:val="00261B72"/>
    <w:rsid w:val="0026521E"/>
    <w:rsid w:val="002727D3"/>
    <w:rsid w:val="00276321"/>
    <w:rsid w:val="002856FB"/>
    <w:rsid w:val="00287440"/>
    <w:rsid w:val="002B2128"/>
    <w:rsid w:val="002B6E7E"/>
    <w:rsid w:val="002C0115"/>
    <w:rsid w:val="002C1B31"/>
    <w:rsid w:val="002C3765"/>
    <w:rsid w:val="002F1C04"/>
    <w:rsid w:val="002F1D6E"/>
    <w:rsid w:val="002F475A"/>
    <w:rsid w:val="002F7F82"/>
    <w:rsid w:val="00300BD1"/>
    <w:rsid w:val="00301A3C"/>
    <w:rsid w:val="0036219F"/>
    <w:rsid w:val="00383C26"/>
    <w:rsid w:val="003903B5"/>
    <w:rsid w:val="003A7A42"/>
    <w:rsid w:val="003F66EE"/>
    <w:rsid w:val="00423E5C"/>
    <w:rsid w:val="00431135"/>
    <w:rsid w:val="0044662B"/>
    <w:rsid w:val="00447D15"/>
    <w:rsid w:val="004507EE"/>
    <w:rsid w:val="004526DC"/>
    <w:rsid w:val="00454D98"/>
    <w:rsid w:val="00460445"/>
    <w:rsid w:val="00481641"/>
    <w:rsid w:val="00494882"/>
    <w:rsid w:val="004A378A"/>
    <w:rsid w:val="004A61E6"/>
    <w:rsid w:val="004B1659"/>
    <w:rsid w:val="004B2BAB"/>
    <w:rsid w:val="004D1ED4"/>
    <w:rsid w:val="004E3228"/>
    <w:rsid w:val="004F34F6"/>
    <w:rsid w:val="00503E3F"/>
    <w:rsid w:val="00503F43"/>
    <w:rsid w:val="00506C33"/>
    <w:rsid w:val="005226B5"/>
    <w:rsid w:val="0052485A"/>
    <w:rsid w:val="00531F42"/>
    <w:rsid w:val="00533E5D"/>
    <w:rsid w:val="005361F5"/>
    <w:rsid w:val="0053667F"/>
    <w:rsid w:val="0053776A"/>
    <w:rsid w:val="005456C2"/>
    <w:rsid w:val="00553DB3"/>
    <w:rsid w:val="005566B8"/>
    <w:rsid w:val="005605C3"/>
    <w:rsid w:val="0057658C"/>
    <w:rsid w:val="00583FCC"/>
    <w:rsid w:val="005860E7"/>
    <w:rsid w:val="00590E8E"/>
    <w:rsid w:val="005A2AAD"/>
    <w:rsid w:val="005A7F7C"/>
    <w:rsid w:val="005F6C3A"/>
    <w:rsid w:val="006111B9"/>
    <w:rsid w:val="006177D7"/>
    <w:rsid w:val="00642E4D"/>
    <w:rsid w:val="00663693"/>
    <w:rsid w:val="00680C0A"/>
    <w:rsid w:val="006812E6"/>
    <w:rsid w:val="00681B02"/>
    <w:rsid w:val="00683798"/>
    <w:rsid w:val="00685588"/>
    <w:rsid w:val="00692B1F"/>
    <w:rsid w:val="00693530"/>
    <w:rsid w:val="00696256"/>
    <w:rsid w:val="00696C7C"/>
    <w:rsid w:val="006C1558"/>
    <w:rsid w:val="006D4BEF"/>
    <w:rsid w:val="006F10F7"/>
    <w:rsid w:val="006F65B6"/>
    <w:rsid w:val="006F682F"/>
    <w:rsid w:val="00700A47"/>
    <w:rsid w:val="0070464D"/>
    <w:rsid w:val="00707ABD"/>
    <w:rsid w:val="007175FF"/>
    <w:rsid w:val="0071789B"/>
    <w:rsid w:val="0072466E"/>
    <w:rsid w:val="00726E0F"/>
    <w:rsid w:val="007343EE"/>
    <w:rsid w:val="00740297"/>
    <w:rsid w:val="00743098"/>
    <w:rsid w:val="00755E0E"/>
    <w:rsid w:val="007830FE"/>
    <w:rsid w:val="00783E69"/>
    <w:rsid w:val="007946F2"/>
    <w:rsid w:val="007B2AF8"/>
    <w:rsid w:val="007C7CA9"/>
    <w:rsid w:val="007E5397"/>
    <w:rsid w:val="00814EB2"/>
    <w:rsid w:val="0081685F"/>
    <w:rsid w:val="008245C6"/>
    <w:rsid w:val="0084453B"/>
    <w:rsid w:val="008856BF"/>
    <w:rsid w:val="00890A68"/>
    <w:rsid w:val="008A42FD"/>
    <w:rsid w:val="008B1F41"/>
    <w:rsid w:val="008D3CB1"/>
    <w:rsid w:val="008D5A39"/>
    <w:rsid w:val="008D6A56"/>
    <w:rsid w:val="008D6CA2"/>
    <w:rsid w:val="00903207"/>
    <w:rsid w:val="00907499"/>
    <w:rsid w:val="00913F16"/>
    <w:rsid w:val="00921D0E"/>
    <w:rsid w:val="00935797"/>
    <w:rsid w:val="00937B2E"/>
    <w:rsid w:val="0094267C"/>
    <w:rsid w:val="00944B3E"/>
    <w:rsid w:val="009467E6"/>
    <w:rsid w:val="00960F12"/>
    <w:rsid w:val="00975E50"/>
    <w:rsid w:val="00983169"/>
    <w:rsid w:val="0098764A"/>
    <w:rsid w:val="009911B0"/>
    <w:rsid w:val="0099252C"/>
    <w:rsid w:val="009B28F9"/>
    <w:rsid w:val="009B3D0B"/>
    <w:rsid w:val="009B6F18"/>
    <w:rsid w:val="009C0899"/>
    <w:rsid w:val="009C5A07"/>
    <w:rsid w:val="009F52DB"/>
    <w:rsid w:val="009F5CC4"/>
    <w:rsid w:val="00A10855"/>
    <w:rsid w:val="00A11962"/>
    <w:rsid w:val="00A127E7"/>
    <w:rsid w:val="00A32EFC"/>
    <w:rsid w:val="00A336B5"/>
    <w:rsid w:val="00A347C7"/>
    <w:rsid w:val="00A37DD0"/>
    <w:rsid w:val="00A44A32"/>
    <w:rsid w:val="00A55BB7"/>
    <w:rsid w:val="00A72F70"/>
    <w:rsid w:val="00A813C8"/>
    <w:rsid w:val="00A8570E"/>
    <w:rsid w:val="00A94D49"/>
    <w:rsid w:val="00A96FE2"/>
    <w:rsid w:val="00AA0CE9"/>
    <w:rsid w:val="00AC72AA"/>
    <w:rsid w:val="00AC7461"/>
    <w:rsid w:val="00AD06A1"/>
    <w:rsid w:val="00AE46CE"/>
    <w:rsid w:val="00AF41D9"/>
    <w:rsid w:val="00B133A6"/>
    <w:rsid w:val="00B14386"/>
    <w:rsid w:val="00B23F4C"/>
    <w:rsid w:val="00B25FC3"/>
    <w:rsid w:val="00B26FFB"/>
    <w:rsid w:val="00B36C84"/>
    <w:rsid w:val="00B5473D"/>
    <w:rsid w:val="00B60807"/>
    <w:rsid w:val="00B9599A"/>
    <w:rsid w:val="00BD1177"/>
    <w:rsid w:val="00BD5266"/>
    <w:rsid w:val="00BE3E8C"/>
    <w:rsid w:val="00BE4D4E"/>
    <w:rsid w:val="00BF1D4B"/>
    <w:rsid w:val="00C13B9A"/>
    <w:rsid w:val="00C261CB"/>
    <w:rsid w:val="00C35488"/>
    <w:rsid w:val="00C46CD8"/>
    <w:rsid w:val="00C5352E"/>
    <w:rsid w:val="00C5589A"/>
    <w:rsid w:val="00C56A68"/>
    <w:rsid w:val="00C56FFC"/>
    <w:rsid w:val="00C72FE9"/>
    <w:rsid w:val="00C83B4F"/>
    <w:rsid w:val="00CC66EB"/>
    <w:rsid w:val="00CD5354"/>
    <w:rsid w:val="00CE0969"/>
    <w:rsid w:val="00CE4FB9"/>
    <w:rsid w:val="00CF4CF6"/>
    <w:rsid w:val="00CF6379"/>
    <w:rsid w:val="00D022C2"/>
    <w:rsid w:val="00D129AA"/>
    <w:rsid w:val="00D21AC7"/>
    <w:rsid w:val="00D41956"/>
    <w:rsid w:val="00D51BD8"/>
    <w:rsid w:val="00D52FB0"/>
    <w:rsid w:val="00D64FF4"/>
    <w:rsid w:val="00D672DE"/>
    <w:rsid w:val="00D73185"/>
    <w:rsid w:val="00D77FD3"/>
    <w:rsid w:val="00D927AA"/>
    <w:rsid w:val="00D9306E"/>
    <w:rsid w:val="00D93CA3"/>
    <w:rsid w:val="00DB46FA"/>
    <w:rsid w:val="00DC4DC7"/>
    <w:rsid w:val="00DD2157"/>
    <w:rsid w:val="00DE0ADD"/>
    <w:rsid w:val="00DF1E03"/>
    <w:rsid w:val="00DF3D90"/>
    <w:rsid w:val="00DF5294"/>
    <w:rsid w:val="00E15940"/>
    <w:rsid w:val="00E2280A"/>
    <w:rsid w:val="00E24842"/>
    <w:rsid w:val="00E2496F"/>
    <w:rsid w:val="00E327C9"/>
    <w:rsid w:val="00E54904"/>
    <w:rsid w:val="00E76574"/>
    <w:rsid w:val="00E86ECA"/>
    <w:rsid w:val="00E903A3"/>
    <w:rsid w:val="00E9133C"/>
    <w:rsid w:val="00E9302B"/>
    <w:rsid w:val="00E97249"/>
    <w:rsid w:val="00EA4991"/>
    <w:rsid w:val="00EC0A60"/>
    <w:rsid w:val="00EC36ED"/>
    <w:rsid w:val="00EF013C"/>
    <w:rsid w:val="00EF23CD"/>
    <w:rsid w:val="00EF628E"/>
    <w:rsid w:val="00EF6D3E"/>
    <w:rsid w:val="00F051EB"/>
    <w:rsid w:val="00F07317"/>
    <w:rsid w:val="00F1057F"/>
    <w:rsid w:val="00F114D7"/>
    <w:rsid w:val="00F25523"/>
    <w:rsid w:val="00F35426"/>
    <w:rsid w:val="00F53C42"/>
    <w:rsid w:val="00F547A6"/>
    <w:rsid w:val="00F70BB2"/>
    <w:rsid w:val="00F74FF3"/>
    <w:rsid w:val="00F820E0"/>
    <w:rsid w:val="00F84228"/>
    <w:rsid w:val="00F87CAA"/>
    <w:rsid w:val="00F934EC"/>
    <w:rsid w:val="00FD6951"/>
    <w:rsid w:val="00FD7F77"/>
    <w:rsid w:val="00FE3628"/>
    <w:rsid w:val="00FE6178"/>
    <w:rsid w:val="00FE77F1"/>
    <w:rsid w:val="00FF4D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9977B"/>
  <w15:docId w15:val="{FC893A26-ECC4-46FA-9F6A-8DB064FF9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096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E0969"/>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CE0969"/>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0969"/>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CE0969"/>
    <w:rPr>
      <w:rFonts w:ascii="Times New Roman" w:eastAsiaTheme="majorEastAsia" w:hAnsi="Times New Roman" w:cstheme="majorBidi"/>
      <w:b/>
      <w:bCs/>
      <w:color w:val="4F81BD" w:themeColor="accent1"/>
      <w:sz w:val="28"/>
      <w:szCs w:val="26"/>
    </w:rPr>
  </w:style>
  <w:style w:type="paragraph" w:styleId="BalloonText">
    <w:name w:val="Balloon Text"/>
    <w:basedOn w:val="Normal"/>
    <w:link w:val="BalloonTextChar"/>
    <w:uiPriority w:val="99"/>
    <w:semiHidden/>
    <w:unhideWhenUsed/>
    <w:rsid w:val="00CE09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0969"/>
    <w:rPr>
      <w:rFonts w:ascii="Tahoma" w:hAnsi="Tahoma" w:cs="Tahoma"/>
      <w:sz w:val="16"/>
      <w:szCs w:val="16"/>
    </w:rPr>
  </w:style>
  <w:style w:type="paragraph" w:styleId="Header">
    <w:name w:val="header"/>
    <w:basedOn w:val="Normal"/>
    <w:link w:val="HeaderChar"/>
    <w:uiPriority w:val="99"/>
    <w:unhideWhenUsed/>
    <w:rsid w:val="004F34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34F6"/>
    <w:rPr>
      <w:rFonts w:ascii="Times New Roman" w:hAnsi="Times New Roman"/>
      <w:sz w:val="24"/>
    </w:rPr>
  </w:style>
  <w:style w:type="paragraph" w:styleId="Footer">
    <w:name w:val="footer"/>
    <w:basedOn w:val="Normal"/>
    <w:link w:val="FooterChar"/>
    <w:uiPriority w:val="99"/>
    <w:unhideWhenUsed/>
    <w:rsid w:val="004F34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34F6"/>
    <w:rPr>
      <w:rFonts w:ascii="Times New Roman" w:hAnsi="Times New Roman"/>
      <w:sz w:val="24"/>
    </w:rPr>
  </w:style>
  <w:style w:type="paragraph" w:styleId="TOCHeading">
    <w:name w:val="TOC Heading"/>
    <w:basedOn w:val="Heading1"/>
    <w:next w:val="Normal"/>
    <w:uiPriority w:val="39"/>
    <w:semiHidden/>
    <w:unhideWhenUsed/>
    <w:qFormat/>
    <w:rsid w:val="004F34F6"/>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4F34F6"/>
    <w:pPr>
      <w:spacing w:after="100"/>
    </w:pPr>
  </w:style>
  <w:style w:type="paragraph" w:styleId="TOC2">
    <w:name w:val="toc 2"/>
    <w:basedOn w:val="Normal"/>
    <w:next w:val="Normal"/>
    <w:autoRedefine/>
    <w:uiPriority w:val="39"/>
    <w:unhideWhenUsed/>
    <w:rsid w:val="004F34F6"/>
    <w:pPr>
      <w:spacing w:after="100"/>
      <w:ind w:left="240"/>
    </w:pPr>
  </w:style>
  <w:style w:type="character" w:styleId="Hyperlink">
    <w:name w:val="Hyperlink"/>
    <w:basedOn w:val="DefaultParagraphFont"/>
    <w:uiPriority w:val="99"/>
    <w:unhideWhenUsed/>
    <w:rsid w:val="004F34F6"/>
    <w:rPr>
      <w:color w:val="0000FF" w:themeColor="hyperlink"/>
      <w:u w:val="single"/>
    </w:rPr>
  </w:style>
  <w:style w:type="character" w:styleId="UnresolvedMention">
    <w:name w:val="Unresolved Mention"/>
    <w:basedOn w:val="DefaultParagraphFont"/>
    <w:uiPriority w:val="99"/>
    <w:semiHidden/>
    <w:unhideWhenUsed/>
    <w:rsid w:val="006855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8388869">
      <w:bodyDiv w:val="1"/>
      <w:marLeft w:val="0"/>
      <w:marRight w:val="0"/>
      <w:marTop w:val="0"/>
      <w:marBottom w:val="0"/>
      <w:divBdr>
        <w:top w:val="none" w:sz="0" w:space="0" w:color="auto"/>
        <w:left w:val="none" w:sz="0" w:space="0" w:color="auto"/>
        <w:bottom w:val="none" w:sz="0" w:space="0" w:color="auto"/>
        <w:right w:val="none" w:sz="0" w:space="0" w:color="auto"/>
      </w:divBdr>
    </w:div>
    <w:div w:id="2142650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11/hex.13856." TargetMode="External"/><Relationship Id="rId18" Type="http://schemas.openxmlformats.org/officeDocument/2006/relationships/hyperlink" Target="https://pmc.ncbi.nlm.nih.gov/articles/PMC8751571/"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pmc.ncbi.nlm.nih.gov/articles/PMC9662143/" TargetMode="External"/><Relationship Id="rId7" Type="http://schemas.openxmlformats.org/officeDocument/2006/relationships/image" Target="media/image1.png"/><Relationship Id="rId12" Type="http://schemas.openxmlformats.org/officeDocument/2006/relationships/hyperlink" Target="https://doi.org/10.1556/2006.8.2019.65" TargetMode="External"/><Relationship Id="rId17" Type="http://schemas.openxmlformats.org/officeDocument/2006/relationships/hyperlink" Target="https://doi.org/10.1080/09540261.2022.2027348"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mc.ncbi.nlm.nih.gov/articles/PMC9490980/" TargetMode="External"/><Relationship Id="rId20" Type="http://schemas.openxmlformats.org/officeDocument/2006/relationships/hyperlink" Target="https://www.longtermplan.nhs.uk/wp-content/uploads/2019/08/nhs-long-term-plan-version-1.2.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mc.ncbi.nlm.nih.gov/articles/PMC10252416/"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pmc.ncbi.nlm.nih.gov/articles/PMC10539575/" TargetMode="External"/><Relationship Id="rId23" Type="http://schemas.openxmlformats.org/officeDocument/2006/relationships/hyperlink" Target="https://www.who.int/publications/i/item/9789240025707" TargetMode="External"/><Relationship Id="rId10" Type="http://schemas.openxmlformats.org/officeDocument/2006/relationships/hyperlink" Target="https://doi.org/10.1136/bmjopen-2020-047814" TargetMode="External"/><Relationship Id="rId19" Type="http://schemas.openxmlformats.org/officeDocument/2006/relationships/hyperlink" Target="https://doi.org/10.1186/s12911-023-02218-z" TargetMode="External"/><Relationship Id="rId4" Type="http://schemas.openxmlformats.org/officeDocument/2006/relationships/webSettings" Target="webSettings.xml"/><Relationship Id="rId9" Type="http://schemas.openxmlformats.org/officeDocument/2006/relationships/hyperlink" Target="https://doi.org/10.1080/2156857X.2023.2244502" TargetMode="External"/><Relationship Id="rId14" Type="http://schemas.openxmlformats.org/officeDocument/2006/relationships/hyperlink" Target="https://pmc.ncbi.nlm.nih.gov/articles/PMC10539575/" TargetMode="External"/><Relationship Id="rId22" Type="http://schemas.openxmlformats.org/officeDocument/2006/relationships/hyperlink" Target="https://pmc.ncbi.nlm.nih.gov/articles/PMC104183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D6BB35-F1AB-42BC-B7CB-86D5D0185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555</TotalTime>
  <Pages>11</Pages>
  <Words>2628</Words>
  <Characters>14984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Gloria Armoo</dc:creator>
  <cp:lastModifiedBy>Gloria Armoo</cp:lastModifiedBy>
  <cp:revision>83</cp:revision>
  <dcterms:created xsi:type="dcterms:W3CDTF">2026-02-21T22:51:00Z</dcterms:created>
  <dcterms:modified xsi:type="dcterms:W3CDTF">2026-02-22T08:27:00Z</dcterms:modified>
</cp:coreProperties>
</file>