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C55392" w14:textId="77777777" w:rsidR="0018592E" w:rsidRDefault="0018592E">
      <w:pPr>
        <w:spacing w:after="80"/>
        <w:jc w:val="center"/>
        <w:rPr>
          <w:rFonts w:ascii="Arial" w:hAnsi="Arial" w:cs="Arial"/>
          <w:b/>
          <w:bCs/>
          <w:sz w:val="30"/>
          <w:szCs w:val="30"/>
          <w:lang w:val="en-AU" w:eastAsia="en-AU"/>
        </w:rPr>
      </w:pPr>
    </w:p>
    <w:p w14:paraId="3723CE53" w14:textId="77777777" w:rsidR="0018592E" w:rsidRDefault="00000000">
      <w:pPr>
        <w:spacing w:after="80"/>
        <w:jc w:val="center"/>
        <w:rPr>
          <w:rFonts w:ascii="Arial" w:hAnsi="Arial" w:cs="Arial"/>
          <w:b/>
          <w:bCs/>
          <w:sz w:val="30"/>
          <w:szCs w:val="30"/>
          <w:lang w:val="en-AU" w:eastAsia="en-AU"/>
        </w:rPr>
      </w:pPr>
      <w:r>
        <w:rPr>
          <w:noProof/>
        </w:rPr>
        <w:drawing>
          <wp:inline distT="0" distB="0" distL="0" distR="0" wp14:anchorId="173017D6" wp14:editId="2B0F2AA2">
            <wp:extent cx="2486025" cy="1104900"/>
            <wp:effectExtent l="0" t="0" r="9525" b="0"/>
            <wp:docPr id="1246890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890954" name="Picture 1"/>
                    <pic:cNvPicPr>
                      <a:picLocks noChangeAspect="1"/>
                    </pic:cNvPicPr>
                  </pic:nvPicPr>
                  <pic:blipFill>
                    <a:blip r:embed="rId8"/>
                    <a:stretch>
                      <a:fillRect/>
                    </a:stretch>
                  </pic:blipFill>
                  <pic:spPr>
                    <a:xfrm>
                      <a:off x="0" y="0"/>
                      <a:ext cx="2486025" cy="1104900"/>
                    </a:xfrm>
                    <a:prstGeom prst="rect">
                      <a:avLst/>
                    </a:prstGeom>
                  </pic:spPr>
                </pic:pic>
              </a:graphicData>
            </a:graphic>
          </wp:inline>
        </w:drawing>
      </w:r>
    </w:p>
    <w:p w14:paraId="73AF0829" w14:textId="77777777" w:rsidR="0018592E" w:rsidRDefault="0018592E">
      <w:pPr>
        <w:spacing w:after="80"/>
        <w:jc w:val="center"/>
        <w:rPr>
          <w:rFonts w:ascii="Arial" w:hAnsi="Arial" w:cs="Arial"/>
          <w:b/>
          <w:bCs/>
          <w:sz w:val="30"/>
          <w:szCs w:val="30"/>
          <w:lang w:val="en-AU" w:eastAsia="en-AU"/>
        </w:rPr>
      </w:pPr>
    </w:p>
    <w:p w14:paraId="1CD90E13" w14:textId="77777777" w:rsidR="0018592E" w:rsidRPr="0018592E" w:rsidRDefault="0018592E">
      <w:pPr>
        <w:spacing w:after="80"/>
        <w:jc w:val="center"/>
        <w:rPr>
          <w:rFonts w:ascii="Arial" w:hAnsi="Arial" w:cs="Arial"/>
          <w:lang w:val="en-AU" w:eastAsia="en-AU"/>
        </w:rPr>
      </w:pPr>
    </w:p>
    <w:p w14:paraId="4DFDA812" w14:textId="77777777" w:rsidR="0018592E" w:rsidRPr="0018592E" w:rsidRDefault="00000000" w:rsidP="0018592E">
      <w:pPr>
        <w:spacing w:after="80"/>
        <w:jc w:val="center"/>
        <w:rPr>
          <w:rFonts w:ascii="Arial" w:hAnsi="Arial" w:cs="Arial"/>
          <w:b/>
          <w:bCs/>
          <w:lang w:val="en-GB" w:eastAsia="en-AU"/>
        </w:rPr>
      </w:pPr>
      <w:r w:rsidRPr="0018592E">
        <w:rPr>
          <w:rFonts w:ascii="Arial" w:hAnsi="Arial" w:cs="Arial"/>
          <w:b/>
          <w:bCs/>
          <w:lang w:val="en-GB" w:eastAsia="en-AU"/>
        </w:rPr>
        <w:t>Programme: Master of Business Administration</w:t>
      </w:r>
    </w:p>
    <w:p w14:paraId="1725AB16" w14:textId="77777777" w:rsidR="0018592E" w:rsidRPr="0018592E" w:rsidRDefault="00000000">
      <w:pPr>
        <w:spacing w:after="80"/>
        <w:jc w:val="center"/>
        <w:rPr>
          <w:rFonts w:ascii="Arial" w:hAnsi="Arial" w:cs="Arial"/>
          <w:lang w:val="en-GB" w:eastAsia="en-AU"/>
        </w:rPr>
      </w:pPr>
      <w:r w:rsidRPr="0018592E">
        <w:rPr>
          <w:rFonts w:ascii="Arial" w:hAnsi="Arial" w:cs="Arial"/>
          <w:lang w:val="en-GB" w:eastAsia="en-AU"/>
        </w:rPr>
        <w:t>Module: (LCMB7035)</w:t>
      </w:r>
    </w:p>
    <w:p w14:paraId="1B2117BA" w14:textId="77777777" w:rsidR="0018592E" w:rsidRDefault="0018592E">
      <w:pPr>
        <w:spacing w:after="80"/>
        <w:jc w:val="center"/>
        <w:rPr>
          <w:rFonts w:ascii="Arial" w:hAnsi="Arial" w:cs="Arial"/>
          <w:b/>
          <w:bCs/>
          <w:sz w:val="30"/>
          <w:szCs w:val="30"/>
          <w:lang w:val="en-AU" w:eastAsia="en-AU"/>
        </w:rPr>
      </w:pPr>
    </w:p>
    <w:p w14:paraId="5F97FEE7" w14:textId="77777777" w:rsidR="0018592E" w:rsidRDefault="0018592E">
      <w:pPr>
        <w:spacing w:after="80"/>
        <w:jc w:val="center"/>
        <w:rPr>
          <w:rFonts w:ascii="Arial" w:hAnsi="Arial" w:cs="Arial"/>
          <w:b/>
          <w:bCs/>
          <w:sz w:val="30"/>
          <w:szCs w:val="30"/>
          <w:lang w:val="en-AU" w:eastAsia="en-AU"/>
        </w:rPr>
      </w:pPr>
    </w:p>
    <w:p w14:paraId="651AD6EE" w14:textId="77777777" w:rsidR="0018592E" w:rsidRDefault="0018592E">
      <w:pPr>
        <w:spacing w:after="80"/>
        <w:jc w:val="center"/>
        <w:rPr>
          <w:rFonts w:ascii="Arial" w:hAnsi="Arial" w:cs="Arial"/>
          <w:b/>
          <w:bCs/>
          <w:sz w:val="30"/>
          <w:szCs w:val="30"/>
          <w:lang w:val="en-AU" w:eastAsia="en-AU"/>
        </w:rPr>
      </w:pPr>
    </w:p>
    <w:p w14:paraId="51B461B2" w14:textId="77777777" w:rsidR="0018592E" w:rsidRPr="0018592E" w:rsidRDefault="0018592E">
      <w:pPr>
        <w:spacing w:after="80"/>
        <w:jc w:val="center"/>
        <w:rPr>
          <w:rFonts w:ascii="Arial" w:hAnsi="Arial" w:cs="Arial"/>
          <w:b/>
          <w:bCs/>
          <w:i/>
          <w:iCs/>
          <w:sz w:val="30"/>
          <w:szCs w:val="30"/>
          <w:lang w:val="en-AU" w:eastAsia="en-AU"/>
        </w:rPr>
      </w:pPr>
    </w:p>
    <w:p w14:paraId="1014BF76" w14:textId="77777777" w:rsidR="00B77284" w:rsidRDefault="00000000">
      <w:pPr>
        <w:spacing w:after="80"/>
        <w:jc w:val="center"/>
        <w:rPr>
          <w:rFonts w:ascii="Arial" w:hAnsi="Arial" w:cs="Arial"/>
          <w:b/>
          <w:bCs/>
          <w:i/>
          <w:iCs/>
          <w:sz w:val="30"/>
          <w:szCs w:val="30"/>
          <w:lang w:val="en-AU" w:eastAsia="en-AU"/>
        </w:rPr>
      </w:pPr>
      <w:r w:rsidRPr="0018592E">
        <w:rPr>
          <w:rFonts w:ascii="Arial" w:hAnsi="Arial" w:cs="Arial"/>
          <w:b/>
          <w:bCs/>
          <w:i/>
          <w:iCs/>
          <w:sz w:val="30"/>
          <w:szCs w:val="30"/>
          <w:lang w:val="en-AU" w:eastAsia="en-AU"/>
        </w:rPr>
        <w:t>The Impact of Digital Transformation on Customer Loyalty: A Case Study of Tesco PLC</w:t>
      </w:r>
    </w:p>
    <w:p w14:paraId="0701C486" w14:textId="73F3542E" w:rsidR="0018592E" w:rsidRDefault="00063DFC" w:rsidP="00063DFC">
      <w:pPr>
        <w:tabs>
          <w:tab w:val="left" w:pos="1230"/>
        </w:tabs>
        <w:spacing w:after="80"/>
        <w:rPr>
          <w:rFonts w:ascii="Arial" w:hAnsi="Arial" w:cs="Arial"/>
          <w:b/>
          <w:bCs/>
          <w:i/>
          <w:iCs/>
          <w:sz w:val="30"/>
          <w:szCs w:val="30"/>
          <w:lang w:val="en-AU" w:eastAsia="en-AU"/>
        </w:rPr>
      </w:pPr>
      <w:r>
        <w:rPr>
          <w:rFonts w:ascii="Arial" w:hAnsi="Arial" w:cs="Arial"/>
          <w:b/>
          <w:bCs/>
          <w:i/>
          <w:iCs/>
          <w:sz w:val="30"/>
          <w:szCs w:val="30"/>
          <w:lang w:val="en-AU" w:eastAsia="en-AU"/>
        </w:rPr>
        <w:tab/>
      </w:r>
    </w:p>
    <w:p w14:paraId="69DCF410" w14:textId="77777777" w:rsidR="0018592E" w:rsidRDefault="0018592E">
      <w:pPr>
        <w:spacing w:after="80"/>
        <w:jc w:val="center"/>
        <w:rPr>
          <w:rFonts w:ascii="Arial" w:hAnsi="Arial" w:cs="Arial"/>
          <w:b/>
          <w:bCs/>
          <w:i/>
          <w:iCs/>
          <w:sz w:val="30"/>
          <w:szCs w:val="30"/>
          <w:lang w:val="en-AU" w:eastAsia="en-AU"/>
        </w:rPr>
      </w:pPr>
    </w:p>
    <w:p w14:paraId="5C8BEA2B" w14:textId="77777777" w:rsidR="0018592E" w:rsidRDefault="0018592E">
      <w:pPr>
        <w:spacing w:after="80"/>
        <w:jc w:val="center"/>
        <w:rPr>
          <w:rFonts w:ascii="Arial" w:hAnsi="Arial" w:cs="Arial"/>
          <w:b/>
          <w:bCs/>
          <w:i/>
          <w:iCs/>
          <w:sz w:val="30"/>
          <w:szCs w:val="30"/>
          <w:lang w:val="en-AU" w:eastAsia="en-AU"/>
        </w:rPr>
      </w:pPr>
    </w:p>
    <w:p w14:paraId="7EA36416" w14:textId="77777777" w:rsidR="0018592E" w:rsidRDefault="0018592E">
      <w:pPr>
        <w:spacing w:after="80"/>
        <w:jc w:val="center"/>
        <w:rPr>
          <w:rFonts w:ascii="Arial" w:hAnsi="Arial" w:cs="Arial"/>
          <w:b/>
          <w:bCs/>
          <w:i/>
          <w:iCs/>
          <w:sz w:val="30"/>
          <w:szCs w:val="30"/>
          <w:lang w:val="en-AU" w:eastAsia="en-AU"/>
        </w:rPr>
      </w:pPr>
    </w:p>
    <w:p w14:paraId="5D43927B" w14:textId="77777777" w:rsidR="0018592E" w:rsidRDefault="0018592E">
      <w:pPr>
        <w:spacing w:after="80"/>
        <w:jc w:val="center"/>
        <w:rPr>
          <w:rFonts w:ascii="Arial" w:hAnsi="Arial" w:cs="Arial"/>
          <w:b/>
          <w:bCs/>
          <w:i/>
          <w:iCs/>
          <w:sz w:val="30"/>
          <w:szCs w:val="30"/>
          <w:lang w:val="en-AU" w:eastAsia="en-AU"/>
        </w:rPr>
      </w:pPr>
    </w:p>
    <w:p w14:paraId="04576782" w14:textId="77777777" w:rsidR="0018592E" w:rsidRDefault="0018592E">
      <w:pPr>
        <w:spacing w:after="80"/>
        <w:jc w:val="center"/>
        <w:rPr>
          <w:rFonts w:ascii="Arial" w:hAnsi="Arial" w:cs="Arial"/>
          <w:b/>
          <w:bCs/>
          <w:i/>
          <w:iCs/>
          <w:sz w:val="30"/>
          <w:szCs w:val="30"/>
          <w:lang w:val="en-AU" w:eastAsia="en-AU"/>
        </w:rPr>
      </w:pPr>
    </w:p>
    <w:p w14:paraId="282A8C24" w14:textId="2BD2C0C7" w:rsidR="0018592E" w:rsidRPr="00224447" w:rsidRDefault="00224447">
      <w:pPr>
        <w:spacing w:after="80"/>
        <w:jc w:val="center"/>
        <w:rPr>
          <w:rFonts w:ascii="Arial" w:hAnsi="Arial" w:cs="Arial"/>
          <w:b/>
          <w:bCs/>
          <w:i/>
          <w:iCs/>
          <w:lang w:val="en-AU" w:eastAsia="en-AU"/>
        </w:rPr>
      </w:pPr>
      <w:r>
        <w:rPr>
          <w:rFonts w:ascii="Arial" w:hAnsi="Arial" w:cs="Arial"/>
          <w:b/>
          <w:bCs/>
          <w:i/>
          <w:iCs/>
          <w:lang w:val="en-AU" w:eastAsia="en-AU"/>
        </w:rPr>
        <w:t>Supervisor’s name: Taonga Kaonga Sobere Snithers</w:t>
      </w:r>
    </w:p>
    <w:p w14:paraId="034F1779" w14:textId="582E63D4" w:rsidR="0018592E" w:rsidRPr="0018592E" w:rsidRDefault="00000000" w:rsidP="0018592E">
      <w:pPr>
        <w:spacing w:after="80"/>
        <w:jc w:val="center"/>
        <w:rPr>
          <w:rFonts w:ascii="Arial" w:hAnsi="Arial" w:cs="Arial"/>
          <w:b/>
          <w:bCs/>
          <w:i/>
          <w:iCs/>
          <w:lang w:val="en-GB" w:eastAsia="en-AU"/>
        </w:rPr>
      </w:pPr>
      <w:r w:rsidRPr="0018592E">
        <w:rPr>
          <w:rFonts w:ascii="Arial" w:hAnsi="Arial" w:cs="Arial"/>
          <w:b/>
          <w:bCs/>
          <w:i/>
          <w:iCs/>
          <w:lang w:val="en-GB" w:eastAsia="en-AU"/>
        </w:rPr>
        <w:t>Student Name:</w:t>
      </w:r>
      <w:r w:rsidR="00934FD4">
        <w:rPr>
          <w:rFonts w:ascii="Arial" w:hAnsi="Arial" w:cs="Arial"/>
          <w:b/>
          <w:bCs/>
          <w:i/>
          <w:iCs/>
          <w:lang w:val="en-GB" w:eastAsia="en-AU"/>
        </w:rPr>
        <w:t xml:space="preserve"> HEMANG AMRUTBHAI DESAI</w:t>
      </w:r>
    </w:p>
    <w:p w14:paraId="0C4440FF" w14:textId="1334D215" w:rsidR="0018592E" w:rsidRPr="0018592E" w:rsidRDefault="00000000" w:rsidP="0018592E">
      <w:pPr>
        <w:spacing w:after="80"/>
        <w:jc w:val="center"/>
        <w:rPr>
          <w:rFonts w:ascii="Arial" w:hAnsi="Arial" w:cs="Arial"/>
          <w:b/>
          <w:bCs/>
          <w:i/>
          <w:iCs/>
          <w:lang w:val="en-GB" w:eastAsia="en-AU"/>
        </w:rPr>
      </w:pPr>
      <w:r w:rsidRPr="0018592E">
        <w:rPr>
          <w:rFonts w:ascii="Arial" w:hAnsi="Arial" w:cs="Arial"/>
          <w:b/>
          <w:bCs/>
          <w:i/>
          <w:iCs/>
          <w:lang w:val="en-GB" w:eastAsia="en-AU"/>
        </w:rPr>
        <w:t>Student ID:</w:t>
      </w:r>
      <w:r w:rsidR="00934FD4">
        <w:rPr>
          <w:rFonts w:ascii="Arial" w:hAnsi="Arial" w:cs="Arial"/>
          <w:b/>
          <w:bCs/>
          <w:i/>
          <w:iCs/>
          <w:lang w:val="en-GB" w:eastAsia="en-AU"/>
        </w:rPr>
        <w:t xml:space="preserve"> 2438589</w:t>
      </w:r>
      <w:r w:rsidRPr="0018592E">
        <w:rPr>
          <w:rFonts w:ascii="Arial" w:hAnsi="Arial" w:cs="Arial"/>
          <w:b/>
          <w:bCs/>
          <w:i/>
          <w:iCs/>
          <w:lang w:val="en-GB" w:eastAsia="en-AU"/>
        </w:rPr>
        <w:t xml:space="preserve"> </w:t>
      </w:r>
    </w:p>
    <w:p w14:paraId="317E276B" w14:textId="0507D057" w:rsidR="0018592E" w:rsidRDefault="00203A9B">
      <w:pPr>
        <w:spacing w:after="80"/>
        <w:jc w:val="center"/>
        <w:rPr>
          <w:rFonts w:ascii="Arial" w:hAnsi="Arial" w:cs="Arial"/>
          <w:b/>
          <w:bCs/>
          <w:i/>
          <w:iCs/>
          <w:lang w:val="en-AU" w:eastAsia="en-AU"/>
        </w:rPr>
      </w:pPr>
      <w:r>
        <w:rPr>
          <w:rFonts w:ascii="Arial" w:hAnsi="Arial" w:cs="Arial"/>
          <w:b/>
          <w:bCs/>
          <w:i/>
          <w:iCs/>
          <w:lang w:val="en-AU" w:eastAsia="en-AU"/>
        </w:rPr>
        <w:t>Word count: 15166</w:t>
      </w:r>
    </w:p>
    <w:p w14:paraId="2DAE2A5A" w14:textId="2DA845E2" w:rsidR="00203A9B" w:rsidRPr="00203A9B" w:rsidRDefault="00203A9B">
      <w:pPr>
        <w:spacing w:after="80"/>
        <w:jc w:val="center"/>
        <w:rPr>
          <w:rFonts w:ascii="Arial" w:hAnsi="Arial" w:cs="Arial"/>
          <w:b/>
          <w:bCs/>
          <w:i/>
          <w:iCs/>
          <w:lang w:val="en-AU" w:eastAsia="en-AU"/>
        </w:rPr>
      </w:pPr>
      <w:r>
        <w:rPr>
          <w:rFonts w:ascii="Arial" w:hAnsi="Arial" w:cs="Arial"/>
          <w:b/>
          <w:bCs/>
          <w:i/>
          <w:iCs/>
          <w:lang w:val="en-AU" w:eastAsia="en-AU"/>
        </w:rPr>
        <w:t>Submission Date: 28/08/2026</w:t>
      </w:r>
    </w:p>
    <w:p w14:paraId="4FBB07DB" w14:textId="77777777" w:rsidR="005E3857" w:rsidRDefault="005E3857">
      <w:pPr>
        <w:spacing w:after="80"/>
        <w:jc w:val="center"/>
        <w:rPr>
          <w:rFonts w:ascii="Arial" w:hAnsi="Arial" w:cs="Arial"/>
          <w:i/>
          <w:iCs/>
          <w:lang w:val="en-AU" w:eastAsia="en-AU"/>
        </w:rPr>
      </w:pPr>
    </w:p>
    <w:p w14:paraId="55293EE7" w14:textId="77777777" w:rsidR="005E3857" w:rsidRDefault="005E3857">
      <w:pPr>
        <w:spacing w:after="80"/>
        <w:jc w:val="center"/>
        <w:rPr>
          <w:rFonts w:ascii="Arial" w:hAnsi="Arial" w:cs="Arial"/>
          <w:i/>
          <w:iCs/>
          <w:lang w:val="en-AU" w:eastAsia="en-AU"/>
        </w:rPr>
      </w:pPr>
    </w:p>
    <w:p w14:paraId="2A5EFA16" w14:textId="77777777" w:rsidR="005E3857" w:rsidRDefault="005E3857">
      <w:pPr>
        <w:spacing w:after="80"/>
        <w:jc w:val="center"/>
        <w:rPr>
          <w:rFonts w:ascii="Arial" w:hAnsi="Arial" w:cs="Arial"/>
          <w:i/>
          <w:iCs/>
          <w:lang w:val="en-AU" w:eastAsia="en-AU"/>
        </w:rPr>
      </w:pPr>
    </w:p>
    <w:p w14:paraId="18ACF37D" w14:textId="77777777" w:rsidR="005E3857" w:rsidRDefault="005E3857">
      <w:pPr>
        <w:spacing w:after="80"/>
        <w:jc w:val="center"/>
        <w:rPr>
          <w:rFonts w:ascii="Arial" w:hAnsi="Arial" w:cs="Arial"/>
          <w:i/>
          <w:iCs/>
          <w:lang w:val="en-AU" w:eastAsia="en-AU"/>
        </w:rPr>
      </w:pPr>
    </w:p>
    <w:p w14:paraId="3E05BF8D" w14:textId="77777777" w:rsidR="005E3857" w:rsidRDefault="005E3857">
      <w:pPr>
        <w:spacing w:after="80"/>
        <w:jc w:val="center"/>
        <w:rPr>
          <w:rFonts w:ascii="Arial" w:hAnsi="Arial" w:cs="Arial"/>
          <w:i/>
          <w:iCs/>
          <w:lang w:val="en-AU" w:eastAsia="en-AU"/>
        </w:rPr>
      </w:pPr>
    </w:p>
    <w:p w14:paraId="7D926673" w14:textId="77777777" w:rsidR="005E3857" w:rsidRDefault="005E3857">
      <w:pPr>
        <w:spacing w:after="80"/>
        <w:jc w:val="center"/>
        <w:rPr>
          <w:rFonts w:ascii="Arial" w:hAnsi="Arial" w:cs="Arial"/>
          <w:i/>
          <w:iCs/>
          <w:lang w:val="en-AU" w:eastAsia="en-AU"/>
        </w:rPr>
      </w:pPr>
    </w:p>
    <w:p w14:paraId="74714EFF" w14:textId="77777777" w:rsidR="005E3857" w:rsidRDefault="005E3857">
      <w:pPr>
        <w:spacing w:after="80"/>
        <w:jc w:val="center"/>
        <w:rPr>
          <w:rFonts w:ascii="Arial" w:hAnsi="Arial" w:cs="Arial"/>
          <w:i/>
          <w:iCs/>
          <w:lang w:val="en-AU" w:eastAsia="en-AU"/>
        </w:rPr>
      </w:pPr>
    </w:p>
    <w:p w14:paraId="39F08B57" w14:textId="77777777" w:rsidR="009A7038" w:rsidRPr="003B0292" w:rsidRDefault="009A7038">
      <w:pPr>
        <w:spacing w:after="80"/>
        <w:jc w:val="center"/>
        <w:rPr>
          <w:rFonts w:ascii="Arial" w:hAnsi="Arial" w:cs="Arial"/>
          <w:lang w:val="en-AU" w:eastAsia="en-AU"/>
        </w:rPr>
      </w:pPr>
    </w:p>
    <w:p w14:paraId="5C1E6870" w14:textId="77777777" w:rsidR="009A7038" w:rsidRPr="003B0292" w:rsidRDefault="00000000" w:rsidP="003B0292">
      <w:pPr>
        <w:spacing w:before="120" w:after="120"/>
        <w:jc w:val="center"/>
        <w:outlineLvl w:val="0"/>
        <w:rPr>
          <w:rFonts w:ascii="Arial" w:hAnsi="Arial"/>
          <w:b/>
          <w:color w:val="000000"/>
          <w:sz w:val="32"/>
          <w:szCs w:val="32"/>
          <w:lang w:val="en-IN" w:eastAsia="en-AU"/>
        </w:rPr>
      </w:pPr>
      <w:bookmarkStart w:id="0" w:name="_Toc238670363"/>
      <w:r w:rsidRPr="003B0292">
        <w:rPr>
          <w:rFonts w:ascii="Arial" w:hAnsi="Arial"/>
          <w:b/>
          <w:color w:val="000000"/>
          <w:sz w:val="32"/>
          <w:szCs w:val="32"/>
          <w:lang w:val="en-IN" w:eastAsia="en-AU"/>
        </w:rPr>
        <w:t>Declaration</w:t>
      </w:r>
      <w:bookmarkEnd w:id="0"/>
    </w:p>
    <w:p w14:paraId="159976BE" w14:textId="77777777" w:rsidR="003B0292" w:rsidRPr="009A7038" w:rsidRDefault="003B0292" w:rsidP="009A7038">
      <w:pPr>
        <w:spacing w:after="80"/>
        <w:rPr>
          <w:rFonts w:ascii="Arial" w:hAnsi="Arial" w:cs="Arial"/>
          <w:b/>
          <w:bCs/>
          <w:lang w:val="en-IN" w:eastAsia="en-AU"/>
        </w:rPr>
      </w:pPr>
    </w:p>
    <w:p w14:paraId="3B6D19A3" w14:textId="77777777" w:rsidR="009A7038" w:rsidRDefault="00000000" w:rsidP="000C28BD">
      <w:pPr>
        <w:spacing w:after="80" w:line="360" w:lineRule="auto"/>
        <w:jc w:val="both"/>
        <w:rPr>
          <w:rFonts w:ascii="Arial" w:hAnsi="Arial" w:cs="Arial"/>
          <w:lang w:val="en-IN" w:eastAsia="en-AU"/>
        </w:rPr>
      </w:pPr>
      <w:r w:rsidRPr="009A7038">
        <w:rPr>
          <w:rFonts w:ascii="Arial" w:hAnsi="Arial" w:cs="Arial"/>
          <w:lang w:val="en-IN" w:eastAsia="en-AU"/>
        </w:rPr>
        <w:t>I</w:t>
      </w:r>
      <w:r w:rsidR="003B0292">
        <w:rPr>
          <w:rFonts w:ascii="Arial" w:hAnsi="Arial" w:cs="Arial"/>
          <w:lang w:val="en-IN" w:eastAsia="en-AU"/>
        </w:rPr>
        <w:t xml:space="preserve"> </w:t>
      </w:r>
      <w:r w:rsidRPr="009A7038">
        <w:rPr>
          <w:rFonts w:ascii="Arial" w:hAnsi="Arial" w:cs="Arial"/>
          <w:lang w:val="en-IN" w:eastAsia="en-AU"/>
        </w:rPr>
        <w:t>declare that this dissertation has been composed by myself and that the work contained herein is entirely my own, except where explicitly stated otherwise in the text. I further declare that this work has not been submitted for any other degree or qualification, in whole or in part, except as specified.</w:t>
      </w:r>
    </w:p>
    <w:p w14:paraId="637D480C" w14:textId="77777777" w:rsidR="003B0292" w:rsidRPr="009A7038" w:rsidRDefault="003B0292" w:rsidP="009A7038">
      <w:pPr>
        <w:spacing w:after="80"/>
        <w:rPr>
          <w:rFonts w:ascii="Arial" w:hAnsi="Arial" w:cs="Arial"/>
          <w:lang w:val="en-IN" w:eastAsia="en-AU"/>
        </w:rPr>
      </w:pPr>
    </w:p>
    <w:p w14:paraId="5841D949" w14:textId="621A87B4" w:rsidR="009A7038" w:rsidRPr="009A7038" w:rsidRDefault="00000000" w:rsidP="009A7038">
      <w:pPr>
        <w:spacing w:after="80"/>
        <w:rPr>
          <w:rFonts w:ascii="Arial" w:hAnsi="Arial" w:cs="Arial"/>
          <w:lang w:val="en-IN" w:eastAsia="en-AU"/>
        </w:rPr>
      </w:pPr>
      <w:r w:rsidRPr="009A7038">
        <w:rPr>
          <w:rFonts w:ascii="Arial" w:hAnsi="Arial" w:cs="Arial"/>
          <w:b/>
          <w:bCs/>
          <w:lang w:val="en-IN" w:eastAsia="en-AU"/>
        </w:rPr>
        <w:t>Signature:</w:t>
      </w:r>
      <w:r w:rsidRPr="009A7038">
        <w:rPr>
          <w:rFonts w:ascii="Arial" w:hAnsi="Arial" w:cs="Arial"/>
          <w:lang w:val="en-IN" w:eastAsia="en-AU"/>
        </w:rPr>
        <w:t xml:space="preserve"> </w:t>
      </w:r>
      <w:r w:rsidRPr="00934FD4">
        <w:rPr>
          <w:rFonts w:ascii="Ink Free" w:hAnsi="Ink Free" w:cs="Arial"/>
          <w:b/>
          <w:bCs/>
          <w:lang w:val="en-IN" w:eastAsia="en-AU"/>
        </w:rPr>
        <w:t>____</w:t>
      </w:r>
      <w:r w:rsidR="00934FD4" w:rsidRPr="00934FD4">
        <w:rPr>
          <w:rFonts w:ascii="Ink Free" w:hAnsi="Ink Free" w:cs="Arial"/>
          <w:b/>
          <w:bCs/>
          <w:sz w:val="32"/>
          <w:szCs w:val="32"/>
          <w:u w:val="single"/>
          <w:lang w:val="en-IN" w:eastAsia="en-AU"/>
        </w:rPr>
        <w:t>h.A.Desai</w:t>
      </w:r>
      <w:r w:rsidRPr="009A7038">
        <w:rPr>
          <w:rFonts w:ascii="Arial" w:hAnsi="Arial" w:cs="Arial"/>
          <w:lang w:val="en-IN" w:eastAsia="en-AU"/>
        </w:rPr>
        <w:t>__________________________________</w:t>
      </w:r>
    </w:p>
    <w:p w14:paraId="7139B90E" w14:textId="47D7DF99" w:rsidR="009A7038" w:rsidRPr="009A7038" w:rsidRDefault="00000000" w:rsidP="009A7038">
      <w:pPr>
        <w:spacing w:after="80"/>
        <w:rPr>
          <w:rFonts w:ascii="Arial" w:hAnsi="Arial" w:cs="Arial"/>
          <w:lang w:val="en-IN" w:eastAsia="en-AU"/>
        </w:rPr>
      </w:pPr>
      <w:r w:rsidRPr="009A7038">
        <w:rPr>
          <w:rFonts w:ascii="Arial" w:hAnsi="Arial" w:cs="Arial"/>
          <w:b/>
          <w:bCs/>
          <w:lang w:val="en-IN" w:eastAsia="en-AU"/>
        </w:rPr>
        <w:t>Date:</w:t>
      </w:r>
      <w:r w:rsidRPr="009A7038">
        <w:rPr>
          <w:rFonts w:ascii="Arial" w:hAnsi="Arial" w:cs="Arial"/>
          <w:lang w:val="en-IN" w:eastAsia="en-AU"/>
        </w:rPr>
        <w:t xml:space="preserve"> _____</w:t>
      </w:r>
      <w:r w:rsidR="00934FD4" w:rsidRPr="00934FD4">
        <w:rPr>
          <w:rFonts w:ascii="Arial" w:hAnsi="Arial" w:cs="Arial"/>
          <w:b/>
          <w:bCs/>
          <w:lang w:val="en-IN" w:eastAsia="en-AU"/>
        </w:rPr>
        <w:t>28/08/2026</w:t>
      </w:r>
      <w:r w:rsidRPr="009A7038">
        <w:rPr>
          <w:rFonts w:ascii="Arial" w:hAnsi="Arial" w:cs="Arial"/>
          <w:lang w:val="en-IN" w:eastAsia="en-AU"/>
        </w:rPr>
        <w:t>______________________________________</w:t>
      </w:r>
    </w:p>
    <w:p w14:paraId="4E7D51BC" w14:textId="77777777" w:rsidR="009A7038" w:rsidRDefault="009A7038" w:rsidP="009A7038">
      <w:pPr>
        <w:spacing w:after="80"/>
        <w:rPr>
          <w:rFonts w:ascii="Arial" w:hAnsi="Arial" w:cs="Arial"/>
          <w:i/>
          <w:iCs/>
          <w:lang w:val="en-AU" w:eastAsia="en-AU"/>
        </w:rPr>
      </w:pPr>
    </w:p>
    <w:p w14:paraId="38B578AE" w14:textId="77777777" w:rsidR="009A7038" w:rsidRDefault="009A7038" w:rsidP="009A7038">
      <w:pPr>
        <w:spacing w:after="80"/>
        <w:rPr>
          <w:rFonts w:ascii="Arial" w:hAnsi="Arial" w:cs="Arial"/>
          <w:lang w:val="en-AU" w:eastAsia="en-AU"/>
        </w:rPr>
      </w:pPr>
    </w:p>
    <w:p w14:paraId="24E38DD2" w14:textId="77777777" w:rsidR="009A7038" w:rsidRDefault="009A7038" w:rsidP="009A7038">
      <w:pPr>
        <w:spacing w:after="80"/>
        <w:rPr>
          <w:rFonts w:ascii="Arial" w:hAnsi="Arial" w:cs="Arial"/>
          <w:lang w:val="en-AU" w:eastAsia="en-AU"/>
        </w:rPr>
      </w:pPr>
    </w:p>
    <w:p w14:paraId="48C46643" w14:textId="77777777" w:rsidR="009A7038" w:rsidRDefault="009A7038" w:rsidP="009A7038">
      <w:pPr>
        <w:spacing w:after="80"/>
        <w:rPr>
          <w:rFonts w:ascii="Arial" w:hAnsi="Arial" w:cs="Arial"/>
          <w:lang w:val="en-AU" w:eastAsia="en-AU"/>
        </w:rPr>
      </w:pPr>
    </w:p>
    <w:p w14:paraId="3194024A" w14:textId="77777777" w:rsidR="009A7038" w:rsidRDefault="009A7038" w:rsidP="009A7038">
      <w:pPr>
        <w:spacing w:after="80"/>
        <w:rPr>
          <w:rFonts w:ascii="Arial" w:hAnsi="Arial" w:cs="Arial"/>
          <w:lang w:val="en-AU" w:eastAsia="en-AU"/>
        </w:rPr>
      </w:pPr>
    </w:p>
    <w:p w14:paraId="1628A495" w14:textId="77777777" w:rsidR="009A7038" w:rsidRDefault="009A7038" w:rsidP="009A7038">
      <w:pPr>
        <w:spacing w:after="80"/>
        <w:rPr>
          <w:rFonts w:ascii="Arial" w:hAnsi="Arial" w:cs="Arial"/>
          <w:lang w:val="en-AU" w:eastAsia="en-AU"/>
        </w:rPr>
      </w:pPr>
    </w:p>
    <w:p w14:paraId="303E977C" w14:textId="77777777" w:rsidR="009A7038" w:rsidRDefault="009A7038" w:rsidP="009A7038">
      <w:pPr>
        <w:spacing w:after="80"/>
        <w:rPr>
          <w:rFonts w:ascii="Arial" w:hAnsi="Arial" w:cs="Arial"/>
          <w:lang w:val="en-AU" w:eastAsia="en-AU"/>
        </w:rPr>
      </w:pPr>
    </w:p>
    <w:p w14:paraId="6C464217" w14:textId="77777777" w:rsidR="009A7038" w:rsidRDefault="009A7038" w:rsidP="009A7038">
      <w:pPr>
        <w:spacing w:after="80"/>
        <w:rPr>
          <w:rFonts w:ascii="Arial" w:hAnsi="Arial" w:cs="Arial"/>
          <w:lang w:val="en-AU" w:eastAsia="en-AU"/>
        </w:rPr>
      </w:pPr>
    </w:p>
    <w:p w14:paraId="5E626896" w14:textId="77777777" w:rsidR="009A7038" w:rsidRDefault="009A7038" w:rsidP="009A7038">
      <w:pPr>
        <w:spacing w:after="80"/>
        <w:rPr>
          <w:rFonts w:ascii="Arial" w:hAnsi="Arial" w:cs="Arial"/>
          <w:lang w:val="en-AU" w:eastAsia="en-AU"/>
        </w:rPr>
      </w:pPr>
    </w:p>
    <w:p w14:paraId="005322A1" w14:textId="77777777" w:rsidR="009A7038" w:rsidRDefault="009A7038" w:rsidP="009A7038">
      <w:pPr>
        <w:spacing w:after="80"/>
        <w:rPr>
          <w:rFonts w:ascii="Arial" w:hAnsi="Arial" w:cs="Arial"/>
          <w:lang w:val="en-AU" w:eastAsia="en-AU"/>
        </w:rPr>
      </w:pPr>
    </w:p>
    <w:p w14:paraId="10642FB1" w14:textId="77777777" w:rsidR="009A7038" w:rsidRDefault="009A7038" w:rsidP="009A7038">
      <w:pPr>
        <w:spacing w:after="80"/>
        <w:rPr>
          <w:rFonts w:ascii="Arial" w:hAnsi="Arial" w:cs="Arial"/>
          <w:lang w:val="en-AU" w:eastAsia="en-AU"/>
        </w:rPr>
      </w:pPr>
    </w:p>
    <w:p w14:paraId="6E864B6D" w14:textId="77777777" w:rsidR="009A7038" w:rsidRDefault="009A7038" w:rsidP="009A7038">
      <w:pPr>
        <w:spacing w:after="80"/>
        <w:rPr>
          <w:rFonts w:ascii="Arial" w:hAnsi="Arial" w:cs="Arial"/>
          <w:lang w:val="en-AU" w:eastAsia="en-AU"/>
        </w:rPr>
      </w:pPr>
    </w:p>
    <w:p w14:paraId="310890A9" w14:textId="77777777" w:rsidR="009A7038" w:rsidRDefault="009A7038" w:rsidP="009A7038">
      <w:pPr>
        <w:spacing w:after="80"/>
        <w:rPr>
          <w:rFonts w:ascii="Arial" w:hAnsi="Arial" w:cs="Arial"/>
          <w:lang w:val="en-AU" w:eastAsia="en-AU"/>
        </w:rPr>
      </w:pPr>
    </w:p>
    <w:p w14:paraId="30A27D62" w14:textId="77777777" w:rsidR="009A7038" w:rsidRDefault="009A7038" w:rsidP="009A7038">
      <w:pPr>
        <w:spacing w:after="80"/>
        <w:rPr>
          <w:rFonts w:ascii="Arial" w:hAnsi="Arial" w:cs="Arial"/>
          <w:lang w:val="en-AU" w:eastAsia="en-AU"/>
        </w:rPr>
      </w:pPr>
    </w:p>
    <w:p w14:paraId="64B0F835" w14:textId="77777777" w:rsidR="009A7038" w:rsidRDefault="009A7038" w:rsidP="009A7038">
      <w:pPr>
        <w:spacing w:after="80"/>
        <w:rPr>
          <w:rFonts w:ascii="Arial" w:hAnsi="Arial" w:cs="Arial"/>
          <w:lang w:val="en-AU" w:eastAsia="en-AU"/>
        </w:rPr>
      </w:pPr>
    </w:p>
    <w:p w14:paraId="742F00C3" w14:textId="77777777" w:rsidR="009A7038" w:rsidRDefault="009A7038" w:rsidP="009A7038">
      <w:pPr>
        <w:spacing w:after="80"/>
        <w:rPr>
          <w:rFonts w:ascii="Arial" w:hAnsi="Arial" w:cs="Arial"/>
          <w:lang w:val="en-AU" w:eastAsia="en-AU"/>
        </w:rPr>
      </w:pPr>
    </w:p>
    <w:p w14:paraId="4A3D2E2D" w14:textId="77777777" w:rsidR="009A7038" w:rsidRDefault="009A7038" w:rsidP="009A7038">
      <w:pPr>
        <w:spacing w:after="80"/>
        <w:rPr>
          <w:rFonts w:ascii="Arial" w:hAnsi="Arial" w:cs="Arial"/>
          <w:lang w:val="en-AU" w:eastAsia="en-AU"/>
        </w:rPr>
      </w:pPr>
    </w:p>
    <w:p w14:paraId="28215F92" w14:textId="77777777" w:rsidR="009A7038" w:rsidRDefault="009A7038" w:rsidP="009A7038">
      <w:pPr>
        <w:spacing w:after="80"/>
        <w:rPr>
          <w:rFonts w:ascii="Arial" w:hAnsi="Arial" w:cs="Arial"/>
          <w:lang w:val="en-AU" w:eastAsia="en-AU"/>
        </w:rPr>
      </w:pPr>
    </w:p>
    <w:p w14:paraId="235C3B1C" w14:textId="77777777" w:rsidR="009A7038" w:rsidRDefault="009A7038" w:rsidP="009A7038">
      <w:pPr>
        <w:spacing w:after="80"/>
        <w:rPr>
          <w:rFonts w:ascii="Arial" w:hAnsi="Arial" w:cs="Arial"/>
          <w:lang w:val="en-AU" w:eastAsia="en-AU"/>
        </w:rPr>
      </w:pPr>
    </w:p>
    <w:p w14:paraId="24545732" w14:textId="77777777" w:rsidR="009A7038" w:rsidRDefault="009A7038" w:rsidP="009A7038">
      <w:pPr>
        <w:spacing w:after="80"/>
        <w:rPr>
          <w:rFonts w:ascii="Arial" w:hAnsi="Arial" w:cs="Arial"/>
          <w:lang w:val="en-AU" w:eastAsia="en-AU"/>
        </w:rPr>
      </w:pPr>
    </w:p>
    <w:p w14:paraId="52A1F194" w14:textId="77777777" w:rsidR="009A7038" w:rsidRDefault="009A7038" w:rsidP="009A7038">
      <w:pPr>
        <w:spacing w:after="80"/>
        <w:rPr>
          <w:rFonts w:ascii="Arial" w:hAnsi="Arial" w:cs="Arial"/>
          <w:lang w:val="en-AU" w:eastAsia="en-AU"/>
        </w:rPr>
      </w:pPr>
    </w:p>
    <w:p w14:paraId="29BDA17E" w14:textId="77777777" w:rsidR="009A7038" w:rsidRDefault="009A7038" w:rsidP="009A7038">
      <w:pPr>
        <w:spacing w:after="80"/>
        <w:rPr>
          <w:rFonts w:ascii="Arial" w:hAnsi="Arial" w:cs="Arial"/>
          <w:lang w:val="en-AU" w:eastAsia="en-AU"/>
        </w:rPr>
      </w:pPr>
    </w:p>
    <w:p w14:paraId="6AE939BC" w14:textId="77777777" w:rsidR="009A7038" w:rsidRDefault="009A7038" w:rsidP="009A7038">
      <w:pPr>
        <w:spacing w:after="80"/>
        <w:rPr>
          <w:rFonts w:ascii="Arial" w:hAnsi="Arial" w:cs="Arial"/>
          <w:lang w:val="en-AU" w:eastAsia="en-AU"/>
        </w:rPr>
      </w:pPr>
    </w:p>
    <w:p w14:paraId="1058CEC5" w14:textId="77777777" w:rsidR="009A7038" w:rsidRDefault="009A7038" w:rsidP="009A7038">
      <w:pPr>
        <w:spacing w:after="80"/>
        <w:rPr>
          <w:rFonts w:ascii="Arial" w:hAnsi="Arial" w:cs="Arial"/>
          <w:lang w:val="en-AU" w:eastAsia="en-AU"/>
        </w:rPr>
      </w:pPr>
    </w:p>
    <w:p w14:paraId="3A011D94" w14:textId="77777777" w:rsidR="009A7038" w:rsidRDefault="009A7038" w:rsidP="009A7038">
      <w:pPr>
        <w:spacing w:after="80"/>
        <w:rPr>
          <w:rFonts w:ascii="Arial" w:hAnsi="Arial" w:cs="Arial"/>
          <w:lang w:val="en-AU" w:eastAsia="en-AU"/>
        </w:rPr>
      </w:pPr>
    </w:p>
    <w:p w14:paraId="57D89194" w14:textId="77777777" w:rsidR="009A7038" w:rsidRDefault="009A7038" w:rsidP="009A7038">
      <w:pPr>
        <w:spacing w:after="80"/>
        <w:rPr>
          <w:rFonts w:ascii="Arial" w:hAnsi="Arial" w:cs="Arial"/>
          <w:lang w:val="en-AU" w:eastAsia="en-AU"/>
        </w:rPr>
      </w:pPr>
    </w:p>
    <w:p w14:paraId="2A55BA4D" w14:textId="77777777" w:rsidR="009A7038" w:rsidRDefault="009A7038" w:rsidP="009A7038">
      <w:pPr>
        <w:spacing w:after="80"/>
        <w:rPr>
          <w:rFonts w:ascii="Arial" w:hAnsi="Arial" w:cs="Arial"/>
          <w:lang w:val="en-AU" w:eastAsia="en-AU"/>
        </w:rPr>
      </w:pPr>
    </w:p>
    <w:p w14:paraId="35D8E627" w14:textId="77777777" w:rsidR="009A7038" w:rsidRDefault="00000000" w:rsidP="003B0292">
      <w:pPr>
        <w:spacing w:before="120" w:after="120"/>
        <w:jc w:val="center"/>
        <w:outlineLvl w:val="0"/>
        <w:rPr>
          <w:rFonts w:ascii="Arial" w:hAnsi="Arial"/>
          <w:b/>
          <w:color w:val="000000"/>
          <w:sz w:val="32"/>
          <w:szCs w:val="32"/>
          <w:lang w:val="en-AU" w:eastAsia="en-AU"/>
        </w:rPr>
      </w:pPr>
      <w:bookmarkStart w:id="1" w:name="_Toc238670364"/>
      <w:r w:rsidRPr="003B0292">
        <w:rPr>
          <w:rFonts w:ascii="Arial" w:hAnsi="Arial"/>
          <w:b/>
          <w:color w:val="000000"/>
          <w:sz w:val="32"/>
          <w:szCs w:val="32"/>
          <w:lang w:val="en-AU" w:eastAsia="en-AU"/>
        </w:rPr>
        <w:t>Acknowledgement</w:t>
      </w:r>
      <w:bookmarkEnd w:id="1"/>
    </w:p>
    <w:p w14:paraId="5D023943" w14:textId="77777777" w:rsidR="003B0292" w:rsidRPr="003B0292" w:rsidRDefault="003B0292" w:rsidP="003B0292">
      <w:pPr>
        <w:spacing w:before="120" w:after="120"/>
        <w:jc w:val="center"/>
        <w:outlineLvl w:val="0"/>
        <w:rPr>
          <w:rFonts w:ascii="Arial" w:hAnsi="Arial"/>
          <w:b/>
          <w:color w:val="000000"/>
          <w:sz w:val="32"/>
          <w:szCs w:val="32"/>
          <w:lang w:val="en-AU" w:eastAsia="en-AU"/>
        </w:rPr>
      </w:pPr>
    </w:p>
    <w:p w14:paraId="395BAA0A" w14:textId="77777777" w:rsidR="003B0292" w:rsidRDefault="00000000" w:rsidP="000C28BD">
      <w:pPr>
        <w:spacing w:after="80" w:line="360" w:lineRule="auto"/>
        <w:jc w:val="both"/>
        <w:rPr>
          <w:rFonts w:ascii="Arial" w:hAnsi="Arial" w:cs="Arial"/>
          <w:lang w:val="en-AU" w:eastAsia="en-AU"/>
        </w:rPr>
      </w:pPr>
      <w:r w:rsidRPr="003B0292">
        <w:rPr>
          <w:rFonts w:ascii="Arial" w:hAnsi="Arial" w:cs="Arial"/>
          <w:lang w:val="en-AU" w:eastAsia="en-AU"/>
        </w:rPr>
        <w:t xml:space="preserve">I would also like to extend my heartfelt thanks to all people who have aided me along my MBA and in the writing of this dissertation. </w:t>
      </w:r>
    </w:p>
    <w:p w14:paraId="0C970E4A" w14:textId="77777777" w:rsidR="003B0292" w:rsidRDefault="00000000" w:rsidP="000C28BD">
      <w:pPr>
        <w:spacing w:after="80" w:line="360" w:lineRule="auto"/>
        <w:jc w:val="both"/>
        <w:rPr>
          <w:rFonts w:ascii="Arial" w:hAnsi="Arial" w:cs="Arial"/>
          <w:lang w:val="en-AU" w:eastAsia="en-AU"/>
        </w:rPr>
      </w:pPr>
      <w:r w:rsidRPr="003B0292">
        <w:rPr>
          <w:rFonts w:ascii="Arial" w:hAnsi="Arial" w:cs="Arial"/>
          <w:lang w:val="en-AU" w:eastAsia="en-AU"/>
        </w:rPr>
        <w:t xml:space="preserve">I am especially thankful to my dissertation supervisor who provided me with a lot of guidance, constructive feedback and constant support during the research. Their advice and support helped me to develop and refine this study. </w:t>
      </w:r>
    </w:p>
    <w:p w14:paraId="1A0BD965" w14:textId="77777777" w:rsidR="003B0292" w:rsidRDefault="00000000" w:rsidP="000C28BD">
      <w:pPr>
        <w:spacing w:after="80" w:line="360" w:lineRule="auto"/>
        <w:jc w:val="both"/>
        <w:rPr>
          <w:rFonts w:ascii="Arial" w:hAnsi="Arial" w:cs="Arial"/>
          <w:lang w:val="en-AU" w:eastAsia="en-AU"/>
        </w:rPr>
      </w:pPr>
      <w:r w:rsidRPr="003B0292">
        <w:rPr>
          <w:rFonts w:ascii="Arial" w:hAnsi="Arial" w:cs="Arial"/>
          <w:lang w:val="en-AU" w:eastAsia="en-AU"/>
        </w:rPr>
        <w:t xml:space="preserve">I would also like to give credit to my family and friends who were patient, understanding and encouraging during my course of study. The support they gave me helped me have the drive to stick to it and get this dissertation finished. </w:t>
      </w:r>
    </w:p>
    <w:p w14:paraId="539FA71F" w14:textId="77777777" w:rsidR="009A7038" w:rsidRPr="009A7038" w:rsidRDefault="00000000" w:rsidP="000C28BD">
      <w:pPr>
        <w:spacing w:after="80" w:line="360" w:lineRule="auto"/>
        <w:jc w:val="both"/>
        <w:rPr>
          <w:rFonts w:ascii="Arial" w:hAnsi="Arial" w:cs="Arial"/>
          <w:lang w:val="en-IN" w:eastAsia="en-AU"/>
        </w:rPr>
      </w:pPr>
      <w:r w:rsidRPr="003B0292">
        <w:rPr>
          <w:rFonts w:ascii="Arial" w:hAnsi="Arial" w:cs="Arial"/>
          <w:lang w:val="en-AU" w:eastAsia="en-AU"/>
        </w:rPr>
        <w:t>Lastly, I would like to thank all the people who helped me through my academics and supported my MBA studies, whether directly or indirectly. I am grateful to have had all the support and help I got on this way</w:t>
      </w:r>
      <w:r w:rsidRPr="009A7038">
        <w:rPr>
          <w:rFonts w:ascii="Arial" w:hAnsi="Arial" w:cs="Arial"/>
          <w:lang w:val="en-IN" w:eastAsia="en-AU"/>
        </w:rPr>
        <w:t>.</w:t>
      </w:r>
    </w:p>
    <w:p w14:paraId="2EDB2947" w14:textId="77777777" w:rsidR="009A7038" w:rsidRDefault="009A7038" w:rsidP="009A7038">
      <w:pPr>
        <w:spacing w:after="80"/>
        <w:rPr>
          <w:rFonts w:ascii="Arial" w:hAnsi="Arial" w:cs="Arial"/>
          <w:lang w:val="en-AU" w:eastAsia="en-AU"/>
        </w:rPr>
      </w:pPr>
    </w:p>
    <w:p w14:paraId="28CB5A8B" w14:textId="77777777" w:rsidR="009A7038" w:rsidRDefault="009A7038" w:rsidP="009A7038">
      <w:pPr>
        <w:spacing w:after="80"/>
        <w:rPr>
          <w:rFonts w:ascii="Arial" w:hAnsi="Arial" w:cs="Arial"/>
          <w:lang w:val="en-AU" w:eastAsia="en-AU"/>
        </w:rPr>
      </w:pPr>
    </w:p>
    <w:p w14:paraId="1C5D407E" w14:textId="1117B6BF" w:rsidR="009A7038" w:rsidRDefault="00000000" w:rsidP="009A7038">
      <w:pPr>
        <w:spacing w:after="80"/>
        <w:rPr>
          <w:rFonts w:ascii="Arial" w:hAnsi="Arial" w:cs="Arial"/>
          <w:lang w:val="en-AU" w:eastAsia="en-AU"/>
        </w:rPr>
      </w:pPr>
      <w:r>
        <w:rPr>
          <w:rFonts w:ascii="Arial" w:hAnsi="Arial" w:cs="Arial"/>
          <w:lang w:val="en-AU" w:eastAsia="en-AU"/>
        </w:rPr>
        <w:t>Student Name:</w:t>
      </w:r>
      <w:r w:rsidR="00934FD4">
        <w:rPr>
          <w:rFonts w:ascii="Arial" w:hAnsi="Arial" w:cs="Arial"/>
          <w:lang w:val="en-AU" w:eastAsia="en-AU"/>
        </w:rPr>
        <w:t xml:space="preserve"> HEMANG AMRU</w:t>
      </w:r>
      <w:r w:rsidR="00063DFC">
        <w:rPr>
          <w:rFonts w:ascii="Arial" w:hAnsi="Arial" w:cs="Arial"/>
          <w:lang w:val="en-AU" w:eastAsia="en-AU"/>
        </w:rPr>
        <w:t>T</w:t>
      </w:r>
      <w:r w:rsidR="00934FD4">
        <w:rPr>
          <w:rFonts w:ascii="Arial" w:hAnsi="Arial" w:cs="Arial"/>
          <w:lang w:val="en-AU" w:eastAsia="en-AU"/>
        </w:rPr>
        <w:t>BHAI DESAI</w:t>
      </w:r>
    </w:p>
    <w:p w14:paraId="407FEBE1" w14:textId="53722C0F" w:rsidR="003B0292" w:rsidRDefault="00000000" w:rsidP="009A7038">
      <w:pPr>
        <w:spacing w:after="80"/>
        <w:rPr>
          <w:rFonts w:ascii="Arial" w:hAnsi="Arial" w:cs="Arial"/>
          <w:lang w:val="en-AU" w:eastAsia="en-AU"/>
        </w:rPr>
      </w:pPr>
      <w:r>
        <w:rPr>
          <w:rFonts w:ascii="Arial" w:hAnsi="Arial" w:cs="Arial"/>
          <w:lang w:val="en-AU" w:eastAsia="en-AU"/>
        </w:rPr>
        <w:t>Student ID:</w:t>
      </w:r>
      <w:r w:rsidR="00934FD4">
        <w:rPr>
          <w:rFonts w:ascii="Arial" w:hAnsi="Arial" w:cs="Arial"/>
          <w:lang w:val="en-AU" w:eastAsia="en-AU"/>
        </w:rPr>
        <w:t xml:space="preserve"> 2438589</w:t>
      </w:r>
    </w:p>
    <w:p w14:paraId="0688E2DF" w14:textId="77777777" w:rsidR="009A7038" w:rsidRDefault="009A7038" w:rsidP="009A7038">
      <w:pPr>
        <w:spacing w:after="80"/>
        <w:rPr>
          <w:rFonts w:ascii="Arial" w:hAnsi="Arial" w:cs="Arial"/>
          <w:lang w:val="en-AU" w:eastAsia="en-AU"/>
        </w:rPr>
      </w:pPr>
    </w:p>
    <w:p w14:paraId="4C74271B" w14:textId="77777777" w:rsidR="009A7038" w:rsidRDefault="009A7038" w:rsidP="009A7038">
      <w:pPr>
        <w:spacing w:after="80"/>
        <w:rPr>
          <w:rFonts w:ascii="Arial" w:hAnsi="Arial" w:cs="Arial"/>
          <w:lang w:val="en-AU" w:eastAsia="en-AU"/>
        </w:rPr>
      </w:pPr>
    </w:p>
    <w:p w14:paraId="1F0D0317" w14:textId="77777777" w:rsidR="009A7038" w:rsidRDefault="009A7038" w:rsidP="009A7038">
      <w:pPr>
        <w:spacing w:after="80"/>
        <w:rPr>
          <w:rFonts w:ascii="Arial" w:hAnsi="Arial" w:cs="Arial"/>
          <w:lang w:val="en-AU" w:eastAsia="en-AU"/>
        </w:rPr>
      </w:pPr>
    </w:p>
    <w:p w14:paraId="513C3962" w14:textId="77777777" w:rsidR="009A7038" w:rsidRDefault="009A7038" w:rsidP="009A7038">
      <w:pPr>
        <w:spacing w:after="80"/>
        <w:rPr>
          <w:rFonts w:ascii="Arial" w:hAnsi="Arial" w:cs="Arial"/>
          <w:lang w:val="en-AU" w:eastAsia="en-AU"/>
        </w:rPr>
      </w:pPr>
    </w:p>
    <w:p w14:paraId="0E724F01" w14:textId="77777777" w:rsidR="009A7038" w:rsidRDefault="009A7038" w:rsidP="009A7038">
      <w:pPr>
        <w:spacing w:after="80"/>
        <w:rPr>
          <w:rFonts w:ascii="Arial" w:hAnsi="Arial" w:cs="Arial"/>
          <w:lang w:val="en-AU" w:eastAsia="en-AU"/>
        </w:rPr>
      </w:pPr>
    </w:p>
    <w:p w14:paraId="524D8A24" w14:textId="77777777" w:rsidR="009A7038" w:rsidRDefault="009A7038" w:rsidP="009A7038">
      <w:pPr>
        <w:spacing w:after="80"/>
        <w:rPr>
          <w:rFonts w:ascii="Arial" w:hAnsi="Arial" w:cs="Arial"/>
          <w:lang w:val="en-AU" w:eastAsia="en-AU"/>
        </w:rPr>
      </w:pPr>
    </w:p>
    <w:p w14:paraId="03B96A70" w14:textId="77777777" w:rsidR="009A7038" w:rsidRDefault="009A7038" w:rsidP="009A7038">
      <w:pPr>
        <w:spacing w:after="80"/>
        <w:rPr>
          <w:rFonts w:ascii="Arial" w:hAnsi="Arial" w:cs="Arial"/>
          <w:lang w:val="en-AU" w:eastAsia="en-AU"/>
        </w:rPr>
      </w:pPr>
    </w:p>
    <w:p w14:paraId="7B34F89E" w14:textId="77777777" w:rsidR="009A7038" w:rsidRDefault="009A7038" w:rsidP="009A7038">
      <w:pPr>
        <w:spacing w:after="80"/>
        <w:rPr>
          <w:rFonts w:ascii="Arial" w:hAnsi="Arial" w:cs="Arial"/>
          <w:lang w:val="en-AU" w:eastAsia="en-AU"/>
        </w:rPr>
      </w:pPr>
    </w:p>
    <w:p w14:paraId="3A32AC80" w14:textId="77777777" w:rsidR="009A7038" w:rsidRDefault="009A7038" w:rsidP="009A7038">
      <w:pPr>
        <w:spacing w:after="80"/>
        <w:rPr>
          <w:rFonts w:ascii="Arial" w:hAnsi="Arial" w:cs="Arial"/>
          <w:lang w:val="en-AU" w:eastAsia="en-AU"/>
        </w:rPr>
      </w:pPr>
    </w:p>
    <w:p w14:paraId="451081F1" w14:textId="77777777" w:rsidR="009A7038" w:rsidRDefault="009A7038" w:rsidP="009A7038">
      <w:pPr>
        <w:spacing w:after="80"/>
        <w:rPr>
          <w:rFonts w:ascii="Arial" w:hAnsi="Arial" w:cs="Arial"/>
          <w:lang w:val="en-AU" w:eastAsia="en-AU"/>
        </w:rPr>
      </w:pPr>
    </w:p>
    <w:p w14:paraId="2555D36B" w14:textId="77777777" w:rsidR="009A7038" w:rsidRDefault="009A7038" w:rsidP="009A7038">
      <w:pPr>
        <w:spacing w:after="80"/>
        <w:rPr>
          <w:rFonts w:ascii="Arial" w:hAnsi="Arial" w:cs="Arial"/>
          <w:lang w:val="en-AU" w:eastAsia="en-AU"/>
        </w:rPr>
      </w:pPr>
    </w:p>
    <w:p w14:paraId="689C73AE" w14:textId="77777777" w:rsidR="009A7038" w:rsidRDefault="009A7038" w:rsidP="009A7038">
      <w:pPr>
        <w:spacing w:after="80"/>
        <w:rPr>
          <w:rFonts w:ascii="Arial" w:hAnsi="Arial" w:cs="Arial"/>
          <w:lang w:val="en-AU" w:eastAsia="en-AU"/>
        </w:rPr>
      </w:pPr>
    </w:p>
    <w:p w14:paraId="550EC2CF" w14:textId="77777777" w:rsidR="009A7038" w:rsidRDefault="009A7038" w:rsidP="009A7038">
      <w:pPr>
        <w:spacing w:after="80"/>
        <w:rPr>
          <w:rFonts w:ascii="Arial" w:hAnsi="Arial" w:cs="Arial"/>
          <w:lang w:val="en-AU" w:eastAsia="en-AU"/>
        </w:rPr>
      </w:pPr>
    </w:p>
    <w:p w14:paraId="32546EEB" w14:textId="77777777" w:rsidR="009A7038" w:rsidRDefault="009A7038" w:rsidP="009A7038">
      <w:pPr>
        <w:spacing w:after="80"/>
        <w:rPr>
          <w:rFonts w:ascii="Arial" w:hAnsi="Arial" w:cs="Arial"/>
          <w:lang w:val="en-AU" w:eastAsia="en-AU"/>
        </w:rPr>
      </w:pPr>
    </w:p>
    <w:p w14:paraId="6C30008A" w14:textId="77777777" w:rsidR="009A7038" w:rsidRDefault="009A7038" w:rsidP="009A7038">
      <w:pPr>
        <w:spacing w:after="80"/>
        <w:rPr>
          <w:rFonts w:ascii="Arial" w:hAnsi="Arial" w:cs="Arial"/>
          <w:lang w:val="en-AU" w:eastAsia="en-AU"/>
        </w:rPr>
      </w:pPr>
    </w:p>
    <w:p w14:paraId="08919FCE" w14:textId="77777777" w:rsidR="009A7038" w:rsidRDefault="009A7038" w:rsidP="009A7038">
      <w:pPr>
        <w:spacing w:after="80"/>
        <w:rPr>
          <w:rFonts w:ascii="Arial" w:hAnsi="Arial" w:cs="Arial"/>
          <w:i/>
          <w:iCs/>
          <w:lang w:val="en-AU" w:eastAsia="en-AU"/>
        </w:rPr>
      </w:pPr>
    </w:p>
    <w:p w14:paraId="55AC4414" w14:textId="77777777" w:rsidR="005E3857" w:rsidRPr="005E3857" w:rsidRDefault="00000000" w:rsidP="000C28BD">
      <w:pPr>
        <w:spacing w:before="120" w:after="120"/>
        <w:jc w:val="center"/>
        <w:outlineLvl w:val="0"/>
        <w:rPr>
          <w:rFonts w:ascii="Arial" w:hAnsi="Arial"/>
          <w:b/>
          <w:color w:val="000000"/>
          <w:sz w:val="32"/>
          <w:szCs w:val="32"/>
          <w:lang w:val="en-IN" w:eastAsia="en-AU"/>
        </w:rPr>
      </w:pPr>
      <w:bookmarkStart w:id="2" w:name="_Toc238670365"/>
      <w:r w:rsidRPr="005E3857">
        <w:rPr>
          <w:rFonts w:ascii="Arial" w:hAnsi="Arial"/>
          <w:b/>
          <w:color w:val="000000"/>
          <w:sz w:val="32"/>
          <w:szCs w:val="32"/>
          <w:lang w:val="en-IN" w:eastAsia="en-AU"/>
        </w:rPr>
        <w:t>Abstract</w:t>
      </w:r>
      <w:bookmarkEnd w:id="2"/>
    </w:p>
    <w:p w14:paraId="4CBC8D7B" w14:textId="77777777" w:rsidR="005E3857" w:rsidRPr="005E3857" w:rsidRDefault="00000000" w:rsidP="003B0292">
      <w:pPr>
        <w:spacing w:after="80" w:line="360" w:lineRule="auto"/>
        <w:jc w:val="both"/>
        <w:rPr>
          <w:rFonts w:ascii="Arial" w:hAnsi="Arial" w:cs="Arial"/>
          <w:lang w:val="en-IN" w:eastAsia="en-AU"/>
        </w:rPr>
      </w:pPr>
      <w:r w:rsidRPr="005E3857">
        <w:rPr>
          <w:rFonts w:ascii="Arial" w:hAnsi="Arial" w:cs="Arial"/>
          <w:lang w:val="en-IN" w:eastAsia="en-AU"/>
        </w:rPr>
        <w:t>This study critically examines the impact of digital transformation on customer loyalty at Tesco PLC within the UK grocery retail sector. The research investigates how Tesco’s digital initiatives, including Clubcard, online grocery services, mobile applications, click-and-collect and data-driven personalisation, influence customer satisfaction, engagement and loyalty. A qualitative single-case study design was adopted using secondary data from academic literature, Tesco corporate reports and relevant industry sources, with thematic analysis used to identify key patterns. The findings indicate that digital transformation can strengthen customer loyalty through greater convenience, personalised value, engagement and improved omnichannel experiences. However, the relationship is not linear or automatic. Loyalty remains dependent on service reliability, channel integration, perceived value and customer trust. Personalisation also creates a tension between relevance and privacy, while digital convenience can simultaneously increase switching flexibility by making competitor comparison easier. The study concludes that Tesco’s sustainable digital advantage depends on integrating technology with customer-centred relationship management rather than technological investment alone.</w:t>
      </w:r>
    </w:p>
    <w:p w14:paraId="788C75D5" w14:textId="77777777" w:rsidR="005E3857" w:rsidRPr="005E3857" w:rsidRDefault="00000000" w:rsidP="003B0292">
      <w:pPr>
        <w:spacing w:after="80" w:line="360" w:lineRule="auto"/>
        <w:jc w:val="both"/>
        <w:rPr>
          <w:rFonts w:ascii="Arial" w:hAnsi="Arial" w:cs="Arial"/>
          <w:b/>
          <w:bCs/>
          <w:lang w:val="en-IN" w:eastAsia="en-AU"/>
        </w:rPr>
      </w:pPr>
      <w:r w:rsidRPr="005E3857">
        <w:rPr>
          <w:rFonts w:ascii="Arial" w:hAnsi="Arial" w:cs="Arial"/>
          <w:b/>
          <w:bCs/>
          <w:lang w:val="en-IN" w:eastAsia="en-AU"/>
        </w:rPr>
        <w:t>Keywords</w:t>
      </w:r>
    </w:p>
    <w:p w14:paraId="3F915787" w14:textId="77777777" w:rsidR="005E3857" w:rsidRPr="005E3857" w:rsidRDefault="00000000" w:rsidP="003B0292">
      <w:pPr>
        <w:spacing w:after="80" w:line="360" w:lineRule="auto"/>
        <w:jc w:val="both"/>
        <w:rPr>
          <w:rFonts w:ascii="Arial" w:hAnsi="Arial" w:cs="Arial"/>
          <w:lang w:val="en-IN" w:eastAsia="en-AU"/>
        </w:rPr>
      </w:pPr>
      <w:r w:rsidRPr="005E3857">
        <w:rPr>
          <w:rFonts w:ascii="Arial" w:hAnsi="Arial" w:cs="Arial"/>
          <w:lang w:val="en-IN" w:eastAsia="en-AU"/>
        </w:rPr>
        <w:t>Digital transformation; Customer loyalty; Tesco PLC; Customer experience; Customer engagement; Omnichannel retailing; Personalisation; Relationship marketing; Customer satisfaction; UK grocery retail</w:t>
      </w:r>
    </w:p>
    <w:p w14:paraId="45D7A64B" w14:textId="77777777" w:rsidR="005E3857" w:rsidRPr="005E3857" w:rsidRDefault="005E3857" w:rsidP="003B0292">
      <w:pPr>
        <w:spacing w:after="80" w:line="360" w:lineRule="auto"/>
        <w:jc w:val="both"/>
        <w:rPr>
          <w:rFonts w:ascii="Arial" w:hAnsi="Arial" w:cs="Arial"/>
          <w:lang w:val="en-AU" w:eastAsia="en-AU"/>
        </w:rPr>
      </w:pPr>
    </w:p>
    <w:p w14:paraId="7D135353" w14:textId="77777777" w:rsidR="00B77284" w:rsidRPr="000E29EC" w:rsidRDefault="00B77284">
      <w:pPr>
        <w:spacing w:after="240"/>
        <w:jc w:val="center"/>
        <w:rPr>
          <w:rFonts w:ascii="Arial" w:hAnsi="Arial" w:cs="Arial"/>
          <w:lang w:val="en-AU" w:eastAsia="en-AU"/>
        </w:rPr>
      </w:pPr>
    </w:p>
    <w:p w14:paraId="69708D50" w14:textId="77777777" w:rsidR="00C769EF" w:rsidRPr="000E29EC" w:rsidRDefault="00C769EF" w:rsidP="00C769EF">
      <w:pPr>
        <w:spacing w:line="360" w:lineRule="auto"/>
        <w:jc w:val="both"/>
        <w:rPr>
          <w:rFonts w:ascii="Arial" w:hAnsi="Arial" w:cs="Arial"/>
          <w:lang w:val="en-AU" w:eastAsia="en-AU"/>
        </w:rPr>
      </w:pPr>
    </w:p>
    <w:p w14:paraId="1DEA2123" w14:textId="77777777" w:rsidR="00C769EF" w:rsidRDefault="00C769EF" w:rsidP="00C769EF">
      <w:pPr>
        <w:spacing w:line="360" w:lineRule="auto"/>
        <w:jc w:val="both"/>
        <w:rPr>
          <w:rFonts w:ascii="Arial" w:hAnsi="Arial" w:cs="Arial"/>
          <w:lang w:val="en-AU" w:eastAsia="en-AU"/>
        </w:rPr>
      </w:pPr>
    </w:p>
    <w:p w14:paraId="3142A2B7" w14:textId="77777777" w:rsidR="00D47393" w:rsidRPr="000E29EC" w:rsidRDefault="00D47393" w:rsidP="00C769EF">
      <w:pPr>
        <w:spacing w:line="360" w:lineRule="auto"/>
        <w:jc w:val="both"/>
        <w:rPr>
          <w:rFonts w:ascii="Arial" w:hAnsi="Arial" w:cs="Arial"/>
          <w:lang w:val="en-AU" w:eastAsia="en-AU"/>
        </w:rPr>
      </w:pPr>
    </w:p>
    <w:p w14:paraId="3A0604D8" w14:textId="77777777" w:rsidR="00C769EF" w:rsidRPr="000E29EC" w:rsidRDefault="00C769EF" w:rsidP="00C769EF">
      <w:pPr>
        <w:spacing w:line="360" w:lineRule="auto"/>
        <w:jc w:val="both"/>
        <w:rPr>
          <w:rFonts w:ascii="Arial" w:hAnsi="Arial" w:cs="Arial"/>
          <w:lang w:val="en-AU" w:eastAsia="en-AU"/>
        </w:rPr>
      </w:pPr>
    </w:p>
    <w:p w14:paraId="035A3B49" w14:textId="77777777" w:rsidR="00C769EF" w:rsidRDefault="00C769EF" w:rsidP="00C769EF">
      <w:pPr>
        <w:spacing w:line="360" w:lineRule="auto"/>
        <w:jc w:val="both"/>
        <w:rPr>
          <w:rFonts w:ascii="Arial" w:hAnsi="Arial" w:cs="Arial"/>
          <w:lang w:val="en-AU" w:eastAsia="en-AU"/>
        </w:rPr>
      </w:pPr>
    </w:p>
    <w:p w14:paraId="4DAEA0A9" w14:textId="77777777" w:rsidR="00F239F5" w:rsidRDefault="00F239F5" w:rsidP="003B0292">
      <w:pPr>
        <w:spacing w:line="360" w:lineRule="auto"/>
        <w:rPr>
          <w:rFonts w:ascii="Arial" w:hAnsi="Arial" w:cs="Arial"/>
          <w:b/>
          <w:bCs/>
          <w:lang w:val="en-IN" w:eastAsia="en-AU"/>
        </w:rPr>
      </w:pPr>
    </w:p>
    <w:sdt>
      <w:sdtPr>
        <w:rPr>
          <w:rFonts w:ascii="Times New Roman" w:eastAsia="Times New Roman" w:hAnsi="Times New Roman" w:cs="Times New Roman"/>
          <w:color w:val="auto"/>
          <w:sz w:val="24"/>
          <w:szCs w:val="24"/>
        </w:rPr>
        <w:id w:val="692645993"/>
        <w:docPartObj>
          <w:docPartGallery w:val="Table of Contents"/>
          <w:docPartUnique/>
        </w:docPartObj>
      </w:sdtPr>
      <w:sdtEndPr>
        <w:rPr>
          <w:b/>
          <w:bCs/>
          <w:noProof/>
        </w:rPr>
      </w:sdtEndPr>
      <w:sdtContent>
        <w:p w14:paraId="745B86D0" w14:textId="1AD9126A" w:rsidR="00E55061" w:rsidRPr="00E55061" w:rsidRDefault="00E55061" w:rsidP="00E55061">
          <w:pPr>
            <w:pStyle w:val="TOCHeading"/>
            <w:spacing w:line="360" w:lineRule="auto"/>
            <w:rPr>
              <w:rFonts w:ascii="Arial" w:hAnsi="Arial" w:cs="Arial"/>
            </w:rPr>
          </w:pPr>
          <w:r w:rsidRPr="00E55061">
            <w:rPr>
              <w:rFonts w:ascii="Arial" w:hAnsi="Arial" w:cs="Arial"/>
            </w:rPr>
            <w:t>Contents</w:t>
          </w:r>
        </w:p>
        <w:p w14:paraId="2BD55C6A" w14:textId="384E224A" w:rsidR="00E55061" w:rsidRPr="00E55061" w:rsidRDefault="00E55061" w:rsidP="00E55061">
          <w:pPr>
            <w:pStyle w:val="TOC1"/>
            <w:tabs>
              <w:tab w:val="right" w:leader="dot" w:pos="9350"/>
            </w:tabs>
            <w:spacing w:line="360" w:lineRule="auto"/>
            <w:rPr>
              <w:rFonts w:ascii="Arial" w:eastAsiaTheme="minorEastAsia" w:hAnsi="Arial" w:cs="Arial"/>
              <w:noProof/>
              <w:kern w:val="2"/>
              <w14:ligatures w14:val="standardContextual"/>
            </w:rPr>
          </w:pPr>
          <w:r w:rsidRPr="00E55061">
            <w:rPr>
              <w:rFonts w:ascii="Arial" w:hAnsi="Arial" w:cs="Arial"/>
            </w:rPr>
            <w:fldChar w:fldCharType="begin"/>
          </w:r>
          <w:r w:rsidRPr="00E55061">
            <w:rPr>
              <w:rFonts w:ascii="Arial" w:hAnsi="Arial" w:cs="Arial"/>
            </w:rPr>
            <w:instrText xml:space="preserve"> TOC \o "1-3" \h \z \u </w:instrText>
          </w:r>
          <w:r w:rsidRPr="00E55061">
            <w:rPr>
              <w:rFonts w:ascii="Arial" w:hAnsi="Arial" w:cs="Arial"/>
            </w:rPr>
            <w:fldChar w:fldCharType="separate"/>
          </w:r>
          <w:hyperlink w:anchor="_Toc238670366" w:history="1">
            <w:r w:rsidRPr="00E55061">
              <w:rPr>
                <w:rStyle w:val="Hyperlink"/>
                <w:rFonts w:ascii="Arial" w:hAnsi="Arial" w:cs="Arial"/>
                <w:b/>
                <w:noProof/>
              </w:rPr>
              <w:t>Chapter 1: Introduction and Background</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_Toc238670366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8</w:t>
            </w:r>
            <w:r w:rsidRPr="00E55061">
              <w:rPr>
                <w:rFonts w:ascii="Arial" w:hAnsi="Arial" w:cs="Arial"/>
                <w:noProof/>
                <w:webHidden/>
              </w:rPr>
              <w:fldChar w:fldCharType="end"/>
            </w:r>
          </w:hyperlink>
        </w:p>
        <w:p w14:paraId="334721AE" w14:textId="4451DCD8"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67" w:history="1">
            <w:r w:rsidRPr="00E55061">
              <w:rPr>
                <w:rStyle w:val="Hyperlink"/>
                <w:rFonts w:ascii="Arial" w:hAnsi="Arial" w:cs="Arial"/>
                <w:noProof/>
              </w:rPr>
              <w:t>1.1 Digital Transformation in the UK Retail Sector</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_Toc238670367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9</w:t>
            </w:r>
            <w:r w:rsidRPr="00E55061">
              <w:rPr>
                <w:rFonts w:ascii="Arial" w:hAnsi="Arial" w:cs="Arial"/>
                <w:noProof/>
                <w:webHidden/>
              </w:rPr>
              <w:fldChar w:fldCharType="end"/>
            </w:r>
          </w:hyperlink>
        </w:p>
        <w:p w14:paraId="4AE3DB83" w14:textId="669F125B"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68" w:history="1">
            <w:r w:rsidRPr="00E55061">
              <w:rPr>
                <w:rStyle w:val="Hyperlink"/>
                <w:rFonts w:ascii="Arial" w:hAnsi="Arial" w:cs="Arial"/>
                <w:noProof/>
              </w:rPr>
              <w:t>1.2 Tesco PLC and Customer Loyalty</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_Toc238670368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10</w:t>
            </w:r>
            <w:r w:rsidRPr="00E55061">
              <w:rPr>
                <w:rFonts w:ascii="Arial" w:hAnsi="Arial" w:cs="Arial"/>
                <w:noProof/>
                <w:webHidden/>
              </w:rPr>
              <w:fldChar w:fldCharType="end"/>
            </w:r>
          </w:hyperlink>
        </w:p>
        <w:p w14:paraId="22691F7C" w14:textId="54D566AC"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69" w:history="1">
            <w:r w:rsidRPr="00E55061">
              <w:rPr>
                <w:rStyle w:val="Hyperlink"/>
                <w:rFonts w:ascii="Arial" w:hAnsi="Arial" w:cs="Arial"/>
                <w:noProof/>
              </w:rPr>
              <w:t>1.3 Research Significance</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_Toc238670369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11</w:t>
            </w:r>
            <w:r w:rsidRPr="00E55061">
              <w:rPr>
                <w:rFonts w:ascii="Arial" w:hAnsi="Arial" w:cs="Arial"/>
                <w:noProof/>
                <w:webHidden/>
              </w:rPr>
              <w:fldChar w:fldCharType="end"/>
            </w:r>
          </w:hyperlink>
        </w:p>
        <w:p w14:paraId="35E9AB4B" w14:textId="7720E7C9"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70" w:history="1">
            <w:r w:rsidRPr="00E55061">
              <w:rPr>
                <w:rStyle w:val="Hyperlink"/>
                <w:rFonts w:ascii="Arial" w:hAnsi="Arial" w:cs="Arial"/>
                <w:noProof/>
              </w:rPr>
              <w:t>1.4 Research Aim</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_Toc238670370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12</w:t>
            </w:r>
            <w:r w:rsidRPr="00E55061">
              <w:rPr>
                <w:rFonts w:ascii="Arial" w:hAnsi="Arial" w:cs="Arial"/>
                <w:noProof/>
                <w:webHidden/>
              </w:rPr>
              <w:fldChar w:fldCharType="end"/>
            </w:r>
          </w:hyperlink>
        </w:p>
        <w:p w14:paraId="605D2E84" w14:textId="0AD15471"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71" w:history="1">
            <w:r w:rsidRPr="00E55061">
              <w:rPr>
                <w:rStyle w:val="Hyperlink"/>
                <w:rFonts w:ascii="Arial" w:hAnsi="Arial" w:cs="Arial"/>
                <w:noProof/>
                <w:lang w:val="en-IN"/>
              </w:rPr>
              <w:t>1.5 Research Objectives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_Toc238670371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13</w:t>
            </w:r>
            <w:r w:rsidRPr="00E55061">
              <w:rPr>
                <w:rFonts w:ascii="Arial" w:hAnsi="Arial" w:cs="Arial"/>
                <w:noProof/>
                <w:webHidden/>
              </w:rPr>
              <w:fldChar w:fldCharType="end"/>
            </w:r>
          </w:hyperlink>
        </w:p>
        <w:p w14:paraId="71CE68B9" w14:textId="12CB1E23"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72" w:history="1">
            <w:r w:rsidRPr="00E55061">
              <w:rPr>
                <w:rStyle w:val="Hyperlink"/>
                <w:rFonts w:ascii="Arial" w:hAnsi="Arial" w:cs="Arial"/>
                <w:noProof/>
                <w:lang w:val="en-IN"/>
              </w:rPr>
              <w:t>1.6 Research Questions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_Toc238670372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13</w:t>
            </w:r>
            <w:r w:rsidRPr="00E55061">
              <w:rPr>
                <w:rFonts w:ascii="Arial" w:hAnsi="Arial" w:cs="Arial"/>
                <w:noProof/>
                <w:webHidden/>
              </w:rPr>
              <w:fldChar w:fldCharType="end"/>
            </w:r>
          </w:hyperlink>
        </w:p>
        <w:p w14:paraId="16947B31" w14:textId="3492B10D"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73" w:history="1">
            <w:r w:rsidRPr="00E55061">
              <w:rPr>
                <w:rStyle w:val="Hyperlink"/>
                <w:rFonts w:ascii="Arial" w:hAnsi="Arial" w:cs="Arial"/>
                <w:noProof/>
                <w:lang w:val="en-IN"/>
              </w:rPr>
              <w:t>1.7 Structure of the Dissertation</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_Toc238670373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13</w:t>
            </w:r>
            <w:r w:rsidRPr="00E55061">
              <w:rPr>
                <w:rFonts w:ascii="Arial" w:hAnsi="Arial" w:cs="Arial"/>
                <w:noProof/>
                <w:webHidden/>
              </w:rPr>
              <w:fldChar w:fldCharType="end"/>
            </w:r>
          </w:hyperlink>
        </w:p>
        <w:p w14:paraId="5946D58D" w14:textId="40E1864F" w:rsidR="00E55061" w:rsidRPr="00E55061" w:rsidRDefault="00E55061" w:rsidP="00E55061">
          <w:pPr>
            <w:pStyle w:val="TOC1"/>
            <w:tabs>
              <w:tab w:val="right" w:leader="dot" w:pos="9350"/>
            </w:tabs>
            <w:spacing w:line="360" w:lineRule="auto"/>
            <w:rPr>
              <w:rFonts w:ascii="Arial" w:eastAsiaTheme="minorEastAsia" w:hAnsi="Arial" w:cs="Arial"/>
              <w:noProof/>
              <w:kern w:val="2"/>
              <w14:ligatures w14:val="standardContextual"/>
            </w:rPr>
          </w:pPr>
          <w:hyperlink w:anchor="_Toc238670374" w:history="1">
            <w:r w:rsidRPr="00E55061">
              <w:rPr>
                <w:rStyle w:val="Hyperlink"/>
                <w:rFonts w:ascii="Arial" w:hAnsi="Arial" w:cs="Arial"/>
                <w:b/>
                <w:noProof/>
              </w:rPr>
              <w:t>Chapter 2: Literature Review</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_Toc238670374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14</w:t>
            </w:r>
            <w:r w:rsidRPr="00E55061">
              <w:rPr>
                <w:rFonts w:ascii="Arial" w:hAnsi="Arial" w:cs="Arial"/>
                <w:noProof/>
                <w:webHidden/>
              </w:rPr>
              <w:fldChar w:fldCharType="end"/>
            </w:r>
          </w:hyperlink>
        </w:p>
        <w:p w14:paraId="0D7B5865" w14:textId="0817275C"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75" w:history="1">
            <w:r w:rsidRPr="00E55061">
              <w:rPr>
                <w:rStyle w:val="Hyperlink"/>
                <w:rFonts w:ascii="Arial" w:hAnsi="Arial" w:cs="Arial"/>
                <w:noProof/>
                <w:lang w:val="en-IN"/>
              </w:rPr>
              <w:t>2.1 Conceptualising Digital Transformation</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_Toc238670375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15</w:t>
            </w:r>
            <w:r w:rsidRPr="00E55061">
              <w:rPr>
                <w:rFonts w:ascii="Arial" w:hAnsi="Arial" w:cs="Arial"/>
                <w:noProof/>
                <w:webHidden/>
              </w:rPr>
              <w:fldChar w:fldCharType="end"/>
            </w:r>
          </w:hyperlink>
        </w:p>
        <w:p w14:paraId="4FFAC9D2" w14:textId="6EC721DC"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76" w:history="1">
            <w:r w:rsidRPr="00E55061">
              <w:rPr>
                <w:rStyle w:val="Hyperlink"/>
                <w:rFonts w:ascii="Arial" w:hAnsi="Arial" w:cs="Arial"/>
                <w:noProof/>
                <w:lang w:val="en-IN"/>
              </w:rPr>
              <w:t>2.2 Technology Acceptance and Adoption</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_Toc238670376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19</w:t>
            </w:r>
            <w:r w:rsidRPr="00E55061">
              <w:rPr>
                <w:rFonts w:ascii="Arial" w:hAnsi="Arial" w:cs="Arial"/>
                <w:noProof/>
                <w:webHidden/>
              </w:rPr>
              <w:fldChar w:fldCharType="end"/>
            </w:r>
          </w:hyperlink>
        </w:p>
        <w:p w14:paraId="631D60CB" w14:textId="68C3AFF5"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77" w:history="1">
            <w:r w:rsidRPr="00E55061">
              <w:rPr>
                <w:rStyle w:val="Hyperlink"/>
                <w:rFonts w:ascii="Arial" w:hAnsi="Arial" w:cs="Arial"/>
                <w:noProof/>
                <w:lang w:val="en-IN"/>
              </w:rPr>
              <w:t>2.3 Customer Experience in Omnichannel Retailing</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_Toc238670377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22</w:t>
            </w:r>
            <w:r w:rsidRPr="00E55061">
              <w:rPr>
                <w:rFonts w:ascii="Arial" w:hAnsi="Arial" w:cs="Arial"/>
                <w:noProof/>
                <w:webHidden/>
              </w:rPr>
              <w:fldChar w:fldCharType="end"/>
            </w:r>
          </w:hyperlink>
        </w:p>
        <w:p w14:paraId="79172DF9" w14:textId="26E0D38B"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78" w:history="1">
            <w:r w:rsidRPr="00E55061">
              <w:rPr>
                <w:rStyle w:val="Hyperlink"/>
                <w:rFonts w:ascii="Arial" w:hAnsi="Arial" w:cs="Arial"/>
                <w:noProof/>
                <w:lang w:val="en-IN"/>
              </w:rPr>
              <w:t>2.4 Relationship Marketing and Customer Loyalty</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_Toc238670378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25</w:t>
            </w:r>
            <w:r w:rsidRPr="00E55061">
              <w:rPr>
                <w:rFonts w:ascii="Arial" w:hAnsi="Arial" w:cs="Arial"/>
                <w:noProof/>
                <w:webHidden/>
              </w:rPr>
              <w:fldChar w:fldCharType="end"/>
            </w:r>
          </w:hyperlink>
        </w:p>
        <w:p w14:paraId="094BAEAF" w14:textId="6071AFB9"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79" w:history="1">
            <w:r w:rsidRPr="00E55061">
              <w:rPr>
                <w:rStyle w:val="Hyperlink"/>
                <w:rFonts w:ascii="Arial" w:hAnsi="Arial" w:cs="Arial"/>
                <w:noProof/>
                <w:lang w:val="en-IN"/>
              </w:rPr>
              <w:t>2.5 Tesco's Digital Transformation Strategy</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_Toc238670379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28</w:t>
            </w:r>
            <w:r w:rsidRPr="00E55061">
              <w:rPr>
                <w:rFonts w:ascii="Arial" w:hAnsi="Arial" w:cs="Arial"/>
                <w:noProof/>
                <w:webHidden/>
              </w:rPr>
              <w:fldChar w:fldCharType="end"/>
            </w:r>
          </w:hyperlink>
        </w:p>
        <w:p w14:paraId="3779218D" w14:textId="371C0BA5"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80" w:history="1">
            <w:r w:rsidRPr="00E55061">
              <w:rPr>
                <w:rStyle w:val="Hyperlink"/>
                <w:rFonts w:ascii="Arial" w:hAnsi="Arial" w:cs="Arial"/>
                <w:noProof/>
                <w:lang w:val="en-IN"/>
              </w:rPr>
              <w:t>2.6 Literature Synthesis and Research Gap</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_Toc238670380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31</w:t>
            </w:r>
            <w:r w:rsidRPr="00E55061">
              <w:rPr>
                <w:rFonts w:ascii="Arial" w:hAnsi="Arial" w:cs="Arial"/>
                <w:noProof/>
                <w:webHidden/>
              </w:rPr>
              <w:fldChar w:fldCharType="end"/>
            </w:r>
          </w:hyperlink>
        </w:p>
        <w:p w14:paraId="3D08FDFB" w14:textId="37DB4A72" w:rsidR="00E55061" w:rsidRPr="00E55061" w:rsidRDefault="00E55061" w:rsidP="00E55061">
          <w:pPr>
            <w:pStyle w:val="TOC1"/>
            <w:tabs>
              <w:tab w:val="right" w:leader="dot" w:pos="9350"/>
            </w:tabs>
            <w:spacing w:line="360" w:lineRule="auto"/>
            <w:rPr>
              <w:rFonts w:ascii="Arial" w:eastAsiaTheme="minorEastAsia" w:hAnsi="Arial" w:cs="Arial"/>
              <w:noProof/>
              <w:kern w:val="2"/>
              <w14:ligatures w14:val="standardContextual"/>
            </w:rPr>
          </w:pPr>
          <w:hyperlink w:anchor="_Toc238670381" w:history="1">
            <w:r w:rsidRPr="00E55061">
              <w:rPr>
                <w:rStyle w:val="Hyperlink"/>
                <w:rFonts w:ascii="Arial" w:hAnsi="Arial" w:cs="Arial"/>
                <w:b/>
                <w:noProof/>
                <w:lang w:val="en-IN"/>
              </w:rPr>
              <w:t>Chapter 3: Research Methodology</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_Toc238670381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33</w:t>
            </w:r>
            <w:r w:rsidRPr="00E55061">
              <w:rPr>
                <w:rFonts w:ascii="Arial" w:hAnsi="Arial" w:cs="Arial"/>
                <w:noProof/>
                <w:webHidden/>
              </w:rPr>
              <w:fldChar w:fldCharType="end"/>
            </w:r>
          </w:hyperlink>
        </w:p>
        <w:p w14:paraId="1D046545" w14:textId="598DC6D5"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82" w:history="1">
            <w:r w:rsidRPr="00E55061">
              <w:rPr>
                <w:rStyle w:val="Hyperlink"/>
                <w:rFonts w:ascii="Arial" w:hAnsi="Arial" w:cs="Arial"/>
                <w:noProof/>
                <w:lang w:val="en-IN"/>
              </w:rPr>
              <w:t>3.1 Introduction</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_Toc238670382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33</w:t>
            </w:r>
            <w:r w:rsidRPr="00E55061">
              <w:rPr>
                <w:rFonts w:ascii="Arial" w:hAnsi="Arial" w:cs="Arial"/>
                <w:noProof/>
                <w:webHidden/>
              </w:rPr>
              <w:fldChar w:fldCharType="end"/>
            </w:r>
          </w:hyperlink>
        </w:p>
        <w:p w14:paraId="4CADCECC" w14:textId="56FDE707"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83" w:history="1">
            <w:r w:rsidRPr="00E55061">
              <w:rPr>
                <w:rStyle w:val="Hyperlink"/>
                <w:rFonts w:ascii="Arial" w:hAnsi="Arial" w:cs="Arial"/>
                <w:noProof/>
                <w:lang w:val="en-IN"/>
              </w:rPr>
              <w:t>3.2 Research Philosophy</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_Toc238670383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34</w:t>
            </w:r>
            <w:r w:rsidRPr="00E55061">
              <w:rPr>
                <w:rFonts w:ascii="Arial" w:hAnsi="Arial" w:cs="Arial"/>
                <w:noProof/>
                <w:webHidden/>
              </w:rPr>
              <w:fldChar w:fldCharType="end"/>
            </w:r>
          </w:hyperlink>
        </w:p>
        <w:p w14:paraId="42E353EE" w14:textId="1D5EBE2B"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84" w:history="1">
            <w:r w:rsidRPr="00E55061">
              <w:rPr>
                <w:rStyle w:val="Hyperlink"/>
                <w:rFonts w:ascii="Arial" w:hAnsi="Arial" w:cs="Arial"/>
                <w:noProof/>
                <w:lang w:val="en-IN"/>
              </w:rPr>
              <w:t>3.3 Research Approach</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_Toc238670384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34</w:t>
            </w:r>
            <w:r w:rsidRPr="00E55061">
              <w:rPr>
                <w:rFonts w:ascii="Arial" w:hAnsi="Arial" w:cs="Arial"/>
                <w:noProof/>
                <w:webHidden/>
              </w:rPr>
              <w:fldChar w:fldCharType="end"/>
            </w:r>
          </w:hyperlink>
        </w:p>
        <w:p w14:paraId="2617B9EA" w14:textId="0C546DF2"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85" w:history="1">
            <w:r w:rsidRPr="00E55061">
              <w:rPr>
                <w:rStyle w:val="Hyperlink"/>
                <w:rFonts w:ascii="Arial" w:hAnsi="Arial" w:cs="Arial"/>
                <w:noProof/>
                <w:lang w:val="en-IN"/>
              </w:rPr>
              <w:t>3.4 Research Strategy and Research Design</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_Toc238670385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35</w:t>
            </w:r>
            <w:r w:rsidRPr="00E55061">
              <w:rPr>
                <w:rFonts w:ascii="Arial" w:hAnsi="Arial" w:cs="Arial"/>
                <w:noProof/>
                <w:webHidden/>
              </w:rPr>
              <w:fldChar w:fldCharType="end"/>
            </w:r>
          </w:hyperlink>
        </w:p>
        <w:p w14:paraId="7744016C" w14:textId="191AFDEE"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86" w:history="1">
            <w:r w:rsidRPr="00E55061">
              <w:rPr>
                <w:rStyle w:val="Hyperlink"/>
                <w:rFonts w:ascii="Arial" w:hAnsi="Arial" w:cs="Arial"/>
                <w:noProof/>
                <w:lang w:val="en-IN"/>
              </w:rPr>
              <w:t>3.5 Data Collection Methods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_Toc238670386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36</w:t>
            </w:r>
            <w:r w:rsidRPr="00E55061">
              <w:rPr>
                <w:rFonts w:ascii="Arial" w:hAnsi="Arial" w:cs="Arial"/>
                <w:noProof/>
                <w:webHidden/>
              </w:rPr>
              <w:fldChar w:fldCharType="end"/>
            </w:r>
          </w:hyperlink>
        </w:p>
        <w:p w14:paraId="06F78E04" w14:textId="1189DFD8"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87" w:history="1">
            <w:r w:rsidRPr="00E55061">
              <w:rPr>
                <w:rStyle w:val="Hyperlink"/>
                <w:rFonts w:ascii="Arial" w:hAnsi="Arial" w:cs="Arial"/>
                <w:noProof/>
                <w:lang w:val="en-IN"/>
              </w:rPr>
              <w:t>3.6 Data Sources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_Toc238670387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37</w:t>
            </w:r>
            <w:r w:rsidRPr="00E55061">
              <w:rPr>
                <w:rFonts w:ascii="Arial" w:hAnsi="Arial" w:cs="Arial"/>
                <w:noProof/>
                <w:webHidden/>
              </w:rPr>
              <w:fldChar w:fldCharType="end"/>
            </w:r>
          </w:hyperlink>
        </w:p>
        <w:p w14:paraId="620FD3A4" w14:textId="1A35E262"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88" w:history="1">
            <w:r w:rsidRPr="00E55061">
              <w:rPr>
                <w:rStyle w:val="Hyperlink"/>
                <w:rFonts w:ascii="Arial" w:hAnsi="Arial" w:cs="Arial"/>
                <w:noProof/>
                <w:lang w:val="en-IN"/>
              </w:rPr>
              <w:t>3.7 Data Analysis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_Toc238670388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37</w:t>
            </w:r>
            <w:r w:rsidRPr="00E55061">
              <w:rPr>
                <w:rFonts w:ascii="Arial" w:hAnsi="Arial" w:cs="Arial"/>
                <w:noProof/>
                <w:webHidden/>
              </w:rPr>
              <w:fldChar w:fldCharType="end"/>
            </w:r>
          </w:hyperlink>
        </w:p>
        <w:p w14:paraId="14373085" w14:textId="00922649"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89" w:history="1">
            <w:r w:rsidRPr="00E55061">
              <w:rPr>
                <w:rStyle w:val="Hyperlink"/>
                <w:rFonts w:ascii="Arial" w:hAnsi="Arial" w:cs="Arial"/>
                <w:noProof/>
                <w:lang w:val="en-IN"/>
              </w:rPr>
              <w:t>3.8 Ethical Considerations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_Toc238670389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38</w:t>
            </w:r>
            <w:r w:rsidRPr="00E55061">
              <w:rPr>
                <w:rFonts w:ascii="Arial" w:hAnsi="Arial" w:cs="Arial"/>
                <w:noProof/>
                <w:webHidden/>
              </w:rPr>
              <w:fldChar w:fldCharType="end"/>
            </w:r>
          </w:hyperlink>
        </w:p>
        <w:p w14:paraId="244D0E0C" w14:textId="25D4EBD0"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90" w:history="1">
            <w:r w:rsidRPr="00E55061">
              <w:rPr>
                <w:rStyle w:val="Hyperlink"/>
                <w:rFonts w:ascii="Arial" w:hAnsi="Arial" w:cs="Arial"/>
                <w:noProof/>
                <w:lang w:val="en-IN"/>
              </w:rPr>
              <w:t>3.9 Research Quality (Trustworthiness)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_Toc238670390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38</w:t>
            </w:r>
            <w:r w:rsidRPr="00E55061">
              <w:rPr>
                <w:rFonts w:ascii="Arial" w:hAnsi="Arial" w:cs="Arial"/>
                <w:noProof/>
                <w:webHidden/>
              </w:rPr>
              <w:fldChar w:fldCharType="end"/>
            </w:r>
          </w:hyperlink>
        </w:p>
        <w:p w14:paraId="3B20B0E3" w14:textId="3D654F72"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91" w:history="1">
            <w:r w:rsidRPr="00E55061">
              <w:rPr>
                <w:rStyle w:val="Hyperlink"/>
                <w:rFonts w:ascii="Arial" w:hAnsi="Arial" w:cs="Arial"/>
                <w:noProof/>
                <w:lang w:val="en-IN"/>
              </w:rPr>
              <w:t>3.10 Chapter Summary</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_Toc238670391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39</w:t>
            </w:r>
            <w:r w:rsidRPr="00E55061">
              <w:rPr>
                <w:rFonts w:ascii="Arial" w:hAnsi="Arial" w:cs="Arial"/>
                <w:noProof/>
                <w:webHidden/>
              </w:rPr>
              <w:fldChar w:fldCharType="end"/>
            </w:r>
          </w:hyperlink>
        </w:p>
        <w:p w14:paraId="702EB5BA" w14:textId="5679B2DB" w:rsidR="00E55061" w:rsidRPr="00E55061" w:rsidRDefault="00E55061" w:rsidP="00E55061">
          <w:pPr>
            <w:pStyle w:val="TOC1"/>
            <w:tabs>
              <w:tab w:val="right" w:leader="dot" w:pos="9350"/>
            </w:tabs>
            <w:spacing w:line="360" w:lineRule="auto"/>
            <w:rPr>
              <w:rFonts w:ascii="Arial" w:eastAsiaTheme="minorEastAsia" w:hAnsi="Arial" w:cs="Arial"/>
              <w:noProof/>
              <w:kern w:val="2"/>
              <w14:ligatures w14:val="standardContextual"/>
            </w:rPr>
          </w:pPr>
          <w:hyperlink w:anchor="_Toc238670392" w:history="1">
            <w:r w:rsidRPr="00E55061">
              <w:rPr>
                <w:rStyle w:val="Hyperlink"/>
                <w:rFonts w:ascii="Arial" w:hAnsi="Arial" w:cs="Arial"/>
                <w:b/>
                <w:noProof/>
              </w:rPr>
              <w:t>Chapter 4: Findings and Discussion</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_Toc238670392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39</w:t>
            </w:r>
            <w:r w:rsidRPr="00E55061">
              <w:rPr>
                <w:rFonts w:ascii="Arial" w:hAnsi="Arial" w:cs="Arial"/>
                <w:noProof/>
                <w:webHidden/>
              </w:rPr>
              <w:fldChar w:fldCharType="end"/>
            </w:r>
          </w:hyperlink>
        </w:p>
        <w:p w14:paraId="4AFE826D" w14:textId="4DAFFFDD"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93" w:history="1">
            <w:r w:rsidRPr="00E55061">
              <w:rPr>
                <w:rStyle w:val="Hyperlink"/>
                <w:rFonts w:ascii="Arial" w:hAnsi="Arial" w:cs="Arial"/>
                <w:noProof/>
                <w:lang w:val="en-IN"/>
              </w:rPr>
              <w:t>4.1 Introduction</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_Toc238670393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39</w:t>
            </w:r>
            <w:r w:rsidRPr="00E55061">
              <w:rPr>
                <w:rFonts w:ascii="Arial" w:hAnsi="Arial" w:cs="Arial"/>
                <w:noProof/>
                <w:webHidden/>
              </w:rPr>
              <w:fldChar w:fldCharType="end"/>
            </w:r>
          </w:hyperlink>
        </w:p>
        <w:p w14:paraId="20DE7221" w14:textId="7F79901A"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94" w:history="1">
            <w:r w:rsidRPr="00E55061">
              <w:rPr>
                <w:rStyle w:val="Hyperlink"/>
                <w:rFonts w:ascii="Arial" w:hAnsi="Arial" w:cs="Arial"/>
                <w:noProof/>
                <w:lang w:val="en-IN"/>
              </w:rPr>
              <w:t>4.2 Overview of Findings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_Toc238670394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40</w:t>
            </w:r>
            <w:r w:rsidRPr="00E55061">
              <w:rPr>
                <w:rFonts w:ascii="Arial" w:hAnsi="Arial" w:cs="Arial"/>
                <w:noProof/>
                <w:webHidden/>
              </w:rPr>
              <w:fldChar w:fldCharType="end"/>
            </w:r>
          </w:hyperlink>
        </w:p>
        <w:p w14:paraId="10CD305C" w14:textId="35908F81"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95" w:history="1">
            <w:r w:rsidRPr="00E55061">
              <w:rPr>
                <w:rStyle w:val="Hyperlink"/>
                <w:rFonts w:ascii="Arial" w:hAnsi="Arial" w:cs="Arial"/>
                <w:noProof/>
                <w:lang w:val="en-IN"/>
              </w:rPr>
              <w:t>4.3 Tesco's Digital Transformation Initiatives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_Toc238670395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42</w:t>
            </w:r>
            <w:r w:rsidRPr="00E55061">
              <w:rPr>
                <w:rFonts w:ascii="Arial" w:hAnsi="Arial" w:cs="Arial"/>
                <w:noProof/>
                <w:webHidden/>
              </w:rPr>
              <w:fldChar w:fldCharType="end"/>
            </w:r>
          </w:hyperlink>
        </w:p>
        <w:p w14:paraId="2AC50121" w14:textId="34A054FF"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96" w:history="1">
            <w:r w:rsidRPr="00E55061">
              <w:rPr>
                <w:rStyle w:val="Hyperlink"/>
                <w:rFonts w:ascii="Arial" w:hAnsi="Arial" w:cs="Arial"/>
                <w:noProof/>
                <w:lang w:val="en-IN"/>
              </w:rPr>
              <w:t>4.4 Impact on Customer Satisfaction</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_Toc238670396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45</w:t>
            </w:r>
            <w:r w:rsidRPr="00E55061">
              <w:rPr>
                <w:rFonts w:ascii="Arial" w:hAnsi="Arial" w:cs="Arial"/>
                <w:noProof/>
                <w:webHidden/>
              </w:rPr>
              <w:fldChar w:fldCharType="end"/>
            </w:r>
          </w:hyperlink>
        </w:p>
        <w:p w14:paraId="62C9224F" w14:textId="6B652FD6"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97" w:history="1">
            <w:r w:rsidRPr="00E55061">
              <w:rPr>
                <w:rStyle w:val="Hyperlink"/>
                <w:rFonts w:ascii="Arial" w:hAnsi="Arial" w:cs="Arial"/>
                <w:noProof/>
                <w:lang w:val="en-IN"/>
              </w:rPr>
              <w:t>4.5 Impact on Customer Engagement</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_Toc238670397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46</w:t>
            </w:r>
            <w:r w:rsidRPr="00E55061">
              <w:rPr>
                <w:rFonts w:ascii="Arial" w:hAnsi="Arial" w:cs="Arial"/>
                <w:noProof/>
                <w:webHidden/>
              </w:rPr>
              <w:fldChar w:fldCharType="end"/>
            </w:r>
          </w:hyperlink>
        </w:p>
        <w:p w14:paraId="593609F0" w14:textId="41273614"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98" w:history="1">
            <w:r w:rsidRPr="00E55061">
              <w:rPr>
                <w:rStyle w:val="Hyperlink"/>
                <w:rFonts w:ascii="Arial" w:hAnsi="Arial" w:cs="Arial"/>
                <w:noProof/>
                <w:lang w:val="en-IN"/>
              </w:rPr>
              <w:t>4.6 Impact on Customer Loyalty</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_Toc238670398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48</w:t>
            </w:r>
            <w:r w:rsidRPr="00E55061">
              <w:rPr>
                <w:rFonts w:ascii="Arial" w:hAnsi="Arial" w:cs="Arial"/>
                <w:noProof/>
                <w:webHidden/>
              </w:rPr>
              <w:fldChar w:fldCharType="end"/>
            </w:r>
          </w:hyperlink>
        </w:p>
        <w:p w14:paraId="092822D8" w14:textId="2BB65AC1"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399" w:history="1">
            <w:r w:rsidRPr="00E55061">
              <w:rPr>
                <w:rStyle w:val="Hyperlink"/>
                <w:rFonts w:ascii="Arial" w:hAnsi="Arial" w:cs="Arial"/>
                <w:noProof/>
                <w:lang w:val="en-IN"/>
              </w:rPr>
              <w:t>4.7 Omnichannel Customer Experience</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_Toc238670399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51</w:t>
            </w:r>
            <w:r w:rsidRPr="00E55061">
              <w:rPr>
                <w:rFonts w:ascii="Arial" w:hAnsi="Arial" w:cs="Arial"/>
                <w:noProof/>
                <w:webHidden/>
              </w:rPr>
              <w:fldChar w:fldCharType="end"/>
            </w:r>
          </w:hyperlink>
        </w:p>
        <w:p w14:paraId="63CD6619" w14:textId="4218A165"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400" w:history="1">
            <w:r w:rsidRPr="00E55061">
              <w:rPr>
                <w:rStyle w:val="Hyperlink"/>
                <w:rFonts w:ascii="Arial" w:hAnsi="Arial" w:cs="Arial"/>
                <w:noProof/>
                <w:lang w:val="en-IN"/>
              </w:rPr>
              <w:t>4.8 Trust, Privacy and Personalisation</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_Toc238670400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52</w:t>
            </w:r>
            <w:r w:rsidRPr="00E55061">
              <w:rPr>
                <w:rFonts w:ascii="Arial" w:hAnsi="Arial" w:cs="Arial"/>
                <w:noProof/>
                <w:webHidden/>
              </w:rPr>
              <w:fldChar w:fldCharType="end"/>
            </w:r>
          </w:hyperlink>
        </w:p>
        <w:p w14:paraId="59D2BEAC" w14:textId="4EAACACB"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401" w:history="1">
            <w:r w:rsidRPr="00E55061">
              <w:rPr>
                <w:rStyle w:val="Hyperlink"/>
                <w:rFonts w:ascii="Arial" w:hAnsi="Arial" w:cs="Arial"/>
                <w:noProof/>
                <w:lang w:val="en-IN"/>
              </w:rPr>
              <w:t>4.9 Critical Discussion and Synthesis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_Toc238670401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53</w:t>
            </w:r>
            <w:r w:rsidRPr="00E55061">
              <w:rPr>
                <w:rFonts w:ascii="Arial" w:hAnsi="Arial" w:cs="Arial"/>
                <w:noProof/>
                <w:webHidden/>
              </w:rPr>
              <w:fldChar w:fldCharType="end"/>
            </w:r>
          </w:hyperlink>
        </w:p>
        <w:p w14:paraId="04E9B46A" w14:textId="78BB46FF"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402" w:history="1">
            <w:r w:rsidRPr="00E55061">
              <w:rPr>
                <w:rStyle w:val="Hyperlink"/>
                <w:rFonts w:ascii="Arial" w:hAnsi="Arial" w:cs="Arial"/>
                <w:noProof/>
                <w:lang w:val="en-IN"/>
              </w:rPr>
              <w:t>4.10 Findings Against Research Questions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_Toc238670402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55</w:t>
            </w:r>
            <w:r w:rsidRPr="00E55061">
              <w:rPr>
                <w:rFonts w:ascii="Arial" w:hAnsi="Arial" w:cs="Arial"/>
                <w:noProof/>
                <w:webHidden/>
              </w:rPr>
              <w:fldChar w:fldCharType="end"/>
            </w:r>
          </w:hyperlink>
        </w:p>
        <w:p w14:paraId="14BAF784" w14:textId="5BFCDB06"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403" w:history="1">
            <w:r w:rsidRPr="00E55061">
              <w:rPr>
                <w:rStyle w:val="Hyperlink"/>
                <w:rFonts w:ascii="Arial" w:hAnsi="Arial" w:cs="Arial"/>
                <w:noProof/>
                <w:lang w:val="en-IN"/>
              </w:rPr>
              <w:t>4.11 Chapter Summary</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_Toc238670403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55</w:t>
            </w:r>
            <w:r w:rsidRPr="00E55061">
              <w:rPr>
                <w:rFonts w:ascii="Arial" w:hAnsi="Arial" w:cs="Arial"/>
                <w:noProof/>
                <w:webHidden/>
              </w:rPr>
              <w:fldChar w:fldCharType="end"/>
            </w:r>
          </w:hyperlink>
        </w:p>
        <w:p w14:paraId="63B62E7C" w14:textId="48C2C1F5" w:rsidR="00E55061" w:rsidRPr="00E55061" w:rsidRDefault="00E55061" w:rsidP="00E55061">
          <w:pPr>
            <w:pStyle w:val="TOC1"/>
            <w:tabs>
              <w:tab w:val="right" w:leader="dot" w:pos="9350"/>
            </w:tabs>
            <w:spacing w:line="360" w:lineRule="auto"/>
            <w:rPr>
              <w:rFonts w:ascii="Arial" w:eastAsiaTheme="minorEastAsia" w:hAnsi="Arial" w:cs="Arial"/>
              <w:noProof/>
              <w:kern w:val="2"/>
              <w14:ligatures w14:val="standardContextual"/>
            </w:rPr>
          </w:pPr>
          <w:hyperlink w:anchor="_Toc238670404" w:history="1">
            <w:r w:rsidRPr="00E55061">
              <w:rPr>
                <w:rStyle w:val="Hyperlink"/>
                <w:rFonts w:ascii="Arial" w:hAnsi="Arial" w:cs="Arial"/>
                <w:b/>
                <w:noProof/>
                <w:lang w:val="en-IN"/>
              </w:rPr>
              <w:t>Chapter 5: Conclusion and Recommendations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_Toc238670404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56</w:t>
            </w:r>
            <w:r w:rsidRPr="00E55061">
              <w:rPr>
                <w:rFonts w:ascii="Arial" w:hAnsi="Arial" w:cs="Arial"/>
                <w:noProof/>
                <w:webHidden/>
              </w:rPr>
              <w:fldChar w:fldCharType="end"/>
            </w:r>
          </w:hyperlink>
        </w:p>
        <w:p w14:paraId="5F223957" w14:textId="41B854D6"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405" w:history="1">
            <w:r w:rsidRPr="00E55061">
              <w:rPr>
                <w:rStyle w:val="Hyperlink"/>
                <w:rFonts w:ascii="Arial" w:hAnsi="Arial" w:cs="Arial"/>
                <w:noProof/>
                <w:lang w:val="en-IN"/>
              </w:rPr>
              <w:t>5.1 Introduction</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_Toc238670405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56</w:t>
            </w:r>
            <w:r w:rsidRPr="00E55061">
              <w:rPr>
                <w:rFonts w:ascii="Arial" w:hAnsi="Arial" w:cs="Arial"/>
                <w:noProof/>
                <w:webHidden/>
              </w:rPr>
              <w:fldChar w:fldCharType="end"/>
            </w:r>
          </w:hyperlink>
        </w:p>
        <w:p w14:paraId="3EFEA6D5" w14:textId="01CC7087"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406" w:history="1">
            <w:r w:rsidRPr="00E55061">
              <w:rPr>
                <w:rStyle w:val="Hyperlink"/>
                <w:rFonts w:ascii="Arial" w:hAnsi="Arial" w:cs="Arial"/>
                <w:noProof/>
                <w:lang w:val="en-IN"/>
              </w:rPr>
              <w:t>5.2 Overall Conclusion and Key Findings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_Toc238670406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56</w:t>
            </w:r>
            <w:r w:rsidRPr="00E55061">
              <w:rPr>
                <w:rFonts w:ascii="Arial" w:hAnsi="Arial" w:cs="Arial"/>
                <w:noProof/>
                <w:webHidden/>
              </w:rPr>
              <w:fldChar w:fldCharType="end"/>
            </w:r>
          </w:hyperlink>
        </w:p>
        <w:p w14:paraId="4A530641" w14:textId="4245DE7D"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407" w:history="1">
            <w:r w:rsidRPr="00E55061">
              <w:rPr>
                <w:rStyle w:val="Hyperlink"/>
                <w:rFonts w:ascii="Arial" w:hAnsi="Arial" w:cs="Arial"/>
                <w:noProof/>
                <w:lang w:val="en-IN"/>
              </w:rPr>
              <w:t>5.3 Conclusions Against Research Objectives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_Toc238670407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58</w:t>
            </w:r>
            <w:r w:rsidRPr="00E55061">
              <w:rPr>
                <w:rFonts w:ascii="Arial" w:hAnsi="Arial" w:cs="Arial"/>
                <w:noProof/>
                <w:webHidden/>
              </w:rPr>
              <w:fldChar w:fldCharType="end"/>
            </w:r>
          </w:hyperlink>
        </w:p>
        <w:p w14:paraId="6E23D363" w14:textId="677CE041"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408" w:history="1">
            <w:r w:rsidRPr="00E55061">
              <w:rPr>
                <w:rStyle w:val="Hyperlink"/>
                <w:rFonts w:ascii="Arial" w:hAnsi="Arial" w:cs="Arial"/>
                <w:noProof/>
                <w:lang w:val="en-IN"/>
              </w:rPr>
              <w:t>5.4 Theoretical and Managerial Implications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_Toc238670408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59</w:t>
            </w:r>
            <w:r w:rsidRPr="00E55061">
              <w:rPr>
                <w:rFonts w:ascii="Arial" w:hAnsi="Arial" w:cs="Arial"/>
                <w:noProof/>
                <w:webHidden/>
              </w:rPr>
              <w:fldChar w:fldCharType="end"/>
            </w:r>
          </w:hyperlink>
        </w:p>
        <w:p w14:paraId="6F716CC1" w14:textId="610EB8F4"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409" w:history="1">
            <w:r w:rsidRPr="00E55061">
              <w:rPr>
                <w:rStyle w:val="Hyperlink"/>
                <w:rFonts w:ascii="Arial" w:hAnsi="Arial" w:cs="Arial"/>
                <w:noProof/>
                <w:lang w:val="en-IN"/>
              </w:rPr>
              <w:t>5.5 Recommendations for Tesco PLC</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_Toc238670409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60</w:t>
            </w:r>
            <w:r w:rsidRPr="00E55061">
              <w:rPr>
                <w:rFonts w:ascii="Arial" w:hAnsi="Arial" w:cs="Arial"/>
                <w:noProof/>
                <w:webHidden/>
              </w:rPr>
              <w:fldChar w:fldCharType="end"/>
            </w:r>
          </w:hyperlink>
        </w:p>
        <w:p w14:paraId="6D66289D" w14:textId="3100A322"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410" w:history="1">
            <w:r w:rsidRPr="00E55061">
              <w:rPr>
                <w:rStyle w:val="Hyperlink"/>
                <w:rFonts w:ascii="Arial" w:hAnsi="Arial" w:cs="Arial"/>
                <w:noProof/>
                <w:lang w:val="en-IN"/>
              </w:rPr>
              <w:t>5.6 Limitations and Future Research</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_Toc238670410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60</w:t>
            </w:r>
            <w:r w:rsidRPr="00E55061">
              <w:rPr>
                <w:rFonts w:ascii="Arial" w:hAnsi="Arial" w:cs="Arial"/>
                <w:noProof/>
                <w:webHidden/>
              </w:rPr>
              <w:fldChar w:fldCharType="end"/>
            </w:r>
          </w:hyperlink>
        </w:p>
        <w:p w14:paraId="0330FCA9" w14:textId="2A0B6696" w:rsidR="00E55061" w:rsidRPr="00E55061" w:rsidRDefault="00E55061" w:rsidP="00E55061">
          <w:pPr>
            <w:pStyle w:val="TOC2"/>
            <w:tabs>
              <w:tab w:val="right" w:leader="dot" w:pos="9350"/>
            </w:tabs>
            <w:spacing w:line="360" w:lineRule="auto"/>
            <w:rPr>
              <w:rFonts w:ascii="Arial" w:eastAsiaTheme="minorEastAsia" w:hAnsi="Arial" w:cs="Arial"/>
              <w:noProof/>
              <w:kern w:val="2"/>
              <w14:ligatures w14:val="standardContextual"/>
            </w:rPr>
          </w:pPr>
          <w:hyperlink w:anchor="_Toc238670411" w:history="1">
            <w:r w:rsidRPr="00E55061">
              <w:rPr>
                <w:rStyle w:val="Hyperlink"/>
                <w:rFonts w:ascii="Arial" w:hAnsi="Arial" w:cs="Arial"/>
                <w:noProof/>
                <w:lang w:val="en-IN"/>
              </w:rPr>
              <w:t>5.7 Chapter Conclusion</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_Toc238670411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61</w:t>
            </w:r>
            <w:r w:rsidRPr="00E55061">
              <w:rPr>
                <w:rFonts w:ascii="Arial" w:hAnsi="Arial" w:cs="Arial"/>
                <w:noProof/>
                <w:webHidden/>
              </w:rPr>
              <w:fldChar w:fldCharType="end"/>
            </w:r>
          </w:hyperlink>
        </w:p>
        <w:p w14:paraId="095988FC" w14:textId="3969796E" w:rsidR="00E55061" w:rsidRPr="00E55061" w:rsidRDefault="00E55061" w:rsidP="00E55061">
          <w:pPr>
            <w:pStyle w:val="TOC1"/>
            <w:tabs>
              <w:tab w:val="right" w:leader="dot" w:pos="9350"/>
            </w:tabs>
            <w:spacing w:line="360" w:lineRule="auto"/>
            <w:rPr>
              <w:rFonts w:ascii="Arial" w:eastAsiaTheme="minorEastAsia" w:hAnsi="Arial" w:cs="Arial"/>
              <w:noProof/>
              <w:kern w:val="2"/>
              <w14:ligatures w14:val="standardContextual"/>
            </w:rPr>
          </w:pPr>
          <w:hyperlink w:anchor="_Toc238670412" w:history="1">
            <w:r w:rsidRPr="00E55061">
              <w:rPr>
                <w:rStyle w:val="Hyperlink"/>
                <w:rFonts w:ascii="Arial" w:hAnsi="Arial" w:cs="Arial"/>
                <w:b/>
                <w:noProof/>
              </w:rPr>
              <w:t>References</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_Toc238670412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62</w:t>
            </w:r>
            <w:r w:rsidRPr="00E55061">
              <w:rPr>
                <w:rFonts w:ascii="Arial" w:hAnsi="Arial" w:cs="Arial"/>
                <w:noProof/>
                <w:webHidden/>
              </w:rPr>
              <w:fldChar w:fldCharType="end"/>
            </w:r>
          </w:hyperlink>
        </w:p>
        <w:p w14:paraId="4AE8D7C2" w14:textId="053982D8" w:rsidR="00E55061" w:rsidRPr="00E55061" w:rsidRDefault="00E55061" w:rsidP="00E55061">
          <w:pPr>
            <w:pStyle w:val="TOC1"/>
            <w:tabs>
              <w:tab w:val="right" w:leader="dot" w:pos="9350"/>
            </w:tabs>
            <w:spacing w:line="360" w:lineRule="auto"/>
            <w:rPr>
              <w:rFonts w:ascii="Arial" w:eastAsiaTheme="minorEastAsia" w:hAnsi="Arial" w:cs="Arial"/>
              <w:noProof/>
              <w:kern w:val="2"/>
              <w14:ligatures w14:val="standardContextual"/>
            </w:rPr>
          </w:pPr>
          <w:hyperlink w:anchor="_Toc238670413" w:history="1">
            <w:r w:rsidRPr="00E55061">
              <w:rPr>
                <w:rStyle w:val="Hyperlink"/>
                <w:rFonts w:ascii="Arial" w:hAnsi="Arial" w:cs="Arial"/>
                <w:noProof/>
              </w:rPr>
              <w:t>Appendix:</w:t>
            </w:r>
            <w:r w:rsidRPr="00E55061">
              <w:rPr>
                <w:rFonts w:ascii="Arial" w:hAnsi="Arial" w:cs="Arial"/>
                <w:noProof/>
                <w:webHidden/>
              </w:rPr>
              <w:tab/>
            </w:r>
            <w:r w:rsidRPr="00E55061">
              <w:rPr>
                <w:rFonts w:ascii="Arial" w:hAnsi="Arial" w:cs="Arial"/>
                <w:noProof/>
                <w:webHidden/>
              </w:rPr>
              <w:fldChar w:fldCharType="begin"/>
            </w:r>
            <w:r w:rsidRPr="00E55061">
              <w:rPr>
                <w:rFonts w:ascii="Arial" w:hAnsi="Arial" w:cs="Arial"/>
                <w:noProof/>
                <w:webHidden/>
              </w:rPr>
              <w:instrText xml:space="preserve"> PAGEREF _Toc238670413 \h </w:instrText>
            </w:r>
            <w:r w:rsidRPr="00E55061">
              <w:rPr>
                <w:rFonts w:ascii="Arial" w:hAnsi="Arial" w:cs="Arial"/>
                <w:noProof/>
                <w:webHidden/>
              </w:rPr>
            </w:r>
            <w:r w:rsidRPr="00E55061">
              <w:rPr>
                <w:rFonts w:ascii="Arial" w:hAnsi="Arial" w:cs="Arial"/>
                <w:noProof/>
                <w:webHidden/>
              </w:rPr>
              <w:fldChar w:fldCharType="separate"/>
            </w:r>
            <w:r w:rsidR="00B44877">
              <w:rPr>
                <w:rFonts w:ascii="Arial" w:hAnsi="Arial" w:cs="Arial"/>
                <w:noProof/>
                <w:webHidden/>
              </w:rPr>
              <w:t>68</w:t>
            </w:r>
            <w:r w:rsidRPr="00E55061">
              <w:rPr>
                <w:rFonts w:ascii="Arial" w:hAnsi="Arial" w:cs="Arial"/>
                <w:noProof/>
                <w:webHidden/>
              </w:rPr>
              <w:fldChar w:fldCharType="end"/>
            </w:r>
          </w:hyperlink>
        </w:p>
        <w:p w14:paraId="764FC874" w14:textId="3FEDA4D3" w:rsidR="00E55061" w:rsidRDefault="00E55061" w:rsidP="00E55061">
          <w:pPr>
            <w:spacing w:line="360" w:lineRule="auto"/>
          </w:pPr>
          <w:r w:rsidRPr="00E55061">
            <w:rPr>
              <w:rFonts w:ascii="Arial" w:hAnsi="Arial" w:cs="Arial"/>
              <w:b/>
              <w:bCs/>
              <w:noProof/>
            </w:rPr>
            <w:fldChar w:fldCharType="end"/>
          </w:r>
        </w:p>
      </w:sdtContent>
    </w:sdt>
    <w:p w14:paraId="37A11266" w14:textId="58224FCF" w:rsidR="009A7038" w:rsidRPr="009A7038" w:rsidRDefault="00000000" w:rsidP="003B0292">
      <w:pPr>
        <w:spacing w:line="360" w:lineRule="auto"/>
        <w:rPr>
          <w:rFonts w:ascii="Arial" w:hAnsi="Arial" w:cs="Arial"/>
          <w:b/>
          <w:bCs/>
          <w:lang w:val="en-IN" w:eastAsia="en-AU"/>
        </w:rPr>
      </w:pPr>
      <w:r w:rsidRPr="009A7038">
        <w:rPr>
          <w:rFonts w:ascii="Arial" w:hAnsi="Arial" w:cs="Arial"/>
          <w:b/>
          <w:bCs/>
          <w:lang w:val="en-IN" w:eastAsia="en-AU"/>
        </w:rPr>
        <w:t>List of Tables</w:t>
      </w:r>
    </w:p>
    <w:p w14:paraId="394B9358" w14:textId="77777777" w:rsidR="009A7038" w:rsidRPr="009A7038" w:rsidRDefault="00000000" w:rsidP="000C28BD">
      <w:pPr>
        <w:spacing w:line="360" w:lineRule="auto"/>
        <w:rPr>
          <w:rFonts w:ascii="Arial" w:hAnsi="Arial" w:cs="Arial"/>
          <w:lang w:val="en-IN" w:eastAsia="en-AU"/>
        </w:rPr>
      </w:pPr>
      <w:r w:rsidRPr="009A7038">
        <w:rPr>
          <w:rFonts w:ascii="Arial" w:hAnsi="Arial" w:cs="Arial"/>
          <w:lang w:val="en-IN" w:eastAsia="en-AU"/>
        </w:rPr>
        <w:t xml:space="preserve">Table 2.1 </w:t>
      </w:r>
      <w:r w:rsidR="003B0292" w:rsidRPr="003B0292">
        <w:rPr>
          <w:rFonts w:ascii="Arial" w:hAnsi="Arial" w:cs="Arial"/>
          <w:lang w:val="en-IN" w:eastAsia="en-AU"/>
        </w:rPr>
        <w:t>Evolution of Digital Transformation in Retail</w:t>
      </w:r>
      <w:r w:rsidR="003B0292">
        <w:rPr>
          <w:rFonts w:ascii="Arial" w:hAnsi="Arial" w:cs="Arial"/>
          <w:lang w:val="en-IN" w:eastAsia="en-AU"/>
        </w:rPr>
        <w:t>……………………………….…</w:t>
      </w:r>
      <w:r w:rsidRPr="009A7038">
        <w:rPr>
          <w:rFonts w:ascii="Arial" w:hAnsi="Arial" w:cs="Arial"/>
          <w:lang w:val="en-IN" w:eastAsia="en-AU"/>
        </w:rPr>
        <w:t xml:space="preserve"> </w:t>
      </w:r>
      <w:r w:rsidR="00080852">
        <w:rPr>
          <w:rFonts w:ascii="Arial" w:hAnsi="Arial" w:cs="Arial"/>
          <w:lang w:val="en-IN" w:eastAsia="en-AU"/>
        </w:rPr>
        <w:t>17</w:t>
      </w:r>
      <w:r w:rsidRPr="009A7038">
        <w:rPr>
          <w:rFonts w:ascii="Arial" w:hAnsi="Arial" w:cs="Arial"/>
          <w:lang w:val="en-IN" w:eastAsia="en-AU"/>
        </w:rPr>
        <w:br/>
        <w:t>Table 2.2 Summary of Key Literature and Research Themes</w:t>
      </w:r>
      <w:r w:rsidR="003B0292">
        <w:rPr>
          <w:rFonts w:ascii="Arial" w:hAnsi="Arial" w:cs="Arial"/>
          <w:lang w:val="en-IN" w:eastAsia="en-AU"/>
        </w:rPr>
        <w:t>………………………....</w:t>
      </w:r>
      <w:r w:rsidRPr="009A7038">
        <w:rPr>
          <w:rFonts w:ascii="Arial" w:hAnsi="Arial" w:cs="Arial"/>
          <w:lang w:val="en-IN" w:eastAsia="en-AU"/>
        </w:rPr>
        <w:t xml:space="preserve"> </w:t>
      </w:r>
      <w:r w:rsidR="00080852">
        <w:rPr>
          <w:rFonts w:ascii="Arial" w:hAnsi="Arial" w:cs="Arial"/>
          <w:lang w:val="en-IN" w:eastAsia="en-AU"/>
        </w:rPr>
        <w:t>21</w:t>
      </w:r>
      <w:r w:rsidRPr="009A7038">
        <w:rPr>
          <w:rFonts w:ascii="Arial" w:hAnsi="Arial" w:cs="Arial"/>
          <w:lang w:val="en-IN" w:eastAsia="en-AU"/>
        </w:rPr>
        <w:br/>
        <w:t xml:space="preserve">Table </w:t>
      </w:r>
      <w:r w:rsidR="003B0292">
        <w:rPr>
          <w:rFonts w:ascii="Arial" w:hAnsi="Arial" w:cs="Arial"/>
          <w:lang w:val="en-IN" w:eastAsia="en-AU"/>
        </w:rPr>
        <w:t>2</w:t>
      </w:r>
      <w:r w:rsidRPr="009A7038">
        <w:rPr>
          <w:rFonts w:ascii="Arial" w:hAnsi="Arial" w:cs="Arial"/>
          <w:lang w:val="en-IN" w:eastAsia="en-AU"/>
        </w:rPr>
        <w:t>.</w:t>
      </w:r>
      <w:r w:rsidR="003B0292">
        <w:rPr>
          <w:rFonts w:ascii="Arial" w:hAnsi="Arial" w:cs="Arial"/>
          <w:lang w:val="en-IN" w:eastAsia="en-AU"/>
        </w:rPr>
        <w:t>3</w:t>
      </w:r>
      <w:r w:rsidRPr="009A7038">
        <w:rPr>
          <w:rFonts w:ascii="Arial" w:hAnsi="Arial" w:cs="Arial"/>
          <w:lang w:val="en-IN" w:eastAsia="en-AU"/>
        </w:rPr>
        <w:t xml:space="preserve"> </w:t>
      </w:r>
      <w:r w:rsidR="003B0292" w:rsidRPr="003B0292">
        <w:rPr>
          <w:rFonts w:ascii="Arial" w:hAnsi="Arial" w:cs="Arial"/>
          <w:lang w:val="en-IN" w:eastAsia="en-AU"/>
        </w:rPr>
        <w:t>Key Drivers of Customer Experience in Omnichannel Retailing</w:t>
      </w:r>
      <w:r w:rsidR="003B0292">
        <w:rPr>
          <w:rFonts w:ascii="Arial" w:hAnsi="Arial" w:cs="Arial"/>
          <w:lang w:val="en-IN" w:eastAsia="en-AU"/>
        </w:rPr>
        <w:t>………….…</w:t>
      </w:r>
      <w:r w:rsidRPr="009A7038">
        <w:rPr>
          <w:rFonts w:ascii="Arial" w:hAnsi="Arial" w:cs="Arial"/>
          <w:lang w:val="en-IN" w:eastAsia="en-AU"/>
        </w:rPr>
        <w:t xml:space="preserve"> </w:t>
      </w:r>
      <w:r w:rsidR="00080852">
        <w:rPr>
          <w:rFonts w:ascii="Arial" w:hAnsi="Arial" w:cs="Arial"/>
          <w:lang w:val="en-IN" w:eastAsia="en-AU"/>
        </w:rPr>
        <w:t>23</w:t>
      </w:r>
      <w:r w:rsidRPr="009A7038">
        <w:rPr>
          <w:rFonts w:ascii="Arial" w:hAnsi="Arial" w:cs="Arial"/>
          <w:lang w:val="en-IN" w:eastAsia="en-AU"/>
        </w:rPr>
        <w:br/>
        <w:t xml:space="preserve">Table </w:t>
      </w:r>
      <w:r w:rsidR="003B0292">
        <w:rPr>
          <w:rFonts w:ascii="Arial" w:hAnsi="Arial" w:cs="Arial"/>
          <w:lang w:val="en-IN" w:eastAsia="en-AU"/>
        </w:rPr>
        <w:t>2</w:t>
      </w:r>
      <w:r w:rsidRPr="009A7038">
        <w:rPr>
          <w:rFonts w:ascii="Arial" w:hAnsi="Arial" w:cs="Arial"/>
          <w:lang w:val="en-IN" w:eastAsia="en-AU"/>
        </w:rPr>
        <w:t>.</w:t>
      </w:r>
      <w:r w:rsidR="003B0292">
        <w:rPr>
          <w:rFonts w:ascii="Arial" w:hAnsi="Arial" w:cs="Arial"/>
          <w:lang w:val="en-IN" w:eastAsia="en-AU"/>
        </w:rPr>
        <w:t>4</w:t>
      </w:r>
      <w:r w:rsidRPr="009A7038">
        <w:rPr>
          <w:rFonts w:ascii="Arial" w:hAnsi="Arial" w:cs="Arial"/>
          <w:lang w:val="en-IN" w:eastAsia="en-AU"/>
        </w:rPr>
        <w:t xml:space="preserve"> </w:t>
      </w:r>
      <w:r w:rsidR="003B0292" w:rsidRPr="003B0292">
        <w:rPr>
          <w:rFonts w:ascii="Arial" w:hAnsi="Arial" w:cs="Arial"/>
          <w:lang w:val="en-IN" w:eastAsia="en-AU"/>
        </w:rPr>
        <w:t>Relationship Marketing Factors Influencing Customer Loyalty</w:t>
      </w:r>
      <w:r w:rsidR="003B0292">
        <w:rPr>
          <w:rFonts w:ascii="Arial" w:hAnsi="Arial" w:cs="Arial"/>
          <w:lang w:val="en-IN" w:eastAsia="en-AU"/>
        </w:rPr>
        <w:t>…………......</w:t>
      </w:r>
      <w:r w:rsidRPr="009A7038">
        <w:rPr>
          <w:rFonts w:ascii="Arial" w:hAnsi="Arial" w:cs="Arial"/>
          <w:lang w:val="en-IN" w:eastAsia="en-AU"/>
        </w:rPr>
        <w:t xml:space="preserve"> </w:t>
      </w:r>
      <w:r w:rsidR="00080852">
        <w:rPr>
          <w:rFonts w:ascii="Arial" w:hAnsi="Arial" w:cs="Arial"/>
          <w:lang w:val="en-IN" w:eastAsia="en-AU"/>
        </w:rPr>
        <w:t>26</w:t>
      </w:r>
      <w:r w:rsidRPr="009A7038">
        <w:rPr>
          <w:rFonts w:ascii="Arial" w:hAnsi="Arial" w:cs="Arial"/>
          <w:lang w:val="en-IN" w:eastAsia="en-AU"/>
        </w:rPr>
        <w:br/>
        <w:t xml:space="preserve">Table </w:t>
      </w:r>
      <w:r w:rsidR="003B0292">
        <w:rPr>
          <w:rFonts w:ascii="Arial" w:hAnsi="Arial" w:cs="Arial"/>
          <w:lang w:val="en-IN" w:eastAsia="en-AU"/>
        </w:rPr>
        <w:t>2.5</w:t>
      </w:r>
      <w:r w:rsidRPr="009A7038">
        <w:rPr>
          <w:rFonts w:ascii="Arial" w:hAnsi="Arial" w:cs="Arial"/>
          <w:lang w:val="en-IN" w:eastAsia="en-AU"/>
        </w:rPr>
        <w:t xml:space="preserve"> </w:t>
      </w:r>
      <w:r w:rsidR="003B0292" w:rsidRPr="003B0292">
        <w:rPr>
          <w:rFonts w:ascii="Arial" w:hAnsi="Arial" w:cs="Arial"/>
          <w:lang w:val="en-IN" w:eastAsia="en-AU"/>
        </w:rPr>
        <w:t>Tesco's Major Digital Transformation Initiatives</w:t>
      </w:r>
      <w:r w:rsidR="003B0292">
        <w:rPr>
          <w:rFonts w:ascii="Arial" w:hAnsi="Arial" w:cs="Arial"/>
          <w:lang w:val="en-IN" w:eastAsia="en-AU"/>
        </w:rPr>
        <w:t xml:space="preserve">……………………………… </w:t>
      </w:r>
      <w:r w:rsidR="00080852">
        <w:rPr>
          <w:rFonts w:ascii="Arial" w:hAnsi="Arial" w:cs="Arial"/>
          <w:lang w:val="en-IN" w:eastAsia="en-AU"/>
        </w:rPr>
        <w:t>29</w:t>
      </w:r>
      <w:r w:rsidRPr="009A7038">
        <w:rPr>
          <w:rFonts w:ascii="Arial" w:hAnsi="Arial" w:cs="Arial"/>
          <w:lang w:val="en-IN" w:eastAsia="en-AU"/>
        </w:rPr>
        <w:br/>
        <w:t xml:space="preserve">Table 4.1 </w:t>
      </w:r>
      <w:r w:rsidR="003B0292" w:rsidRPr="003B0292">
        <w:rPr>
          <w:rFonts w:ascii="Arial" w:hAnsi="Arial" w:cs="Arial"/>
          <w:lang w:val="en-IN" w:eastAsia="en-AU"/>
        </w:rPr>
        <w:t>Summary of Key Findings from the Thematic Analysis</w:t>
      </w:r>
      <w:r w:rsidR="003B0292">
        <w:rPr>
          <w:rFonts w:ascii="Arial" w:hAnsi="Arial" w:cs="Arial"/>
          <w:lang w:val="en-IN" w:eastAsia="en-AU"/>
        </w:rPr>
        <w:t>………………………</w:t>
      </w:r>
      <w:r w:rsidRPr="009A7038">
        <w:rPr>
          <w:rFonts w:ascii="Arial" w:hAnsi="Arial" w:cs="Arial"/>
          <w:lang w:val="en-IN" w:eastAsia="en-AU"/>
        </w:rPr>
        <w:t xml:space="preserve"> </w:t>
      </w:r>
      <w:r w:rsidR="00080852">
        <w:rPr>
          <w:rFonts w:ascii="Arial" w:hAnsi="Arial" w:cs="Arial"/>
          <w:lang w:val="en-IN" w:eastAsia="en-AU"/>
        </w:rPr>
        <w:t>41</w:t>
      </w:r>
      <w:r w:rsidRPr="009A7038">
        <w:rPr>
          <w:rFonts w:ascii="Arial" w:hAnsi="Arial" w:cs="Arial"/>
          <w:lang w:val="en-IN" w:eastAsia="en-AU"/>
        </w:rPr>
        <w:br/>
        <w:t xml:space="preserve">Table 4.2 </w:t>
      </w:r>
      <w:r w:rsidR="003B0292" w:rsidRPr="003B0292">
        <w:rPr>
          <w:rFonts w:ascii="Arial" w:hAnsi="Arial" w:cs="Arial"/>
          <w:lang w:val="en-IN" w:eastAsia="en-AU"/>
        </w:rPr>
        <w:t>Relationship Between Tesco's Digital Capabilities and Customer Outcomes</w:t>
      </w:r>
      <w:r w:rsidRPr="009A7038">
        <w:rPr>
          <w:rFonts w:ascii="Arial" w:hAnsi="Arial" w:cs="Arial"/>
          <w:lang w:val="en-IN" w:eastAsia="en-AU"/>
        </w:rPr>
        <w:t xml:space="preserve">. </w:t>
      </w:r>
      <w:r w:rsidR="003B0292">
        <w:rPr>
          <w:rFonts w:ascii="Arial" w:hAnsi="Arial" w:cs="Arial"/>
          <w:lang w:val="en-IN" w:eastAsia="en-AU"/>
        </w:rPr>
        <w:t>………………………………………………………………………………………………….</w:t>
      </w:r>
      <w:r w:rsidR="00080852">
        <w:rPr>
          <w:rFonts w:ascii="Arial" w:hAnsi="Arial" w:cs="Arial"/>
          <w:lang w:val="en-IN" w:eastAsia="en-AU"/>
        </w:rPr>
        <w:t>48</w:t>
      </w:r>
    </w:p>
    <w:p w14:paraId="23606AF7" w14:textId="77777777" w:rsidR="00BB49F4" w:rsidRDefault="00BB49F4" w:rsidP="00C769EF">
      <w:pPr>
        <w:spacing w:line="360" w:lineRule="auto"/>
        <w:jc w:val="both"/>
        <w:rPr>
          <w:rFonts w:ascii="Arial" w:hAnsi="Arial" w:cs="Arial"/>
          <w:lang w:val="en-AU" w:eastAsia="en-AU"/>
        </w:rPr>
      </w:pPr>
    </w:p>
    <w:p w14:paraId="44F450F5" w14:textId="77777777" w:rsidR="00BB49F4" w:rsidRDefault="00BB49F4" w:rsidP="00C769EF">
      <w:pPr>
        <w:spacing w:line="360" w:lineRule="auto"/>
        <w:jc w:val="both"/>
        <w:rPr>
          <w:rFonts w:ascii="Arial" w:hAnsi="Arial" w:cs="Arial"/>
          <w:lang w:val="en-AU" w:eastAsia="en-AU"/>
        </w:rPr>
      </w:pPr>
    </w:p>
    <w:p w14:paraId="6BD2AEED" w14:textId="77777777" w:rsidR="00BB49F4" w:rsidRDefault="00BB49F4" w:rsidP="00C769EF">
      <w:pPr>
        <w:spacing w:line="360" w:lineRule="auto"/>
        <w:jc w:val="both"/>
        <w:rPr>
          <w:rFonts w:ascii="Arial" w:hAnsi="Arial" w:cs="Arial"/>
          <w:lang w:val="en-AU" w:eastAsia="en-AU"/>
        </w:rPr>
      </w:pPr>
    </w:p>
    <w:p w14:paraId="5E208A45" w14:textId="77777777" w:rsidR="009A7038" w:rsidRPr="009A7038" w:rsidRDefault="00000000" w:rsidP="009A7038">
      <w:pPr>
        <w:spacing w:line="360" w:lineRule="auto"/>
        <w:rPr>
          <w:rFonts w:ascii="Arial" w:hAnsi="Arial" w:cs="Arial"/>
          <w:b/>
          <w:bCs/>
          <w:lang w:val="en-IN" w:eastAsia="en-AU"/>
        </w:rPr>
      </w:pPr>
      <w:r w:rsidRPr="009A7038">
        <w:rPr>
          <w:rFonts w:ascii="Arial" w:hAnsi="Arial" w:cs="Arial"/>
          <w:b/>
          <w:bCs/>
          <w:lang w:val="en-IN" w:eastAsia="en-AU"/>
        </w:rPr>
        <w:t>List of Figures</w:t>
      </w:r>
    </w:p>
    <w:p w14:paraId="216550A9" w14:textId="77777777" w:rsidR="009A7038" w:rsidRPr="009A7038" w:rsidRDefault="00000000" w:rsidP="009A7038">
      <w:pPr>
        <w:spacing w:line="360" w:lineRule="auto"/>
        <w:rPr>
          <w:rFonts w:ascii="Arial" w:hAnsi="Arial" w:cs="Arial"/>
          <w:lang w:val="en-IN" w:eastAsia="en-AU"/>
        </w:rPr>
      </w:pPr>
      <w:r w:rsidRPr="009A7038">
        <w:rPr>
          <w:rFonts w:ascii="Arial" w:hAnsi="Arial" w:cs="Arial"/>
          <w:lang w:val="en-IN" w:eastAsia="en-AU"/>
        </w:rPr>
        <w:t>Figure 2.1 Conceptual Framework of the Study</w:t>
      </w:r>
      <w:r w:rsidR="003B0292">
        <w:rPr>
          <w:rFonts w:ascii="Arial" w:hAnsi="Arial" w:cs="Arial"/>
          <w:lang w:val="en-IN" w:eastAsia="en-AU"/>
        </w:rPr>
        <w:t>…………………………………………</w:t>
      </w:r>
      <w:r w:rsidRPr="009A7038">
        <w:rPr>
          <w:rFonts w:ascii="Arial" w:hAnsi="Arial" w:cs="Arial"/>
          <w:lang w:val="en-IN" w:eastAsia="en-AU"/>
        </w:rPr>
        <w:t xml:space="preserve"> </w:t>
      </w:r>
      <w:r w:rsidR="00080852">
        <w:rPr>
          <w:rFonts w:ascii="Arial" w:hAnsi="Arial" w:cs="Arial"/>
          <w:lang w:val="en-IN" w:eastAsia="en-AU"/>
        </w:rPr>
        <w:t>18</w:t>
      </w:r>
      <w:r w:rsidRPr="009A7038">
        <w:rPr>
          <w:rFonts w:ascii="Arial" w:hAnsi="Arial" w:cs="Arial"/>
          <w:lang w:val="en-IN" w:eastAsia="en-AU"/>
        </w:rPr>
        <w:br/>
        <w:t>Figure 2.2 Tesco's Digital Customer Loyalty Ecosystem</w:t>
      </w:r>
      <w:r w:rsidR="003B0292">
        <w:rPr>
          <w:rFonts w:ascii="Arial" w:hAnsi="Arial" w:cs="Arial"/>
          <w:lang w:val="en-IN" w:eastAsia="en-AU"/>
        </w:rPr>
        <w:t>……………………………….</w:t>
      </w:r>
      <w:r w:rsidRPr="009A7038">
        <w:rPr>
          <w:rFonts w:ascii="Arial" w:hAnsi="Arial" w:cs="Arial"/>
          <w:lang w:val="en-IN" w:eastAsia="en-AU"/>
        </w:rPr>
        <w:t xml:space="preserve"> </w:t>
      </w:r>
      <w:r w:rsidR="00080852">
        <w:rPr>
          <w:rFonts w:ascii="Arial" w:hAnsi="Arial" w:cs="Arial"/>
          <w:lang w:val="en-IN" w:eastAsia="en-AU"/>
        </w:rPr>
        <w:t>30</w:t>
      </w:r>
      <w:r w:rsidRPr="009A7038">
        <w:rPr>
          <w:rFonts w:ascii="Arial" w:hAnsi="Arial" w:cs="Arial"/>
          <w:lang w:val="en-IN" w:eastAsia="en-AU"/>
        </w:rPr>
        <w:br/>
        <w:t>Figure 4.1 Thematic Findings Framework</w:t>
      </w:r>
      <w:r w:rsidR="003B0292">
        <w:rPr>
          <w:rFonts w:ascii="Arial" w:hAnsi="Arial" w:cs="Arial"/>
          <w:lang w:val="en-IN" w:eastAsia="en-AU"/>
        </w:rPr>
        <w:t>……………………………………………......</w:t>
      </w:r>
      <w:r w:rsidRPr="009A7038">
        <w:rPr>
          <w:rFonts w:ascii="Arial" w:hAnsi="Arial" w:cs="Arial"/>
          <w:lang w:val="en-IN" w:eastAsia="en-AU"/>
        </w:rPr>
        <w:t xml:space="preserve"> </w:t>
      </w:r>
      <w:r w:rsidR="00080852">
        <w:rPr>
          <w:rFonts w:ascii="Arial" w:hAnsi="Arial" w:cs="Arial"/>
          <w:lang w:val="en-IN" w:eastAsia="en-AU"/>
        </w:rPr>
        <w:t>40</w:t>
      </w:r>
      <w:r w:rsidRPr="009A7038">
        <w:rPr>
          <w:rFonts w:ascii="Arial" w:hAnsi="Arial" w:cs="Arial"/>
          <w:lang w:val="en-IN" w:eastAsia="en-AU"/>
        </w:rPr>
        <w:br/>
        <w:t xml:space="preserve">Figure 4.2 </w:t>
      </w:r>
      <w:r w:rsidR="003B0292" w:rsidRPr="0086322F">
        <w:rPr>
          <w:rFonts w:ascii="Arial" w:hAnsi="Arial" w:cs="Arial"/>
          <w:lang w:val="en-AU" w:eastAsia="en-AU"/>
        </w:rPr>
        <w:t>Digital Transformation–Customer Loyalty Relationship</w:t>
      </w:r>
      <w:r w:rsidR="003B0292">
        <w:rPr>
          <w:rFonts w:ascii="Arial" w:hAnsi="Arial" w:cs="Arial"/>
          <w:lang w:val="en-AU" w:eastAsia="en-AU"/>
        </w:rPr>
        <w:t>…………………...</w:t>
      </w:r>
      <w:r w:rsidRPr="009A7038">
        <w:rPr>
          <w:rFonts w:ascii="Arial" w:hAnsi="Arial" w:cs="Arial"/>
          <w:lang w:val="en-IN" w:eastAsia="en-AU"/>
        </w:rPr>
        <w:t xml:space="preserve">. </w:t>
      </w:r>
      <w:r w:rsidR="00080852">
        <w:rPr>
          <w:rFonts w:ascii="Arial" w:hAnsi="Arial" w:cs="Arial"/>
          <w:lang w:val="en-IN" w:eastAsia="en-AU"/>
        </w:rPr>
        <w:t>52</w:t>
      </w:r>
    </w:p>
    <w:p w14:paraId="46D423D5" w14:textId="77777777" w:rsidR="009A7038" w:rsidRDefault="009A7038" w:rsidP="00C769EF">
      <w:pPr>
        <w:spacing w:line="360" w:lineRule="auto"/>
        <w:jc w:val="both"/>
        <w:rPr>
          <w:rFonts w:ascii="Arial" w:hAnsi="Arial" w:cs="Arial"/>
          <w:lang w:val="en-AU" w:eastAsia="en-AU"/>
        </w:rPr>
      </w:pPr>
    </w:p>
    <w:p w14:paraId="536F844F" w14:textId="77777777" w:rsidR="00BB49F4" w:rsidRDefault="00BB49F4" w:rsidP="00C769EF">
      <w:pPr>
        <w:spacing w:line="360" w:lineRule="auto"/>
        <w:jc w:val="both"/>
        <w:rPr>
          <w:rFonts w:ascii="Arial" w:hAnsi="Arial" w:cs="Arial"/>
          <w:lang w:val="en-AU" w:eastAsia="en-AU"/>
        </w:rPr>
      </w:pPr>
    </w:p>
    <w:p w14:paraId="7833B40C" w14:textId="77777777" w:rsidR="00BB49F4" w:rsidRDefault="00BB49F4" w:rsidP="00C769EF">
      <w:pPr>
        <w:spacing w:line="360" w:lineRule="auto"/>
        <w:jc w:val="both"/>
        <w:rPr>
          <w:rFonts w:ascii="Arial" w:hAnsi="Arial" w:cs="Arial"/>
          <w:lang w:val="en-AU" w:eastAsia="en-AU"/>
        </w:rPr>
      </w:pPr>
    </w:p>
    <w:p w14:paraId="728F1908" w14:textId="77777777" w:rsidR="00BB49F4" w:rsidRDefault="00BB49F4" w:rsidP="00C769EF">
      <w:pPr>
        <w:spacing w:line="360" w:lineRule="auto"/>
        <w:jc w:val="both"/>
        <w:rPr>
          <w:rFonts w:ascii="Arial" w:hAnsi="Arial" w:cs="Arial"/>
          <w:lang w:val="en-AU" w:eastAsia="en-AU"/>
        </w:rPr>
      </w:pPr>
    </w:p>
    <w:p w14:paraId="76C03EAA" w14:textId="77777777" w:rsidR="00BB49F4" w:rsidRDefault="00BB49F4" w:rsidP="00C769EF">
      <w:pPr>
        <w:spacing w:line="360" w:lineRule="auto"/>
        <w:jc w:val="both"/>
        <w:rPr>
          <w:rFonts w:ascii="Arial" w:hAnsi="Arial" w:cs="Arial"/>
          <w:lang w:val="en-AU" w:eastAsia="en-AU"/>
        </w:rPr>
      </w:pPr>
    </w:p>
    <w:p w14:paraId="4830FC37" w14:textId="77777777" w:rsidR="00BB49F4" w:rsidRDefault="00BB49F4" w:rsidP="00C769EF">
      <w:pPr>
        <w:spacing w:line="360" w:lineRule="auto"/>
        <w:jc w:val="both"/>
        <w:rPr>
          <w:rFonts w:ascii="Arial" w:hAnsi="Arial" w:cs="Arial"/>
          <w:lang w:val="en-AU" w:eastAsia="en-AU"/>
        </w:rPr>
      </w:pPr>
    </w:p>
    <w:p w14:paraId="1A489895" w14:textId="77777777" w:rsidR="00BB49F4" w:rsidRDefault="00BB49F4" w:rsidP="00C769EF">
      <w:pPr>
        <w:spacing w:line="360" w:lineRule="auto"/>
        <w:jc w:val="both"/>
        <w:rPr>
          <w:rFonts w:ascii="Arial" w:hAnsi="Arial" w:cs="Arial"/>
          <w:lang w:val="en-AU" w:eastAsia="en-AU"/>
        </w:rPr>
      </w:pPr>
    </w:p>
    <w:p w14:paraId="6E12545B" w14:textId="77777777" w:rsidR="00BB49F4" w:rsidRDefault="00BB49F4" w:rsidP="00C769EF">
      <w:pPr>
        <w:spacing w:line="360" w:lineRule="auto"/>
        <w:jc w:val="both"/>
        <w:rPr>
          <w:rFonts w:ascii="Arial" w:hAnsi="Arial" w:cs="Arial"/>
          <w:lang w:val="en-AU" w:eastAsia="en-AU"/>
        </w:rPr>
      </w:pPr>
    </w:p>
    <w:p w14:paraId="503B2B28" w14:textId="77777777" w:rsidR="00BB49F4" w:rsidRDefault="00BB49F4" w:rsidP="00C769EF">
      <w:pPr>
        <w:spacing w:line="360" w:lineRule="auto"/>
        <w:jc w:val="both"/>
        <w:rPr>
          <w:rFonts w:ascii="Arial" w:hAnsi="Arial" w:cs="Arial"/>
          <w:lang w:val="en-AU" w:eastAsia="en-AU"/>
        </w:rPr>
      </w:pPr>
    </w:p>
    <w:p w14:paraId="08F3805E" w14:textId="77777777" w:rsidR="00BB49F4" w:rsidRDefault="00BB49F4" w:rsidP="00C769EF">
      <w:pPr>
        <w:spacing w:line="360" w:lineRule="auto"/>
        <w:jc w:val="both"/>
        <w:rPr>
          <w:rFonts w:ascii="Arial" w:hAnsi="Arial" w:cs="Arial"/>
          <w:lang w:val="en-AU" w:eastAsia="en-AU"/>
        </w:rPr>
      </w:pPr>
    </w:p>
    <w:p w14:paraId="009039AB" w14:textId="77777777" w:rsidR="00BB49F4" w:rsidRDefault="00BB49F4" w:rsidP="00C769EF">
      <w:pPr>
        <w:spacing w:line="360" w:lineRule="auto"/>
        <w:jc w:val="both"/>
        <w:rPr>
          <w:rFonts w:ascii="Arial" w:hAnsi="Arial" w:cs="Arial"/>
          <w:lang w:val="en-AU" w:eastAsia="en-AU"/>
        </w:rPr>
      </w:pPr>
    </w:p>
    <w:p w14:paraId="38010C58" w14:textId="77777777" w:rsidR="00BB49F4" w:rsidRDefault="00BB49F4" w:rsidP="00C769EF">
      <w:pPr>
        <w:spacing w:line="360" w:lineRule="auto"/>
        <w:jc w:val="both"/>
        <w:rPr>
          <w:rFonts w:ascii="Arial" w:hAnsi="Arial" w:cs="Arial"/>
          <w:lang w:val="en-AU" w:eastAsia="en-AU"/>
        </w:rPr>
      </w:pPr>
    </w:p>
    <w:p w14:paraId="1B4360CB" w14:textId="77777777" w:rsidR="00BB49F4" w:rsidRDefault="00BB49F4" w:rsidP="00C769EF">
      <w:pPr>
        <w:spacing w:line="360" w:lineRule="auto"/>
        <w:jc w:val="both"/>
        <w:rPr>
          <w:rFonts w:ascii="Arial" w:hAnsi="Arial" w:cs="Arial"/>
          <w:lang w:val="en-AU" w:eastAsia="en-AU"/>
        </w:rPr>
      </w:pPr>
    </w:p>
    <w:p w14:paraId="02E4FC01" w14:textId="77777777" w:rsidR="00BB49F4" w:rsidRDefault="00BB49F4" w:rsidP="00C769EF">
      <w:pPr>
        <w:spacing w:line="360" w:lineRule="auto"/>
        <w:jc w:val="both"/>
        <w:rPr>
          <w:rFonts w:ascii="Arial" w:hAnsi="Arial" w:cs="Arial"/>
          <w:lang w:val="en-AU" w:eastAsia="en-AU"/>
        </w:rPr>
      </w:pPr>
    </w:p>
    <w:p w14:paraId="617188EB" w14:textId="77777777" w:rsidR="00B77284" w:rsidRDefault="00000000" w:rsidP="000C28BD">
      <w:pPr>
        <w:spacing w:before="120" w:after="120"/>
        <w:jc w:val="center"/>
        <w:outlineLvl w:val="0"/>
        <w:rPr>
          <w:rFonts w:ascii="Arial" w:hAnsi="Arial" w:cs="Arial"/>
          <w:b/>
          <w:color w:val="000000"/>
          <w:sz w:val="32"/>
          <w:szCs w:val="32"/>
          <w:lang w:val="en-AU" w:eastAsia="en-AU"/>
        </w:rPr>
      </w:pPr>
      <w:bookmarkStart w:id="3" w:name="_Toc237189215"/>
      <w:bookmarkStart w:id="4" w:name="_Toc238670366"/>
      <w:r>
        <w:rPr>
          <w:rFonts w:ascii="Arial" w:hAnsi="Arial" w:cs="Arial"/>
          <w:b/>
          <w:color w:val="000000"/>
          <w:sz w:val="32"/>
          <w:szCs w:val="32"/>
          <w:lang w:val="en-AU" w:eastAsia="en-AU"/>
        </w:rPr>
        <w:t xml:space="preserve">Chapter 1: </w:t>
      </w:r>
      <w:r w:rsidRPr="000E29EC">
        <w:rPr>
          <w:rFonts w:ascii="Arial" w:hAnsi="Arial" w:cs="Arial"/>
          <w:b/>
          <w:color w:val="000000"/>
          <w:sz w:val="32"/>
          <w:szCs w:val="32"/>
          <w:lang w:val="en-AU" w:eastAsia="en-AU"/>
        </w:rPr>
        <w:t>Introduction and Background</w:t>
      </w:r>
      <w:bookmarkEnd w:id="3"/>
      <w:bookmarkEnd w:id="4"/>
    </w:p>
    <w:p w14:paraId="5D4592AC" w14:textId="77777777" w:rsidR="001963CF" w:rsidRPr="000E29EC" w:rsidRDefault="001963CF" w:rsidP="000C28BD">
      <w:pPr>
        <w:spacing w:before="120" w:after="120"/>
        <w:jc w:val="center"/>
        <w:outlineLvl w:val="0"/>
        <w:rPr>
          <w:rFonts w:ascii="Arial" w:hAnsi="Arial" w:cs="Arial"/>
          <w:b/>
          <w:color w:val="000000"/>
          <w:sz w:val="32"/>
          <w:szCs w:val="32"/>
          <w:lang w:val="en-AU" w:eastAsia="en-AU"/>
        </w:rPr>
      </w:pPr>
    </w:p>
    <w:p w14:paraId="5B9E7D1B" w14:textId="77777777" w:rsidR="00B77284" w:rsidRDefault="00000000" w:rsidP="00C769EF">
      <w:pPr>
        <w:spacing w:line="360" w:lineRule="auto"/>
        <w:jc w:val="both"/>
        <w:rPr>
          <w:rFonts w:ascii="Arial" w:hAnsi="Arial" w:cs="Arial"/>
          <w:lang w:val="en-AU" w:eastAsia="en-AU"/>
        </w:rPr>
      </w:pPr>
      <w:r w:rsidRPr="000E29EC">
        <w:rPr>
          <w:rFonts w:ascii="Arial" w:hAnsi="Arial" w:cs="Arial"/>
          <w:lang w:val="en-AU" w:eastAsia="en-AU"/>
        </w:rPr>
        <w:t>Digital transformation has emerged as one of the most consequential strategic phenomena reshaping the global retail landscape, fundamentally altering how organisations create, deliver, and capture value (Verhoef et al., 2021; Vial, 2019). It is increasingly understood not as the isolated deployment of technological artefacts, but as a deep, organisation-wide reconfiguration of business models, processes, and customer relationships enabled by digital capabilities (Hanelt et al., 2021; Warner &amp; Wäger, 2019). Within the United Kingdom retail sector, the diffusion of e-commerce, mobile platforms, and data analytics has accelerated a structural shift towards omnichannel retailing, in which consumers expect seamless, personalised, and frictionless experiences across physical and digital touchpoints (Hossain et al., 2023; Lemon &amp; Verhoef, 2016). Consequently, competitive differentiation has migrated away from price alone towards the quality of the digitally mediated customer experience.</w:t>
      </w:r>
    </w:p>
    <w:p w14:paraId="6A325790" w14:textId="77777777" w:rsidR="005949B1" w:rsidRDefault="005949B1" w:rsidP="00C769EF">
      <w:pPr>
        <w:spacing w:line="360" w:lineRule="auto"/>
        <w:jc w:val="both"/>
        <w:rPr>
          <w:rFonts w:ascii="Arial" w:hAnsi="Arial" w:cs="Arial"/>
          <w:lang w:val="en-AU" w:eastAsia="en-AU"/>
        </w:rPr>
      </w:pPr>
    </w:p>
    <w:p w14:paraId="005F5DC7" w14:textId="77777777" w:rsidR="00D47393" w:rsidRDefault="00000000" w:rsidP="00C769EF">
      <w:pPr>
        <w:spacing w:line="360" w:lineRule="auto"/>
        <w:jc w:val="both"/>
        <w:rPr>
          <w:rFonts w:ascii="Arial" w:hAnsi="Arial" w:cs="Arial"/>
          <w:lang w:val="en-AU" w:eastAsia="en-AU"/>
        </w:rPr>
      </w:pPr>
      <w:r w:rsidRPr="00274608">
        <w:rPr>
          <w:rFonts w:ascii="Arial" w:hAnsi="Arial" w:cs="Arial"/>
          <w:lang w:val="en-AU" w:eastAsia="en-AU"/>
        </w:rPr>
        <w:t xml:space="preserve">The digital transformation has attained a greater importance in the wake of the rapid growth of technology adoption in and after the COVID-19 pandemic, which also fundamentally changed the consumer purchasing behaviour and the operating model of retailers. Customers are growing more demanding that retailers offer digital services that are built in, such as personalised product suggestions, mobile payment capabilities, real-time inventory awareness, custom delivery options, and integration of online and physical channels (Shankar et al., 2021). </w:t>
      </w:r>
    </w:p>
    <w:p w14:paraId="5D541F37" w14:textId="77777777" w:rsidR="00D47393" w:rsidRDefault="00D47393" w:rsidP="00C769EF">
      <w:pPr>
        <w:spacing w:line="360" w:lineRule="auto"/>
        <w:jc w:val="both"/>
        <w:rPr>
          <w:rFonts w:ascii="Arial" w:hAnsi="Arial" w:cs="Arial"/>
          <w:lang w:val="en-AU" w:eastAsia="en-AU"/>
        </w:rPr>
      </w:pPr>
    </w:p>
    <w:p w14:paraId="28561897" w14:textId="07025ABB" w:rsidR="00274608" w:rsidRDefault="00000000" w:rsidP="00C769EF">
      <w:pPr>
        <w:spacing w:line="360" w:lineRule="auto"/>
        <w:jc w:val="both"/>
        <w:rPr>
          <w:rFonts w:ascii="Arial" w:hAnsi="Arial" w:cs="Arial"/>
          <w:lang w:val="en-AU" w:eastAsia="en-AU"/>
        </w:rPr>
      </w:pPr>
      <w:r w:rsidRPr="00274608">
        <w:rPr>
          <w:rFonts w:ascii="Arial" w:hAnsi="Arial" w:cs="Arial"/>
          <w:lang w:val="en-AU" w:eastAsia="en-AU"/>
        </w:rPr>
        <w:t xml:space="preserve">Retailers have also begun to enhance their efficiency of operations using emerging technologies like artificial intelligence (AI), cloud computing, machine learning, and big data analytics, which have also empowered retailers to provide highly personalised customer experiences that bolster customer engagement (Frank et al., 2021; Verhoef et al., 2021). As a result, digital transformation is not justly considered a technological </w:t>
      </w:r>
      <w:r w:rsidRPr="00274608">
        <w:rPr>
          <w:rFonts w:ascii="Arial" w:hAnsi="Arial" w:cs="Arial"/>
          <w:lang w:val="en-AU" w:eastAsia="en-AU"/>
        </w:rPr>
        <w:lastRenderedPageBreak/>
        <w:t>project but a strategic aptitude, which assists organisational innovation, customer value creation, and long-term competitive edge in a rapidly evolving retail landscape (Kraus et al., 2022).</w:t>
      </w:r>
    </w:p>
    <w:p w14:paraId="09FA1434" w14:textId="77777777" w:rsidR="005949B1" w:rsidRDefault="005949B1" w:rsidP="00C769EF">
      <w:pPr>
        <w:spacing w:line="360" w:lineRule="auto"/>
        <w:jc w:val="both"/>
        <w:rPr>
          <w:rFonts w:ascii="Arial" w:hAnsi="Arial" w:cs="Arial"/>
          <w:lang w:val="en-AU" w:eastAsia="en-AU"/>
        </w:rPr>
      </w:pPr>
    </w:p>
    <w:p w14:paraId="59E5BCF8" w14:textId="4D807CE0" w:rsidR="000A1E8A" w:rsidRPr="000E29EC" w:rsidRDefault="00000000" w:rsidP="00C769EF">
      <w:pPr>
        <w:spacing w:line="360" w:lineRule="auto"/>
        <w:jc w:val="both"/>
        <w:rPr>
          <w:rFonts w:ascii="Arial" w:hAnsi="Arial" w:cs="Arial"/>
          <w:lang w:val="en-AU" w:eastAsia="en-AU"/>
        </w:rPr>
      </w:pPr>
      <w:r w:rsidRPr="000A1E8A">
        <w:rPr>
          <w:rFonts w:ascii="Arial" w:hAnsi="Arial" w:cs="Arial"/>
          <w:lang w:val="en-AU" w:eastAsia="en-AU"/>
        </w:rPr>
        <w:t>Digital transformation has thus turned into strategic necessity than an export discretionary investment among retailers aiming sustainable growth. Organisations that are effective in their incorporation of digital technologies in their customer facing and operations are in better positions to adapt to the changing market conditions, enhance service delivery and build better customer relationships. As a result, the strategic implications of digital transformation are becoming a crucial aspect of research and practice among researchers and retail practitioners.</w:t>
      </w:r>
    </w:p>
    <w:p w14:paraId="5D8F6B21" w14:textId="77777777" w:rsidR="00B77284" w:rsidRPr="000E29EC" w:rsidRDefault="00000000" w:rsidP="00C769EF">
      <w:pPr>
        <w:spacing w:before="240" w:after="240"/>
        <w:outlineLvl w:val="1"/>
        <w:rPr>
          <w:rFonts w:ascii="Arial" w:hAnsi="Arial" w:cs="Arial"/>
          <w:color w:val="000000"/>
          <w:sz w:val="28"/>
          <w:szCs w:val="26"/>
          <w:lang w:val="en-AU" w:eastAsia="en-AU"/>
        </w:rPr>
      </w:pPr>
      <w:bookmarkStart w:id="5" w:name="_Toc237189216"/>
      <w:bookmarkStart w:id="6" w:name="_Toc238670367"/>
      <w:r w:rsidRPr="000E29EC">
        <w:rPr>
          <w:rFonts w:ascii="Arial" w:hAnsi="Arial" w:cs="Arial"/>
          <w:color w:val="000000"/>
          <w:sz w:val="28"/>
          <w:szCs w:val="26"/>
          <w:lang w:val="en-AU" w:eastAsia="en-AU"/>
        </w:rPr>
        <w:t>1.1 Digital Transformation in the UK Retail Sector</w:t>
      </w:r>
      <w:bookmarkEnd w:id="5"/>
      <w:bookmarkEnd w:id="6"/>
    </w:p>
    <w:p w14:paraId="620DC68D" w14:textId="77777777" w:rsidR="00B77284" w:rsidRDefault="00000000" w:rsidP="00C769EF">
      <w:pPr>
        <w:spacing w:line="360" w:lineRule="auto"/>
        <w:jc w:val="both"/>
        <w:rPr>
          <w:rFonts w:ascii="Arial" w:hAnsi="Arial" w:cs="Arial"/>
          <w:lang w:val="en-AU" w:eastAsia="en-AU"/>
        </w:rPr>
      </w:pPr>
      <w:r w:rsidRPr="000E29EC">
        <w:rPr>
          <w:rFonts w:ascii="Arial" w:hAnsi="Arial" w:cs="Arial"/>
          <w:lang w:val="en-AU" w:eastAsia="en-AU"/>
        </w:rPr>
        <w:t>The UK grocery sector represents one of the most digitally contested retail environments globally, characterised by intense competition, thin margins, and rapidly evolving consumer expectations (Grewal et al., 2020). The proliferation of online grocery delivery, mobile applications, and algorithmically driven personalisation has transformed the retailer–customer interface into a continuous, data-rich relationship rather than a series of discrete transactions (Shankar et al., 2021). However, scholars caution that technological investment does not deterministically translate into superior performance; the realisation of value depends on dynamic capabilities, organisational agility, and the strategic orchestration of digital resources (Kraus et al., 2022; Teece, 2018). This tension between investment and outcome frames the central concern of the present study.</w:t>
      </w:r>
    </w:p>
    <w:p w14:paraId="1A40F3A3" w14:textId="77777777" w:rsidR="00D47393" w:rsidRDefault="00D47393" w:rsidP="00C769EF">
      <w:pPr>
        <w:spacing w:line="360" w:lineRule="auto"/>
        <w:jc w:val="both"/>
        <w:rPr>
          <w:rFonts w:ascii="Arial" w:hAnsi="Arial" w:cs="Arial"/>
          <w:lang w:val="en-AU" w:eastAsia="en-AU"/>
        </w:rPr>
      </w:pPr>
    </w:p>
    <w:p w14:paraId="4586E8D6" w14:textId="77777777" w:rsidR="00773579" w:rsidRDefault="00000000" w:rsidP="00C769EF">
      <w:pPr>
        <w:spacing w:line="360" w:lineRule="auto"/>
        <w:jc w:val="both"/>
        <w:rPr>
          <w:rFonts w:ascii="Arial" w:hAnsi="Arial" w:cs="Arial"/>
          <w:lang w:val="en-AU" w:eastAsia="en-AU"/>
        </w:rPr>
      </w:pPr>
      <w:r w:rsidRPr="00773579">
        <w:rPr>
          <w:rFonts w:ascii="Arial" w:hAnsi="Arial" w:cs="Arial"/>
          <w:lang w:val="en-AU" w:eastAsia="en-AU"/>
        </w:rPr>
        <w:t xml:space="preserve">In addition to the technological adoption, the UK retail industry has undergone a paradigm shift on the competition front with consumers putting more emphasis on convenience, speed, and the personalism of their shopping experiences. Larger retail chains, such as Tesco, Sainsbury, Asda, and Morrisons, have become highly digital in reaction to increasing competition among discount retailers, including Aldi and Lidl, and online-only business which constantly innovate their customer experience (Reinartz et al., 2019; Shankar et al., 2021). </w:t>
      </w:r>
    </w:p>
    <w:p w14:paraId="639F3CDF" w14:textId="77777777" w:rsidR="005949B1" w:rsidRDefault="005949B1" w:rsidP="00C769EF">
      <w:pPr>
        <w:spacing w:line="360" w:lineRule="auto"/>
        <w:jc w:val="both"/>
        <w:rPr>
          <w:rFonts w:ascii="Arial" w:hAnsi="Arial" w:cs="Arial"/>
          <w:lang w:val="en-AU" w:eastAsia="en-AU"/>
        </w:rPr>
      </w:pPr>
    </w:p>
    <w:p w14:paraId="6EEF1CC3" w14:textId="77777777" w:rsidR="00773579" w:rsidRDefault="00000000" w:rsidP="00C769EF">
      <w:pPr>
        <w:spacing w:line="360" w:lineRule="auto"/>
        <w:jc w:val="both"/>
        <w:rPr>
          <w:rFonts w:ascii="Arial" w:hAnsi="Arial" w:cs="Arial"/>
          <w:lang w:val="en-AU" w:eastAsia="en-AU"/>
        </w:rPr>
      </w:pPr>
      <w:r w:rsidRPr="00773579">
        <w:rPr>
          <w:rFonts w:ascii="Arial" w:hAnsi="Arial" w:cs="Arial"/>
          <w:lang w:val="en-AU" w:eastAsia="en-AU"/>
        </w:rPr>
        <w:t>Retailers can now use digital technologies to study the buying habits of their customers in real-time, manage their inventory, tailor their promotion campaign, and make their supply chain more responsive and responsive, which increases the performance of their operations and customer satisfaction (Verhoeff et al., 2021). However, digital transformation implementation cannot be successful with technological investment only. Retailers also need to build organisational competencies, encourage innovation, and pervasively incorporate digital initiatives into overall business strategies to create sustainable competitive advantage and build enduring relationships with customers (Warner and Wäger, 2019; Hanelt et al., 2021). Therefore, digital transformation has emerged as a strategic requirement among UK retailers who want to stay competitive in the ever-increasing digitalized marketplace.</w:t>
      </w:r>
    </w:p>
    <w:p w14:paraId="662F584D" w14:textId="77777777" w:rsidR="005949B1" w:rsidRDefault="005949B1" w:rsidP="00C769EF">
      <w:pPr>
        <w:spacing w:line="360" w:lineRule="auto"/>
        <w:jc w:val="both"/>
        <w:rPr>
          <w:rFonts w:ascii="Arial" w:hAnsi="Arial" w:cs="Arial"/>
          <w:lang w:val="en-AU" w:eastAsia="en-AU"/>
        </w:rPr>
      </w:pPr>
    </w:p>
    <w:p w14:paraId="415B7EBA" w14:textId="77777777" w:rsidR="000A1E8A" w:rsidRPr="000E29EC" w:rsidRDefault="00000000" w:rsidP="00C769EF">
      <w:pPr>
        <w:spacing w:line="360" w:lineRule="auto"/>
        <w:jc w:val="both"/>
        <w:rPr>
          <w:rFonts w:ascii="Arial" w:hAnsi="Arial" w:cs="Arial"/>
          <w:lang w:val="en-AU" w:eastAsia="en-AU"/>
        </w:rPr>
      </w:pPr>
      <w:r w:rsidRPr="000A1E8A">
        <w:rPr>
          <w:rFonts w:ascii="Arial" w:hAnsi="Arial" w:cs="Arial"/>
          <w:lang w:val="en-AU" w:eastAsia="en-AU"/>
        </w:rPr>
        <w:t>Moreover, the growth in artificial intelligence, predictive analytics, and automation has allowed retailers to predict customer demands and enhance decision-making in marketing, inventory management, and the supply chain processes. Nevertheless, retailers have to constantly strike a balance between technological innovation and customer trust, privacy, and ethical data management in order to make sure that the digital initiatives do not cut the ends of the business relationships with the customers (Verhoeff et al., 2021).</w:t>
      </w:r>
    </w:p>
    <w:p w14:paraId="6E198FF7" w14:textId="77777777" w:rsidR="00B77284" w:rsidRPr="000E29EC" w:rsidRDefault="00000000" w:rsidP="00C769EF">
      <w:pPr>
        <w:spacing w:before="240" w:after="240"/>
        <w:outlineLvl w:val="1"/>
        <w:rPr>
          <w:rFonts w:ascii="Arial" w:hAnsi="Arial" w:cs="Arial"/>
          <w:color w:val="000000"/>
          <w:sz w:val="28"/>
          <w:szCs w:val="26"/>
          <w:lang w:val="en-AU" w:eastAsia="en-AU"/>
        </w:rPr>
      </w:pPr>
      <w:bookmarkStart w:id="7" w:name="_Toc237189217"/>
      <w:bookmarkStart w:id="8" w:name="_Toc238670368"/>
      <w:r w:rsidRPr="000E29EC">
        <w:rPr>
          <w:rFonts w:ascii="Arial" w:hAnsi="Arial" w:cs="Arial"/>
          <w:color w:val="000000"/>
          <w:sz w:val="28"/>
          <w:szCs w:val="26"/>
          <w:lang w:val="en-AU" w:eastAsia="en-AU"/>
        </w:rPr>
        <w:t>1.2 Tesco PLC and Customer Loyalty</w:t>
      </w:r>
      <w:bookmarkEnd w:id="7"/>
      <w:bookmarkEnd w:id="8"/>
    </w:p>
    <w:p w14:paraId="65B4F43C" w14:textId="77777777" w:rsidR="00B77284" w:rsidRDefault="00000000" w:rsidP="00C769EF">
      <w:pPr>
        <w:spacing w:line="360" w:lineRule="auto"/>
        <w:jc w:val="both"/>
        <w:rPr>
          <w:rFonts w:ascii="Arial" w:hAnsi="Arial" w:cs="Arial"/>
          <w:lang w:val="en-AU" w:eastAsia="en-AU"/>
        </w:rPr>
      </w:pPr>
      <w:r w:rsidRPr="000E29EC">
        <w:rPr>
          <w:rFonts w:ascii="Arial" w:hAnsi="Arial" w:cs="Arial"/>
          <w:lang w:val="en-AU" w:eastAsia="en-AU"/>
        </w:rPr>
        <w:t xml:space="preserve">Tesco PLC constitutes a theoretically and managerially compelling case for examining the digital transformation–loyalty nexus. As the UK’s largest grocery retailer, Tesco has committed substantial resources to digital initiatives, including its online grocery operation, mobile application ecosystem, and the data-driven Clubcard loyalty programme, which leverages customer analytics to deliver personalised offers (Tesco PLC, 2024). Yet the paradox of digital transparency is that the very technologies enhancing convenience also lower search costs and enable effortless price comparison, thereby weakening switching barriers and intensifying competitive pressure (Pantano et </w:t>
      </w:r>
      <w:r w:rsidRPr="000E29EC">
        <w:rPr>
          <w:rFonts w:ascii="Arial" w:hAnsi="Arial" w:cs="Arial"/>
          <w:lang w:val="en-AU" w:eastAsia="en-AU"/>
        </w:rPr>
        <w:lastRenderedPageBreak/>
        <w:t>al., 2020; Verhoef et al., 2021). Digital investment may therefore enhance satisfaction without guaranteeing durable loyalty.</w:t>
      </w:r>
    </w:p>
    <w:p w14:paraId="6A0A8539" w14:textId="77777777" w:rsidR="005949B1" w:rsidRDefault="005949B1" w:rsidP="00C769EF">
      <w:pPr>
        <w:spacing w:line="360" w:lineRule="auto"/>
        <w:jc w:val="both"/>
        <w:rPr>
          <w:rFonts w:ascii="Arial" w:hAnsi="Arial" w:cs="Arial"/>
          <w:lang w:val="en-AU" w:eastAsia="en-AU"/>
        </w:rPr>
      </w:pPr>
    </w:p>
    <w:p w14:paraId="6E9F4ADD" w14:textId="77777777" w:rsidR="007D3679" w:rsidRDefault="00000000" w:rsidP="00C769EF">
      <w:pPr>
        <w:spacing w:line="360" w:lineRule="auto"/>
        <w:jc w:val="both"/>
        <w:rPr>
          <w:rFonts w:ascii="Arial" w:hAnsi="Arial" w:cs="Arial"/>
          <w:lang w:val="en-AU" w:eastAsia="en-AU"/>
        </w:rPr>
      </w:pPr>
      <w:r w:rsidRPr="00773579">
        <w:rPr>
          <w:rFonts w:ascii="Arial" w:hAnsi="Arial" w:cs="Arial"/>
          <w:lang w:val="en-AU" w:eastAsia="en-AU"/>
        </w:rPr>
        <w:t>Tesco digital transformation strategy stretches further than enhancing efficiency in operations to building long term relationship with customers by personalising them with the help of data and integrating digital services. With the help of highly developed customer analytics, the Clubcard loyalty programme allows Tesco to create comprehensive insights into consumer purchasing behaviour and provide more personalised promotions that increase perceived value and customer interaction (Tesco PLC, 2024; Kumar and Reinartz, 2018).</w:t>
      </w:r>
    </w:p>
    <w:p w14:paraId="79F9DBEA" w14:textId="77777777" w:rsidR="007D3679" w:rsidRDefault="007D3679" w:rsidP="00C769EF">
      <w:pPr>
        <w:spacing w:line="360" w:lineRule="auto"/>
        <w:jc w:val="both"/>
        <w:rPr>
          <w:rFonts w:ascii="Arial" w:hAnsi="Arial" w:cs="Arial"/>
          <w:lang w:val="en-AU" w:eastAsia="en-AU"/>
        </w:rPr>
      </w:pPr>
    </w:p>
    <w:p w14:paraId="3D4BBB52" w14:textId="7007E570" w:rsidR="007D3679" w:rsidRDefault="00000000" w:rsidP="00C769EF">
      <w:pPr>
        <w:spacing w:line="360" w:lineRule="auto"/>
        <w:jc w:val="both"/>
        <w:rPr>
          <w:rFonts w:ascii="Arial" w:hAnsi="Arial" w:cs="Arial"/>
          <w:lang w:val="en-AU" w:eastAsia="en-AU"/>
        </w:rPr>
      </w:pPr>
      <w:r w:rsidRPr="00773579">
        <w:rPr>
          <w:rFonts w:ascii="Arial" w:hAnsi="Arial" w:cs="Arial"/>
          <w:lang w:val="en-AU" w:eastAsia="en-AU"/>
        </w:rPr>
        <w:t xml:space="preserve"> Likewise, the Tesco mobile application, e-grocery and click+collect offer more convenience and flexibility to the customers, which reinforces the overall experience of shopping across the whole omnichannel. Nevertheless, researchers maintain that, even though customised online services can enhance customer satisfaction and interactions, they do not always guarantee loyalty over time since customers still compare the prices, product range, and quality provided by different retailers (Steinhoff et al., 2019; Grewal et al., 2020). </w:t>
      </w:r>
    </w:p>
    <w:p w14:paraId="3CAA1FE9" w14:textId="77777777" w:rsidR="007D3679" w:rsidRDefault="007D3679" w:rsidP="00C769EF">
      <w:pPr>
        <w:spacing w:line="360" w:lineRule="auto"/>
        <w:jc w:val="both"/>
        <w:rPr>
          <w:rFonts w:ascii="Arial" w:hAnsi="Arial" w:cs="Arial"/>
          <w:lang w:val="en-AU" w:eastAsia="en-AU"/>
        </w:rPr>
      </w:pPr>
    </w:p>
    <w:p w14:paraId="30A5DD56" w14:textId="1D5E1075" w:rsidR="00773579" w:rsidRDefault="00000000" w:rsidP="00C769EF">
      <w:pPr>
        <w:spacing w:line="360" w:lineRule="auto"/>
        <w:jc w:val="both"/>
        <w:rPr>
          <w:rFonts w:ascii="Arial" w:hAnsi="Arial" w:cs="Arial"/>
          <w:lang w:val="en-AU" w:eastAsia="en-AU"/>
        </w:rPr>
      </w:pPr>
      <w:r w:rsidRPr="00773579">
        <w:rPr>
          <w:rFonts w:ascii="Arial" w:hAnsi="Arial" w:cs="Arial"/>
          <w:lang w:val="en-AU" w:eastAsia="en-AU"/>
        </w:rPr>
        <w:t>Thus, to assess the idea of whether digital transformation establishes attenuation customer loyalty or just pushes them towards repeated purchasing behaviour as a matter of convenience, it is vital to comprehend how Tesco balances digital innovation and relationship-building approaches. This is the main concern of the current research.</w:t>
      </w:r>
    </w:p>
    <w:p w14:paraId="6628E8DB" w14:textId="77777777" w:rsidR="005949B1" w:rsidRDefault="005949B1" w:rsidP="00C769EF">
      <w:pPr>
        <w:spacing w:line="360" w:lineRule="auto"/>
        <w:jc w:val="both"/>
        <w:rPr>
          <w:rFonts w:ascii="Arial" w:hAnsi="Arial" w:cs="Arial"/>
          <w:lang w:val="en-AU" w:eastAsia="en-AU"/>
        </w:rPr>
      </w:pPr>
    </w:p>
    <w:p w14:paraId="4A7A17BD" w14:textId="77777777" w:rsidR="000A1E8A" w:rsidRPr="000E29EC" w:rsidRDefault="00000000" w:rsidP="00C769EF">
      <w:pPr>
        <w:spacing w:line="360" w:lineRule="auto"/>
        <w:jc w:val="both"/>
        <w:rPr>
          <w:rFonts w:ascii="Arial" w:hAnsi="Arial" w:cs="Arial"/>
          <w:lang w:val="en-AU" w:eastAsia="en-AU"/>
        </w:rPr>
      </w:pPr>
      <w:r w:rsidRPr="000A1E8A">
        <w:rPr>
          <w:rFonts w:ascii="Arial" w:hAnsi="Arial" w:cs="Arial"/>
          <w:lang w:val="en-AU" w:eastAsia="en-AU"/>
        </w:rPr>
        <w:t>The fact Tesco still invests in digital innovation also demonstrates the bigger strategic focus of the company to build customer lifetime value as compared to its current focus on short-term sales performance. Tesco aims to develop seamless and tailored shopping experience that fosters re-buys, word-of-mouth and customer loyalty in a more competitive retail sector by combining digital platforms with Customer relationship management practices.</w:t>
      </w:r>
    </w:p>
    <w:p w14:paraId="48ED8301" w14:textId="77777777" w:rsidR="00B77284" w:rsidRPr="000E29EC" w:rsidRDefault="00000000" w:rsidP="00C769EF">
      <w:pPr>
        <w:spacing w:before="240" w:after="240"/>
        <w:outlineLvl w:val="1"/>
        <w:rPr>
          <w:rFonts w:ascii="Arial" w:hAnsi="Arial" w:cs="Arial"/>
          <w:color w:val="000000"/>
          <w:sz w:val="28"/>
          <w:szCs w:val="26"/>
          <w:lang w:val="en-AU" w:eastAsia="en-AU"/>
        </w:rPr>
      </w:pPr>
      <w:bookmarkStart w:id="9" w:name="_Toc237189218"/>
      <w:bookmarkStart w:id="10" w:name="_Toc238670369"/>
      <w:r w:rsidRPr="000E29EC">
        <w:rPr>
          <w:rFonts w:ascii="Arial" w:hAnsi="Arial" w:cs="Arial"/>
          <w:color w:val="000000"/>
          <w:sz w:val="28"/>
          <w:szCs w:val="26"/>
          <w:lang w:val="en-AU" w:eastAsia="en-AU"/>
        </w:rPr>
        <w:lastRenderedPageBreak/>
        <w:t>1.3 Research Significance</w:t>
      </w:r>
      <w:bookmarkEnd w:id="9"/>
      <w:bookmarkEnd w:id="10"/>
    </w:p>
    <w:p w14:paraId="355C9EEF" w14:textId="58D1BC31" w:rsidR="005949B1" w:rsidRDefault="00000000" w:rsidP="00C769EF">
      <w:pPr>
        <w:spacing w:line="360" w:lineRule="auto"/>
        <w:jc w:val="both"/>
        <w:rPr>
          <w:rFonts w:ascii="Arial" w:hAnsi="Arial" w:cs="Arial"/>
          <w:lang w:val="en-AU" w:eastAsia="en-AU"/>
        </w:rPr>
      </w:pPr>
      <w:r w:rsidRPr="000E29EC">
        <w:rPr>
          <w:rFonts w:ascii="Arial" w:hAnsi="Arial" w:cs="Arial"/>
          <w:lang w:val="en-AU" w:eastAsia="en-AU"/>
        </w:rPr>
        <w:t xml:space="preserve">Although empirical evidence suggests that favourable digital experiences correlate with satisfaction and engagement, the mechanism by which such experiences are converted into long-term loyalty remains insufficiently theorised, particularly within large incumbent retailers (Hossain et al., 2023; Rather et al., 2019). By interrogating how Tesco’s integrated digital ecosystem influences customer loyalty, this study contributes to both scholarly debate on digital value creation and to managerial practice concerning customer retention. </w:t>
      </w:r>
    </w:p>
    <w:p w14:paraId="4B4216D7" w14:textId="77777777" w:rsidR="004856A4" w:rsidRDefault="004856A4" w:rsidP="00C769EF">
      <w:pPr>
        <w:spacing w:line="360" w:lineRule="auto"/>
        <w:jc w:val="both"/>
        <w:rPr>
          <w:rFonts w:ascii="Arial" w:hAnsi="Arial" w:cs="Arial"/>
          <w:lang w:val="en-AU" w:eastAsia="en-AU"/>
        </w:rPr>
      </w:pPr>
    </w:p>
    <w:p w14:paraId="3D4A14EF" w14:textId="77777777" w:rsidR="00773579" w:rsidRDefault="00000000" w:rsidP="00C769EF">
      <w:pPr>
        <w:spacing w:line="360" w:lineRule="auto"/>
        <w:jc w:val="both"/>
        <w:rPr>
          <w:rFonts w:ascii="Arial" w:hAnsi="Arial" w:cs="Arial"/>
          <w:lang w:val="en-AU" w:eastAsia="en-AU"/>
        </w:rPr>
      </w:pPr>
      <w:r w:rsidRPr="00773579">
        <w:rPr>
          <w:rFonts w:ascii="Arial" w:hAnsi="Arial" w:cs="Arial"/>
          <w:lang w:val="en-AU" w:eastAsia="en-AU"/>
        </w:rPr>
        <w:t xml:space="preserve">Academically, this study complements the current literature through the combination of digital transformation, customer experience, and relationship marketing in the framework of UK grocery retail industry. Although past research focused has been on technology adoption, digital service quality, or customer satisfaction alone, the current study offers a deeper insight into the roles of a combination of digital initiatives in the determination of customer loyalty in the long term. </w:t>
      </w:r>
    </w:p>
    <w:p w14:paraId="5E11F40E" w14:textId="77777777" w:rsidR="005949B1" w:rsidRDefault="005949B1" w:rsidP="00C769EF">
      <w:pPr>
        <w:spacing w:line="360" w:lineRule="auto"/>
        <w:jc w:val="both"/>
        <w:rPr>
          <w:rFonts w:ascii="Arial" w:hAnsi="Arial" w:cs="Arial"/>
          <w:lang w:val="en-AU" w:eastAsia="en-AU"/>
        </w:rPr>
      </w:pPr>
    </w:p>
    <w:p w14:paraId="71CCB81E" w14:textId="5D65C509" w:rsidR="00F44722" w:rsidRDefault="00000000" w:rsidP="00C769EF">
      <w:pPr>
        <w:spacing w:line="360" w:lineRule="auto"/>
        <w:jc w:val="both"/>
        <w:rPr>
          <w:rFonts w:ascii="Arial" w:hAnsi="Arial" w:cs="Arial"/>
          <w:lang w:val="en-AU" w:eastAsia="en-AU"/>
        </w:rPr>
      </w:pPr>
      <w:r w:rsidRPr="00773579">
        <w:rPr>
          <w:rFonts w:ascii="Arial" w:hAnsi="Arial" w:cs="Arial"/>
          <w:lang w:val="en-AU" w:eastAsia="en-AU"/>
        </w:rPr>
        <w:t xml:space="preserve">On a managerial level, the results can help the retail managers develop a more efficient digital engagement approach that boost customer retention and sustainable competitive advantage. </w:t>
      </w:r>
      <w:r w:rsidR="007D3679" w:rsidRPr="007D3679">
        <w:rPr>
          <w:rFonts w:ascii="Arial" w:hAnsi="Arial" w:cs="Arial"/>
          <w:lang w:val="en-AU" w:eastAsia="en-AU"/>
        </w:rPr>
        <w:t>The research provides practical recommendations for Tesco, while the key insights generated from the study may also be transferable to other UK retailers seeking to optimise their investment in digital technologies by balancing technological innovation with relationship-building practices that promote customer trust, engagement, and perceptions of value.</w:t>
      </w:r>
      <w:r w:rsidRPr="00773579">
        <w:rPr>
          <w:rFonts w:ascii="Arial" w:hAnsi="Arial" w:cs="Arial"/>
          <w:lang w:val="en-AU" w:eastAsia="en-AU"/>
        </w:rPr>
        <w:t xml:space="preserve"> Accordingly, the study brings both the theoretical and practical information to the changing sphere of digital retail transformation.</w:t>
      </w:r>
      <w:r>
        <w:rPr>
          <w:rFonts w:ascii="Arial" w:hAnsi="Arial" w:cs="Arial"/>
          <w:lang w:val="en-AU" w:eastAsia="en-AU"/>
        </w:rPr>
        <w:t xml:space="preserve"> </w:t>
      </w:r>
    </w:p>
    <w:p w14:paraId="55C03A7A" w14:textId="77777777" w:rsidR="005949B1" w:rsidRDefault="005949B1" w:rsidP="00C769EF">
      <w:pPr>
        <w:spacing w:line="360" w:lineRule="auto"/>
        <w:jc w:val="both"/>
        <w:rPr>
          <w:rFonts w:ascii="Arial" w:hAnsi="Arial" w:cs="Arial"/>
          <w:lang w:val="en-AU" w:eastAsia="en-AU"/>
        </w:rPr>
      </w:pPr>
    </w:p>
    <w:p w14:paraId="4A904398" w14:textId="77777777" w:rsidR="00773579" w:rsidRPr="000E29EC" w:rsidRDefault="00000000" w:rsidP="00C769EF">
      <w:pPr>
        <w:spacing w:line="360" w:lineRule="auto"/>
        <w:jc w:val="both"/>
        <w:rPr>
          <w:rFonts w:ascii="Arial" w:hAnsi="Arial" w:cs="Arial"/>
          <w:lang w:val="en-AU" w:eastAsia="en-AU"/>
        </w:rPr>
      </w:pPr>
      <w:r w:rsidRPr="00F44722">
        <w:rPr>
          <w:rFonts w:ascii="Arial" w:hAnsi="Arial" w:cs="Arial"/>
          <w:lang w:val="en-AU" w:eastAsia="en-AU"/>
        </w:rPr>
        <w:t>Additionally, with the retail sector being redefined by digital transformation, the results of this study can be used in future scholarly studies that explore the customer behaviour, digital interaction, and relationship management through technology in diverse retail environments. This general contribution makes the study even more relevant to the Tesco case as well as to the development of the theory in the future of digital retail studies.</w:t>
      </w:r>
    </w:p>
    <w:p w14:paraId="1B7DFFEE" w14:textId="77777777" w:rsidR="00F16B6C" w:rsidRPr="000E29EC" w:rsidRDefault="00000000" w:rsidP="00C769EF">
      <w:pPr>
        <w:spacing w:before="240" w:after="240"/>
        <w:outlineLvl w:val="1"/>
        <w:rPr>
          <w:rFonts w:ascii="Arial" w:hAnsi="Arial" w:cs="Arial"/>
          <w:color w:val="000000"/>
          <w:sz w:val="28"/>
          <w:szCs w:val="26"/>
          <w:lang w:val="en-AU" w:eastAsia="en-AU"/>
        </w:rPr>
      </w:pPr>
      <w:bookmarkStart w:id="11" w:name="_Toc237189219"/>
      <w:bookmarkStart w:id="12" w:name="_Toc238670370"/>
      <w:r w:rsidRPr="000E29EC">
        <w:rPr>
          <w:rFonts w:ascii="Arial" w:hAnsi="Arial" w:cs="Arial"/>
          <w:color w:val="000000"/>
          <w:sz w:val="28"/>
          <w:szCs w:val="26"/>
          <w:lang w:val="en-AU" w:eastAsia="en-AU"/>
        </w:rPr>
        <w:lastRenderedPageBreak/>
        <w:t>1.4 Research Aim</w:t>
      </w:r>
      <w:bookmarkEnd w:id="11"/>
      <w:bookmarkEnd w:id="12"/>
    </w:p>
    <w:p w14:paraId="4BCFFB8B" w14:textId="77777777" w:rsidR="00F16B6C" w:rsidRDefault="00000000" w:rsidP="00C769EF">
      <w:pPr>
        <w:spacing w:line="360" w:lineRule="auto"/>
        <w:jc w:val="both"/>
        <w:rPr>
          <w:rFonts w:ascii="Arial" w:hAnsi="Arial" w:cs="Arial"/>
          <w:lang w:val="en-IN" w:eastAsia="en-AU"/>
        </w:rPr>
      </w:pPr>
      <w:r w:rsidRPr="000E29EC">
        <w:rPr>
          <w:rFonts w:ascii="Arial" w:hAnsi="Arial" w:cs="Arial"/>
          <w:lang w:val="en-AU" w:eastAsia="en-AU"/>
        </w:rPr>
        <w:t>This study will critically review how digital transformation efforts have influenced customer loyalty at Tesco PLC in the UK retail industry. In particular, the paper aims at examining the effect of Tesco digital technologies, such as its online grocery service, mobile app, and the Clubcard loyalty programme, on customer satisfaction, engagement, and confidence, and loyalty. The research seeks to add to the understanding of the creation of sustainable competitive advantage by digital strategies in the modern retail context by examining the correlation between digital transformation and customer loyalty</w:t>
      </w:r>
      <w:r w:rsidRPr="000E29EC">
        <w:rPr>
          <w:rFonts w:ascii="Arial" w:hAnsi="Arial" w:cs="Arial"/>
          <w:lang w:val="en-IN" w:eastAsia="en-AU"/>
        </w:rPr>
        <w:t>.</w:t>
      </w:r>
    </w:p>
    <w:p w14:paraId="04F1D22D" w14:textId="77777777" w:rsidR="005949B1" w:rsidRDefault="005949B1" w:rsidP="00C769EF">
      <w:pPr>
        <w:spacing w:line="360" w:lineRule="auto"/>
        <w:jc w:val="both"/>
        <w:rPr>
          <w:rFonts w:ascii="Arial" w:hAnsi="Arial" w:cs="Arial"/>
          <w:lang w:val="en-IN" w:eastAsia="en-AU"/>
        </w:rPr>
      </w:pPr>
    </w:p>
    <w:p w14:paraId="4C18B12F" w14:textId="77777777" w:rsidR="000A1E8A" w:rsidRPr="000E29EC" w:rsidRDefault="00000000" w:rsidP="00C769EF">
      <w:pPr>
        <w:spacing w:line="360" w:lineRule="auto"/>
        <w:jc w:val="both"/>
        <w:rPr>
          <w:rFonts w:ascii="Arial" w:hAnsi="Arial" w:cs="Arial"/>
          <w:lang w:val="en-IN" w:eastAsia="en-AU"/>
        </w:rPr>
      </w:pPr>
      <w:r w:rsidRPr="000A1E8A">
        <w:rPr>
          <w:rFonts w:ascii="Arial" w:hAnsi="Arial" w:cs="Arial"/>
          <w:lang w:val="en-AU" w:eastAsia="en-AU"/>
        </w:rPr>
        <w:t xml:space="preserve">In addition, the paper aims at giving theoretical advice on the linkage between digital transformation and customer loyalty and giving practical suggestions that could enable strategic decision-making in the UK retail sector. The research will </w:t>
      </w:r>
      <w:r w:rsidR="00080852" w:rsidRPr="000A1E8A">
        <w:rPr>
          <w:rFonts w:ascii="Arial" w:hAnsi="Arial" w:cs="Arial"/>
          <w:lang w:val="en-AU" w:eastAsia="en-AU"/>
        </w:rPr>
        <w:t>contribute</w:t>
      </w:r>
      <w:r w:rsidRPr="000A1E8A">
        <w:rPr>
          <w:rFonts w:ascii="Arial" w:hAnsi="Arial" w:cs="Arial"/>
          <w:lang w:val="en-AU" w:eastAsia="en-AU"/>
        </w:rPr>
        <w:t xml:space="preserve"> to a deeper comprehension of the role of digital innovation to enhance long-term customer retention and organisational competitiveness by critically analysing the current evidence.</w:t>
      </w:r>
    </w:p>
    <w:p w14:paraId="6A5231B0" w14:textId="77777777" w:rsidR="00F16B6C" w:rsidRPr="000E29EC" w:rsidRDefault="00000000" w:rsidP="00C769EF">
      <w:pPr>
        <w:spacing w:before="240" w:after="240"/>
        <w:outlineLvl w:val="1"/>
        <w:rPr>
          <w:rFonts w:ascii="Arial" w:hAnsi="Arial" w:cs="Arial"/>
          <w:color w:val="000000"/>
          <w:sz w:val="28"/>
          <w:szCs w:val="26"/>
          <w:lang w:val="en-IN" w:eastAsia="en-AU"/>
        </w:rPr>
      </w:pPr>
      <w:bookmarkStart w:id="13" w:name="_Toc237189220"/>
      <w:bookmarkStart w:id="14" w:name="_Toc238670371"/>
      <w:r w:rsidRPr="000E29EC">
        <w:rPr>
          <w:rFonts w:ascii="Arial" w:hAnsi="Arial" w:cs="Arial"/>
          <w:color w:val="000000"/>
          <w:sz w:val="28"/>
          <w:szCs w:val="26"/>
          <w:lang w:val="en-IN" w:eastAsia="en-AU"/>
        </w:rPr>
        <w:t>1.5 Research Objectives</w:t>
      </w:r>
      <w:bookmarkEnd w:id="13"/>
      <w:bookmarkEnd w:id="14"/>
    </w:p>
    <w:p w14:paraId="6E491011" w14:textId="77777777" w:rsidR="00F16B6C" w:rsidRPr="000E29EC" w:rsidRDefault="00000000" w:rsidP="00C769EF">
      <w:pPr>
        <w:spacing w:line="360" w:lineRule="auto"/>
        <w:jc w:val="both"/>
        <w:rPr>
          <w:rFonts w:ascii="Arial" w:hAnsi="Arial" w:cs="Arial"/>
          <w:lang w:val="en-IN" w:eastAsia="en-AU"/>
        </w:rPr>
      </w:pPr>
      <w:r w:rsidRPr="000E29EC">
        <w:rPr>
          <w:rFonts w:ascii="Arial" w:hAnsi="Arial" w:cs="Arial"/>
          <w:lang w:val="en-AU" w:eastAsia="en-AU"/>
        </w:rPr>
        <w:t xml:space="preserve">The research will be directed by the following objectives </w:t>
      </w:r>
      <w:r w:rsidR="00AE45AD" w:rsidRPr="000E29EC">
        <w:rPr>
          <w:rFonts w:ascii="Arial" w:hAnsi="Arial" w:cs="Arial"/>
          <w:lang w:val="en-AU" w:eastAsia="en-AU"/>
        </w:rPr>
        <w:t>to</w:t>
      </w:r>
      <w:r w:rsidRPr="000E29EC">
        <w:rPr>
          <w:rFonts w:ascii="Arial" w:hAnsi="Arial" w:cs="Arial"/>
          <w:lang w:val="en-AU" w:eastAsia="en-AU"/>
        </w:rPr>
        <w:t xml:space="preserve"> fulfill the research aim</w:t>
      </w:r>
      <w:r w:rsidRPr="000E29EC">
        <w:rPr>
          <w:rFonts w:ascii="Arial" w:hAnsi="Arial" w:cs="Arial"/>
          <w:lang w:val="en-IN" w:eastAsia="en-AU"/>
        </w:rPr>
        <w:t>:</w:t>
      </w:r>
    </w:p>
    <w:p w14:paraId="03FA41EF" w14:textId="77777777" w:rsidR="00AE45AD" w:rsidRPr="00AE45AD" w:rsidRDefault="00000000" w:rsidP="00AE45AD">
      <w:pPr>
        <w:numPr>
          <w:ilvl w:val="0"/>
          <w:numId w:val="1"/>
        </w:numPr>
        <w:spacing w:line="360" w:lineRule="auto"/>
        <w:jc w:val="both"/>
        <w:rPr>
          <w:rFonts w:ascii="Arial" w:hAnsi="Arial" w:cs="Arial"/>
          <w:lang w:val="en-IN" w:eastAsia="en-AU"/>
        </w:rPr>
      </w:pPr>
      <w:r w:rsidRPr="00AE45AD">
        <w:rPr>
          <w:rFonts w:ascii="Arial" w:hAnsi="Arial" w:cs="Arial"/>
          <w:lang w:val="en-IN" w:eastAsia="en-AU"/>
        </w:rPr>
        <w:t xml:space="preserve">To identify the key digital transformation initiatives implemented by Tesco PLC. </w:t>
      </w:r>
    </w:p>
    <w:p w14:paraId="32C014B7" w14:textId="77777777" w:rsidR="00AE45AD" w:rsidRPr="00AE45AD" w:rsidRDefault="00000000" w:rsidP="00AE45AD">
      <w:pPr>
        <w:numPr>
          <w:ilvl w:val="0"/>
          <w:numId w:val="1"/>
        </w:numPr>
        <w:spacing w:line="360" w:lineRule="auto"/>
        <w:jc w:val="both"/>
        <w:rPr>
          <w:rFonts w:ascii="Arial" w:hAnsi="Arial" w:cs="Arial"/>
          <w:lang w:val="en-IN" w:eastAsia="en-AU"/>
        </w:rPr>
      </w:pPr>
      <w:r w:rsidRPr="00AE45AD">
        <w:rPr>
          <w:rFonts w:ascii="Arial" w:hAnsi="Arial" w:cs="Arial"/>
          <w:lang w:val="en-IN" w:eastAsia="en-AU"/>
        </w:rPr>
        <w:t xml:space="preserve">To examine the impact of Tesco PLC's digital transformation initiatives on customer satisfaction, customer engagement, and customer loyalty. </w:t>
      </w:r>
    </w:p>
    <w:p w14:paraId="0DE76E60" w14:textId="77777777" w:rsidR="00AE45AD" w:rsidRPr="00080852" w:rsidRDefault="00000000" w:rsidP="00AE45AD">
      <w:pPr>
        <w:numPr>
          <w:ilvl w:val="0"/>
          <w:numId w:val="1"/>
        </w:numPr>
        <w:spacing w:line="360" w:lineRule="auto"/>
        <w:jc w:val="both"/>
        <w:rPr>
          <w:rFonts w:ascii="Arial" w:hAnsi="Arial" w:cs="Arial"/>
          <w:lang w:val="en-IN" w:eastAsia="en-AU"/>
        </w:rPr>
      </w:pPr>
      <w:r w:rsidRPr="00AE45AD">
        <w:rPr>
          <w:rFonts w:ascii="Arial" w:hAnsi="Arial" w:cs="Arial"/>
          <w:lang w:val="en-IN" w:eastAsia="en-AU"/>
        </w:rPr>
        <w:t>To recommend strategies for enhancing customer loyalty through digital transformation at Tesco PLC</w:t>
      </w:r>
      <w:r w:rsidR="00F16B6C" w:rsidRPr="00AE45AD">
        <w:rPr>
          <w:rFonts w:ascii="Arial" w:hAnsi="Arial" w:cs="Arial"/>
          <w:lang w:val="en-IN" w:eastAsia="en-AU"/>
        </w:rPr>
        <w:t>.</w:t>
      </w:r>
    </w:p>
    <w:p w14:paraId="02820DB4" w14:textId="77777777" w:rsidR="005678E6" w:rsidRPr="000E29EC" w:rsidRDefault="00000000" w:rsidP="00C769EF">
      <w:pPr>
        <w:spacing w:before="240" w:after="240"/>
        <w:outlineLvl w:val="1"/>
        <w:rPr>
          <w:rFonts w:ascii="Arial" w:hAnsi="Arial" w:cs="Arial"/>
          <w:color w:val="000000"/>
          <w:sz w:val="28"/>
          <w:szCs w:val="26"/>
          <w:lang w:val="en-IN" w:eastAsia="en-AU"/>
        </w:rPr>
      </w:pPr>
      <w:bookmarkStart w:id="15" w:name="_Toc237189221"/>
      <w:bookmarkStart w:id="16" w:name="_Toc238670372"/>
      <w:r w:rsidRPr="000E29EC">
        <w:rPr>
          <w:rFonts w:ascii="Arial" w:hAnsi="Arial" w:cs="Arial"/>
          <w:color w:val="000000"/>
          <w:sz w:val="28"/>
          <w:szCs w:val="26"/>
          <w:lang w:val="en-IN" w:eastAsia="en-AU"/>
        </w:rPr>
        <w:t>1.6 Research Questions</w:t>
      </w:r>
      <w:bookmarkEnd w:id="15"/>
      <w:bookmarkEnd w:id="16"/>
    </w:p>
    <w:p w14:paraId="5254680A" w14:textId="77777777" w:rsidR="00AE45AD" w:rsidRPr="00AE45AD" w:rsidRDefault="00000000" w:rsidP="00AE45AD">
      <w:pPr>
        <w:numPr>
          <w:ilvl w:val="0"/>
          <w:numId w:val="2"/>
        </w:numPr>
        <w:spacing w:before="100" w:beforeAutospacing="1" w:after="100" w:afterAutospacing="1" w:line="360" w:lineRule="auto"/>
        <w:rPr>
          <w:rFonts w:ascii="Arial" w:hAnsi="Arial" w:cs="Arial"/>
          <w:lang w:val="en-IN" w:eastAsia="en-IN"/>
        </w:rPr>
      </w:pPr>
      <w:r w:rsidRPr="00AE45AD">
        <w:rPr>
          <w:rFonts w:ascii="Arial" w:hAnsi="Arial" w:cs="Arial"/>
          <w:b/>
          <w:bCs/>
          <w:lang w:val="en-IN" w:eastAsia="en-IN"/>
        </w:rPr>
        <w:t>RQ1.</w:t>
      </w:r>
      <w:r w:rsidRPr="00AE45AD">
        <w:rPr>
          <w:rFonts w:ascii="Arial" w:hAnsi="Arial" w:cs="Arial"/>
          <w:lang w:val="en-IN" w:eastAsia="en-IN"/>
        </w:rPr>
        <w:t xml:space="preserve"> What are the key digital transformation initiatives implemented by Tesco PLC?</w:t>
      </w:r>
    </w:p>
    <w:p w14:paraId="0B282393" w14:textId="77777777" w:rsidR="00AE45AD" w:rsidRPr="00AE45AD" w:rsidRDefault="00000000" w:rsidP="00AE45AD">
      <w:pPr>
        <w:numPr>
          <w:ilvl w:val="0"/>
          <w:numId w:val="2"/>
        </w:numPr>
        <w:spacing w:before="100" w:beforeAutospacing="1" w:after="100" w:afterAutospacing="1" w:line="360" w:lineRule="auto"/>
        <w:rPr>
          <w:rFonts w:ascii="Arial" w:hAnsi="Arial" w:cs="Arial"/>
          <w:lang w:val="en-IN" w:eastAsia="en-IN"/>
        </w:rPr>
      </w:pPr>
      <w:r w:rsidRPr="00AE45AD">
        <w:rPr>
          <w:rFonts w:ascii="Arial" w:hAnsi="Arial" w:cs="Arial"/>
          <w:b/>
          <w:bCs/>
          <w:lang w:val="en-IN" w:eastAsia="en-IN"/>
        </w:rPr>
        <w:t>RQ2.</w:t>
      </w:r>
      <w:r w:rsidRPr="00AE45AD">
        <w:rPr>
          <w:rFonts w:ascii="Arial" w:hAnsi="Arial" w:cs="Arial"/>
          <w:lang w:val="en-IN" w:eastAsia="en-IN"/>
        </w:rPr>
        <w:t xml:space="preserve"> How do Tesco PLC's digital transformation initiatives influence customer satisfaction, customer engagement, and customer loyalty?</w:t>
      </w:r>
    </w:p>
    <w:p w14:paraId="1DE98403" w14:textId="77777777" w:rsidR="00AE45AD" w:rsidRPr="00AE45AD" w:rsidRDefault="00000000" w:rsidP="00AE45AD">
      <w:pPr>
        <w:numPr>
          <w:ilvl w:val="0"/>
          <w:numId w:val="2"/>
        </w:numPr>
        <w:spacing w:before="100" w:beforeAutospacing="1" w:after="100" w:afterAutospacing="1" w:line="360" w:lineRule="auto"/>
        <w:rPr>
          <w:rFonts w:ascii="Arial" w:hAnsi="Arial" w:cs="Arial"/>
          <w:lang w:val="en-IN" w:eastAsia="en-IN"/>
        </w:rPr>
      </w:pPr>
      <w:r w:rsidRPr="00AE45AD">
        <w:rPr>
          <w:rFonts w:ascii="Arial" w:hAnsi="Arial" w:cs="Arial"/>
          <w:b/>
          <w:bCs/>
          <w:lang w:val="en-IN" w:eastAsia="en-IN"/>
        </w:rPr>
        <w:t>RQ3.</w:t>
      </w:r>
      <w:r w:rsidRPr="00AE45AD">
        <w:rPr>
          <w:rFonts w:ascii="Arial" w:hAnsi="Arial" w:cs="Arial"/>
          <w:lang w:val="en-IN" w:eastAsia="en-IN"/>
        </w:rPr>
        <w:t xml:space="preserve"> What strategies can Tesco PLC adopt to strengthen customer loyalty through digital transformation?</w:t>
      </w:r>
    </w:p>
    <w:p w14:paraId="227A371E" w14:textId="77777777" w:rsidR="005678E6" w:rsidRPr="000E29EC" w:rsidRDefault="00000000" w:rsidP="00C769EF">
      <w:pPr>
        <w:spacing w:before="240" w:after="240"/>
        <w:outlineLvl w:val="1"/>
        <w:rPr>
          <w:rFonts w:ascii="Arial" w:hAnsi="Arial" w:cs="Arial"/>
          <w:color w:val="000000"/>
          <w:sz w:val="28"/>
          <w:szCs w:val="26"/>
          <w:lang w:val="en-IN" w:eastAsia="en-AU"/>
        </w:rPr>
      </w:pPr>
      <w:bookmarkStart w:id="17" w:name="_Toc237189222"/>
      <w:bookmarkStart w:id="18" w:name="_Toc238670373"/>
      <w:r w:rsidRPr="000E29EC">
        <w:rPr>
          <w:rFonts w:ascii="Arial" w:hAnsi="Arial" w:cs="Arial"/>
          <w:color w:val="000000"/>
          <w:sz w:val="28"/>
          <w:szCs w:val="26"/>
          <w:lang w:val="en-IN" w:eastAsia="en-AU"/>
        </w:rPr>
        <w:lastRenderedPageBreak/>
        <w:t>1.7 Structure of the Dissertation</w:t>
      </w:r>
      <w:bookmarkEnd w:id="17"/>
      <w:bookmarkEnd w:id="18"/>
    </w:p>
    <w:p w14:paraId="45A12D13" w14:textId="77777777" w:rsidR="005678E6" w:rsidRDefault="00000000" w:rsidP="00C769EF">
      <w:pPr>
        <w:spacing w:line="360" w:lineRule="auto"/>
        <w:jc w:val="both"/>
        <w:rPr>
          <w:rFonts w:ascii="Arial" w:hAnsi="Arial" w:cs="Arial"/>
          <w:lang w:val="en-AU" w:eastAsia="en-AU"/>
        </w:rPr>
      </w:pPr>
      <w:r w:rsidRPr="000E29EC">
        <w:rPr>
          <w:rFonts w:ascii="Arial" w:hAnsi="Arial" w:cs="Arial"/>
          <w:lang w:val="en-AU" w:eastAsia="en-AU"/>
        </w:rPr>
        <w:t>The thesis has been structured into five chapters. In Chapter One, the research is presented by providing the background of the research, research problem, significance, research aim, the research objectives, research questions and the overall structure of the dissertation. Chapter Two reviews critically the existing literature that relates to digital transformation, customer loyalty, customer experience, technology acceptance, and relationship marketing, and outlines the research gap that is filled by the study.</w:t>
      </w:r>
    </w:p>
    <w:p w14:paraId="534B0E10" w14:textId="77777777" w:rsidR="005949B1" w:rsidRPr="000E29EC" w:rsidRDefault="005949B1" w:rsidP="00C769EF">
      <w:pPr>
        <w:spacing w:line="360" w:lineRule="auto"/>
        <w:jc w:val="both"/>
        <w:rPr>
          <w:rFonts w:ascii="Arial" w:hAnsi="Arial" w:cs="Arial"/>
          <w:lang w:val="en-AU" w:eastAsia="en-AU"/>
        </w:rPr>
      </w:pPr>
    </w:p>
    <w:p w14:paraId="016765B1" w14:textId="77777777" w:rsidR="00FF30A8" w:rsidRDefault="00000000" w:rsidP="00FF30A8">
      <w:pPr>
        <w:spacing w:line="360" w:lineRule="auto"/>
        <w:jc w:val="both"/>
        <w:rPr>
          <w:rFonts w:ascii="Arial" w:hAnsi="Arial" w:cs="Arial"/>
          <w:lang w:val="en-IN" w:eastAsia="en-AU"/>
        </w:rPr>
      </w:pPr>
      <w:r w:rsidRPr="000E29EC">
        <w:rPr>
          <w:rFonts w:ascii="Arial" w:hAnsi="Arial" w:cs="Arial"/>
          <w:lang w:val="en-AU" w:eastAsia="en-AU"/>
        </w:rPr>
        <w:t xml:space="preserve">Chapter Three describes the research methodology used in this research such as the </w:t>
      </w:r>
      <w:r w:rsidR="0081613F" w:rsidRPr="000E29EC">
        <w:rPr>
          <w:rFonts w:ascii="Arial" w:hAnsi="Arial" w:cs="Arial"/>
          <w:lang w:val="en-AU" w:eastAsia="en-AU"/>
        </w:rPr>
        <w:t>research philosophy, research approach, research strategy and design, data collection methods, data sources, data analysis, ethical considerations, research quality, and research limitations</w:t>
      </w:r>
      <w:r w:rsidRPr="000E29EC">
        <w:rPr>
          <w:rFonts w:ascii="Arial" w:hAnsi="Arial" w:cs="Arial"/>
          <w:lang w:val="en-AU" w:eastAsia="en-AU"/>
        </w:rPr>
        <w:t xml:space="preserve">. Chapter Four gives the research findings and examines them concerning the research questions and the existing literature. </w:t>
      </w:r>
      <w:r w:rsidRPr="00FF30A8">
        <w:rPr>
          <w:rFonts w:ascii="Arial" w:hAnsi="Arial" w:cs="Arial"/>
          <w:lang w:val="en-IN" w:eastAsia="en-AU"/>
        </w:rPr>
        <w:t>Finally, Chapter Five presents the key conclusions, theoretical and managerial implications, study limitations, and recommendations for future research and practice.</w:t>
      </w:r>
    </w:p>
    <w:p w14:paraId="76B4DDA9" w14:textId="77777777" w:rsidR="005949B1" w:rsidRPr="00FF30A8" w:rsidRDefault="005949B1" w:rsidP="00FF30A8">
      <w:pPr>
        <w:spacing w:line="360" w:lineRule="auto"/>
        <w:jc w:val="both"/>
        <w:rPr>
          <w:rFonts w:ascii="Arial" w:hAnsi="Arial" w:cs="Arial"/>
          <w:lang w:val="en-IN" w:eastAsia="en-AU"/>
        </w:rPr>
      </w:pPr>
    </w:p>
    <w:p w14:paraId="13A89C9A" w14:textId="77777777" w:rsidR="00810C40" w:rsidRPr="00FF30A8" w:rsidRDefault="00000000" w:rsidP="00C769EF">
      <w:pPr>
        <w:spacing w:line="360" w:lineRule="auto"/>
        <w:jc w:val="both"/>
        <w:rPr>
          <w:rFonts w:ascii="Arial" w:hAnsi="Arial" w:cs="Arial"/>
          <w:lang w:val="en-AU" w:eastAsia="en-AU"/>
        </w:rPr>
      </w:pPr>
      <w:r w:rsidRPr="000A1E8A">
        <w:rPr>
          <w:rFonts w:ascii="Arial" w:hAnsi="Arial" w:cs="Arial"/>
          <w:lang w:val="en-AU" w:eastAsia="en-AU"/>
        </w:rPr>
        <w:t>Together, these chapters lend a logical and systematic outline to the approach to the research aim and objectives. The logical development of the theoretical basis into the methodological justification, to findings, discussion, and conclusions, will ensure that the research questions are explored in the most holistic manner and that the research produces academically rigorous and practical recommendations of Tesco PLC and the UK retail industry in general.</w:t>
      </w:r>
    </w:p>
    <w:p w14:paraId="468C76DE" w14:textId="77777777" w:rsidR="00B77284" w:rsidRPr="000E29EC" w:rsidRDefault="00000000" w:rsidP="000C28BD">
      <w:pPr>
        <w:spacing w:before="120" w:after="120"/>
        <w:jc w:val="center"/>
        <w:outlineLvl w:val="0"/>
        <w:rPr>
          <w:rFonts w:ascii="Arial" w:hAnsi="Arial" w:cs="Arial"/>
          <w:b/>
          <w:color w:val="000000"/>
          <w:sz w:val="32"/>
          <w:szCs w:val="32"/>
          <w:lang w:val="en-AU" w:eastAsia="en-AU"/>
        </w:rPr>
      </w:pPr>
      <w:bookmarkStart w:id="19" w:name="_Toc237189223"/>
      <w:bookmarkStart w:id="20" w:name="_Toc238670374"/>
      <w:r>
        <w:rPr>
          <w:rFonts w:ascii="Arial" w:hAnsi="Arial" w:cs="Arial"/>
          <w:b/>
          <w:color w:val="000000"/>
          <w:sz w:val="32"/>
          <w:szCs w:val="32"/>
          <w:lang w:val="en-AU" w:eastAsia="en-AU"/>
        </w:rPr>
        <w:t xml:space="preserve">Chapter </w:t>
      </w:r>
      <w:r w:rsidRPr="000E29EC">
        <w:rPr>
          <w:rFonts w:ascii="Arial" w:hAnsi="Arial" w:cs="Arial"/>
          <w:b/>
          <w:color w:val="000000"/>
          <w:sz w:val="32"/>
          <w:szCs w:val="32"/>
          <w:lang w:val="en-AU" w:eastAsia="en-AU"/>
        </w:rPr>
        <w:t>2</w:t>
      </w:r>
      <w:r>
        <w:rPr>
          <w:rFonts w:ascii="Arial" w:hAnsi="Arial" w:cs="Arial"/>
          <w:b/>
          <w:color w:val="000000"/>
          <w:sz w:val="32"/>
          <w:szCs w:val="32"/>
          <w:lang w:val="en-AU" w:eastAsia="en-AU"/>
        </w:rPr>
        <w:t>:</w:t>
      </w:r>
      <w:r w:rsidRPr="000E29EC">
        <w:rPr>
          <w:rFonts w:ascii="Arial" w:hAnsi="Arial" w:cs="Arial"/>
          <w:b/>
          <w:color w:val="000000"/>
          <w:sz w:val="32"/>
          <w:szCs w:val="32"/>
          <w:lang w:val="en-AU" w:eastAsia="en-AU"/>
        </w:rPr>
        <w:t xml:space="preserve"> Literature Review</w:t>
      </w:r>
      <w:bookmarkEnd w:id="19"/>
      <w:bookmarkEnd w:id="20"/>
    </w:p>
    <w:p w14:paraId="15B901F6" w14:textId="77777777" w:rsidR="000C7C07" w:rsidRPr="000E29EC" w:rsidRDefault="000C7C07" w:rsidP="00C769EF">
      <w:pPr>
        <w:spacing w:line="360" w:lineRule="auto"/>
        <w:jc w:val="both"/>
        <w:rPr>
          <w:rFonts w:ascii="Arial" w:hAnsi="Arial" w:cs="Arial"/>
          <w:lang w:val="en-AU" w:eastAsia="en-AU"/>
        </w:rPr>
      </w:pPr>
    </w:p>
    <w:p w14:paraId="758CEFA3" w14:textId="77777777" w:rsidR="004C7656" w:rsidRDefault="00000000" w:rsidP="006D4218">
      <w:pPr>
        <w:spacing w:line="360" w:lineRule="auto"/>
        <w:jc w:val="both"/>
        <w:rPr>
          <w:rFonts w:ascii="Arial" w:hAnsi="Arial" w:cs="Arial"/>
          <w:lang w:val="en-AU" w:eastAsia="en-AU"/>
        </w:rPr>
      </w:pPr>
      <w:r w:rsidRPr="004C7656">
        <w:rPr>
          <w:rFonts w:ascii="Arial" w:hAnsi="Arial" w:cs="Arial"/>
          <w:lang w:val="en-AU" w:eastAsia="en-AU"/>
        </w:rPr>
        <w:t xml:space="preserve">The chapter evaluates critically the academic literature available about digital transformation and customer loyalty in the retail industry to develop the theoretical basis of researching on Tesco PLC. The ongoing adoption of digital technologies within the retail operation has revolutionised the way organisations relate to customers, provide services and develop competitive advantage. Nevertheless, despite the rampant investment in digital technologies, there remains a scholarly controversy on whether </w:t>
      </w:r>
      <w:r w:rsidRPr="004C7656">
        <w:rPr>
          <w:rFonts w:ascii="Arial" w:hAnsi="Arial" w:cs="Arial"/>
          <w:lang w:val="en-AU" w:eastAsia="en-AU"/>
        </w:rPr>
        <w:lastRenderedPageBreak/>
        <w:t>digital transformation can build customer loyalty independently or its effectiveness is subject to complementary organisational capabilities, customer experience plans, and customer relationship management practices. As a result, the current literature needs to be critically reviewed to find the area of agreement, opposing views, and gaps to support the current research.</w:t>
      </w:r>
    </w:p>
    <w:p w14:paraId="3AD2460A" w14:textId="77777777" w:rsidR="005949B1" w:rsidRDefault="005949B1" w:rsidP="006D4218">
      <w:pPr>
        <w:spacing w:line="360" w:lineRule="auto"/>
        <w:jc w:val="both"/>
        <w:rPr>
          <w:rFonts w:ascii="Arial" w:hAnsi="Arial" w:cs="Arial"/>
          <w:lang w:val="en-AU" w:eastAsia="en-AU"/>
        </w:rPr>
      </w:pPr>
    </w:p>
    <w:p w14:paraId="2FD5B0FF" w14:textId="77777777" w:rsidR="0088660A" w:rsidRDefault="00000000" w:rsidP="006D4218">
      <w:pPr>
        <w:spacing w:line="360" w:lineRule="auto"/>
        <w:jc w:val="both"/>
        <w:rPr>
          <w:rFonts w:ascii="Arial" w:hAnsi="Arial" w:cs="Arial"/>
          <w:lang w:val="en-AU" w:eastAsia="en-AU"/>
        </w:rPr>
      </w:pPr>
      <w:r w:rsidRPr="0088660A">
        <w:rPr>
          <w:rFonts w:ascii="Arial" w:hAnsi="Arial" w:cs="Arial"/>
          <w:lang w:val="en-AU" w:eastAsia="en-AU"/>
        </w:rPr>
        <w:t xml:space="preserve">The review of the literature is organized with five themes that interlink. It initially analyses the history of digital transformation and reviews the opposing views on its strategic position in contemporary organisations. The paper then ventures into the technology acceptance theory to know how customers accept and embrace digital retail technologies. This is then followed by critical analysis of customer experience in omnichannel retailing with the realisation that smooth interactions between physical and digital channels have become a significant competitive advantage source. The review then appraises relationship marketing literature to </w:t>
      </w:r>
      <w:r w:rsidR="00EE3DF0" w:rsidRPr="0088660A">
        <w:rPr>
          <w:rFonts w:ascii="Arial" w:hAnsi="Arial" w:cs="Arial"/>
          <w:lang w:val="en-AU" w:eastAsia="en-AU"/>
        </w:rPr>
        <w:t>analyse</w:t>
      </w:r>
      <w:r w:rsidRPr="0088660A">
        <w:rPr>
          <w:rFonts w:ascii="Arial" w:hAnsi="Arial" w:cs="Arial"/>
          <w:lang w:val="en-AU" w:eastAsia="en-AU"/>
        </w:rPr>
        <w:t xml:space="preserve"> the role of trust, engagement, personalisation and long-term customer relationships in providing customer loyalty in digitally enabled retail settings. Lastly, the chapter evaluates the strategy of Tesco digital transformation through the prism of its use of technologies like Clubcard analytics, artificial intelligence, mobile apps, and omnichannel services in the context of the UK grocery retail industry.</w:t>
      </w:r>
    </w:p>
    <w:p w14:paraId="33F3E56D" w14:textId="77777777" w:rsidR="005949B1" w:rsidRDefault="005949B1" w:rsidP="006D4218">
      <w:pPr>
        <w:spacing w:line="360" w:lineRule="auto"/>
        <w:jc w:val="both"/>
        <w:rPr>
          <w:rFonts w:ascii="Arial" w:hAnsi="Arial" w:cs="Arial"/>
          <w:lang w:val="en-AU" w:eastAsia="en-AU"/>
        </w:rPr>
      </w:pPr>
    </w:p>
    <w:p w14:paraId="2EB568AE" w14:textId="77777777" w:rsidR="0088660A" w:rsidRDefault="00000000" w:rsidP="006D4218">
      <w:pPr>
        <w:spacing w:line="360" w:lineRule="auto"/>
        <w:jc w:val="both"/>
        <w:rPr>
          <w:rFonts w:ascii="Arial" w:hAnsi="Arial" w:cs="Arial"/>
          <w:lang w:val="en-AU" w:eastAsia="en-AU"/>
        </w:rPr>
      </w:pPr>
      <w:r w:rsidRPr="0088660A">
        <w:rPr>
          <w:rFonts w:ascii="Arial" w:hAnsi="Arial" w:cs="Arial"/>
          <w:lang w:val="en-AU" w:eastAsia="en-AU"/>
        </w:rPr>
        <w:t xml:space="preserve">Instead of showing the current research descriptively, this chapter attempts to compare contrasting theoretical views, weigh empirical research, and generalise the available knowledge to reveal the gaps in the study on the impact of digital transformation and customer loyalty. The chapter culminates in the identification of research gap on which objectives of this dissertation are </w:t>
      </w:r>
      <w:r w:rsidR="003B0292" w:rsidRPr="0088660A">
        <w:rPr>
          <w:rFonts w:ascii="Arial" w:hAnsi="Arial" w:cs="Arial"/>
          <w:lang w:val="en-AU" w:eastAsia="en-AU"/>
        </w:rPr>
        <w:t>based,</w:t>
      </w:r>
      <w:r w:rsidRPr="0088660A">
        <w:rPr>
          <w:rFonts w:ascii="Arial" w:hAnsi="Arial" w:cs="Arial"/>
          <w:lang w:val="en-AU" w:eastAsia="en-AU"/>
        </w:rPr>
        <w:t xml:space="preserve"> and which forms the conceptual basis of research methodology which will be presented in the next chapter.</w:t>
      </w:r>
    </w:p>
    <w:p w14:paraId="007DAC23" w14:textId="77777777" w:rsidR="006D4218" w:rsidRDefault="00000000" w:rsidP="00A274B8">
      <w:pPr>
        <w:spacing w:before="240" w:after="240"/>
        <w:outlineLvl w:val="1"/>
        <w:rPr>
          <w:rFonts w:ascii="Arial" w:hAnsi="Arial"/>
          <w:color w:val="000000"/>
          <w:sz w:val="28"/>
          <w:szCs w:val="26"/>
          <w:lang w:val="en-IN" w:eastAsia="en-AU"/>
        </w:rPr>
      </w:pPr>
      <w:bookmarkStart w:id="21" w:name="_Toc237189224"/>
      <w:bookmarkStart w:id="22" w:name="_Toc238670375"/>
      <w:r w:rsidRPr="006D4218">
        <w:rPr>
          <w:rFonts w:ascii="Arial" w:hAnsi="Arial"/>
          <w:color w:val="000000"/>
          <w:sz w:val="28"/>
          <w:szCs w:val="26"/>
          <w:lang w:val="en-IN" w:eastAsia="en-AU"/>
        </w:rPr>
        <w:t>2.1 Conceptualising Digital Transformation</w:t>
      </w:r>
      <w:bookmarkEnd w:id="21"/>
      <w:bookmarkEnd w:id="22"/>
    </w:p>
    <w:p w14:paraId="704174C8" w14:textId="77777777" w:rsidR="004D409B" w:rsidRDefault="00000000" w:rsidP="006D4218">
      <w:pPr>
        <w:spacing w:line="360" w:lineRule="auto"/>
        <w:jc w:val="both"/>
        <w:rPr>
          <w:rFonts w:ascii="Arial" w:hAnsi="Arial" w:cs="Arial"/>
          <w:lang w:val="en-AU" w:eastAsia="en-AU"/>
        </w:rPr>
      </w:pPr>
      <w:r w:rsidRPr="004D409B">
        <w:rPr>
          <w:rFonts w:ascii="Arial" w:hAnsi="Arial" w:cs="Arial"/>
          <w:lang w:val="en-AU" w:eastAsia="en-AU"/>
        </w:rPr>
        <w:t>Tesco PLC (2024) notes that Tesco UK sales exceeding 82</w:t>
      </w:r>
      <w:r>
        <w:rPr>
          <w:rFonts w:ascii="Arial" w:hAnsi="Arial" w:cs="Arial"/>
          <w:lang w:val="en-AU" w:eastAsia="en-AU"/>
        </w:rPr>
        <w:t xml:space="preserve">% </w:t>
      </w:r>
      <w:r w:rsidRPr="004D409B">
        <w:rPr>
          <w:rFonts w:ascii="Arial" w:hAnsi="Arial" w:cs="Arial"/>
          <w:lang w:val="en-AU" w:eastAsia="en-AU"/>
        </w:rPr>
        <w:t xml:space="preserve">were attributed to Clubcard in 2023/24, indicating the increased role of the use of data-driven digital ecosystems in the contemporary retailing environment. It helps demonstrate how digital technologies have become the key to generating customer value, enhancing engagement and </w:t>
      </w:r>
      <w:r w:rsidRPr="004D409B">
        <w:rPr>
          <w:rFonts w:ascii="Arial" w:hAnsi="Arial" w:cs="Arial"/>
          <w:lang w:val="en-AU" w:eastAsia="en-AU"/>
        </w:rPr>
        <w:lastRenderedPageBreak/>
        <w:t>competitive advantage, which makes digital transformation a strategic necessity, rather than a technological investment.</w:t>
      </w:r>
    </w:p>
    <w:p w14:paraId="1A2A1419" w14:textId="77777777" w:rsidR="005949B1" w:rsidRDefault="005949B1" w:rsidP="006D4218">
      <w:pPr>
        <w:spacing w:line="360" w:lineRule="auto"/>
        <w:jc w:val="both"/>
        <w:rPr>
          <w:rFonts w:ascii="Arial" w:hAnsi="Arial" w:cs="Arial"/>
          <w:lang w:val="en-AU" w:eastAsia="en-AU"/>
        </w:rPr>
      </w:pPr>
    </w:p>
    <w:p w14:paraId="5B51B043" w14:textId="77777777" w:rsidR="004D409B" w:rsidRDefault="00000000" w:rsidP="006D4218">
      <w:pPr>
        <w:spacing w:line="360" w:lineRule="auto"/>
        <w:jc w:val="both"/>
        <w:rPr>
          <w:rFonts w:ascii="Arial" w:hAnsi="Arial" w:cs="Arial"/>
          <w:lang w:val="en-AU" w:eastAsia="en-AU"/>
        </w:rPr>
      </w:pPr>
      <w:r w:rsidRPr="004D409B">
        <w:rPr>
          <w:rFonts w:ascii="Arial" w:hAnsi="Arial" w:cs="Arial"/>
          <w:lang w:val="en-AU" w:eastAsia="en-AU"/>
        </w:rPr>
        <w:t>Digital transformation has risen to become a strategy among retailers who want to be competitive in an ever technology-driven marketplace. The development of artificial intelligence (AI), cloud computing and mobile commerce and data analytics has completely changed the way retailers deliver value and connect with consumers. The increase in demands towards personalised services and frictionless omnichannel experiences have prompted retailers to include digital technologies in their business models, hence making digital transformation a reaction to evolving consumer behaviour, as opposed to technological innovation on its own (Vial, 2019). Digital transformation has been widely identified as strategic imperative but there has been a lot of debate on its main aim.</w:t>
      </w:r>
    </w:p>
    <w:p w14:paraId="67E3E87B" w14:textId="77777777" w:rsidR="005949B1" w:rsidRDefault="005949B1" w:rsidP="006D4218">
      <w:pPr>
        <w:spacing w:line="360" w:lineRule="auto"/>
        <w:jc w:val="both"/>
        <w:rPr>
          <w:rFonts w:ascii="Arial" w:hAnsi="Arial" w:cs="Arial"/>
          <w:lang w:val="en-AU" w:eastAsia="en-AU"/>
        </w:rPr>
      </w:pPr>
    </w:p>
    <w:p w14:paraId="2D5AB756" w14:textId="77777777" w:rsidR="004D409B" w:rsidRDefault="00000000" w:rsidP="006D4218">
      <w:pPr>
        <w:spacing w:line="360" w:lineRule="auto"/>
        <w:jc w:val="both"/>
        <w:rPr>
          <w:rFonts w:ascii="Arial" w:hAnsi="Arial" w:cs="Arial"/>
          <w:lang w:val="en-AU" w:eastAsia="en-AU"/>
        </w:rPr>
      </w:pPr>
      <w:r w:rsidRPr="004D409B">
        <w:rPr>
          <w:rFonts w:ascii="Arial" w:hAnsi="Arial" w:cs="Arial"/>
          <w:lang w:val="en-AU" w:eastAsia="en-AU"/>
        </w:rPr>
        <w:t>Vial (2019) believes that digital transformation constitutes an overarching organisational change mechanism where digital technologies redefine business models, processes and value creation. This outlook goes beyond the adoption of technology with an acknowledgement that transformation is a strategic enterprise-wide initiative. On the other hand, Verhoeff et al. (2021) argue that the main criterion of the digital transformation should be measured in terms of customer value creation and competitive positioning. Although both points of view regard the strategic significance of digital technologies, the latter is more preoccupied with the outcomes of the customers instead of organisational restructuring. Such a difference is especially applicable in the context of retailing as investments in digital technologies create the competitive advantage only when they contribute to the enhanced customer experiences and purchasing behaviour.</w:t>
      </w:r>
    </w:p>
    <w:p w14:paraId="0C38335D" w14:textId="77777777" w:rsidR="005949B1" w:rsidRDefault="005949B1" w:rsidP="006D4218">
      <w:pPr>
        <w:spacing w:line="360" w:lineRule="auto"/>
        <w:jc w:val="both"/>
        <w:rPr>
          <w:rFonts w:ascii="Arial" w:hAnsi="Arial" w:cs="Arial"/>
          <w:lang w:val="en-AU" w:eastAsia="en-AU"/>
        </w:rPr>
      </w:pPr>
    </w:p>
    <w:p w14:paraId="63173772" w14:textId="77777777" w:rsidR="006D4218" w:rsidRDefault="00000000" w:rsidP="006D4218">
      <w:pPr>
        <w:spacing w:line="360" w:lineRule="auto"/>
        <w:jc w:val="both"/>
        <w:rPr>
          <w:rFonts w:ascii="Arial" w:hAnsi="Arial" w:cs="Arial"/>
          <w:lang w:val="en-IN" w:eastAsia="en-AU"/>
        </w:rPr>
      </w:pPr>
      <w:r w:rsidRPr="004D409B">
        <w:rPr>
          <w:rFonts w:ascii="Arial" w:hAnsi="Arial" w:cs="Arial"/>
          <w:lang w:val="en-AU" w:eastAsia="en-AU"/>
        </w:rPr>
        <w:t xml:space="preserve">The latest research also questions the notion that successful transformation can be ensured solely by technological investment. According to Warner and Wäger (2019), sustainable value is only created in organisations when technologic innovation is facilitated by organisational capabilities, namely, leadership commitment, strategic flexibility, and culture that promotes continuous learning. In the same spirit, Hanelt et al. </w:t>
      </w:r>
      <w:r w:rsidRPr="004D409B">
        <w:rPr>
          <w:rFonts w:ascii="Arial" w:hAnsi="Arial" w:cs="Arial"/>
          <w:lang w:val="en-AU" w:eastAsia="en-AU"/>
        </w:rPr>
        <w:lastRenderedPageBreak/>
        <w:t>(2021) define digital transformation as a process instead of a project of implementation and, as they put it, firms need to constantly optimise their digital strategies according to the changing market environment. All of these views suggest that digital transformation can be interpreted by retailers as a strategic capability (long-term) and not a technology project (short-term)</w:t>
      </w:r>
      <w:r w:rsidRPr="006D4218">
        <w:rPr>
          <w:rFonts w:ascii="Arial" w:hAnsi="Arial" w:cs="Arial"/>
          <w:lang w:val="en-IN" w:eastAsia="en-AU"/>
        </w:rPr>
        <w:t xml:space="preserve">. </w:t>
      </w:r>
    </w:p>
    <w:p w14:paraId="0CB70741" w14:textId="77777777" w:rsidR="005949B1" w:rsidRPr="006D4218" w:rsidRDefault="005949B1" w:rsidP="006D4218">
      <w:pPr>
        <w:spacing w:line="360" w:lineRule="auto"/>
        <w:jc w:val="both"/>
        <w:rPr>
          <w:rFonts w:ascii="Arial" w:hAnsi="Arial" w:cs="Arial"/>
          <w:lang w:val="en-IN" w:eastAsia="en-AU"/>
        </w:rPr>
      </w:pPr>
    </w:p>
    <w:p w14:paraId="649DFF3C" w14:textId="77777777" w:rsidR="006D4218" w:rsidRDefault="00000000" w:rsidP="006D4218">
      <w:pPr>
        <w:spacing w:line="360" w:lineRule="auto"/>
        <w:jc w:val="both"/>
        <w:rPr>
          <w:rFonts w:ascii="Arial" w:hAnsi="Arial" w:cs="Arial"/>
          <w:lang w:val="en-IN" w:eastAsia="en-AU"/>
        </w:rPr>
      </w:pPr>
      <w:r w:rsidRPr="004D409B">
        <w:rPr>
          <w:rFonts w:ascii="Arial" w:hAnsi="Arial" w:cs="Arial"/>
          <w:lang w:val="en-AU" w:eastAsia="en-AU"/>
        </w:rPr>
        <w:t>The history of digitalization of the business of retailing also shows that over time the strategic priorities have changed. Originally, retailers were investing in digital technologies to mainly automate their internal operations and enhance efficiency of their operations. Nevertheless, the quick pace in e-commerce, mobile technologies and AIs-powered analytics has shifted priorities onto customer-centric innovation and individualised service delivery</w:t>
      </w:r>
      <w:r w:rsidRPr="006D4218">
        <w:rPr>
          <w:rFonts w:ascii="Arial" w:hAnsi="Arial" w:cs="Arial"/>
          <w:lang w:val="en-IN" w:eastAsia="en-AU"/>
        </w:rPr>
        <w:t>.</w:t>
      </w:r>
    </w:p>
    <w:p w14:paraId="1C558A99" w14:textId="77777777" w:rsidR="004D409B" w:rsidRPr="006D4218" w:rsidRDefault="004D409B" w:rsidP="006D4218">
      <w:pPr>
        <w:spacing w:line="360" w:lineRule="auto"/>
        <w:jc w:val="both"/>
        <w:rPr>
          <w:rFonts w:ascii="Arial" w:hAnsi="Arial" w:cs="Arial"/>
          <w:lang w:val="en-IN" w:eastAsia="en-AU"/>
        </w:rPr>
      </w:pPr>
    </w:p>
    <w:p w14:paraId="18B2D558" w14:textId="77777777" w:rsidR="006D4218" w:rsidRPr="006D4218" w:rsidRDefault="00000000" w:rsidP="006D4218">
      <w:pPr>
        <w:spacing w:line="360" w:lineRule="auto"/>
        <w:jc w:val="both"/>
        <w:rPr>
          <w:rFonts w:ascii="Arial" w:hAnsi="Arial" w:cs="Arial"/>
          <w:lang w:val="en-IN" w:eastAsia="en-AU"/>
        </w:rPr>
      </w:pPr>
      <w:r w:rsidRPr="006D4218">
        <w:rPr>
          <w:rFonts w:ascii="Arial" w:hAnsi="Arial" w:cs="Arial"/>
          <w:b/>
          <w:bCs/>
          <w:lang w:val="en-IN" w:eastAsia="en-AU"/>
        </w:rPr>
        <w:t>Table 2.1</w:t>
      </w:r>
      <w:r w:rsidR="004D409B">
        <w:rPr>
          <w:rFonts w:ascii="Arial" w:hAnsi="Arial" w:cs="Arial"/>
          <w:lang w:val="en-IN" w:eastAsia="en-AU"/>
        </w:rPr>
        <w:t xml:space="preserve">. </w:t>
      </w:r>
      <w:r w:rsidRPr="000C28BD">
        <w:rPr>
          <w:rFonts w:ascii="Arial" w:hAnsi="Arial" w:cs="Arial"/>
          <w:lang w:val="en-IN" w:eastAsia="en-AU"/>
        </w:rPr>
        <w:t>Evolution of Digital Transformation in Retail</w:t>
      </w:r>
    </w:p>
    <w:tbl>
      <w:tblPr>
        <w:tblStyle w:val="GridTable4-Accent2"/>
        <w:tblW w:w="0" w:type="auto"/>
        <w:tblLook w:val="04A0" w:firstRow="1" w:lastRow="0" w:firstColumn="1" w:lastColumn="0" w:noHBand="0" w:noVBand="1"/>
      </w:tblPr>
      <w:tblGrid>
        <w:gridCol w:w="2087"/>
        <w:gridCol w:w="2515"/>
        <w:gridCol w:w="2221"/>
        <w:gridCol w:w="2527"/>
      </w:tblGrid>
      <w:tr w:rsidR="00E740B3" w14:paraId="66C35310" w14:textId="77777777" w:rsidTr="00E740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AF4891" w14:textId="77777777" w:rsidR="006D4218" w:rsidRPr="006D4218" w:rsidRDefault="00000000" w:rsidP="00A274B8">
            <w:pPr>
              <w:spacing w:line="276" w:lineRule="auto"/>
              <w:rPr>
                <w:rFonts w:ascii="Arial" w:hAnsi="Arial" w:cs="Arial"/>
                <w:b w:val="0"/>
                <w:bCs w:val="0"/>
                <w:color w:val="FFFFFF"/>
                <w:lang w:val="en-IN"/>
              </w:rPr>
            </w:pPr>
            <w:r w:rsidRPr="006D4218">
              <w:rPr>
                <w:rFonts w:ascii="Arial" w:hAnsi="Arial" w:cs="Arial"/>
                <w:color w:val="FFFFFF"/>
                <w:lang w:val="en-IN"/>
              </w:rPr>
              <w:t>Period</w:t>
            </w:r>
          </w:p>
        </w:tc>
        <w:tc>
          <w:tcPr>
            <w:tcW w:w="0" w:type="auto"/>
            <w:hideMark/>
          </w:tcPr>
          <w:p w14:paraId="227FB3FA" w14:textId="77777777" w:rsidR="006D4218" w:rsidRPr="006D4218" w:rsidRDefault="00000000" w:rsidP="00A274B8">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lang w:val="en-IN"/>
              </w:rPr>
            </w:pPr>
            <w:r w:rsidRPr="006D4218">
              <w:rPr>
                <w:rFonts w:ascii="Arial" w:hAnsi="Arial" w:cs="Arial"/>
                <w:color w:val="FFFFFF"/>
                <w:lang w:val="en-IN"/>
              </w:rPr>
              <w:t>Dominant Technologies</w:t>
            </w:r>
          </w:p>
        </w:tc>
        <w:tc>
          <w:tcPr>
            <w:tcW w:w="0" w:type="auto"/>
            <w:hideMark/>
          </w:tcPr>
          <w:p w14:paraId="1828345F" w14:textId="77777777" w:rsidR="006D4218" w:rsidRPr="006D4218" w:rsidRDefault="00000000" w:rsidP="00A274B8">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lang w:val="en-IN"/>
              </w:rPr>
            </w:pPr>
            <w:r w:rsidRPr="006D4218">
              <w:rPr>
                <w:rFonts w:ascii="Arial" w:hAnsi="Arial" w:cs="Arial"/>
                <w:color w:val="FFFFFF"/>
                <w:lang w:val="en-IN"/>
              </w:rPr>
              <w:t>Strategic Focus</w:t>
            </w:r>
          </w:p>
        </w:tc>
        <w:tc>
          <w:tcPr>
            <w:tcW w:w="0" w:type="auto"/>
            <w:hideMark/>
          </w:tcPr>
          <w:p w14:paraId="596DDCFA" w14:textId="77777777" w:rsidR="006D4218" w:rsidRPr="006D4218" w:rsidRDefault="00000000" w:rsidP="00A274B8">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lang w:val="en-IN"/>
              </w:rPr>
            </w:pPr>
            <w:r w:rsidRPr="006D4218">
              <w:rPr>
                <w:rFonts w:ascii="Arial" w:hAnsi="Arial" w:cs="Arial"/>
                <w:color w:val="FFFFFF"/>
                <w:lang w:val="en-IN"/>
              </w:rPr>
              <w:t>Retail Implications</w:t>
            </w:r>
          </w:p>
        </w:tc>
      </w:tr>
      <w:tr w:rsidR="00E740B3" w14:paraId="13F55E7E"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566A65" w14:textId="77777777" w:rsidR="006D4218" w:rsidRPr="006D4218" w:rsidRDefault="00000000" w:rsidP="00A274B8">
            <w:pPr>
              <w:spacing w:line="276" w:lineRule="auto"/>
              <w:rPr>
                <w:rFonts w:ascii="Arial" w:hAnsi="Arial" w:cs="Arial"/>
                <w:b w:val="0"/>
                <w:bCs w:val="0"/>
                <w:lang w:val="en-IN"/>
              </w:rPr>
            </w:pPr>
            <w:r w:rsidRPr="006D4218">
              <w:rPr>
                <w:rFonts w:ascii="Arial" w:hAnsi="Arial" w:cs="Arial"/>
                <w:lang w:val="en-IN"/>
              </w:rPr>
              <w:t>Early digitalisation</w:t>
            </w:r>
          </w:p>
        </w:tc>
        <w:tc>
          <w:tcPr>
            <w:tcW w:w="0" w:type="auto"/>
            <w:hideMark/>
          </w:tcPr>
          <w:p w14:paraId="043C9FE1" w14:textId="77777777" w:rsidR="006D4218" w:rsidRPr="006D4218"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D4218">
              <w:rPr>
                <w:rFonts w:ascii="Arial" w:hAnsi="Arial" w:cs="Arial"/>
                <w:lang w:val="en-IN"/>
              </w:rPr>
              <w:t>ERP systems, websites</w:t>
            </w:r>
          </w:p>
        </w:tc>
        <w:tc>
          <w:tcPr>
            <w:tcW w:w="0" w:type="auto"/>
            <w:hideMark/>
          </w:tcPr>
          <w:p w14:paraId="24CE1F88" w14:textId="77777777" w:rsidR="006D4218" w:rsidRPr="006D4218"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D4218">
              <w:rPr>
                <w:rFonts w:ascii="Arial" w:hAnsi="Arial" w:cs="Arial"/>
                <w:lang w:val="en-IN"/>
              </w:rPr>
              <w:t>Operational efficiency</w:t>
            </w:r>
          </w:p>
        </w:tc>
        <w:tc>
          <w:tcPr>
            <w:tcW w:w="0" w:type="auto"/>
            <w:hideMark/>
          </w:tcPr>
          <w:p w14:paraId="129C5F01" w14:textId="77777777" w:rsidR="006D4218" w:rsidRPr="006D4218"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D4218">
              <w:rPr>
                <w:rFonts w:ascii="Arial" w:hAnsi="Arial" w:cs="Arial"/>
                <w:lang w:val="en-IN"/>
              </w:rPr>
              <w:t>Improved internal processes and reduced operating costs</w:t>
            </w:r>
          </w:p>
        </w:tc>
      </w:tr>
      <w:tr w:rsidR="00E740B3" w14:paraId="719C8BFD"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4736B2EF" w14:textId="77777777" w:rsidR="006D4218" w:rsidRPr="006D4218" w:rsidRDefault="00000000" w:rsidP="00A274B8">
            <w:pPr>
              <w:spacing w:line="276" w:lineRule="auto"/>
              <w:rPr>
                <w:rFonts w:ascii="Arial" w:hAnsi="Arial" w:cs="Arial"/>
                <w:b w:val="0"/>
                <w:bCs w:val="0"/>
                <w:lang w:val="en-IN"/>
              </w:rPr>
            </w:pPr>
            <w:r w:rsidRPr="006D4218">
              <w:rPr>
                <w:rFonts w:ascii="Arial" w:hAnsi="Arial" w:cs="Arial"/>
                <w:lang w:val="en-IN"/>
              </w:rPr>
              <w:t>E-commerce expansion</w:t>
            </w:r>
          </w:p>
        </w:tc>
        <w:tc>
          <w:tcPr>
            <w:tcW w:w="0" w:type="auto"/>
            <w:hideMark/>
          </w:tcPr>
          <w:p w14:paraId="187B4648" w14:textId="77777777" w:rsidR="006D4218" w:rsidRPr="006D4218" w:rsidRDefault="00000000" w:rsidP="00A274B8">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D4218">
              <w:rPr>
                <w:rFonts w:ascii="Arial" w:hAnsi="Arial" w:cs="Arial"/>
                <w:lang w:val="en-IN"/>
              </w:rPr>
              <w:t>Online stores, digital payments</w:t>
            </w:r>
          </w:p>
        </w:tc>
        <w:tc>
          <w:tcPr>
            <w:tcW w:w="0" w:type="auto"/>
            <w:hideMark/>
          </w:tcPr>
          <w:p w14:paraId="4C43E843" w14:textId="77777777" w:rsidR="006D4218" w:rsidRPr="006D4218" w:rsidRDefault="00000000" w:rsidP="00A274B8">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D4218">
              <w:rPr>
                <w:rFonts w:ascii="Arial" w:hAnsi="Arial" w:cs="Arial"/>
                <w:lang w:val="en-IN"/>
              </w:rPr>
              <w:t>Market expansion</w:t>
            </w:r>
          </w:p>
        </w:tc>
        <w:tc>
          <w:tcPr>
            <w:tcW w:w="0" w:type="auto"/>
            <w:hideMark/>
          </w:tcPr>
          <w:p w14:paraId="64321D57" w14:textId="77777777" w:rsidR="006D4218" w:rsidRPr="006D4218" w:rsidRDefault="00000000" w:rsidP="00A274B8">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D4218">
              <w:rPr>
                <w:rFonts w:ascii="Arial" w:hAnsi="Arial" w:cs="Arial"/>
                <w:lang w:val="en-IN"/>
              </w:rPr>
              <w:t>Increased online sales and broader customer reach</w:t>
            </w:r>
          </w:p>
        </w:tc>
      </w:tr>
      <w:tr w:rsidR="00E740B3" w14:paraId="25C4815D"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B34CA4" w14:textId="77777777" w:rsidR="006D4218" w:rsidRPr="006D4218" w:rsidRDefault="00000000" w:rsidP="00A274B8">
            <w:pPr>
              <w:spacing w:line="276" w:lineRule="auto"/>
              <w:rPr>
                <w:rFonts w:ascii="Arial" w:hAnsi="Arial" w:cs="Arial"/>
                <w:b w:val="0"/>
                <w:bCs w:val="0"/>
                <w:lang w:val="en-IN"/>
              </w:rPr>
            </w:pPr>
            <w:r w:rsidRPr="006D4218">
              <w:rPr>
                <w:rFonts w:ascii="Arial" w:hAnsi="Arial" w:cs="Arial"/>
                <w:lang w:val="en-IN"/>
              </w:rPr>
              <w:t>Omnichannel retailing</w:t>
            </w:r>
          </w:p>
        </w:tc>
        <w:tc>
          <w:tcPr>
            <w:tcW w:w="0" w:type="auto"/>
            <w:hideMark/>
          </w:tcPr>
          <w:p w14:paraId="0290006E" w14:textId="77777777" w:rsidR="006D4218" w:rsidRPr="006D4218"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D4218">
              <w:rPr>
                <w:rFonts w:ascii="Arial" w:hAnsi="Arial" w:cs="Arial"/>
                <w:lang w:val="en-IN"/>
              </w:rPr>
              <w:t>Mobile applications, cloud platforms</w:t>
            </w:r>
          </w:p>
        </w:tc>
        <w:tc>
          <w:tcPr>
            <w:tcW w:w="0" w:type="auto"/>
            <w:hideMark/>
          </w:tcPr>
          <w:p w14:paraId="696D2F0F" w14:textId="77777777" w:rsidR="006D4218" w:rsidRPr="006D4218"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D4218">
              <w:rPr>
                <w:rFonts w:ascii="Arial" w:hAnsi="Arial" w:cs="Arial"/>
                <w:lang w:val="en-IN"/>
              </w:rPr>
              <w:t>Customer experience</w:t>
            </w:r>
          </w:p>
        </w:tc>
        <w:tc>
          <w:tcPr>
            <w:tcW w:w="0" w:type="auto"/>
            <w:hideMark/>
          </w:tcPr>
          <w:p w14:paraId="1CB34E03" w14:textId="77777777" w:rsidR="006D4218" w:rsidRPr="006D4218"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6D4218">
              <w:rPr>
                <w:rFonts w:ascii="Arial" w:hAnsi="Arial" w:cs="Arial"/>
                <w:lang w:val="en-IN"/>
              </w:rPr>
              <w:t>Integration of online and physical shopping channels</w:t>
            </w:r>
          </w:p>
        </w:tc>
      </w:tr>
      <w:tr w:rsidR="00E740B3" w14:paraId="2322E726"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7EA39011" w14:textId="77777777" w:rsidR="006D4218" w:rsidRPr="006D4218" w:rsidRDefault="00000000" w:rsidP="00A274B8">
            <w:pPr>
              <w:spacing w:line="276" w:lineRule="auto"/>
              <w:rPr>
                <w:rFonts w:ascii="Arial" w:hAnsi="Arial" w:cs="Arial"/>
                <w:b w:val="0"/>
                <w:bCs w:val="0"/>
                <w:lang w:val="en-IN"/>
              </w:rPr>
            </w:pPr>
            <w:r w:rsidRPr="006D4218">
              <w:rPr>
                <w:rFonts w:ascii="Arial" w:hAnsi="Arial" w:cs="Arial"/>
                <w:lang w:val="en-IN"/>
              </w:rPr>
              <w:t>AI-driven transformation</w:t>
            </w:r>
          </w:p>
        </w:tc>
        <w:tc>
          <w:tcPr>
            <w:tcW w:w="0" w:type="auto"/>
            <w:hideMark/>
          </w:tcPr>
          <w:p w14:paraId="63DAE0B9" w14:textId="77777777" w:rsidR="006D4218" w:rsidRPr="006D4218" w:rsidRDefault="00000000" w:rsidP="00A274B8">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D4218">
              <w:rPr>
                <w:rFonts w:ascii="Arial" w:hAnsi="Arial" w:cs="Arial"/>
                <w:lang w:val="en-IN"/>
              </w:rPr>
              <w:t>Artificial intelligence, machine learning, predictive analytics</w:t>
            </w:r>
          </w:p>
        </w:tc>
        <w:tc>
          <w:tcPr>
            <w:tcW w:w="0" w:type="auto"/>
            <w:hideMark/>
          </w:tcPr>
          <w:p w14:paraId="5EEBFF7C" w14:textId="77777777" w:rsidR="006D4218" w:rsidRPr="006D4218" w:rsidRDefault="00000000" w:rsidP="00A274B8">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D4218">
              <w:rPr>
                <w:rFonts w:ascii="Arial" w:hAnsi="Arial" w:cs="Arial"/>
                <w:lang w:val="en-IN"/>
              </w:rPr>
              <w:t>Personalisation and customer loyalty</w:t>
            </w:r>
          </w:p>
        </w:tc>
        <w:tc>
          <w:tcPr>
            <w:tcW w:w="0" w:type="auto"/>
            <w:hideMark/>
          </w:tcPr>
          <w:p w14:paraId="1EB50F91" w14:textId="77777777" w:rsidR="006D4218" w:rsidRPr="006D4218" w:rsidRDefault="00000000" w:rsidP="00A274B8">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6D4218">
              <w:rPr>
                <w:rFonts w:ascii="Arial" w:hAnsi="Arial" w:cs="Arial"/>
                <w:lang w:val="en-IN"/>
              </w:rPr>
              <w:t>Data-driven decision making and enhanced customer engagement</w:t>
            </w:r>
          </w:p>
        </w:tc>
      </w:tr>
    </w:tbl>
    <w:p w14:paraId="0D0A5C7F" w14:textId="77777777" w:rsidR="00A274B8" w:rsidRDefault="00A274B8" w:rsidP="006D4218">
      <w:pPr>
        <w:spacing w:line="360" w:lineRule="auto"/>
        <w:jc w:val="both"/>
        <w:rPr>
          <w:rFonts w:ascii="Arial" w:hAnsi="Arial" w:cs="Arial"/>
          <w:i/>
          <w:iCs/>
          <w:lang w:val="en-IN" w:eastAsia="en-AU"/>
        </w:rPr>
      </w:pPr>
    </w:p>
    <w:p w14:paraId="618B36BF" w14:textId="77777777" w:rsidR="006D4218" w:rsidRPr="006D4218" w:rsidRDefault="00000000" w:rsidP="006D4218">
      <w:pPr>
        <w:spacing w:line="360" w:lineRule="auto"/>
        <w:jc w:val="both"/>
        <w:rPr>
          <w:rFonts w:ascii="Arial" w:hAnsi="Arial" w:cs="Arial"/>
          <w:lang w:val="en-IN" w:eastAsia="en-AU"/>
        </w:rPr>
      </w:pPr>
      <w:r w:rsidRPr="006D4218">
        <w:rPr>
          <w:rFonts w:ascii="Arial" w:hAnsi="Arial" w:cs="Arial"/>
          <w:i/>
          <w:iCs/>
          <w:lang w:val="en-IN" w:eastAsia="en-AU"/>
        </w:rPr>
        <w:t>Source: Developed by the researcher based on Vial (2019), Warner and Wäger (2019), Hanelt et al. (2021), Verhoef et al. (2021), and Hossain et al. (2023).</w:t>
      </w:r>
    </w:p>
    <w:p w14:paraId="34C02996" w14:textId="77777777" w:rsidR="000E7EF4" w:rsidRDefault="00000000" w:rsidP="006D4218">
      <w:pPr>
        <w:spacing w:line="360" w:lineRule="auto"/>
        <w:jc w:val="both"/>
        <w:rPr>
          <w:rFonts w:ascii="Arial" w:hAnsi="Arial" w:cs="Arial"/>
          <w:lang w:val="en-AU" w:eastAsia="en-AU"/>
        </w:rPr>
      </w:pPr>
      <w:r w:rsidRPr="000E7EF4">
        <w:rPr>
          <w:rFonts w:ascii="Arial" w:hAnsi="Arial" w:cs="Arial"/>
          <w:lang w:val="en-AU" w:eastAsia="en-AU"/>
        </w:rPr>
        <w:t xml:space="preserve">As shown in Table 2.1, the digital transformation has been about enhancing operational efficiency and now creating customer value and competitive advantage. With retailers </w:t>
      </w:r>
      <w:r w:rsidRPr="000E7EF4">
        <w:rPr>
          <w:rFonts w:ascii="Arial" w:hAnsi="Arial" w:cs="Arial"/>
          <w:lang w:val="en-AU" w:eastAsia="en-AU"/>
        </w:rPr>
        <w:lastRenderedPageBreak/>
        <w:t>becoming increasingly competitive around creating a personalised experience instead of a competitive price, digital transformation has become more closely associated with customer interaction and retention.</w:t>
      </w:r>
    </w:p>
    <w:p w14:paraId="4B081E0F" w14:textId="77777777" w:rsidR="0083716A" w:rsidRDefault="0083716A" w:rsidP="006D4218">
      <w:pPr>
        <w:spacing w:line="360" w:lineRule="auto"/>
        <w:jc w:val="both"/>
        <w:rPr>
          <w:rFonts w:ascii="Arial" w:hAnsi="Arial" w:cs="Arial"/>
          <w:lang w:val="en-AU" w:eastAsia="en-AU"/>
        </w:rPr>
      </w:pPr>
    </w:p>
    <w:p w14:paraId="1175F2A1" w14:textId="77777777" w:rsidR="0083716A" w:rsidRDefault="00000000" w:rsidP="006D4218">
      <w:pPr>
        <w:spacing w:line="360" w:lineRule="auto"/>
        <w:jc w:val="both"/>
        <w:rPr>
          <w:rFonts w:ascii="Arial" w:hAnsi="Arial" w:cs="Arial"/>
          <w:lang w:val="en-AU" w:eastAsia="en-AU"/>
        </w:rPr>
      </w:pPr>
      <w:r>
        <w:rPr>
          <w:rFonts w:ascii="Arial" w:hAnsi="Arial" w:cs="Arial"/>
          <w:noProof/>
        </w:rPr>
        <w:drawing>
          <wp:inline distT="0" distB="0" distL="0" distR="0" wp14:anchorId="7FE36409" wp14:editId="5181AFA5">
            <wp:extent cx="5943600" cy="2924175"/>
            <wp:effectExtent l="0" t="0" r="0" b="9525"/>
            <wp:docPr id="1894876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876159" name="Picture 1894876159"/>
                    <pic:cNvPicPr/>
                  </pic:nvPicPr>
                  <pic:blipFill>
                    <a:blip r:embed="rId9" cstate="print">
                      <a:extLst>
                        <a:ext uri="{28A0092B-C50C-407E-A947-70E740481C1C}">
                          <a14:useLocalDpi xmlns:a14="http://schemas.microsoft.com/office/drawing/2010/main" val="0"/>
                        </a:ext>
                      </a:extLst>
                    </a:blip>
                    <a:srcRect t="15625" b="10577"/>
                    <a:stretch>
                      <a:fillRect/>
                    </a:stretch>
                  </pic:blipFill>
                  <pic:spPr bwMode="auto">
                    <a:xfrm>
                      <a:off x="0" y="0"/>
                      <a:ext cx="5943600" cy="2924175"/>
                    </a:xfrm>
                    <a:prstGeom prst="rect">
                      <a:avLst/>
                    </a:prstGeom>
                    <a:ln>
                      <a:noFill/>
                    </a:ln>
                    <a:extLst>
                      <a:ext uri="{53640926-AAD7-44D8-BBD7-CCE9431645EC}">
                        <a14:shadowObscured xmlns:a14="http://schemas.microsoft.com/office/drawing/2010/main"/>
                      </a:ext>
                    </a:extLst>
                  </pic:spPr>
                </pic:pic>
              </a:graphicData>
            </a:graphic>
          </wp:inline>
        </w:drawing>
      </w:r>
    </w:p>
    <w:p w14:paraId="74E9C168" w14:textId="77777777" w:rsidR="0083716A" w:rsidRDefault="00000000" w:rsidP="006D4218">
      <w:pPr>
        <w:spacing w:line="360" w:lineRule="auto"/>
        <w:jc w:val="both"/>
        <w:rPr>
          <w:rFonts w:ascii="Arial" w:hAnsi="Arial" w:cs="Arial"/>
          <w:lang w:val="en-AU" w:eastAsia="en-AU"/>
        </w:rPr>
      </w:pPr>
      <w:r w:rsidRPr="0083716A">
        <w:rPr>
          <w:rFonts w:ascii="Arial" w:hAnsi="Arial" w:cs="Arial"/>
          <w:lang w:val="en-AU" w:eastAsia="en-AU"/>
        </w:rPr>
        <w:t>Figure 2.1 Evolution of Digital Transformation in Retail</w:t>
      </w:r>
    </w:p>
    <w:p w14:paraId="46ADB874" w14:textId="77777777" w:rsidR="0083716A" w:rsidRDefault="0083716A" w:rsidP="006D4218">
      <w:pPr>
        <w:spacing w:line="360" w:lineRule="auto"/>
        <w:jc w:val="both"/>
        <w:rPr>
          <w:rFonts w:ascii="Arial" w:hAnsi="Arial" w:cs="Arial"/>
          <w:lang w:val="en-AU" w:eastAsia="en-AU"/>
        </w:rPr>
      </w:pPr>
    </w:p>
    <w:p w14:paraId="118A15C8" w14:textId="77777777" w:rsidR="006D4218" w:rsidRDefault="00000000" w:rsidP="006D4218">
      <w:pPr>
        <w:spacing w:line="360" w:lineRule="auto"/>
        <w:jc w:val="both"/>
        <w:rPr>
          <w:rFonts w:ascii="Arial" w:hAnsi="Arial" w:cs="Arial"/>
          <w:lang w:val="en-IN" w:eastAsia="en-AU"/>
        </w:rPr>
      </w:pPr>
      <w:r w:rsidRPr="000E7EF4">
        <w:rPr>
          <w:rFonts w:ascii="Arial" w:hAnsi="Arial" w:cs="Arial"/>
          <w:lang w:val="en-AU" w:eastAsia="en-AU"/>
        </w:rPr>
        <w:t>Empirical evidence also suggests that data-driven potentials are now the core of successful digital transformation. Kraus et al. (2022) claim that organisations that manage to gather, analyse and utilise customer data can make better strategic decisions and be more responsive to market dynamics. Similarly, Hossain et al. (2023) state that AI-based analytics enhance demand forecasting, inventory management and tailored marketing, facilitating retailers to provide more meaningful customer experiences. Nonetheless, there are also major challenges that arise with these technological advances. Growing such dependence on customer data poses some questions about privacy, cybersecurity and algorithmic transparency that might sabotage customer confidence should digital efforts be seen as invasive. Thus, digital transformation requires much more than technological savvy to be successful, but it is also a matter of keeping consumer trust by practicing responsible data governance</w:t>
      </w:r>
      <w:r w:rsidRPr="006D4218">
        <w:rPr>
          <w:rFonts w:ascii="Arial" w:hAnsi="Arial" w:cs="Arial"/>
          <w:lang w:val="en-IN" w:eastAsia="en-AU"/>
        </w:rPr>
        <w:t>.</w:t>
      </w:r>
    </w:p>
    <w:p w14:paraId="797252C0" w14:textId="77777777" w:rsidR="005949B1" w:rsidRPr="006D4218" w:rsidRDefault="005949B1" w:rsidP="006D4218">
      <w:pPr>
        <w:spacing w:line="360" w:lineRule="auto"/>
        <w:jc w:val="both"/>
        <w:rPr>
          <w:rFonts w:ascii="Arial" w:hAnsi="Arial" w:cs="Arial"/>
          <w:lang w:val="en-IN" w:eastAsia="en-AU"/>
        </w:rPr>
      </w:pPr>
    </w:p>
    <w:p w14:paraId="31DD7953" w14:textId="77777777" w:rsidR="000C7C07" w:rsidRDefault="00000000" w:rsidP="00C769EF">
      <w:pPr>
        <w:spacing w:line="360" w:lineRule="auto"/>
        <w:jc w:val="both"/>
        <w:rPr>
          <w:rFonts w:ascii="Arial" w:hAnsi="Arial" w:cs="Arial"/>
          <w:lang w:val="en-AU" w:eastAsia="en-AU"/>
        </w:rPr>
      </w:pPr>
      <w:r w:rsidRPr="000E7EF4">
        <w:rPr>
          <w:rFonts w:ascii="Arial" w:hAnsi="Arial" w:cs="Arial"/>
          <w:lang w:val="en-AU" w:eastAsia="en-AU"/>
        </w:rPr>
        <w:lastRenderedPageBreak/>
        <w:t>These changes are especially noticeable in the UK grocery industry, with retailers still spending a lot of money on digital competencies. Tesco PLC (2024) states that Tesco has increased its digital ecosystem with the Clubcard analytics, Tesco Grocery and Clubcard mobile, AI-powered personalisation and omnichannel fulfilment services. Competitors like Sainsbury, Asda and Aldi have made similar investments, which means that technology is no longer a viable source of competitive difference. Rather, competitive advantage is becoming increasingly reliant on the extent to which retailers can convert digital capabilities into an outstanding customer experience and customer loyalty.</w:t>
      </w:r>
    </w:p>
    <w:p w14:paraId="18843C72" w14:textId="77777777" w:rsidR="006D4218" w:rsidRDefault="00000000" w:rsidP="00C769EF">
      <w:pPr>
        <w:spacing w:line="360" w:lineRule="auto"/>
        <w:jc w:val="both"/>
        <w:rPr>
          <w:rFonts w:ascii="Arial" w:hAnsi="Arial" w:cs="Arial"/>
          <w:lang w:val="en-AU" w:eastAsia="en-AU"/>
        </w:rPr>
      </w:pPr>
      <w:r w:rsidRPr="000E7EF4">
        <w:rPr>
          <w:rFonts w:ascii="Arial" w:hAnsi="Arial" w:cs="Arial"/>
          <w:lang w:val="en-AU" w:eastAsia="en-AU"/>
        </w:rPr>
        <w:t>In general, the literature acknowledges digital transformation as a strategic organisational ability as opposed to mere technological use. Nonetheless, researchers are still arguing whether customer value creation or organisational capabilities are the most important drivers of competitive advantage. This point of concern warrants the discussion of the effects of the Tesco digital transformation to customer loyalty in the form of customer experience, personalisation and relationship management as a basis on the subsequent discussion of the technology acceptance.</w:t>
      </w:r>
    </w:p>
    <w:p w14:paraId="240FAC58" w14:textId="77777777" w:rsidR="006D4218" w:rsidRDefault="006D4218" w:rsidP="00C769EF">
      <w:pPr>
        <w:spacing w:line="360" w:lineRule="auto"/>
        <w:jc w:val="both"/>
        <w:rPr>
          <w:rFonts w:ascii="Arial" w:hAnsi="Arial" w:cs="Arial"/>
          <w:lang w:val="en-AU" w:eastAsia="en-AU"/>
        </w:rPr>
      </w:pPr>
    </w:p>
    <w:p w14:paraId="08537806" w14:textId="77777777" w:rsidR="006D4218" w:rsidRPr="006D4218" w:rsidRDefault="00000000" w:rsidP="00A274B8">
      <w:pPr>
        <w:spacing w:before="240" w:after="240"/>
        <w:outlineLvl w:val="1"/>
        <w:rPr>
          <w:rFonts w:ascii="Arial" w:hAnsi="Arial"/>
          <w:color w:val="000000"/>
          <w:sz w:val="28"/>
          <w:szCs w:val="26"/>
          <w:lang w:val="en-IN" w:eastAsia="en-AU"/>
        </w:rPr>
      </w:pPr>
      <w:bookmarkStart w:id="23" w:name="_Toc237189225"/>
      <w:bookmarkStart w:id="24" w:name="_Toc238670376"/>
      <w:r w:rsidRPr="006D4218">
        <w:rPr>
          <w:rFonts w:ascii="Arial" w:hAnsi="Arial"/>
          <w:color w:val="000000"/>
          <w:sz w:val="28"/>
          <w:szCs w:val="26"/>
          <w:lang w:val="en-IN" w:eastAsia="en-AU"/>
        </w:rPr>
        <w:t>2.2 Technology Acceptance and Adoption</w:t>
      </w:r>
      <w:bookmarkEnd w:id="23"/>
      <w:bookmarkEnd w:id="24"/>
    </w:p>
    <w:p w14:paraId="7F96DBA6" w14:textId="77777777" w:rsidR="007D3679" w:rsidRDefault="00000000" w:rsidP="000912FC">
      <w:pPr>
        <w:spacing w:line="360" w:lineRule="auto"/>
        <w:jc w:val="both"/>
        <w:rPr>
          <w:rFonts w:ascii="Arial" w:hAnsi="Arial" w:cs="Arial"/>
          <w:lang w:val="en-AU" w:eastAsia="en-AU"/>
        </w:rPr>
      </w:pPr>
      <w:r w:rsidRPr="002024F6">
        <w:rPr>
          <w:rFonts w:ascii="Arial" w:hAnsi="Arial" w:cs="Arial"/>
          <w:lang w:val="en-AU" w:eastAsia="en-AU"/>
        </w:rPr>
        <w:t xml:space="preserve">According to Tesco PLC (2024), over 16 million users of the Group app used in its digital ecosystem in 2023/24, which indicated the popularity of digital retail technologies among customers. This shows how effective digital transformation will be not just on the technological investment but also on how willing customers are to utilize and keep using digital services. The role of technology acceptance in influencing the realization of the intended consequences of digital transformation initiatives is significant. </w:t>
      </w:r>
    </w:p>
    <w:p w14:paraId="06CB3C6E" w14:textId="77777777" w:rsidR="007D3679" w:rsidRDefault="007D3679" w:rsidP="000912FC">
      <w:pPr>
        <w:spacing w:line="360" w:lineRule="auto"/>
        <w:jc w:val="both"/>
        <w:rPr>
          <w:rFonts w:ascii="Arial" w:hAnsi="Arial" w:cs="Arial"/>
          <w:lang w:val="en-AU" w:eastAsia="en-AU"/>
        </w:rPr>
      </w:pPr>
    </w:p>
    <w:p w14:paraId="05303FAC" w14:textId="59755F06" w:rsidR="000912FC" w:rsidRPr="002024F6" w:rsidRDefault="000C28BD" w:rsidP="000912FC">
      <w:pPr>
        <w:spacing w:line="360" w:lineRule="auto"/>
        <w:jc w:val="both"/>
        <w:rPr>
          <w:rFonts w:ascii="Arial" w:hAnsi="Arial" w:cs="Arial"/>
          <w:lang w:val="en-AU" w:eastAsia="en-AU"/>
        </w:rPr>
      </w:pPr>
      <w:r w:rsidRPr="002024F6">
        <w:rPr>
          <w:rFonts w:ascii="Arial" w:hAnsi="Arial" w:cs="Arial"/>
          <w:lang w:val="en-AU" w:eastAsia="en-AU"/>
        </w:rPr>
        <w:t>Even though retailers still spend a lot of money on mobile applications, self-service technologies, artificial intelligence (AI) and digital payment systems, these investments do not create value until customers are ready to use them and do it frequently. Customer adoption in the retail industry is also not just based on the functionality of the technology but also on how convenient the technology is perceived, trust and the shopping experience in general.</w:t>
      </w:r>
      <w:r>
        <w:rPr>
          <w:rFonts w:ascii="Arial" w:hAnsi="Arial" w:cs="Arial"/>
          <w:lang w:val="en-AU" w:eastAsia="en-AU"/>
        </w:rPr>
        <w:t xml:space="preserve"> </w:t>
      </w:r>
      <w:r w:rsidRPr="000912FC">
        <w:rPr>
          <w:rFonts w:ascii="Arial" w:hAnsi="Arial" w:cs="Arial"/>
          <w:lang w:val="en-IN" w:eastAsia="en-AU"/>
        </w:rPr>
        <w:t xml:space="preserve">Consequently, technology acceptance provides an important </w:t>
      </w:r>
      <w:r w:rsidRPr="000912FC">
        <w:rPr>
          <w:rFonts w:ascii="Arial" w:hAnsi="Arial" w:cs="Arial"/>
          <w:lang w:val="en-IN" w:eastAsia="en-AU"/>
        </w:rPr>
        <w:lastRenderedPageBreak/>
        <w:t>theoretical perspective for understanding how digital transformation contributes to customer loyalty.</w:t>
      </w:r>
    </w:p>
    <w:p w14:paraId="27075385" w14:textId="77777777" w:rsidR="002024F6" w:rsidRDefault="002024F6" w:rsidP="000912FC">
      <w:pPr>
        <w:spacing w:line="360" w:lineRule="auto"/>
        <w:jc w:val="both"/>
        <w:rPr>
          <w:rFonts w:ascii="Arial" w:hAnsi="Arial" w:cs="Arial"/>
          <w:lang w:val="en-IN" w:eastAsia="en-AU"/>
        </w:rPr>
      </w:pPr>
    </w:p>
    <w:p w14:paraId="5F1BEB55" w14:textId="77777777" w:rsidR="000912FC" w:rsidRDefault="00000000" w:rsidP="000912FC">
      <w:pPr>
        <w:spacing w:line="360" w:lineRule="auto"/>
        <w:jc w:val="both"/>
        <w:rPr>
          <w:rFonts w:ascii="Arial" w:hAnsi="Arial" w:cs="Arial"/>
          <w:lang w:val="en-IN" w:eastAsia="en-AU"/>
        </w:rPr>
      </w:pPr>
      <w:r w:rsidRPr="002024F6">
        <w:rPr>
          <w:rFonts w:ascii="Arial" w:hAnsi="Arial" w:cs="Arial"/>
          <w:lang w:val="en-AU" w:eastAsia="en-AU"/>
        </w:rPr>
        <w:t>Technology Acceptance Model (TAM), which was introduced by Davis (1989) is still under one of the most used frameworks of explicating technology adoption. The model says that the intention to use a technology depends on their perceived usefulness and perceived ease of use. It has become popular in use in various industries, and the retail industry is not an exception. TAM has however been criticised of paying more attention to the properties of technology without putting more emphasis on other aspects of behaviour and wider context. In online shopping, consumers are looking at technologies not only through usability but also the quality of the services, the ability to personalize and trust. Hence, TAM is an excellent introduction to the study, but it is just a partial explanation of customer behaviour in the context of modern omnichannel retailing</w:t>
      </w:r>
      <w:r w:rsidRPr="000912FC">
        <w:rPr>
          <w:rFonts w:ascii="Arial" w:hAnsi="Arial" w:cs="Arial"/>
          <w:lang w:val="en-IN" w:eastAsia="en-AU"/>
        </w:rPr>
        <w:t>.</w:t>
      </w:r>
    </w:p>
    <w:p w14:paraId="4D2009CC" w14:textId="77777777" w:rsidR="005949B1" w:rsidRPr="000912FC" w:rsidRDefault="005949B1" w:rsidP="000912FC">
      <w:pPr>
        <w:spacing w:line="360" w:lineRule="auto"/>
        <w:jc w:val="both"/>
        <w:rPr>
          <w:rFonts w:ascii="Arial" w:hAnsi="Arial" w:cs="Arial"/>
          <w:lang w:val="en-IN" w:eastAsia="en-AU"/>
        </w:rPr>
      </w:pPr>
    </w:p>
    <w:p w14:paraId="6124C2DB" w14:textId="77777777" w:rsidR="000912FC" w:rsidRDefault="00000000" w:rsidP="000912FC">
      <w:pPr>
        <w:spacing w:line="360" w:lineRule="auto"/>
        <w:jc w:val="both"/>
        <w:rPr>
          <w:rFonts w:ascii="Arial" w:hAnsi="Arial" w:cs="Arial"/>
          <w:lang w:val="en-IN" w:eastAsia="en-AU"/>
        </w:rPr>
      </w:pPr>
      <w:r w:rsidRPr="002024F6">
        <w:rPr>
          <w:rFonts w:ascii="Arial" w:hAnsi="Arial" w:cs="Arial"/>
          <w:lang w:val="en-AU" w:eastAsia="en-AU"/>
        </w:rPr>
        <w:t>Appreciating these shortcomings, Venkatesh et al. (2012) added technology acceptance theory with Unified Theory of Acceptance and Use of Technology (UTAUT2). To make this model more inclusive of determinants of consumer technology adoption, other determinants are added which include social influence, facilitating conditions, hedonic motivation and habit. UTAUT2 is more reflective of the complexity of the retail environments where customers engage with several digital channels in comparison with TAM. Still, Marikyan et al. (2020) believe that fast-evolving digital ecosystems cannot be adapted at once since the customer demands change with the increase of the innovation of technologies. This implies that technology acceptance is a continuous process as opposed to a single adoption decision</w:t>
      </w:r>
      <w:r w:rsidRPr="000912FC">
        <w:rPr>
          <w:rFonts w:ascii="Arial" w:hAnsi="Arial" w:cs="Arial"/>
          <w:lang w:val="en-IN" w:eastAsia="en-AU"/>
        </w:rPr>
        <w:t>.</w:t>
      </w:r>
    </w:p>
    <w:p w14:paraId="6D6D766B" w14:textId="77777777" w:rsidR="007D3679" w:rsidRDefault="007D3679" w:rsidP="000912FC">
      <w:pPr>
        <w:spacing w:line="360" w:lineRule="auto"/>
        <w:jc w:val="both"/>
        <w:rPr>
          <w:rFonts w:ascii="Arial" w:hAnsi="Arial" w:cs="Arial"/>
          <w:lang w:val="en-IN" w:eastAsia="en-AU"/>
        </w:rPr>
      </w:pPr>
    </w:p>
    <w:p w14:paraId="5A542D0A" w14:textId="77777777" w:rsidR="000912FC" w:rsidRPr="000912FC" w:rsidRDefault="00000000" w:rsidP="000912FC">
      <w:pPr>
        <w:spacing w:line="360" w:lineRule="auto"/>
        <w:jc w:val="both"/>
        <w:rPr>
          <w:rFonts w:ascii="Arial" w:hAnsi="Arial" w:cs="Arial"/>
          <w:lang w:val="en-IN" w:eastAsia="en-AU"/>
        </w:rPr>
      </w:pPr>
      <w:r w:rsidRPr="000912FC">
        <w:rPr>
          <w:rFonts w:ascii="Arial" w:hAnsi="Arial" w:cs="Arial"/>
          <w:b/>
          <w:bCs/>
          <w:lang w:val="en-IN" w:eastAsia="en-AU"/>
        </w:rPr>
        <w:t>Table 2.</w:t>
      </w:r>
      <w:r w:rsidR="003B0292">
        <w:rPr>
          <w:rFonts w:ascii="Arial" w:hAnsi="Arial" w:cs="Arial"/>
          <w:b/>
          <w:bCs/>
          <w:lang w:val="en-IN" w:eastAsia="en-AU"/>
        </w:rPr>
        <w:t>2</w:t>
      </w:r>
      <w:r>
        <w:rPr>
          <w:rFonts w:ascii="Arial" w:hAnsi="Arial" w:cs="Arial"/>
          <w:lang w:val="en-IN" w:eastAsia="en-AU"/>
        </w:rPr>
        <w:t xml:space="preserve">. </w:t>
      </w:r>
      <w:r w:rsidRPr="000C28BD">
        <w:rPr>
          <w:rFonts w:ascii="Arial" w:hAnsi="Arial" w:cs="Arial"/>
          <w:lang w:val="en-IN" w:eastAsia="en-AU"/>
        </w:rPr>
        <w:t>Comparison of Technology Acceptance Models in Digital Retail</w:t>
      </w:r>
    </w:p>
    <w:tbl>
      <w:tblPr>
        <w:tblStyle w:val="GridTable2-Accent6"/>
        <w:tblW w:w="0" w:type="auto"/>
        <w:tblLook w:val="04A0" w:firstRow="1" w:lastRow="0" w:firstColumn="1" w:lastColumn="0" w:noHBand="0" w:noVBand="1"/>
      </w:tblPr>
      <w:tblGrid>
        <w:gridCol w:w="1679"/>
        <w:gridCol w:w="1900"/>
        <w:gridCol w:w="1825"/>
        <w:gridCol w:w="1992"/>
        <w:gridCol w:w="1964"/>
      </w:tblGrid>
      <w:tr w:rsidR="00E740B3" w14:paraId="1CB01EF7" w14:textId="77777777" w:rsidTr="00E740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50BE88" w14:textId="77777777" w:rsidR="000912FC" w:rsidRPr="000912FC" w:rsidRDefault="00000000" w:rsidP="00A274B8">
            <w:pPr>
              <w:spacing w:line="276" w:lineRule="auto"/>
              <w:rPr>
                <w:rFonts w:ascii="Arial" w:hAnsi="Arial" w:cs="Arial"/>
                <w:b w:val="0"/>
                <w:bCs w:val="0"/>
                <w:lang w:val="en-IN"/>
              </w:rPr>
            </w:pPr>
            <w:r w:rsidRPr="000912FC">
              <w:rPr>
                <w:rFonts w:ascii="Arial" w:hAnsi="Arial" w:cs="Arial"/>
                <w:lang w:val="en-IN"/>
              </w:rPr>
              <w:t>Model</w:t>
            </w:r>
          </w:p>
        </w:tc>
        <w:tc>
          <w:tcPr>
            <w:tcW w:w="0" w:type="auto"/>
            <w:hideMark/>
          </w:tcPr>
          <w:p w14:paraId="36AA68CF" w14:textId="77777777" w:rsidR="000912FC" w:rsidRPr="000912FC" w:rsidRDefault="00000000" w:rsidP="00A274B8">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IN"/>
              </w:rPr>
            </w:pPr>
            <w:r w:rsidRPr="000912FC">
              <w:rPr>
                <w:rFonts w:ascii="Arial" w:hAnsi="Arial" w:cs="Arial"/>
                <w:lang w:val="en-IN"/>
              </w:rPr>
              <w:t>Key Focus</w:t>
            </w:r>
          </w:p>
        </w:tc>
        <w:tc>
          <w:tcPr>
            <w:tcW w:w="0" w:type="auto"/>
            <w:hideMark/>
          </w:tcPr>
          <w:p w14:paraId="42839B46" w14:textId="77777777" w:rsidR="000912FC" w:rsidRPr="000912FC" w:rsidRDefault="00000000" w:rsidP="00A274B8">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IN"/>
              </w:rPr>
            </w:pPr>
            <w:r w:rsidRPr="000912FC">
              <w:rPr>
                <w:rFonts w:ascii="Arial" w:hAnsi="Arial" w:cs="Arial"/>
                <w:lang w:val="en-IN"/>
              </w:rPr>
              <w:t>Strengths</w:t>
            </w:r>
          </w:p>
        </w:tc>
        <w:tc>
          <w:tcPr>
            <w:tcW w:w="0" w:type="auto"/>
            <w:hideMark/>
          </w:tcPr>
          <w:p w14:paraId="4DE8B09C" w14:textId="77777777" w:rsidR="000912FC" w:rsidRPr="000912FC" w:rsidRDefault="00000000" w:rsidP="00A274B8">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IN"/>
              </w:rPr>
            </w:pPr>
            <w:r w:rsidRPr="000912FC">
              <w:rPr>
                <w:rFonts w:ascii="Arial" w:hAnsi="Arial" w:cs="Arial"/>
                <w:lang w:val="en-IN"/>
              </w:rPr>
              <w:t>Limitations</w:t>
            </w:r>
          </w:p>
        </w:tc>
        <w:tc>
          <w:tcPr>
            <w:tcW w:w="0" w:type="auto"/>
            <w:hideMark/>
          </w:tcPr>
          <w:p w14:paraId="72CC24E3" w14:textId="77777777" w:rsidR="000912FC" w:rsidRPr="000912FC" w:rsidRDefault="00000000" w:rsidP="00A274B8">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IN"/>
              </w:rPr>
            </w:pPr>
            <w:r w:rsidRPr="000912FC">
              <w:rPr>
                <w:rFonts w:ascii="Arial" w:hAnsi="Arial" w:cs="Arial"/>
                <w:lang w:val="en-IN"/>
              </w:rPr>
              <w:t>Relevance to Tesco</w:t>
            </w:r>
          </w:p>
        </w:tc>
      </w:tr>
      <w:tr w:rsidR="00E740B3" w14:paraId="4D1CB0D3"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A09F02" w14:textId="77777777" w:rsidR="000912FC" w:rsidRPr="000912FC" w:rsidRDefault="00000000" w:rsidP="00A274B8">
            <w:pPr>
              <w:spacing w:line="276" w:lineRule="auto"/>
              <w:rPr>
                <w:rFonts w:ascii="Arial" w:hAnsi="Arial" w:cs="Arial"/>
                <w:b w:val="0"/>
                <w:bCs w:val="0"/>
                <w:lang w:val="en-IN"/>
              </w:rPr>
            </w:pPr>
            <w:r w:rsidRPr="000912FC">
              <w:rPr>
                <w:rFonts w:ascii="Arial" w:hAnsi="Arial" w:cs="Arial"/>
                <w:lang w:val="en-IN"/>
              </w:rPr>
              <w:t>TAM (Davis, 1989)</w:t>
            </w:r>
          </w:p>
        </w:tc>
        <w:tc>
          <w:tcPr>
            <w:tcW w:w="0" w:type="auto"/>
            <w:hideMark/>
          </w:tcPr>
          <w:p w14:paraId="4C00C8D2" w14:textId="77777777" w:rsidR="000912FC" w:rsidRPr="000912FC"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912FC">
              <w:rPr>
                <w:rFonts w:ascii="Arial" w:hAnsi="Arial" w:cs="Arial"/>
                <w:lang w:val="en-IN"/>
              </w:rPr>
              <w:t>Perceived usefulness and ease of use</w:t>
            </w:r>
          </w:p>
        </w:tc>
        <w:tc>
          <w:tcPr>
            <w:tcW w:w="0" w:type="auto"/>
            <w:hideMark/>
          </w:tcPr>
          <w:p w14:paraId="552509DD" w14:textId="77777777" w:rsidR="000912FC" w:rsidRPr="000912FC"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912FC">
              <w:rPr>
                <w:rFonts w:ascii="Arial" w:hAnsi="Arial" w:cs="Arial"/>
                <w:lang w:val="en-IN"/>
              </w:rPr>
              <w:t>Simple and widely validated</w:t>
            </w:r>
          </w:p>
        </w:tc>
        <w:tc>
          <w:tcPr>
            <w:tcW w:w="0" w:type="auto"/>
            <w:hideMark/>
          </w:tcPr>
          <w:p w14:paraId="08F83A81" w14:textId="77777777" w:rsidR="000912FC" w:rsidRPr="000912FC"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912FC">
              <w:rPr>
                <w:rFonts w:ascii="Arial" w:hAnsi="Arial" w:cs="Arial"/>
                <w:lang w:val="en-IN"/>
              </w:rPr>
              <w:t xml:space="preserve">Limited consideration of trust and </w:t>
            </w:r>
            <w:r w:rsidRPr="000912FC">
              <w:rPr>
                <w:rFonts w:ascii="Arial" w:hAnsi="Arial" w:cs="Arial"/>
                <w:lang w:val="en-IN"/>
              </w:rPr>
              <w:lastRenderedPageBreak/>
              <w:t>customer experience</w:t>
            </w:r>
          </w:p>
        </w:tc>
        <w:tc>
          <w:tcPr>
            <w:tcW w:w="0" w:type="auto"/>
            <w:hideMark/>
          </w:tcPr>
          <w:p w14:paraId="35E92AD3" w14:textId="77777777" w:rsidR="000912FC" w:rsidRPr="000912FC"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912FC">
              <w:rPr>
                <w:rFonts w:ascii="Arial" w:hAnsi="Arial" w:cs="Arial"/>
                <w:lang w:val="en-IN"/>
              </w:rPr>
              <w:lastRenderedPageBreak/>
              <w:t xml:space="preserve">Explains adoption of Tesco's mobile </w:t>
            </w:r>
            <w:r w:rsidRPr="000912FC">
              <w:rPr>
                <w:rFonts w:ascii="Arial" w:hAnsi="Arial" w:cs="Arial"/>
                <w:lang w:val="en-IN"/>
              </w:rPr>
              <w:lastRenderedPageBreak/>
              <w:t>app and digital services</w:t>
            </w:r>
          </w:p>
        </w:tc>
      </w:tr>
      <w:tr w:rsidR="00E740B3" w14:paraId="5128CAA0"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60B87620" w14:textId="77777777" w:rsidR="000912FC" w:rsidRPr="000912FC" w:rsidRDefault="00000000" w:rsidP="00A274B8">
            <w:pPr>
              <w:spacing w:line="276" w:lineRule="auto"/>
              <w:rPr>
                <w:rFonts w:ascii="Arial" w:hAnsi="Arial" w:cs="Arial"/>
                <w:b w:val="0"/>
                <w:bCs w:val="0"/>
                <w:lang w:val="en-IN"/>
              </w:rPr>
            </w:pPr>
            <w:r w:rsidRPr="000912FC">
              <w:rPr>
                <w:rFonts w:ascii="Arial" w:hAnsi="Arial" w:cs="Arial"/>
                <w:lang w:val="en-IN"/>
              </w:rPr>
              <w:lastRenderedPageBreak/>
              <w:t>UTAUT2 (Venkatesh et al., 2012)</w:t>
            </w:r>
          </w:p>
        </w:tc>
        <w:tc>
          <w:tcPr>
            <w:tcW w:w="0" w:type="auto"/>
            <w:hideMark/>
          </w:tcPr>
          <w:p w14:paraId="1F98A3E9" w14:textId="77777777" w:rsidR="000912FC" w:rsidRPr="000912FC" w:rsidRDefault="00000000" w:rsidP="00A274B8">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912FC">
              <w:rPr>
                <w:rFonts w:ascii="Arial" w:hAnsi="Arial" w:cs="Arial"/>
                <w:lang w:val="en-IN"/>
              </w:rPr>
              <w:t>Social, behavioural and technological influences</w:t>
            </w:r>
          </w:p>
        </w:tc>
        <w:tc>
          <w:tcPr>
            <w:tcW w:w="0" w:type="auto"/>
            <w:hideMark/>
          </w:tcPr>
          <w:p w14:paraId="3DD4E5E8" w14:textId="77777777" w:rsidR="000912FC" w:rsidRPr="000912FC" w:rsidRDefault="00000000" w:rsidP="00A274B8">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912FC">
              <w:rPr>
                <w:rFonts w:ascii="Arial" w:hAnsi="Arial" w:cs="Arial"/>
                <w:lang w:val="en-IN"/>
              </w:rPr>
              <w:t>Broader explanation of consumer adoption</w:t>
            </w:r>
          </w:p>
        </w:tc>
        <w:tc>
          <w:tcPr>
            <w:tcW w:w="0" w:type="auto"/>
            <w:hideMark/>
          </w:tcPr>
          <w:p w14:paraId="2B84BAF7" w14:textId="77777777" w:rsidR="000912FC" w:rsidRPr="000912FC" w:rsidRDefault="00000000" w:rsidP="00A274B8">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912FC">
              <w:rPr>
                <w:rFonts w:ascii="Arial" w:hAnsi="Arial" w:cs="Arial"/>
                <w:lang w:val="en-IN"/>
              </w:rPr>
              <w:t>Less emphasis on rapidly evolving retail environments</w:t>
            </w:r>
          </w:p>
        </w:tc>
        <w:tc>
          <w:tcPr>
            <w:tcW w:w="0" w:type="auto"/>
            <w:hideMark/>
          </w:tcPr>
          <w:p w14:paraId="1E056CBA" w14:textId="77777777" w:rsidR="000912FC" w:rsidRPr="000912FC" w:rsidRDefault="00000000" w:rsidP="00A274B8">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912FC">
              <w:rPr>
                <w:rFonts w:ascii="Arial" w:hAnsi="Arial" w:cs="Arial"/>
                <w:lang w:val="en-IN"/>
              </w:rPr>
              <w:t>Explains adoption of omnichannel and personalised services</w:t>
            </w:r>
          </w:p>
        </w:tc>
      </w:tr>
      <w:tr w:rsidR="00E740B3" w14:paraId="72C32131"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F238AA" w14:textId="77777777" w:rsidR="000912FC" w:rsidRPr="000912FC" w:rsidRDefault="00000000" w:rsidP="00A274B8">
            <w:pPr>
              <w:spacing w:line="276" w:lineRule="auto"/>
              <w:rPr>
                <w:rFonts w:ascii="Arial" w:hAnsi="Arial" w:cs="Arial"/>
                <w:b w:val="0"/>
                <w:bCs w:val="0"/>
                <w:lang w:val="en-IN"/>
              </w:rPr>
            </w:pPr>
            <w:r w:rsidRPr="000912FC">
              <w:rPr>
                <w:rFonts w:ascii="Arial" w:hAnsi="Arial" w:cs="Arial"/>
                <w:lang w:val="en-IN"/>
              </w:rPr>
              <w:t>Marikyan et al. (2020)</w:t>
            </w:r>
          </w:p>
        </w:tc>
        <w:tc>
          <w:tcPr>
            <w:tcW w:w="0" w:type="auto"/>
            <w:hideMark/>
          </w:tcPr>
          <w:p w14:paraId="7B7491BE" w14:textId="77777777" w:rsidR="000912FC" w:rsidRPr="000912FC"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912FC">
              <w:rPr>
                <w:rFonts w:ascii="Arial" w:hAnsi="Arial" w:cs="Arial"/>
                <w:lang w:val="en-IN"/>
              </w:rPr>
              <w:t>Customer-centred digital adoption</w:t>
            </w:r>
          </w:p>
        </w:tc>
        <w:tc>
          <w:tcPr>
            <w:tcW w:w="0" w:type="auto"/>
            <w:hideMark/>
          </w:tcPr>
          <w:p w14:paraId="42082ADF" w14:textId="77777777" w:rsidR="000912FC" w:rsidRPr="000912FC"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912FC">
              <w:rPr>
                <w:rFonts w:ascii="Arial" w:hAnsi="Arial" w:cs="Arial"/>
                <w:lang w:val="en-IN"/>
              </w:rPr>
              <w:t>Recognises changing customer expectations</w:t>
            </w:r>
          </w:p>
        </w:tc>
        <w:tc>
          <w:tcPr>
            <w:tcW w:w="0" w:type="auto"/>
            <w:hideMark/>
          </w:tcPr>
          <w:p w14:paraId="4E6188CC" w14:textId="77777777" w:rsidR="000912FC" w:rsidRPr="000912FC"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912FC">
              <w:rPr>
                <w:rFonts w:ascii="Arial" w:hAnsi="Arial" w:cs="Arial"/>
                <w:lang w:val="en-IN"/>
              </w:rPr>
              <w:t>Limited empirical evidence in grocery retail</w:t>
            </w:r>
          </w:p>
        </w:tc>
        <w:tc>
          <w:tcPr>
            <w:tcW w:w="0" w:type="auto"/>
            <w:hideMark/>
          </w:tcPr>
          <w:p w14:paraId="0EC9E782" w14:textId="77777777" w:rsidR="000912FC" w:rsidRPr="000912FC" w:rsidRDefault="00000000" w:rsidP="00A274B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912FC">
              <w:rPr>
                <w:rFonts w:ascii="Arial" w:hAnsi="Arial" w:cs="Arial"/>
                <w:lang w:val="en-IN"/>
              </w:rPr>
              <w:t>Highlights continuous customer engagement</w:t>
            </w:r>
          </w:p>
        </w:tc>
      </w:tr>
    </w:tbl>
    <w:p w14:paraId="42DD5321" w14:textId="77777777" w:rsidR="000912FC" w:rsidRPr="000912FC" w:rsidRDefault="00000000" w:rsidP="000912FC">
      <w:pPr>
        <w:spacing w:line="360" w:lineRule="auto"/>
        <w:jc w:val="both"/>
        <w:rPr>
          <w:rFonts w:ascii="Arial" w:hAnsi="Arial" w:cs="Arial"/>
          <w:lang w:val="en-IN" w:eastAsia="en-AU"/>
        </w:rPr>
      </w:pPr>
      <w:r w:rsidRPr="000912FC">
        <w:rPr>
          <w:rFonts w:ascii="Arial" w:hAnsi="Arial" w:cs="Arial"/>
          <w:i/>
          <w:iCs/>
          <w:lang w:val="en-IN" w:eastAsia="en-AU"/>
        </w:rPr>
        <w:t>Source: Developed by the researcher based on Davis (1989), Venkatesh et al. (2012), and Marikyan et al. (2020).</w:t>
      </w:r>
    </w:p>
    <w:p w14:paraId="3FCAFC6B" w14:textId="77777777" w:rsidR="002024F6" w:rsidRDefault="002024F6" w:rsidP="000912FC">
      <w:pPr>
        <w:spacing w:line="360" w:lineRule="auto"/>
        <w:jc w:val="both"/>
        <w:rPr>
          <w:rFonts w:ascii="Arial" w:hAnsi="Arial" w:cs="Arial"/>
          <w:lang w:val="en-IN" w:eastAsia="en-AU"/>
        </w:rPr>
      </w:pPr>
    </w:p>
    <w:p w14:paraId="69427022" w14:textId="77777777" w:rsidR="002024F6" w:rsidRDefault="00000000" w:rsidP="000912FC">
      <w:pPr>
        <w:spacing w:line="360" w:lineRule="auto"/>
        <w:jc w:val="both"/>
        <w:rPr>
          <w:rFonts w:ascii="Arial" w:hAnsi="Arial" w:cs="Arial"/>
          <w:lang w:val="en-AU" w:eastAsia="en-AU"/>
        </w:rPr>
      </w:pPr>
      <w:r w:rsidRPr="002024F6">
        <w:rPr>
          <w:rFonts w:ascii="Arial" w:hAnsi="Arial" w:cs="Arial"/>
          <w:lang w:val="en-AU" w:eastAsia="en-AU"/>
        </w:rPr>
        <w:t>Table 2.2 shows how the technology acceptance research field shifted its small scope of interest in the usability of systems to a wider concept of behavioural and experience impacts. The comparison shows that the successful adoption not only involves functional performance but covers the perceptions of value, convenience and trust to customers. These results support the perspective that retailers must continuously revise digital experiences to maintain customer engagement.</w:t>
      </w:r>
    </w:p>
    <w:p w14:paraId="34D4AB55" w14:textId="77777777" w:rsidR="005949B1" w:rsidRDefault="005949B1" w:rsidP="000912FC">
      <w:pPr>
        <w:spacing w:line="360" w:lineRule="auto"/>
        <w:jc w:val="both"/>
        <w:rPr>
          <w:rFonts w:ascii="Arial" w:hAnsi="Arial" w:cs="Arial"/>
          <w:lang w:val="en-AU" w:eastAsia="en-AU"/>
        </w:rPr>
      </w:pPr>
    </w:p>
    <w:p w14:paraId="4A8DC8A4" w14:textId="77777777" w:rsidR="00E3168C" w:rsidRDefault="00000000" w:rsidP="000912FC">
      <w:pPr>
        <w:spacing w:line="360" w:lineRule="auto"/>
        <w:jc w:val="both"/>
        <w:rPr>
          <w:rFonts w:ascii="Arial" w:hAnsi="Arial" w:cs="Arial"/>
          <w:lang w:val="en-AU" w:eastAsia="en-AU"/>
        </w:rPr>
      </w:pPr>
      <w:r w:rsidRPr="002024F6">
        <w:rPr>
          <w:rFonts w:ascii="Arial" w:hAnsi="Arial" w:cs="Arial"/>
          <w:lang w:val="en-AU" w:eastAsia="en-AU"/>
        </w:rPr>
        <w:t xml:space="preserve">Recent research also shows that trust and personalisation have emerged to be key determinants of technology adoption. Shankar et al. (2021) claim that when customers are provided with customised suggestions, on-site and uncomplicated interactions with functional payment systems, they are more inclined to use digital stores. In the same vein, Hossain et al. (2023) indicate that personalisation facilitated by AI enhances shopping experiences because it makes individual suggestions based on their preferences. </w:t>
      </w:r>
    </w:p>
    <w:p w14:paraId="76923C5F" w14:textId="77777777" w:rsidR="00E3168C" w:rsidRDefault="00E3168C" w:rsidP="000912FC">
      <w:pPr>
        <w:spacing w:line="360" w:lineRule="auto"/>
        <w:jc w:val="both"/>
        <w:rPr>
          <w:rFonts w:ascii="Arial" w:hAnsi="Arial" w:cs="Arial"/>
          <w:lang w:val="en-AU" w:eastAsia="en-AU"/>
        </w:rPr>
      </w:pPr>
    </w:p>
    <w:p w14:paraId="5DBDB3B2" w14:textId="3C57277A" w:rsidR="002024F6" w:rsidRDefault="00000000" w:rsidP="000912FC">
      <w:pPr>
        <w:spacing w:line="360" w:lineRule="auto"/>
        <w:jc w:val="both"/>
        <w:rPr>
          <w:rFonts w:ascii="Arial" w:hAnsi="Arial" w:cs="Arial"/>
          <w:lang w:val="en-AU" w:eastAsia="en-AU"/>
        </w:rPr>
      </w:pPr>
      <w:r w:rsidRPr="002024F6">
        <w:rPr>
          <w:rFonts w:ascii="Arial" w:hAnsi="Arial" w:cs="Arial"/>
          <w:lang w:val="en-AU" w:eastAsia="en-AU"/>
        </w:rPr>
        <w:t>But the increase in the use of customer data has also generated additional concerns over privacy and cybersecurity. Unless the customers are convinced that personal information is handled in a responsible manner, trust can be lost even with technological advancement. As such, the retailers should maintain equilibrium between innovation and good governance of data to promote continuous technology usage.</w:t>
      </w:r>
    </w:p>
    <w:p w14:paraId="51A38902" w14:textId="77777777" w:rsidR="005949B1" w:rsidRDefault="005949B1" w:rsidP="000912FC">
      <w:pPr>
        <w:spacing w:line="360" w:lineRule="auto"/>
        <w:jc w:val="both"/>
        <w:rPr>
          <w:rFonts w:ascii="Arial" w:hAnsi="Arial" w:cs="Arial"/>
          <w:lang w:val="en-AU" w:eastAsia="en-AU"/>
        </w:rPr>
      </w:pPr>
    </w:p>
    <w:p w14:paraId="09CBE74C" w14:textId="77777777" w:rsidR="002024F6" w:rsidRDefault="00000000" w:rsidP="000912FC">
      <w:pPr>
        <w:spacing w:line="360" w:lineRule="auto"/>
        <w:jc w:val="both"/>
        <w:rPr>
          <w:rFonts w:ascii="Arial" w:hAnsi="Arial" w:cs="Arial"/>
          <w:lang w:val="en-AU" w:eastAsia="en-AU"/>
        </w:rPr>
      </w:pPr>
      <w:r w:rsidRPr="002024F6">
        <w:rPr>
          <w:rFonts w:ascii="Arial" w:hAnsi="Arial" w:cs="Arial"/>
          <w:lang w:val="en-AU" w:eastAsia="en-AU"/>
        </w:rPr>
        <w:t>These concerns are especially topical to Tesco, where digital strategy combines mobile applications, analytics and AI-powered personalisation of Club cards to improve customer interaction. Although these technologies are motivating more people to rely on digital channels, the success of these technologies in the long-term is hinged on the need to create positive experiences to customers, as opposed to relying on more technology. Technology acceptance is thus one of the pillars that can be used to establish more effective customer relationships and stimulate repetitive purchasing behaviour. In general, the literature indicates that technology acceptance theories explain the initial involvement of the customer with the digital retail services, though only partially, to the long-term loyalty. Recent studies are shedding more light on the role of trust, personalisation and customer experience in maintaining the digitisation engagement levels. These provided insights form the basis of the discussion of customer experience in omnichannel retailing that follows.</w:t>
      </w:r>
      <w:r>
        <w:rPr>
          <w:rFonts w:ascii="Arial" w:hAnsi="Arial" w:cs="Arial"/>
          <w:lang w:val="en-AU" w:eastAsia="en-AU"/>
        </w:rPr>
        <w:t xml:space="preserve"> </w:t>
      </w:r>
    </w:p>
    <w:p w14:paraId="6E7512B7" w14:textId="77777777" w:rsidR="000912FC" w:rsidRPr="000912FC" w:rsidRDefault="00000000" w:rsidP="00A274B8">
      <w:pPr>
        <w:spacing w:before="240" w:after="240"/>
        <w:outlineLvl w:val="1"/>
        <w:rPr>
          <w:rFonts w:ascii="Arial" w:hAnsi="Arial"/>
          <w:color w:val="000000"/>
          <w:sz w:val="28"/>
          <w:szCs w:val="26"/>
          <w:lang w:val="en-IN" w:eastAsia="en-AU"/>
        </w:rPr>
      </w:pPr>
      <w:bookmarkStart w:id="25" w:name="_Toc237189226"/>
      <w:bookmarkStart w:id="26" w:name="_Toc238670377"/>
      <w:r w:rsidRPr="000912FC">
        <w:rPr>
          <w:rFonts w:ascii="Arial" w:hAnsi="Arial"/>
          <w:color w:val="000000"/>
          <w:sz w:val="28"/>
          <w:szCs w:val="26"/>
          <w:lang w:val="en-IN" w:eastAsia="en-AU"/>
        </w:rPr>
        <w:t>2.3 Customer Experience in Omnichannel Retailing</w:t>
      </w:r>
      <w:bookmarkEnd w:id="25"/>
      <w:bookmarkEnd w:id="26"/>
    </w:p>
    <w:p w14:paraId="52A4BFB5" w14:textId="77777777" w:rsidR="00E3168C" w:rsidRDefault="00000000" w:rsidP="000912FC">
      <w:pPr>
        <w:spacing w:line="360" w:lineRule="auto"/>
        <w:jc w:val="both"/>
        <w:rPr>
          <w:rFonts w:ascii="Arial" w:hAnsi="Arial" w:cs="Arial"/>
          <w:lang w:val="en-AU" w:eastAsia="en-AU"/>
        </w:rPr>
      </w:pPr>
      <w:r w:rsidRPr="002024F6">
        <w:rPr>
          <w:rFonts w:ascii="Arial" w:hAnsi="Arial" w:cs="Arial"/>
          <w:lang w:val="en-AU" w:eastAsia="en-AU"/>
        </w:rPr>
        <w:t xml:space="preserve">In 2023/24, Tesco fulfilled about 1.2 million online grocery orders each week, demonstrating the rising demand on the smooth omnichannel shopping experiences (Tesco PLC, 2024). This expansion shows that the customer expectation has changed to a combination of the digital and physical retail services and thus customer experience is a very important source of competitive edge. </w:t>
      </w:r>
    </w:p>
    <w:p w14:paraId="6C412D4B" w14:textId="77777777" w:rsidR="00E3168C" w:rsidRDefault="00E3168C" w:rsidP="000912FC">
      <w:pPr>
        <w:spacing w:line="360" w:lineRule="auto"/>
        <w:jc w:val="both"/>
        <w:rPr>
          <w:rFonts w:ascii="Arial" w:hAnsi="Arial" w:cs="Arial"/>
          <w:lang w:val="en-AU" w:eastAsia="en-AU"/>
        </w:rPr>
      </w:pPr>
    </w:p>
    <w:p w14:paraId="3C346D64" w14:textId="77777777" w:rsidR="00E3168C" w:rsidRDefault="00000000" w:rsidP="000912FC">
      <w:pPr>
        <w:spacing w:line="360" w:lineRule="auto"/>
        <w:jc w:val="both"/>
        <w:rPr>
          <w:rFonts w:ascii="Arial" w:hAnsi="Arial" w:cs="Arial"/>
          <w:lang w:val="en-AU" w:eastAsia="en-AU"/>
        </w:rPr>
      </w:pPr>
      <w:r w:rsidRPr="002024F6">
        <w:rPr>
          <w:rFonts w:ascii="Arial" w:hAnsi="Arial" w:cs="Arial"/>
          <w:lang w:val="en-AU" w:eastAsia="en-AU"/>
        </w:rPr>
        <w:t xml:space="preserve">The experience of customers has become one of the key goals of digital transformation since retailers are growing more competitive regarding the quality of services and personalised customer experience, rather than the price. The incorporation of mobile applications, online shopping and built-in digital services have transformed the interactions between the customers and retailers during the shopping process. </w:t>
      </w:r>
    </w:p>
    <w:p w14:paraId="604950CE" w14:textId="77777777" w:rsidR="00E3168C" w:rsidRDefault="00E3168C" w:rsidP="000912FC">
      <w:pPr>
        <w:spacing w:line="360" w:lineRule="auto"/>
        <w:jc w:val="both"/>
        <w:rPr>
          <w:rFonts w:ascii="Arial" w:hAnsi="Arial" w:cs="Arial"/>
          <w:lang w:val="en-AU" w:eastAsia="en-AU"/>
        </w:rPr>
      </w:pPr>
    </w:p>
    <w:p w14:paraId="1C5BFAF5" w14:textId="42555FCF" w:rsidR="002024F6" w:rsidRDefault="00000000" w:rsidP="000912FC">
      <w:pPr>
        <w:spacing w:line="360" w:lineRule="auto"/>
        <w:jc w:val="both"/>
        <w:rPr>
          <w:rFonts w:ascii="Arial" w:hAnsi="Arial" w:cs="Arial"/>
          <w:lang w:val="en-AU" w:eastAsia="en-AU"/>
        </w:rPr>
      </w:pPr>
      <w:r w:rsidRPr="002024F6">
        <w:rPr>
          <w:rFonts w:ascii="Arial" w:hAnsi="Arial" w:cs="Arial"/>
          <w:lang w:val="en-AU" w:eastAsia="en-AU"/>
        </w:rPr>
        <w:t xml:space="preserve">Consequently, the concept of retailing through the omnichannel has become a technique by which brick-and-mortar stores are intertwined with the online platform to provide an uninterrupted customer experience. Provision of various channels cannot guarantee </w:t>
      </w:r>
      <w:r w:rsidRPr="002024F6">
        <w:rPr>
          <w:rFonts w:ascii="Arial" w:hAnsi="Arial" w:cs="Arial"/>
          <w:lang w:val="en-AU" w:eastAsia="en-AU"/>
        </w:rPr>
        <w:lastRenderedPageBreak/>
        <w:t>customer satisfaction though. Omnichannel retailing success is determined by the extent to which retailers combine such channels to enhance a smooth and comfortable shopping experience.</w:t>
      </w:r>
    </w:p>
    <w:p w14:paraId="0FB741E1" w14:textId="77777777" w:rsidR="005949B1" w:rsidRDefault="005949B1" w:rsidP="000912FC">
      <w:pPr>
        <w:spacing w:line="360" w:lineRule="auto"/>
        <w:jc w:val="both"/>
        <w:rPr>
          <w:rFonts w:ascii="Arial" w:hAnsi="Arial" w:cs="Arial"/>
          <w:lang w:val="en-AU" w:eastAsia="en-AU"/>
        </w:rPr>
      </w:pPr>
    </w:p>
    <w:p w14:paraId="0467030C" w14:textId="62516596" w:rsidR="002024F6" w:rsidRDefault="00000000" w:rsidP="000912FC">
      <w:pPr>
        <w:spacing w:line="360" w:lineRule="auto"/>
        <w:jc w:val="both"/>
        <w:rPr>
          <w:rFonts w:ascii="Arial" w:hAnsi="Arial" w:cs="Arial"/>
          <w:lang w:val="en-AU" w:eastAsia="en-AU"/>
        </w:rPr>
      </w:pPr>
      <w:r w:rsidRPr="002024F6">
        <w:rPr>
          <w:rFonts w:ascii="Arial" w:hAnsi="Arial" w:cs="Arial"/>
          <w:lang w:val="en-AU" w:eastAsia="en-AU"/>
        </w:rPr>
        <w:t xml:space="preserve">According to Lemon and Verhoeff (2016) customer experience </w:t>
      </w:r>
      <w:r w:rsidR="00E3168C" w:rsidRPr="00E3168C">
        <w:rPr>
          <w:rFonts w:ascii="Arial" w:hAnsi="Arial" w:cs="Arial"/>
          <w:lang w:val="en-AU" w:eastAsia="en-AU"/>
        </w:rPr>
        <w:t>extends beyond the duration of a single transaction</w:t>
      </w:r>
      <w:r w:rsidRPr="002024F6">
        <w:rPr>
          <w:rFonts w:ascii="Arial" w:hAnsi="Arial" w:cs="Arial"/>
          <w:lang w:val="en-AU" w:eastAsia="en-AU"/>
        </w:rPr>
        <w:t>, but all interactions prior to, during and after a purchase. Their model emphasizes that the customers consider retailers as a whole shopping experience and not in a single service experience. Verhoeff et al. (2021), on the other hand, focus on the organisational capabilities involved in providing such experiences and claim that digital transformation allows retailers to organize interactions with customers on a variety of touchpoints. The two studies share the view on the strategic role of customer experience, but Lemon and Verhoef (2016) center more on the perceptions of customers, whereas Verhoef et al. (2021) discuss how digital capabilities mediate the experiences. Combined, these views indicate that the best customer experiences cannot be achieved without customer-focused design and efficient technological integration.</w:t>
      </w:r>
    </w:p>
    <w:p w14:paraId="7EECA093" w14:textId="77777777" w:rsidR="005949B1" w:rsidRDefault="005949B1" w:rsidP="000912FC">
      <w:pPr>
        <w:spacing w:line="360" w:lineRule="auto"/>
        <w:jc w:val="both"/>
        <w:rPr>
          <w:rFonts w:ascii="Arial" w:hAnsi="Arial" w:cs="Arial"/>
          <w:lang w:val="en-AU" w:eastAsia="en-AU"/>
        </w:rPr>
      </w:pPr>
    </w:p>
    <w:p w14:paraId="5AF45322" w14:textId="77777777" w:rsidR="00E3168C" w:rsidRDefault="00000000" w:rsidP="000912FC">
      <w:pPr>
        <w:spacing w:line="360" w:lineRule="auto"/>
        <w:jc w:val="both"/>
        <w:rPr>
          <w:rFonts w:ascii="Arial" w:hAnsi="Arial" w:cs="Arial"/>
          <w:lang w:val="en-AU" w:eastAsia="en-AU"/>
        </w:rPr>
      </w:pPr>
      <w:r w:rsidRPr="002024F6">
        <w:rPr>
          <w:rFonts w:ascii="Arial" w:hAnsi="Arial" w:cs="Arial"/>
          <w:lang w:val="en-AU" w:eastAsia="en-AU"/>
        </w:rPr>
        <w:t>Researchers also claim that omnichannel retailing enhances customer satisfaction by bringing in more convenience and flexibility. According to Grewal et al. (2020), customers may anticipate the possibility of online searching premises, making purchases via mobile apps and picking up orders in physical stores unproblematically. Likewise, Vakulenko et al. (2018) discovered that click-and-collect services improve the convenience of online shopping as they integrate the efficiency of online shopping with immediate product availability.</w:t>
      </w:r>
    </w:p>
    <w:p w14:paraId="1A119F85" w14:textId="77777777" w:rsidR="00E3168C" w:rsidRDefault="00E3168C" w:rsidP="000912FC">
      <w:pPr>
        <w:spacing w:line="360" w:lineRule="auto"/>
        <w:jc w:val="both"/>
        <w:rPr>
          <w:rFonts w:ascii="Arial" w:hAnsi="Arial" w:cs="Arial"/>
          <w:lang w:val="en-AU" w:eastAsia="en-AU"/>
        </w:rPr>
      </w:pPr>
    </w:p>
    <w:p w14:paraId="56D9109A" w14:textId="5683D1BA" w:rsidR="002024F6" w:rsidRDefault="00000000" w:rsidP="000912FC">
      <w:pPr>
        <w:spacing w:line="360" w:lineRule="auto"/>
        <w:jc w:val="both"/>
        <w:rPr>
          <w:rFonts w:ascii="Arial" w:hAnsi="Arial" w:cs="Arial"/>
          <w:lang w:val="en-AU" w:eastAsia="en-AU"/>
        </w:rPr>
      </w:pPr>
      <w:r w:rsidRPr="002024F6">
        <w:rPr>
          <w:rFonts w:ascii="Arial" w:hAnsi="Arial" w:cs="Arial"/>
          <w:lang w:val="en-AU" w:eastAsia="en-AU"/>
        </w:rPr>
        <w:t>However, these benefits are achieved only in the case where both digital and physical channels work in harmony. Lack of consistency in pricing, lack of inventory accuracy or improper channel coordination may cause a customer frustration and diminished perceived advantages of digital transformation. Thus, you cannot simply invest in technology without enhancing the entire customer experience.</w:t>
      </w:r>
    </w:p>
    <w:p w14:paraId="3D44C18E" w14:textId="77777777" w:rsidR="001963CF" w:rsidRDefault="001963CF" w:rsidP="000912FC">
      <w:pPr>
        <w:spacing w:line="360" w:lineRule="auto"/>
        <w:jc w:val="both"/>
        <w:rPr>
          <w:rFonts w:ascii="Arial" w:hAnsi="Arial" w:cs="Arial"/>
          <w:lang w:val="en-AU" w:eastAsia="en-AU"/>
        </w:rPr>
      </w:pPr>
    </w:p>
    <w:p w14:paraId="61216CF4" w14:textId="77777777" w:rsidR="001963CF" w:rsidRDefault="001963CF" w:rsidP="000912FC">
      <w:pPr>
        <w:spacing w:line="360" w:lineRule="auto"/>
        <w:jc w:val="both"/>
        <w:rPr>
          <w:rFonts w:ascii="Arial" w:hAnsi="Arial" w:cs="Arial"/>
          <w:lang w:val="en-AU" w:eastAsia="en-AU"/>
        </w:rPr>
      </w:pPr>
    </w:p>
    <w:p w14:paraId="578BDA0D" w14:textId="77777777" w:rsidR="001963CF" w:rsidRDefault="001963CF" w:rsidP="000912FC">
      <w:pPr>
        <w:spacing w:line="360" w:lineRule="auto"/>
        <w:jc w:val="both"/>
        <w:rPr>
          <w:rFonts w:ascii="Arial" w:hAnsi="Arial" w:cs="Arial"/>
          <w:lang w:val="en-AU" w:eastAsia="en-AU"/>
        </w:rPr>
      </w:pPr>
    </w:p>
    <w:p w14:paraId="453FC3D6" w14:textId="77777777" w:rsidR="001963CF" w:rsidRDefault="001963CF" w:rsidP="000912FC">
      <w:pPr>
        <w:spacing w:line="360" w:lineRule="auto"/>
        <w:jc w:val="both"/>
        <w:rPr>
          <w:rFonts w:ascii="Arial" w:hAnsi="Arial" w:cs="Arial"/>
          <w:lang w:val="en-AU" w:eastAsia="en-AU"/>
        </w:rPr>
      </w:pPr>
    </w:p>
    <w:p w14:paraId="15A27131" w14:textId="77777777" w:rsidR="001963CF" w:rsidRDefault="001963CF" w:rsidP="000912FC">
      <w:pPr>
        <w:spacing w:line="360" w:lineRule="auto"/>
        <w:jc w:val="both"/>
        <w:rPr>
          <w:rFonts w:ascii="Arial" w:hAnsi="Arial" w:cs="Arial"/>
          <w:lang w:val="en-AU" w:eastAsia="en-AU"/>
        </w:rPr>
      </w:pPr>
    </w:p>
    <w:p w14:paraId="6994AC5F" w14:textId="77777777" w:rsidR="00E3168C" w:rsidRDefault="00E3168C" w:rsidP="000912FC">
      <w:pPr>
        <w:spacing w:line="360" w:lineRule="auto"/>
        <w:jc w:val="both"/>
        <w:rPr>
          <w:rFonts w:ascii="Arial" w:hAnsi="Arial" w:cs="Arial"/>
          <w:lang w:val="en-AU" w:eastAsia="en-AU"/>
        </w:rPr>
      </w:pPr>
    </w:p>
    <w:p w14:paraId="605EBEAF" w14:textId="77777777" w:rsidR="000912FC" w:rsidRPr="000912FC" w:rsidRDefault="00000000" w:rsidP="000912FC">
      <w:pPr>
        <w:spacing w:line="360" w:lineRule="auto"/>
        <w:jc w:val="both"/>
        <w:rPr>
          <w:rFonts w:ascii="Arial" w:hAnsi="Arial" w:cs="Arial"/>
          <w:lang w:val="en-IN" w:eastAsia="en-AU"/>
        </w:rPr>
      </w:pPr>
      <w:r w:rsidRPr="000912FC">
        <w:rPr>
          <w:rFonts w:ascii="Arial" w:hAnsi="Arial" w:cs="Arial"/>
          <w:b/>
          <w:bCs/>
          <w:lang w:val="en-IN" w:eastAsia="en-AU"/>
        </w:rPr>
        <w:t>Table 2.3</w:t>
      </w:r>
      <w:r w:rsidR="002024F6">
        <w:rPr>
          <w:rFonts w:ascii="Arial" w:hAnsi="Arial" w:cs="Arial"/>
          <w:lang w:val="en-IN" w:eastAsia="en-AU"/>
        </w:rPr>
        <w:t xml:space="preserve">. </w:t>
      </w:r>
      <w:r w:rsidRPr="000912FC">
        <w:rPr>
          <w:rFonts w:ascii="Arial" w:hAnsi="Arial" w:cs="Arial"/>
          <w:b/>
          <w:bCs/>
          <w:lang w:val="en-IN" w:eastAsia="en-AU"/>
        </w:rPr>
        <w:t>Key Drivers of Customer Experience in Omnichannel Retailing</w:t>
      </w:r>
    </w:p>
    <w:tbl>
      <w:tblPr>
        <w:tblStyle w:val="GridTable2-Accent1"/>
        <w:tblW w:w="0" w:type="auto"/>
        <w:tblLook w:val="04A0" w:firstRow="1" w:lastRow="0" w:firstColumn="1" w:lastColumn="0" w:noHBand="0" w:noVBand="1"/>
      </w:tblPr>
      <w:tblGrid>
        <w:gridCol w:w="2191"/>
        <w:gridCol w:w="3818"/>
        <w:gridCol w:w="3351"/>
      </w:tblGrid>
      <w:tr w:rsidR="00E740B3" w14:paraId="3133373A" w14:textId="77777777" w:rsidTr="00E740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C61824" w14:textId="77777777" w:rsidR="000912FC" w:rsidRPr="000912FC" w:rsidRDefault="00000000" w:rsidP="00A274B8">
            <w:pPr>
              <w:spacing w:line="360" w:lineRule="auto"/>
              <w:rPr>
                <w:rFonts w:ascii="Arial" w:hAnsi="Arial" w:cs="Arial"/>
                <w:b w:val="0"/>
                <w:bCs w:val="0"/>
                <w:lang w:val="en-IN"/>
              </w:rPr>
            </w:pPr>
            <w:r w:rsidRPr="000912FC">
              <w:rPr>
                <w:rFonts w:ascii="Arial" w:hAnsi="Arial" w:cs="Arial"/>
                <w:lang w:val="en-IN"/>
              </w:rPr>
              <w:t>Driver</w:t>
            </w:r>
          </w:p>
        </w:tc>
        <w:tc>
          <w:tcPr>
            <w:tcW w:w="0" w:type="auto"/>
            <w:hideMark/>
          </w:tcPr>
          <w:p w14:paraId="2398EB61" w14:textId="77777777" w:rsidR="000912FC" w:rsidRPr="000912FC" w:rsidRDefault="00000000" w:rsidP="00A274B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IN"/>
              </w:rPr>
            </w:pPr>
            <w:r w:rsidRPr="000912FC">
              <w:rPr>
                <w:rFonts w:ascii="Arial" w:hAnsi="Arial" w:cs="Arial"/>
                <w:lang w:val="en-IN"/>
              </w:rPr>
              <w:t>Contribution to Customer Experience</w:t>
            </w:r>
          </w:p>
        </w:tc>
        <w:tc>
          <w:tcPr>
            <w:tcW w:w="0" w:type="auto"/>
            <w:hideMark/>
          </w:tcPr>
          <w:p w14:paraId="3C8ABAF6" w14:textId="77777777" w:rsidR="000912FC" w:rsidRPr="000912FC" w:rsidRDefault="00000000" w:rsidP="00A274B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IN"/>
              </w:rPr>
            </w:pPr>
            <w:r w:rsidRPr="000912FC">
              <w:rPr>
                <w:rFonts w:ascii="Arial" w:hAnsi="Arial" w:cs="Arial"/>
                <w:lang w:val="en-IN"/>
              </w:rPr>
              <w:t>Retail Implication</w:t>
            </w:r>
          </w:p>
        </w:tc>
      </w:tr>
      <w:tr w:rsidR="00E740B3" w14:paraId="6FFD7D68"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DA66F8" w14:textId="77777777" w:rsidR="000912FC" w:rsidRPr="000912FC" w:rsidRDefault="00000000" w:rsidP="00A274B8">
            <w:pPr>
              <w:spacing w:line="360" w:lineRule="auto"/>
              <w:rPr>
                <w:rFonts w:ascii="Arial" w:hAnsi="Arial" w:cs="Arial"/>
                <w:b w:val="0"/>
                <w:bCs w:val="0"/>
                <w:lang w:val="en-IN"/>
              </w:rPr>
            </w:pPr>
            <w:r w:rsidRPr="000912FC">
              <w:rPr>
                <w:rFonts w:ascii="Arial" w:hAnsi="Arial" w:cs="Arial"/>
                <w:lang w:val="en-IN"/>
              </w:rPr>
              <w:t>Personalisation</w:t>
            </w:r>
          </w:p>
        </w:tc>
        <w:tc>
          <w:tcPr>
            <w:tcW w:w="0" w:type="auto"/>
            <w:hideMark/>
          </w:tcPr>
          <w:p w14:paraId="19ACE2BB" w14:textId="77777777" w:rsidR="000912FC" w:rsidRPr="000912FC" w:rsidRDefault="00000000" w:rsidP="00A274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912FC">
              <w:rPr>
                <w:rFonts w:ascii="Arial" w:hAnsi="Arial" w:cs="Arial"/>
                <w:lang w:val="en-IN"/>
              </w:rPr>
              <w:t>Relevant product recommendations and offers</w:t>
            </w:r>
          </w:p>
        </w:tc>
        <w:tc>
          <w:tcPr>
            <w:tcW w:w="0" w:type="auto"/>
            <w:hideMark/>
          </w:tcPr>
          <w:p w14:paraId="1882E0F9" w14:textId="77777777" w:rsidR="000912FC" w:rsidRPr="000912FC" w:rsidRDefault="00000000" w:rsidP="00A274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912FC">
              <w:rPr>
                <w:rFonts w:ascii="Arial" w:hAnsi="Arial" w:cs="Arial"/>
                <w:lang w:val="en-IN"/>
              </w:rPr>
              <w:t>Improves customer satisfaction and repeat purchases</w:t>
            </w:r>
          </w:p>
        </w:tc>
      </w:tr>
      <w:tr w:rsidR="00E740B3" w14:paraId="08F2EB10"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6AC0ED86" w14:textId="77777777" w:rsidR="000912FC" w:rsidRPr="000912FC" w:rsidRDefault="00000000" w:rsidP="00A274B8">
            <w:pPr>
              <w:spacing w:line="360" w:lineRule="auto"/>
              <w:rPr>
                <w:rFonts w:ascii="Arial" w:hAnsi="Arial" w:cs="Arial"/>
                <w:b w:val="0"/>
                <w:bCs w:val="0"/>
                <w:lang w:val="en-IN"/>
              </w:rPr>
            </w:pPr>
            <w:r w:rsidRPr="000912FC">
              <w:rPr>
                <w:rFonts w:ascii="Arial" w:hAnsi="Arial" w:cs="Arial"/>
                <w:lang w:val="en-IN"/>
              </w:rPr>
              <w:t>Channel Integration</w:t>
            </w:r>
          </w:p>
        </w:tc>
        <w:tc>
          <w:tcPr>
            <w:tcW w:w="0" w:type="auto"/>
            <w:hideMark/>
          </w:tcPr>
          <w:p w14:paraId="06651981" w14:textId="77777777" w:rsidR="000912FC" w:rsidRPr="000912FC" w:rsidRDefault="00000000" w:rsidP="00A274B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912FC">
              <w:rPr>
                <w:rFonts w:ascii="Arial" w:hAnsi="Arial" w:cs="Arial"/>
                <w:lang w:val="en-IN"/>
              </w:rPr>
              <w:t>Seamless movement between online and offline channels</w:t>
            </w:r>
          </w:p>
        </w:tc>
        <w:tc>
          <w:tcPr>
            <w:tcW w:w="0" w:type="auto"/>
            <w:hideMark/>
          </w:tcPr>
          <w:p w14:paraId="6F902BF3" w14:textId="77777777" w:rsidR="000912FC" w:rsidRPr="000912FC" w:rsidRDefault="00000000" w:rsidP="00A274B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912FC">
              <w:rPr>
                <w:rFonts w:ascii="Arial" w:hAnsi="Arial" w:cs="Arial"/>
                <w:lang w:val="en-IN"/>
              </w:rPr>
              <w:t>Enhances convenience and reduces customer effort</w:t>
            </w:r>
          </w:p>
        </w:tc>
      </w:tr>
      <w:tr w:rsidR="00E740B3" w14:paraId="2CA64982"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3079EF" w14:textId="77777777" w:rsidR="000912FC" w:rsidRPr="000912FC" w:rsidRDefault="00000000" w:rsidP="00A274B8">
            <w:pPr>
              <w:spacing w:line="360" w:lineRule="auto"/>
              <w:rPr>
                <w:rFonts w:ascii="Arial" w:hAnsi="Arial" w:cs="Arial"/>
                <w:b w:val="0"/>
                <w:bCs w:val="0"/>
                <w:lang w:val="en-IN"/>
              </w:rPr>
            </w:pPr>
            <w:r w:rsidRPr="000912FC">
              <w:rPr>
                <w:rFonts w:ascii="Arial" w:hAnsi="Arial" w:cs="Arial"/>
                <w:lang w:val="en-IN"/>
              </w:rPr>
              <w:t>Service Quality</w:t>
            </w:r>
          </w:p>
        </w:tc>
        <w:tc>
          <w:tcPr>
            <w:tcW w:w="0" w:type="auto"/>
            <w:hideMark/>
          </w:tcPr>
          <w:p w14:paraId="60C2BDB5" w14:textId="77777777" w:rsidR="000912FC" w:rsidRPr="000912FC" w:rsidRDefault="00000000" w:rsidP="00A274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912FC">
              <w:rPr>
                <w:rFonts w:ascii="Arial" w:hAnsi="Arial" w:cs="Arial"/>
                <w:lang w:val="en-IN"/>
              </w:rPr>
              <w:t>Responsive and reliable customer support</w:t>
            </w:r>
          </w:p>
        </w:tc>
        <w:tc>
          <w:tcPr>
            <w:tcW w:w="0" w:type="auto"/>
            <w:hideMark/>
          </w:tcPr>
          <w:p w14:paraId="29F4BA92" w14:textId="77777777" w:rsidR="000912FC" w:rsidRPr="000912FC" w:rsidRDefault="00000000" w:rsidP="00A274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0912FC">
              <w:rPr>
                <w:rFonts w:ascii="Arial" w:hAnsi="Arial" w:cs="Arial"/>
                <w:lang w:val="en-IN"/>
              </w:rPr>
              <w:t>Strengthens trust and long-term relationships</w:t>
            </w:r>
          </w:p>
        </w:tc>
      </w:tr>
      <w:tr w:rsidR="00E740B3" w14:paraId="7761D4C6"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025ECB3C" w14:textId="77777777" w:rsidR="000912FC" w:rsidRPr="000912FC" w:rsidRDefault="00000000" w:rsidP="00A274B8">
            <w:pPr>
              <w:spacing w:line="360" w:lineRule="auto"/>
              <w:rPr>
                <w:rFonts w:ascii="Arial" w:hAnsi="Arial" w:cs="Arial"/>
                <w:b w:val="0"/>
                <w:bCs w:val="0"/>
                <w:lang w:val="en-IN"/>
              </w:rPr>
            </w:pPr>
            <w:r w:rsidRPr="000912FC">
              <w:rPr>
                <w:rFonts w:ascii="Arial" w:hAnsi="Arial" w:cs="Arial"/>
                <w:lang w:val="en-IN"/>
              </w:rPr>
              <w:t>Data Analytics</w:t>
            </w:r>
          </w:p>
        </w:tc>
        <w:tc>
          <w:tcPr>
            <w:tcW w:w="0" w:type="auto"/>
            <w:hideMark/>
          </w:tcPr>
          <w:p w14:paraId="09A76975" w14:textId="77777777" w:rsidR="000912FC" w:rsidRPr="000912FC" w:rsidRDefault="00000000" w:rsidP="00A274B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912FC">
              <w:rPr>
                <w:rFonts w:ascii="Arial" w:hAnsi="Arial" w:cs="Arial"/>
                <w:lang w:val="en-IN"/>
              </w:rPr>
              <w:t>Understanding customer preferences and behaviours</w:t>
            </w:r>
          </w:p>
        </w:tc>
        <w:tc>
          <w:tcPr>
            <w:tcW w:w="0" w:type="auto"/>
            <w:hideMark/>
          </w:tcPr>
          <w:p w14:paraId="76856ADF" w14:textId="77777777" w:rsidR="000912FC" w:rsidRPr="000912FC" w:rsidRDefault="00000000" w:rsidP="00A274B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0912FC">
              <w:rPr>
                <w:rFonts w:ascii="Arial" w:hAnsi="Arial" w:cs="Arial"/>
                <w:lang w:val="en-IN"/>
              </w:rPr>
              <w:t>Supports personalised marketing and decision-making</w:t>
            </w:r>
          </w:p>
        </w:tc>
      </w:tr>
    </w:tbl>
    <w:p w14:paraId="7F2CB6DF" w14:textId="77777777" w:rsidR="000912FC" w:rsidRDefault="00000000" w:rsidP="000912FC">
      <w:pPr>
        <w:spacing w:line="360" w:lineRule="auto"/>
        <w:jc w:val="both"/>
        <w:rPr>
          <w:rFonts w:ascii="Arial" w:hAnsi="Arial" w:cs="Arial"/>
          <w:i/>
          <w:iCs/>
          <w:lang w:val="en-IN" w:eastAsia="en-AU"/>
        </w:rPr>
      </w:pPr>
      <w:r w:rsidRPr="000912FC">
        <w:rPr>
          <w:rFonts w:ascii="Arial" w:hAnsi="Arial" w:cs="Arial"/>
          <w:i/>
          <w:iCs/>
          <w:lang w:val="en-IN" w:eastAsia="en-AU"/>
        </w:rPr>
        <w:t>Source: Developed by the researcher based on Lemon and Verhoef (2016), Vakulenko et al. (2018), Grewal et al. (2020), and Verhoef et al. (2021).</w:t>
      </w:r>
    </w:p>
    <w:p w14:paraId="71708E75" w14:textId="77777777" w:rsidR="00A274B8" w:rsidRPr="000912FC" w:rsidRDefault="00A274B8" w:rsidP="000912FC">
      <w:pPr>
        <w:spacing w:line="360" w:lineRule="auto"/>
        <w:jc w:val="both"/>
        <w:rPr>
          <w:rFonts w:ascii="Arial" w:hAnsi="Arial" w:cs="Arial"/>
          <w:lang w:val="en-IN" w:eastAsia="en-AU"/>
        </w:rPr>
      </w:pPr>
    </w:p>
    <w:p w14:paraId="06160BAE" w14:textId="77777777" w:rsidR="002024F6" w:rsidRDefault="00000000" w:rsidP="000912FC">
      <w:pPr>
        <w:spacing w:line="360" w:lineRule="auto"/>
        <w:jc w:val="both"/>
        <w:rPr>
          <w:rFonts w:ascii="Arial" w:hAnsi="Arial" w:cs="Arial"/>
          <w:lang w:val="en-AU" w:eastAsia="en-AU"/>
        </w:rPr>
      </w:pPr>
      <w:r w:rsidRPr="002024F6">
        <w:rPr>
          <w:rFonts w:ascii="Arial" w:hAnsi="Arial" w:cs="Arial"/>
          <w:lang w:val="en-AU" w:eastAsia="en-AU"/>
        </w:rPr>
        <w:t>Table 2.3 indicates that digital technology does not have a direct impact on customer experience; instead, it is affected by several factors which are intertwined. Despite the convenience facilitated by personalisation and integration of channels, the service quality and sound decision-making based on data determines whether these technologies translate into a significant customer value. Retailers therefore have the role of integrating technology with customer-centric service provisions to reap the most out of omnichannel retailing.</w:t>
      </w:r>
    </w:p>
    <w:p w14:paraId="16CAB85A" w14:textId="77777777" w:rsidR="005949B1" w:rsidRDefault="005949B1" w:rsidP="000912FC">
      <w:pPr>
        <w:spacing w:line="360" w:lineRule="auto"/>
        <w:jc w:val="both"/>
        <w:rPr>
          <w:rFonts w:ascii="Arial" w:hAnsi="Arial" w:cs="Arial"/>
          <w:lang w:val="en-AU" w:eastAsia="en-AU"/>
        </w:rPr>
      </w:pPr>
    </w:p>
    <w:p w14:paraId="7A0F19A0" w14:textId="77777777" w:rsidR="002024F6" w:rsidRDefault="00000000" w:rsidP="000912FC">
      <w:pPr>
        <w:spacing w:line="360" w:lineRule="auto"/>
        <w:jc w:val="both"/>
        <w:rPr>
          <w:rFonts w:ascii="Arial" w:hAnsi="Arial" w:cs="Arial"/>
          <w:lang w:val="en-AU" w:eastAsia="en-AU"/>
        </w:rPr>
      </w:pPr>
      <w:r w:rsidRPr="002024F6">
        <w:rPr>
          <w:rFonts w:ascii="Arial" w:hAnsi="Arial" w:cs="Arial"/>
          <w:lang w:val="en-AU" w:eastAsia="en-AU"/>
        </w:rPr>
        <w:t xml:space="preserve">Recent research shows that artificial intelligence has also contributed to better customer experience, allowing retailers to personalise scale interactions. Shankar et al. (2021) state that the customer engagement is improved through AI-based recommendation systems </w:t>
      </w:r>
      <w:r w:rsidRPr="002024F6">
        <w:rPr>
          <w:rFonts w:ascii="Arial" w:hAnsi="Arial" w:cs="Arial"/>
          <w:lang w:val="en-AU" w:eastAsia="en-AU"/>
        </w:rPr>
        <w:lastRenderedPageBreak/>
        <w:t>that provide products and promotions that meet specific customer preferences. Similarly, Hossain et al. (2023) explain that predictive analytics will allow retailers to know what customers need and become more responsive to their needs. Nonetheless, overreliance on automated interactions will decrease the chances of personalised human service, especially in situations where the customers are facing complicated issues. This implies that retailers ought to balance the efficiency of technology with easy customer service to maintain the trust and satisfaction.</w:t>
      </w:r>
    </w:p>
    <w:p w14:paraId="30571386" w14:textId="77777777" w:rsidR="005949B1" w:rsidRPr="000912FC" w:rsidRDefault="005949B1" w:rsidP="000912FC">
      <w:pPr>
        <w:spacing w:line="360" w:lineRule="auto"/>
        <w:jc w:val="both"/>
        <w:rPr>
          <w:rFonts w:ascii="Arial" w:hAnsi="Arial" w:cs="Arial"/>
          <w:lang w:val="en-IN" w:eastAsia="en-AU"/>
        </w:rPr>
      </w:pPr>
    </w:p>
    <w:p w14:paraId="1794D406" w14:textId="77777777" w:rsidR="002024F6" w:rsidRDefault="00000000" w:rsidP="00331B1F">
      <w:pPr>
        <w:spacing w:line="360" w:lineRule="auto"/>
        <w:jc w:val="both"/>
        <w:rPr>
          <w:rFonts w:ascii="Arial" w:hAnsi="Arial" w:cs="Arial"/>
          <w:lang w:val="en-AU" w:eastAsia="en-AU"/>
        </w:rPr>
      </w:pPr>
      <w:r w:rsidRPr="002024F6">
        <w:rPr>
          <w:rFonts w:ascii="Arial" w:hAnsi="Arial" w:cs="Arial"/>
          <w:lang w:val="en-AU" w:eastAsia="en-AU"/>
        </w:rPr>
        <w:t xml:space="preserve">Tesco is an example of how omnichannel retailing is in practice as observed in its use of online shopping in grocery stores, Clubcard loyalty programmes, Click and collect shops and mobiles. These online projects, as stated by Tesco PLC (2024), facilitate customised offers and smooth communications along the shopping channels. However, other retailers have already launched comparable technologies and customer experience is the main factor of competitive advantage versus technology itself. The capability of Tesco to retain its customers thus rely on continually providing convenient, personalised and reliable experiences at every customer touch point. </w:t>
      </w:r>
    </w:p>
    <w:p w14:paraId="4396A393" w14:textId="77777777" w:rsidR="005949B1" w:rsidRDefault="005949B1" w:rsidP="00331B1F">
      <w:pPr>
        <w:spacing w:line="360" w:lineRule="auto"/>
        <w:jc w:val="both"/>
        <w:rPr>
          <w:rFonts w:ascii="Arial" w:hAnsi="Arial" w:cs="Arial"/>
          <w:lang w:val="en-AU" w:eastAsia="en-AU"/>
        </w:rPr>
      </w:pPr>
    </w:p>
    <w:p w14:paraId="050E1D7E" w14:textId="77777777" w:rsidR="002024F6" w:rsidRDefault="00000000" w:rsidP="00331B1F">
      <w:pPr>
        <w:spacing w:line="360" w:lineRule="auto"/>
        <w:jc w:val="both"/>
        <w:rPr>
          <w:rFonts w:ascii="Arial" w:hAnsi="Arial" w:cs="Arial"/>
          <w:lang w:val="en-AU" w:eastAsia="en-AU"/>
        </w:rPr>
      </w:pPr>
      <w:r w:rsidRPr="002024F6">
        <w:rPr>
          <w:rFonts w:ascii="Arial" w:hAnsi="Arial" w:cs="Arial"/>
          <w:lang w:val="en-AU" w:eastAsia="en-AU"/>
        </w:rPr>
        <w:t>In general, the literature suggests that omnichannel retailing complements customer experience under the condition that digital technologies are used in a coordinated way with providing customer-oriented service delivery. Although digital abilities enhance convenience and customisation, their future worth lies in developing steady and fulfilling customer experiences. These results offer an effective starting point to analyzing the relationship between the strategy of marketing relationships and positive customer experiences resulting in the long-term customer loyalty.</w:t>
      </w:r>
    </w:p>
    <w:p w14:paraId="098E0B25" w14:textId="77777777" w:rsidR="00331B1F" w:rsidRPr="00331B1F" w:rsidRDefault="00000000" w:rsidP="00A274B8">
      <w:pPr>
        <w:spacing w:before="240" w:after="240"/>
        <w:outlineLvl w:val="1"/>
        <w:rPr>
          <w:rFonts w:ascii="Arial" w:hAnsi="Arial"/>
          <w:color w:val="000000"/>
          <w:sz w:val="28"/>
          <w:szCs w:val="26"/>
          <w:lang w:val="en-IN" w:eastAsia="en-AU"/>
        </w:rPr>
      </w:pPr>
      <w:bookmarkStart w:id="27" w:name="_Toc237189227"/>
      <w:bookmarkStart w:id="28" w:name="_Toc238670378"/>
      <w:r w:rsidRPr="00331B1F">
        <w:rPr>
          <w:rFonts w:ascii="Arial" w:hAnsi="Arial"/>
          <w:color w:val="000000"/>
          <w:sz w:val="28"/>
          <w:szCs w:val="26"/>
          <w:lang w:val="en-IN" w:eastAsia="en-AU"/>
        </w:rPr>
        <w:t>2.4 Relationship Marketing and Customer Loyalty</w:t>
      </w:r>
      <w:bookmarkEnd w:id="27"/>
      <w:bookmarkEnd w:id="28"/>
    </w:p>
    <w:p w14:paraId="7A840378" w14:textId="77777777" w:rsidR="00E3168C" w:rsidRDefault="00000000" w:rsidP="00331B1F">
      <w:pPr>
        <w:spacing w:line="360" w:lineRule="auto"/>
        <w:jc w:val="both"/>
        <w:rPr>
          <w:rFonts w:ascii="Arial" w:hAnsi="Arial" w:cs="Arial"/>
          <w:lang w:val="en-AU" w:eastAsia="en-AU"/>
        </w:rPr>
      </w:pPr>
      <w:r w:rsidRPr="002024F6">
        <w:rPr>
          <w:rFonts w:ascii="Arial" w:hAnsi="Arial" w:cs="Arial"/>
          <w:lang w:val="en-AU" w:eastAsia="en-AU"/>
        </w:rPr>
        <w:t xml:space="preserve">According to Tesco PLC (2024), over 82% of the sales in the UK were made via a Clubcard transaction, which demonstrates the strategic value of loyalty programmes in the long-term customer relationship. These numbers indicate that digital transformation is becoming </w:t>
      </w:r>
      <w:r w:rsidR="00A274B8" w:rsidRPr="002024F6">
        <w:rPr>
          <w:rFonts w:ascii="Arial" w:hAnsi="Arial" w:cs="Arial"/>
          <w:lang w:val="en-AU" w:eastAsia="en-AU"/>
        </w:rPr>
        <w:t>increasingly</w:t>
      </w:r>
      <w:r w:rsidRPr="002024F6">
        <w:rPr>
          <w:rFonts w:ascii="Arial" w:hAnsi="Arial" w:cs="Arial"/>
          <w:lang w:val="en-AU" w:eastAsia="en-AU"/>
        </w:rPr>
        <w:t xml:space="preserve"> beneficial to relationship marketing by providing customer data, personalisation and targeted interaction. </w:t>
      </w:r>
    </w:p>
    <w:p w14:paraId="73D98A70" w14:textId="77777777" w:rsidR="00E3168C" w:rsidRDefault="00E3168C" w:rsidP="00331B1F">
      <w:pPr>
        <w:spacing w:line="360" w:lineRule="auto"/>
        <w:jc w:val="both"/>
        <w:rPr>
          <w:rFonts w:ascii="Arial" w:hAnsi="Arial" w:cs="Arial"/>
          <w:lang w:val="en-AU" w:eastAsia="en-AU"/>
        </w:rPr>
      </w:pPr>
    </w:p>
    <w:p w14:paraId="643842FD" w14:textId="77777777" w:rsidR="00E3168C" w:rsidRDefault="00000000" w:rsidP="00331B1F">
      <w:pPr>
        <w:spacing w:line="360" w:lineRule="auto"/>
        <w:jc w:val="both"/>
        <w:rPr>
          <w:rFonts w:ascii="Arial" w:hAnsi="Arial" w:cs="Arial"/>
          <w:lang w:val="en-AU" w:eastAsia="en-AU"/>
        </w:rPr>
      </w:pPr>
      <w:r w:rsidRPr="002024F6">
        <w:rPr>
          <w:rFonts w:ascii="Arial" w:hAnsi="Arial" w:cs="Arial"/>
          <w:lang w:val="en-AU" w:eastAsia="en-AU"/>
        </w:rPr>
        <w:t xml:space="preserve">In digitally transformed retailing settings, relationship marketing has gained significant importance as it is usually cheaper to maintain customers than acquiring them repeatedly. Even though digital transformation helps retailers to increase efficiency in operations, its success in the long run is subject to their ability to establish a long-lasting customer relationship that spurs repeat purchases and positive word-of-mouth. </w:t>
      </w:r>
    </w:p>
    <w:p w14:paraId="7F8B9CB9" w14:textId="77777777" w:rsidR="00E3168C" w:rsidRDefault="00E3168C" w:rsidP="00331B1F">
      <w:pPr>
        <w:spacing w:line="360" w:lineRule="auto"/>
        <w:jc w:val="both"/>
        <w:rPr>
          <w:rFonts w:ascii="Arial" w:hAnsi="Arial" w:cs="Arial"/>
          <w:lang w:val="en-AU" w:eastAsia="en-AU"/>
        </w:rPr>
      </w:pPr>
    </w:p>
    <w:p w14:paraId="294E4FE7" w14:textId="5D6ED26E" w:rsidR="002024F6" w:rsidRDefault="00000000" w:rsidP="00331B1F">
      <w:pPr>
        <w:spacing w:line="360" w:lineRule="auto"/>
        <w:jc w:val="both"/>
        <w:rPr>
          <w:rFonts w:ascii="Arial" w:hAnsi="Arial" w:cs="Arial"/>
          <w:lang w:val="en-AU" w:eastAsia="en-AU"/>
        </w:rPr>
      </w:pPr>
      <w:r w:rsidRPr="002024F6">
        <w:rPr>
          <w:rFonts w:ascii="Arial" w:hAnsi="Arial" w:cs="Arial"/>
          <w:lang w:val="en-AU" w:eastAsia="en-AU"/>
        </w:rPr>
        <w:t>Therefore, the customer loyalty must be considered a strategic result of relationship marketing, but not a mere state as a result of customer satisfaction. The digital technologies reinforce this process since they allow the retailers to comprehend customer preferences, individualise their interactions and provide consistent value in different channels.</w:t>
      </w:r>
    </w:p>
    <w:p w14:paraId="3C5C1301" w14:textId="77777777" w:rsidR="005949B1" w:rsidRDefault="005949B1" w:rsidP="00331B1F">
      <w:pPr>
        <w:spacing w:line="360" w:lineRule="auto"/>
        <w:jc w:val="both"/>
        <w:rPr>
          <w:rFonts w:ascii="Arial" w:hAnsi="Arial" w:cs="Arial"/>
          <w:lang w:val="en-AU" w:eastAsia="en-AU"/>
        </w:rPr>
      </w:pPr>
    </w:p>
    <w:p w14:paraId="3351EF25" w14:textId="77777777" w:rsidR="002024F6" w:rsidRDefault="00000000" w:rsidP="00331B1F">
      <w:pPr>
        <w:spacing w:line="360" w:lineRule="auto"/>
        <w:jc w:val="both"/>
        <w:rPr>
          <w:rFonts w:ascii="Arial" w:hAnsi="Arial" w:cs="Arial"/>
          <w:lang w:val="en-AU" w:eastAsia="en-AU"/>
        </w:rPr>
      </w:pPr>
      <w:r w:rsidRPr="002024F6">
        <w:rPr>
          <w:rFonts w:ascii="Arial" w:hAnsi="Arial" w:cs="Arial"/>
          <w:lang w:val="en-AU" w:eastAsia="en-AU"/>
        </w:rPr>
        <w:t>Morgan and Hunt (1994) pinpoint trust and commitment as the key to successful relationship marketing by considering that effective customer relationships promote lasting collaboration and devotion. Though this framework continues to be influential, it was not created after the advent of digital retailing and thus, it does not consider technology-based interactions. This is further extended in the view of Kumar and Reinartz (2018), who posit that customer relationships are becoming more data-driven and personalised through data analytics and more about traditional communication. This is indicative of the shifting landscape in retailing, where client devotion relies on the retailers being able to employ digital understanding to produce pertinent and lucrative encounters. As such, relationship marketing has ceased to be inter-relationship development to the use of technology to enhance customer relationship.</w:t>
      </w:r>
    </w:p>
    <w:p w14:paraId="695039DA" w14:textId="77777777" w:rsidR="002024F6" w:rsidRDefault="00000000" w:rsidP="00331B1F">
      <w:pPr>
        <w:spacing w:line="360" w:lineRule="auto"/>
        <w:jc w:val="both"/>
        <w:rPr>
          <w:rFonts w:ascii="Arial" w:hAnsi="Arial" w:cs="Arial"/>
          <w:lang w:val="en-AU" w:eastAsia="en-AU"/>
        </w:rPr>
      </w:pPr>
      <w:r w:rsidRPr="002024F6">
        <w:rPr>
          <w:rFonts w:ascii="Arial" w:hAnsi="Arial" w:cs="Arial"/>
          <w:lang w:val="en-AU" w:eastAsia="en-AU"/>
        </w:rPr>
        <w:t xml:space="preserve">Pansari and Kumar (2017) also believe that the customer engagement is a better predictor of long-term loyalty in comparison to the transactional satisfaction since engaged customers tend to make repeat purchases, recommend brands and use the loyalty programmes. Likewise, Steinhoff et al. (2019) believe that online interactions enhance customer relationships because they establish constant contact after the purchase. Nevertheless, overreliance on automated communication can undermine the perceived relationship quality in case customers get irrelevant promotions or lack human </w:t>
      </w:r>
      <w:r w:rsidRPr="002024F6">
        <w:rPr>
          <w:rFonts w:ascii="Arial" w:hAnsi="Arial" w:cs="Arial"/>
          <w:lang w:val="en-AU" w:eastAsia="en-AU"/>
        </w:rPr>
        <w:lastRenderedPageBreak/>
        <w:t>interactions. These results imply that technology supports relationship marketing when digital interactions are personalised and meaningful as opposed to being totally automated.</w:t>
      </w:r>
    </w:p>
    <w:p w14:paraId="231BD76D" w14:textId="77777777" w:rsidR="001963CF" w:rsidRDefault="001963CF" w:rsidP="00331B1F">
      <w:pPr>
        <w:spacing w:line="360" w:lineRule="auto"/>
        <w:jc w:val="both"/>
        <w:rPr>
          <w:rFonts w:ascii="Arial" w:hAnsi="Arial" w:cs="Arial"/>
          <w:lang w:val="en-AU" w:eastAsia="en-AU"/>
        </w:rPr>
      </w:pPr>
    </w:p>
    <w:p w14:paraId="45C8511D" w14:textId="77777777" w:rsidR="00331B1F" w:rsidRPr="00331B1F" w:rsidRDefault="00000000" w:rsidP="00331B1F">
      <w:pPr>
        <w:spacing w:line="360" w:lineRule="auto"/>
        <w:jc w:val="both"/>
        <w:rPr>
          <w:rFonts w:ascii="Arial" w:hAnsi="Arial" w:cs="Arial"/>
          <w:lang w:val="en-IN" w:eastAsia="en-AU"/>
        </w:rPr>
      </w:pPr>
      <w:r w:rsidRPr="00331B1F">
        <w:rPr>
          <w:rFonts w:ascii="Arial" w:hAnsi="Arial" w:cs="Arial"/>
          <w:b/>
          <w:bCs/>
          <w:lang w:val="en-IN" w:eastAsia="en-AU"/>
        </w:rPr>
        <w:t>Table 2.4</w:t>
      </w:r>
      <w:r w:rsidR="002024F6">
        <w:rPr>
          <w:rFonts w:ascii="Arial" w:hAnsi="Arial" w:cs="Arial"/>
          <w:lang w:val="en-IN" w:eastAsia="en-AU"/>
        </w:rPr>
        <w:t xml:space="preserve">. </w:t>
      </w:r>
      <w:r w:rsidRPr="00331B1F">
        <w:rPr>
          <w:rFonts w:ascii="Arial" w:hAnsi="Arial" w:cs="Arial"/>
          <w:b/>
          <w:bCs/>
          <w:lang w:val="en-IN" w:eastAsia="en-AU"/>
        </w:rPr>
        <w:t>Relationship Marketing Factors Influencing Customer Loyalty</w:t>
      </w:r>
    </w:p>
    <w:tbl>
      <w:tblPr>
        <w:tblStyle w:val="ListTable2-Accent2"/>
        <w:tblW w:w="0" w:type="auto"/>
        <w:tblLook w:val="04A0" w:firstRow="1" w:lastRow="0" w:firstColumn="1" w:lastColumn="0" w:noHBand="0" w:noVBand="1"/>
      </w:tblPr>
      <w:tblGrid>
        <w:gridCol w:w="2765"/>
        <w:gridCol w:w="3907"/>
        <w:gridCol w:w="2688"/>
      </w:tblGrid>
      <w:tr w:rsidR="00E740B3" w14:paraId="3F486CB2" w14:textId="77777777" w:rsidTr="00E740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DC951C" w14:textId="77777777" w:rsidR="00331B1F" w:rsidRPr="00331B1F" w:rsidRDefault="00000000" w:rsidP="00A274B8">
            <w:pPr>
              <w:spacing w:line="360" w:lineRule="auto"/>
              <w:rPr>
                <w:rFonts w:ascii="Arial" w:hAnsi="Arial" w:cs="Arial"/>
                <w:b w:val="0"/>
                <w:bCs w:val="0"/>
                <w:lang w:val="en-IN"/>
              </w:rPr>
            </w:pPr>
            <w:r w:rsidRPr="00331B1F">
              <w:rPr>
                <w:rFonts w:ascii="Arial" w:hAnsi="Arial" w:cs="Arial"/>
                <w:lang w:val="en-IN"/>
              </w:rPr>
              <w:t>Relationship Marketing Factor</w:t>
            </w:r>
          </w:p>
        </w:tc>
        <w:tc>
          <w:tcPr>
            <w:tcW w:w="0" w:type="auto"/>
            <w:hideMark/>
          </w:tcPr>
          <w:p w14:paraId="19512944" w14:textId="77777777" w:rsidR="00331B1F" w:rsidRPr="00331B1F" w:rsidRDefault="00000000" w:rsidP="00A274B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IN"/>
              </w:rPr>
            </w:pPr>
            <w:r w:rsidRPr="00331B1F">
              <w:rPr>
                <w:rFonts w:ascii="Arial" w:hAnsi="Arial" w:cs="Arial"/>
                <w:lang w:val="en-IN"/>
              </w:rPr>
              <w:t>Influence on Customer Loyalty</w:t>
            </w:r>
          </w:p>
        </w:tc>
        <w:tc>
          <w:tcPr>
            <w:tcW w:w="0" w:type="auto"/>
            <w:hideMark/>
          </w:tcPr>
          <w:p w14:paraId="59A8E43A" w14:textId="77777777" w:rsidR="00331B1F" w:rsidRPr="00331B1F" w:rsidRDefault="00000000" w:rsidP="00A274B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IN"/>
              </w:rPr>
            </w:pPr>
            <w:r w:rsidRPr="00331B1F">
              <w:rPr>
                <w:rFonts w:ascii="Arial" w:hAnsi="Arial" w:cs="Arial"/>
                <w:lang w:val="en-IN"/>
              </w:rPr>
              <w:t>Retail Implication</w:t>
            </w:r>
          </w:p>
        </w:tc>
      </w:tr>
      <w:tr w:rsidR="00E740B3" w14:paraId="55D455D1"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7ECA85" w14:textId="77777777" w:rsidR="00331B1F" w:rsidRPr="00331B1F" w:rsidRDefault="00000000" w:rsidP="00A274B8">
            <w:pPr>
              <w:spacing w:line="360" w:lineRule="auto"/>
              <w:rPr>
                <w:rFonts w:ascii="Arial" w:hAnsi="Arial" w:cs="Arial"/>
                <w:b w:val="0"/>
                <w:bCs w:val="0"/>
                <w:lang w:val="en-IN"/>
              </w:rPr>
            </w:pPr>
            <w:r w:rsidRPr="00331B1F">
              <w:rPr>
                <w:rFonts w:ascii="Arial" w:hAnsi="Arial" w:cs="Arial"/>
                <w:lang w:val="en-IN"/>
              </w:rPr>
              <w:t>Trust</w:t>
            </w:r>
          </w:p>
        </w:tc>
        <w:tc>
          <w:tcPr>
            <w:tcW w:w="0" w:type="auto"/>
            <w:hideMark/>
          </w:tcPr>
          <w:p w14:paraId="132C32B3" w14:textId="77777777" w:rsidR="00331B1F" w:rsidRPr="00331B1F" w:rsidRDefault="00000000" w:rsidP="00A274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31B1F">
              <w:rPr>
                <w:rFonts w:ascii="Arial" w:hAnsi="Arial" w:cs="Arial"/>
                <w:lang w:val="en-IN"/>
              </w:rPr>
              <w:t>Builds customer confidence and reduces switching behaviour</w:t>
            </w:r>
          </w:p>
        </w:tc>
        <w:tc>
          <w:tcPr>
            <w:tcW w:w="0" w:type="auto"/>
            <w:hideMark/>
          </w:tcPr>
          <w:p w14:paraId="21A1C376" w14:textId="77777777" w:rsidR="00331B1F" w:rsidRPr="00331B1F" w:rsidRDefault="00000000" w:rsidP="00A274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31B1F">
              <w:rPr>
                <w:rFonts w:ascii="Arial" w:hAnsi="Arial" w:cs="Arial"/>
                <w:lang w:val="en-IN"/>
              </w:rPr>
              <w:t>Strengthens long-term relationships</w:t>
            </w:r>
          </w:p>
        </w:tc>
      </w:tr>
      <w:tr w:rsidR="00E740B3" w14:paraId="036937C4"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4DED057F" w14:textId="77777777" w:rsidR="00331B1F" w:rsidRPr="00331B1F" w:rsidRDefault="00000000" w:rsidP="00A274B8">
            <w:pPr>
              <w:spacing w:line="360" w:lineRule="auto"/>
              <w:rPr>
                <w:rFonts w:ascii="Arial" w:hAnsi="Arial" w:cs="Arial"/>
                <w:b w:val="0"/>
                <w:bCs w:val="0"/>
                <w:lang w:val="en-IN"/>
              </w:rPr>
            </w:pPr>
            <w:r w:rsidRPr="00331B1F">
              <w:rPr>
                <w:rFonts w:ascii="Arial" w:hAnsi="Arial" w:cs="Arial"/>
                <w:lang w:val="en-IN"/>
              </w:rPr>
              <w:t>Commitment</w:t>
            </w:r>
          </w:p>
        </w:tc>
        <w:tc>
          <w:tcPr>
            <w:tcW w:w="0" w:type="auto"/>
            <w:hideMark/>
          </w:tcPr>
          <w:p w14:paraId="18F8B96C" w14:textId="77777777" w:rsidR="00331B1F" w:rsidRPr="00331B1F" w:rsidRDefault="00000000" w:rsidP="00A274B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31B1F">
              <w:rPr>
                <w:rFonts w:ascii="Arial" w:hAnsi="Arial" w:cs="Arial"/>
                <w:lang w:val="en-IN"/>
              </w:rPr>
              <w:t>Encourages repeat purchasing</w:t>
            </w:r>
          </w:p>
        </w:tc>
        <w:tc>
          <w:tcPr>
            <w:tcW w:w="0" w:type="auto"/>
            <w:hideMark/>
          </w:tcPr>
          <w:p w14:paraId="18EE275F" w14:textId="77777777" w:rsidR="00331B1F" w:rsidRPr="00331B1F" w:rsidRDefault="00000000" w:rsidP="00A274B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31B1F">
              <w:rPr>
                <w:rFonts w:ascii="Arial" w:hAnsi="Arial" w:cs="Arial"/>
                <w:lang w:val="en-IN"/>
              </w:rPr>
              <w:t>Increases customer retention</w:t>
            </w:r>
          </w:p>
        </w:tc>
      </w:tr>
      <w:tr w:rsidR="00E740B3" w14:paraId="3A650FD0"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8CFBEB" w14:textId="77777777" w:rsidR="00331B1F" w:rsidRPr="00331B1F" w:rsidRDefault="00000000" w:rsidP="00A274B8">
            <w:pPr>
              <w:spacing w:line="360" w:lineRule="auto"/>
              <w:rPr>
                <w:rFonts w:ascii="Arial" w:hAnsi="Arial" w:cs="Arial"/>
                <w:b w:val="0"/>
                <w:bCs w:val="0"/>
                <w:lang w:val="en-IN"/>
              </w:rPr>
            </w:pPr>
            <w:r w:rsidRPr="00331B1F">
              <w:rPr>
                <w:rFonts w:ascii="Arial" w:hAnsi="Arial" w:cs="Arial"/>
                <w:lang w:val="en-IN"/>
              </w:rPr>
              <w:t>Personalisation</w:t>
            </w:r>
          </w:p>
        </w:tc>
        <w:tc>
          <w:tcPr>
            <w:tcW w:w="0" w:type="auto"/>
            <w:hideMark/>
          </w:tcPr>
          <w:p w14:paraId="19A95C89" w14:textId="77777777" w:rsidR="00331B1F" w:rsidRPr="00331B1F" w:rsidRDefault="00000000" w:rsidP="00A274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31B1F">
              <w:rPr>
                <w:rFonts w:ascii="Arial" w:hAnsi="Arial" w:cs="Arial"/>
                <w:lang w:val="en-IN"/>
              </w:rPr>
              <w:t>Improves relevance of interactions</w:t>
            </w:r>
          </w:p>
        </w:tc>
        <w:tc>
          <w:tcPr>
            <w:tcW w:w="0" w:type="auto"/>
            <w:hideMark/>
          </w:tcPr>
          <w:p w14:paraId="114FB87B" w14:textId="77777777" w:rsidR="00331B1F" w:rsidRPr="00331B1F" w:rsidRDefault="00000000" w:rsidP="00A274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31B1F">
              <w:rPr>
                <w:rFonts w:ascii="Arial" w:hAnsi="Arial" w:cs="Arial"/>
                <w:lang w:val="en-IN"/>
              </w:rPr>
              <w:t>Enhances customer engagement</w:t>
            </w:r>
          </w:p>
        </w:tc>
      </w:tr>
      <w:tr w:rsidR="00E740B3" w14:paraId="1A9E2AD0"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521C8331" w14:textId="77777777" w:rsidR="00331B1F" w:rsidRPr="00331B1F" w:rsidRDefault="00000000" w:rsidP="00A274B8">
            <w:pPr>
              <w:spacing w:line="360" w:lineRule="auto"/>
              <w:rPr>
                <w:rFonts w:ascii="Arial" w:hAnsi="Arial" w:cs="Arial"/>
                <w:b w:val="0"/>
                <w:bCs w:val="0"/>
                <w:lang w:val="en-IN"/>
              </w:rPr>
            </w:pPr>
            <w:r w:rsidRPr="00331B1F">
              <w:rPr>
                <w:rFonts w:ascii="Arial" w:hAnsi="Arial" w:cs="Arial"/>
                <w:lang w:val="en-IN"/>
              </w:rPr>
              <w:t>Customer Engagement</w:t>
            </w:r>
          </w:p>
        </w:tc>
        <w:tc>
          <w:tcPr>
            <w:tcW w:w="0" w:type="auto"/>
            <w:hideMark/>
          </w:tcPr>
          <w:p w14:paraId="2AE1C678" w14:textId="77777777" w:rsidR="00331B1F" w:rsidRPr="00331B1F" w:rsidRDefault="00000000" w:rsidP="00A274B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31B1F">
              <w:rPr>
                <w:rFonts w:ascii="Arial" w:hAnsi="Arial" w:cs="Arial"/>
                <w:lang w:val="en-IN"/>
              </w:rPr>
              <w:t>Encourages active participation and advocacy</w:t>
            </w:r>
          </w:p>
        </w:tc>
        <w:tc>
          <w:tcPr>
            <w:tcW w:w="0" w:type="auto"/>
            <w:hideMark/>
          </w:tcPr>
          <w:p w14:paraId="3287B100" w14:textId="77777777" w:rsidR="00331B1F" w:rsidRPr="00331B1F" w:rsidRDefault="00000000" w:rsidP="00A274B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31B1F">
              <w:rPr>
                <w:rFonts w:ascii="Arial" w:hAnsi="Arial" w:cs="Arial"/>
                <w:lang w:val="en-IN"/>
              </w:rPr>
              <w:t>Supports sustainable loyalty</w:t>
            </w:r>
          </w:p>
        </w:tc>
      </w:tr>
    </w:tbl>
    <w:p w14:paraId="40DD30EC" w14:textId="77777777" w:rsidR="00331B1F" w:rsidRDefault="00000000" w:rsidP="00331B1F">
      <w:pPr>
        <w:spacing w:line="360" w:lineRule="auto"/>
        <w:jc w:val="both"/>
        <w:rPr>
          <w:rFonts w:ascii="Arial" w:hAnsi="Arial" w:cs="Arial"/>
          <w:i/>
          <w:iCs/>
          <w:lang w:val="en-IN" w:eastAsia="en-AU"/>
        </w:rPr>
      </w:pPr>
      <w:r w:rsidRPr="00331B1F">
        <w:rPr>
          <w:rFonts w:ascii="Arial" w:hAnsi="Arial" w:cs="Arial"/>
          <w:i/>
          <w:iCs/>
          <w:lang w:val="en-IN" w:eastAsia="en-AU"/>
        </w:rPr>
        <w:t>Source: Developed by the researcher based on Morgan and Hunt (1994), Pansari and Kumar (2017), Kumar and Reinartz (2018), and Steinhoff et al. (2019).</w:t>
      </w:r>
    </w:p>
    <w:p w14:paraId="00AAB2E4" w14:textId="77777777" w:rsidR="002024F6" w:rsidRPr="00331B1F" w:rsidRDefault="002024F6" w:rsidP="00331B1F">
      <w:pPr>
        <w:spacing w:line="360" w:lineRule="auto"/>
        <w:jc w:val="both"/>
        <w:rPr>
          <w:rFonts w:ascii="Arial" w:hAnsi="Arial" w:cs="Arial"/>
          <w:lang w:val="en-IN" w:eastAsia="en-AU"/>
        </w:rPr>
      </w:pPr>
    </w:p>
    <w:p w14:paraId="2F9D908C" w14:textId="77777777" w:rsidR="002024F6" w:rsidRDefault="00000000" w:rsidP="00331B1F">
      <w:pPr>
        <w:spacing w:line="360" w:lineRule="auto"/>
        <w:jc w:val="both"/>
        <w:rPr>
          <w:rFonts w:ascii="Arial" w:hAnsi="Arial" w:cs="Arial"/>
          <w:lang w:val="en-AU" w:eastAsia="en-AU"/>
        </w:rPr>
      </w:pPr>
      <w:r w:rsidRPr="002024F6">
        <w:rPr>
          <w:rFonts w:ascii="Arial" w:hAnsi="Arial" w:cs="Arial"/>
          <w:lang w:val="en-AU" w:eastAsia="en-AU"/>
        </w:rPr>
        <w:t xml:space="preserve">Table 2.4 shows that there are several relationship marketing variables that affect customer loyalty and are interrelated. The long-term relationships are anchored on trust and commitment, and the relationships are reinforced with personalisation and customer engagement via constant value creation. It implies that digital transformation helps to create loyalty as technological ability reinforces, but does not substitute, relationships-building processes. </w:t>
      </w:r>
    </w:p>
    <w:p w14:paraId="4ABF1BC8" w14:textId="77777777" w:rsidR="00996285" w:rsidRDefault="00996285" w:rsidP="00331B1F">
      <w:pPr>
        <w:spacing w:line="360" w:lineRule="auto"/>
        <w:jc w:val="both"/>
        <w:rPr>
          <w:rFonts w:ascii="Arial" w:hAnsi="Arial" w:cs="Arial"/>
          <w:lang w:val="en-AU" w:eastAsia="en-AU"/>
        </w:rPr>
      </w:pPr>
    </w:p>
    <w:p w14:paraId="2099B398" w14:textId="77777777" w:rsidR="002024F6" w:rsidRDefault="00000000" w:rsidP="00331B1F">
      <w:pPr>
        <w:spacing w:line="360" w:lineRule="auto"/>
        <w:jc w:val="both"/>
        <w:rPr>
          <w:rFonts w:ascii="Arial" w:hAnsi="Arial" w:cs="Arial"/>
          <w:lang w:val="en-AU" w:eastAsia="en-AU"/>
        </w:rPr>
      </w:pPr>
      <w:r w:rsidRPr="002024F6">
        <w:rPr>
          <w:rFonts w:ascii="Arial" w:hAnsi="Arial" w:cs="Arial"/>
          <w:lang w:val="en-AU" w:eastAsia="en-AU"/>
        </w:rPr>
        <w:t xml:space="preserve">Research studies recently suggest that loyalty programmes are now a relevant mechanism in enhancing relationship marketing in retailing. Instead of offering discounts on their own, contemporary loyalty programmes can produce customer data which can be used to make personalised recommendations and offer targeted promotions. According to Reinartz et al. (2019), data-driven loyalty programmes enhance customer retention since relationship perceived value with retailers is enhanced. Nonetheless, they </w:t>
      </w:r>
      <w:r w:rsidRPr="002024F6">
        <w:rPr>
          <w:rFonts w:ascii="Arial" w:hAnsi="Arial" w:cs="Arial"/>
          <w:lang w:val="en-AU" w:eastAsia="en-AU"/>
        </w:rPr>
        <w:lastRenderedPageBreak/>
        <w:t>can be effective based on the belief by the customers that personal information is gathered and utilized in a responsible manner. Lack of data governance or too much promotion messages could lead to lower trust and restrict the effectiveness of relation marketing programs on a long-term basis.</w:t>
      </w:r>
    </w:p>
    <w:p w14:paraId="438B879D" w14:textId="77777777" w:rsidR="00996285" w:rsidRDefault="00996285" w:rsidP="00331B1F">
      <w:pPr>
        <w:spacing w:line="360" w:lineRule="auto"/>
        <w:jc w:val="both"/>
        <w:rPr>
          <w:rFonts w:ascii="Arial" w:hAnsi="Arial" w:cs="Arial"/>
          <w:lang w:val="en-AU" w:eastAsia="en-AU"/>
        </w:rPr>
      </w:pPr>
    </w:p>
    <w:p w14:paraId="5ADE711E" w14:textId="77777777" w:rsidR="002024F6" w:rsidRDefault="00000000" w:rsidP="00331B1F">
      <w:pPr>
        <w:spacing w:line="360" w:lineRule="auto"/>
        <w:jc w:val="both"/>
        <w:rPr>
          <w:rFonts w:ascii="Arial" w:hAnsi="Arial" w:cs="Arial"/>
          <w:lang w:val="en-AU" w:eastAsia="en-AU"/>
        </w:rPr>
      </w:pPr>
      <w:r w:rsidRPr="002024F6">
        <w:rPr>
          <w:rFonts w:ascii="Arial" w:hAnsi="Arial" w:cs="Arial"/>
          <w:lang w:val="en-AU" w:eastAsia="en-AU"/>
        </w:rPr>
        <w:t xml:space="preserve">Tesco offers a good example of relationship marketing that is technologically enabled in its Clubcard loyalty programme. Tesco PLC (2024) says that Clubcard data help the retailer to personalize promotions, learn the purchasing behaviour, and provide customized rewards both on the physical and online platforms. The capabilities will reinforce customer interactions and stimulate repeat buying. However, competitors are also implementing comparable loyalty </w:t>
      </w:r>
      <w:r w:rsidR="00080852" w:rsidRPr="002024F6">
        <w:rPr>
          <w:rFonts w:ascii="Arial" w:hAnsi="Arial" w:cs="Arial"/>
          <w:lang w:val="en-AU" w:eastAsia="en-AU"/>
        </w:rPr>
        <w:t>principles,</w:t>
      </w:r>
      <w:r w:rsidRPr="002024F6">
        <w:rPr>
          <w:rFonts w:ascii="Arial" w:hAnsi="Arial" w:cs="Arial"/>
          <w:lang w:val="en-AU" w:eastAsia="en-AU"/>
        </w:rPr>
        <w:t xml:space="preserve"> and it indicates that long-term customer loyalty is founded not just on gathering customer information but converting those insights into consistently valuable customer experiences. </w:t>
      </w:r>
    </w:p>
    <w:p w14:paraId="22A678FF" w14:textId="77777777" w:rsidR="00996285" w:rsidRDefault="00996285" w:rsidP="00331B1F">
      <w:pPr>
        <w:spacing w:line="360" w:lineRule="auto"/>
        <w:jc w:val="both"/>
        <w:rPr>
          <w:rFonts w:ascii="Arial" w:hAnsi="Arial" w:cs="Arial"/>
          <w:lang w:val="en-AU" w:eastAsia="en-AU"/>
        </w:rPr>
      </w:pPr>
    </w:p>
    <w:p w14:paraId="677C9418" w14:textId="77777777" w:rsidR="00331B1F" w:rsidRDefault="00000000" w:rsidP="00331B1F">
      <w:pPr>
        <w:spacing w:line="360" w:lineRule="auto"/>
        <w:jc w:val="both"/>
        <w:rPr>
          <w:rFonts w:ascii="Arial" w:hAnsi="Arial" w:cs="Arial"/>
          <w:lang w:val="en-AU" w:eastAsia="en-AU"/>
        </w:rPr>
      </w:pPr>
      <w:r w:rsidRPr="002024F6">
        <w:rPr>
          <w:rFonts w:ascii="Arial" w:hAnsi="Arial" w:cs="Arial"/>
          <w:lang w:val="en-AU" w:eastAsia="en-AU"/>
        </w:rPr>
        <w:t>Overall, the literature suggests that relationship marketing is still a key to customer loyalty despite the high rates of development of digital technologies. As long-term relationships remain based on trust and commitment, digital transformation has extended relationship marketing with data-driven personalisation and continuous customer engagement. These results imply that the relationship quality and technological capability produce customer loyalty, which corroborate the analysis of digital transformation strategy at Tesco in the next section.</w:t>
      </w:r>
    </w:p>
    <w:p w14:paraId="314A452C" w14:textId="77777777" w:rsidR="002024F6" w:rsidRPr="00331B1F" w:rsidRDefault="002024F6" w:rsidP="00331B1F">
      <w:pPr>
        <w:spacing w:line="360" w:lineRule="auto"/>
        <w:jc w:val="both"/>
        <w:rPr>
          <w:rFonts w:ascii="Arial" w:hAnsi="Arial" w:cs="Arial"/>
          <w:lang w:val="en-IN" w:eastAsia="en-AU"/>
        </w:rPr>
      </w:pPr>
    </w:p>
    <w:p w14:paraId="094C6468" w14:textId="77777777" w:rsidR="00331B1F" w:rsidRPr="00331B1F" w:rsidRDefault="00000000" w:rsidP="00A274B8">
      <w:pPr>
        <w:spacing w:before="240" w:after="240"/>
        <w:outlineLvl w:val="1"/>
        <w:rPr>
          <w:rFonts w:ascii="Arial" w:hAnsi="Arial"/>
          <w:color w:val="000000"/>
          <w:sz w:val="28"/>
          <w:szCs w:val="26"/>
          <w:lang w:val="en-IN" w:eastAsia="en-AU"/>
        </w:rPr>
      </w:pPr>
      <w:bookmarkStart w:id="29" w:name="_Toc237189228"/>
      <w:bookmarkStart w:id="30" w:name="_Toc238670379"/>
      <w:r w:rsidRPr="00331B1F">
        <w:rPr>
          <w:rFonts w:ascii="Arial" w:hAnsi="Arial"/>
          <w:color w:val="000000"/>
          <w:sz w:val="28"/>
          <w:szCs w:val="26"/>
          <w:lang w:val="en-IN" w:eastAsia="en-AU"/>
        </w:rPr>
        <w:t>2.5 Tesco's Digital Transformation Strategy</w:t>
      </w:r>
      <w:bookmarkEnd w:id="29"/>
      <w:bookmarkEnd w:id="30"/>
    </w:p>
    <w:p w14:paraId="52B49ED4" w14:textId="77777777" w:rsidR="002024F6" w:rsidRDefault="00000000" w:rsidP="00331B1F">
      <w:pPr>
        <w:spacing w:line="360" w:lineRule="auto"/>
        <w:jc w:val="both"/>
        <w:rPr>
          <w:rFonts w:ascii="Arial" w:hAnsi="Arial" w:cs="Arial"/>
          <w:lang w:val="en-AU" w:eastAsia="en-AU"/>
        </w:rPr>
      </w:pPr>
      <w:r w:rsidRPr="002024F6">
        <w:rPr>
          <w:rFonts w:ascii="Arial" w:hAnsi="Arial" w:cs="Arial"/>
          <w:lang w:val="en-AU" w:eastAsia="en-AU"/>
        </w:rPr>
        <w:t xml:space="preserve">In 2023/24, Tesco made about £6.2 billion in online sales and also met an order of about 1.2 million online grocery orders per week (Tesco PLC, 2024). These data indicate the scope of digital change of Tesco and the strategic role played by digital technologies in ensuring customer interaction and competitive advantage in the long term. Digital transformation is one of the fundamental business strategies that Tesco has also placed to enable it to enhance customer engagement and competitiveness in the UK grocery industry. Tesco aims to promote personalisation and convenience through the </w:t>
      </w:r>
      <w:r w:rsidRPr="002024F6">
        <w:rPr>
          <w:rFonts w:ascii="Arial" w:hAnsi="Arial" w:cs="Arial"/>
          <w:lang w:val="en-AU" w:eastAsia="en-AU"/>
        </w:rPr>
        <w:lastRenderedPageBreak/>
        <w:t>investments in the omnichannel retailing, AI and data analytics. Nevertheless, such endeavors can only generate competitive advantage when the technological investment is converted to greater customer loyalty.</w:t>
      </w:r>
    </w:p>
    <w:p w14:paraId="763E1BEE" w14:textId="77777777" w:rsidR="00996285" w:rsidRDefault="00996285" w:rsidP="00331B1F">
      <w:pPr>
        <w:spacing w:line="360" w:lineRule="auto"/>
        <w:jc w:val="both"/>
        <w:rPr>
          <w:rFonts w:ascii="Arial" w:hAnsi="Arial" w:cs="Arial"/>
          <w:lang w:val="en-AU" w:eastAsia="en-AU"/>
        </w:rPr>
      </w:pPr>
    </w:p>
    <w:p w14:paraId="47C26F66" w14:textId="77777777" w:rsidR="002024F6" w:rsidRDefault="00000000" w:rsidP="00331B1F">
      <w:pPr>
        <w:spacing w:line="360" w:lineRule="auto"/>
        <w:jc w:val="both"/>
        <w:rPr>
          <w:rFonts w:ascii="Arial" w:hAnsi="Arial" w:cs="Arial"/>
          <w:lang w:val="en-IN" w:eastAsia="en-AU"/>
        </w:rPr>
      </w:pPr>
      <w:r w:rsidRPr="002024F6">
        <w:rPr>
          <w:rFonts w:ascii="Arial" w:hAnsi="Arial" w:cs="Arial"/>
          <w:lang w:val="en-IN" w:eastAsia="en-AU"/>
        </w:rPr>
        <w:t>The Tesco digital strategy is constructed upon the concept of e-commerce, mobile technologies, artificial intelligence (AI) and data analytics integration. Tesco PLC (2024) reveals that the company has developed a digital ecosystem via Tesco Grocery and Clubcard mobile apps, online groceries, its click-and-collect offerings and AI-enabled personalisation. These efforts enhance the non-stop shopping both in the physical and online platforms and providing personalising promotions. This helps confirm Verhoeff et al. (2021) who discuss that digital transformation builds competitive advantage due to improved customer value over internal efficiency.</w:t>
      </w:r>
    </w:p>
    <w:p w14:paraId="0938724D" w14:textId="77777777" w:rsidR="00996285" w:rsidRPr="002024F6" w:rsidRDefault="00996285" w:rsidP="00331B1F">
      <w:pPr>
        <w:spacing w:line="360" w:lineRule="auto"/>
        <w:jc w:val="both"/>
        <w:rPr>
          <w:rFonts w:ascii="Arial" w:hAnsi="Arial" w:cs="Arial"/>
          <w:lang w:val="en-IN" w:eastAsia="en-AU"/>
        </w:rPr>
      </w:pPr>
    </w:p>
    <w:p w14:paraId="5585AA12" w14:textId="77777777" w:rsidR="00331B1F" w:rsidRDefault="00000000" w:rsidP="00331B1F">
      <w:pPr>
        <w:spacing w:line="360" w:lineRule="auto"/>
        <w:jc w:val="both"/>
        <w:rPr>
          <w:rFonts w:ascii="Arial" w:hAnsi="Arial" w:cs="Arial"/>
          <w:lang w:val="en-AU" w:eastAsia="en-AU"/>
        </w:rPr>
      </w:pPr>
      <w:r w:rsidRPr="002024F6">
        <w:rPr>
          <w:rFonts w:ascii="Arial" w:hAnsi="Arial" w:cs="Arial"/>
          <w:lang w:val="en-AU" w:eastAsia="en-AU"/>
        </w:rPr>
        <w:t>One of the unique aspects of the Tesco strategy is the application of Clubcard loyalty programme as the data-driven decision-making tool. Clubcard, instead of being a purely a rewards programme, creates comprehensive customer data that aids in personalised marketing, forecasting demand and inventory planning. According to Kumar and Reinartz (2018), customer data has emerged as a strategic asset to enhance long-term relationships by engaging customers in a personalised way, whereas Hossain et al. (2023) propose that AI-based analytics help retailers predict customer preferences. Nevertheless, the increasing use of customer data increases the issue of privacy that can undermine trust when data is not handled properly. This means that the ability to analyze should be backed by good data governance.</w:t>
      </w:r>
    </w:p>
    <w:p w14:paraId="03DA53ED" w14:textId="77777777" w:rsidR="002024F6" w:rsidRPr="00331B1F" w:rsidRDefault="002024F6" w:rsidP="00331B1F">
      <w:pPr>
        <w:spacing w:line="360" w:lineRule="auto"/>
        <w:jc w:val="both"/>
        <w:rPr>
          <w:rFonts w:ascii="Arial" w:hAnsi="Arial" w:cs="Arial"/>
          <w:lang w:val="en-IN" w:eastAsia="en-AU"/>
        </w:rPr>
      </w:pPr>
    </w:p>
    <w:p w14:paraId="69D26756" w14:textId="77777777" w:rsidR="00331B1F" w:rsidRPr="00331B1F" w:rsidRDefault="00000000" w:rsidP="00331B1F">
      <w:pPr>
        <w:spacing w:line="360" w:lineRule="auto"/>
        <w:jc w:val="both"/>
        <w:rPr>
          <w:rFonts w:ascii="Arial" w:hAnsi="Arial" w:cs="Arial"/>
          <w:lang w:val="en-IN" w:eastAsia="en-AU"/>
        </w:rPr>
      </w:pPr>
      <w:r w:rsidRPr="00331B1F">
        <w:rPr>
          <w:rFonts w:ascii="Arial" w:hAnsi="Arial" w:cs="Arial"/>
          <w:b/>
          <w:bCs/>
          <w:lang w:val="en-IN" w:eastAsia="en-AU"/>
        </w:rPr>
        <w:t>Table 2.5</w:t>
      </w:r>
      <w:r w:rsidR="002024F6">
        <w:rPr>
          <w:rFonts w:ascii="Arial" w:hAnsi="Arial" w:cs="Arial"/>
          <w:lang w:val="en-IN" w:eastAsia="en-AU"/>
        </w:rPr>
        <w:t xml:space="preserve">. </w:t>
      </w:r>
      <w:r w:rsidRPr="00331B1F">
        <w:rPr>
          <w:rFonts w:ascii="Arial" w:hAnsi="Arial" w:cs="Arial"/>
          <w:b/>
          <w:bCs/>
          <w:lang w:val="en-IN" w:eastAsia="en-AU"/>
        </w:rPr>
        <w:t>Tesco's Major Digital Transformation Initiatives</w:t>
      </w:r>
    </w:p>
    <w:tbl>
      <w:tblPr>
        <w:tblStyle w:val="ListTable3-Accent1"/>
        <w:tblW w:w="0" w:type="auto"/>
        <w:tblLook w:val="04A0" w:firstRow="1" w:lastRow="0" w:firstColumn="1" w:lastColumn="0" w:noHBand="0" w:noVBand="1"/>
      </w:tblPr>
      <w:tblGrid>
        <w:gridCol w:w="2453"/>
        <w:gridCol w:w="3543"/>
        <w:gridCol w:w="3354"/>
      </w:tblGrid>
      <w:tr w:rsidR="00E740B3" w14:paraId="148317E3" w14:textId="77777777" w:rsidTr="00E740B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7D34FF1" w14:textId="77777777" w:rsidR="00331B1F" w:rsidRPr="00331B1F" w:rsidRDefault="00000000" w:rsidP="00A274B8">
            <w:pPr>
              <w:spacing w:line="360" w:lineRule="auto"/>
              <w:rPr>
                <w:rFonts w:ascii="Arial" w:hAnsi="Arial" w:cs="Arial"/>
                <w:b w:val="0"/>
                <w:bCs w:val="0"/>
                <w:color w:val="FFFFFF"/>
                <w:lang w:val="en-IN"/>
              </w:rPr>
            </w:pPr>
            <w:r w:rsidRPr="00331B1F">
              <w:rPr>
                <w:rFonts w:ascii="Arial" w:hAnsi="Arial" w:cs="Arial"/>
                <w:color w:val="FFFFFF"/>
                <w:lang w:val="en-IN"/>
              </w:rPr>
              <w:t>Digital Initiative</w:t>
            </w:r>
          </w:p>
        </w:tc>
        <w:tc>
          <w:tcPr>
            <w:tcW w:w="0" w:type="auto"/>
            <w:hideMark/>
          </w:tcPr>
          <w:p w14:paraId="10AEBA81" w14:textId="77777777" w:rsidR="00331B1F" w:rsidRPr="00331B1F" w:rsidRDefault="00000000" w:rsidP="00A274B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lang w:val="en-IN"/>
              </w:rPr>
            </w:pPr>
            <w:r w:rsidRPr="00331B1F">
              <w:rPr>
                <w:rFonts w:ascii="Arial" w:hAnsi="Arial" w:cs="Arial"/>
                <w:color w:val="FFFFFF"/>
                <w:lang w:val="en-IN"/>
              </w:rPr>
              <w:t>Strategic Purpose</w:t>
            </w:r>
          </w:p>
        </w:tc>
        <w:tc>
          <w:tcPr>
            <w:tcW w:w="0" w:type="auto"/>
            <w:hideMark/>
          </w:tcPr>
          <w:p w14:paraId="1A359433" w14:textId="77777777" w:rsidR="00331B1F" w:rsidRPr="00331B1F" w:rsidRDefault="00000000" w:rsidP="00A274B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lang w:val="en-IN"/>
              </w:rPr>
            </w:pPr>
            <w:r w:rsidRPr="00331B1F">
              <w:rPr>
                <w:rFonts w:ascii="Arial" w:hAnsi="Arial" w:cs="Arial"/>
                <w:color w:val="FFFFFF"/>
                <w:lang w:val="en-IN"/>
              </w:rPr>
              <w:t>Expected Customer Benefit</w:t>
            </w:r>
          </w:p>
        </w:tc>
      </w:tr>
      <w:tr w:rsidR="00E740B3" w14:paraId="4BB44D4B"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380B27" w14:textId="77777777" w:rsidR="00331B1F" w:rsidRPr="00331B1F" w:rsidRDefault="00000000" w:rsidP="00A274B8">
            <w:pPr>
              <w:spacing w:line="360" w:lineRule="auto"/>
              <w:rPr>
                <w:rFonts w:ascii="Arial" w:hAnsi="Arial" w:cs="Arial"/>
                <w:b w:val="0"/>
                <w:bCs w:val="0"/>
                <w:lang w:val="en-IN"/>
              </w:rPr>
            </w:pPr>
            <w:r w:rsidRPr="00331B1F">
              <w:rPr>
                <w:rFonts w:ascii="Arial" w:hAnsi="Arial" w:cs="Arial"/>
                <w:lang w:val="en-IN"/>
              </w:rPr>
              <w:t>Clubcard Loyalty Programme</w:t>
            </w:r>
          </w:p>
        </w:tc>
        <w:tc>
          <w:tcPr>
            <w:tcW w:w="0" w:type="auto"/>
            <w:hideMark/>
          </w:tcPr>
          <w:p w14:paraId="751086AB" w14:textId="77777777" w:rsidR="00331B1F" w:rsidRPr="00331B1F" w:rsidRDefault="00000000" w:rsidP="00A274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31B1F">
              <w:rPr>
                <w:rFonts w:ascii="Arial" w:hAnsi="Arial" w:cs="Arial"/>
                <w:lang w:val="en-IN"/>
              </w:rPr>
              <w:t>Personalised marketing and customer insights</w:t>
            </w:r>
          </w:p>
        </w:tc>
        <w:tc>
          <w:tcPr>
            <w:tcW w:w="0" w:type="auto"/>
            <w:hideMark/>
          </w:tcPr>
          <w:p w14:paraId="160B5478" w14:textId="77777777" w:rsidR="00331B1F" w:rsidRPr="00331B1F" w:rsidRDefault="00000000" w:rsidP="00A274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31B1F">
              <w:rPr>
                <w:rFonts w:ascii="Arial" w:hAnsi="Arial" w:cs="Arial"/>
                <w:lang w:val="en-IN"/>
              </w:rPr>
              <w:t>Relevant rewards and stronger loyalty</w:t>
            </w:r>
          </w:p>
        </w:tc>
      </w:tr>
      <w:tr w:rsidR="00E740B3" w14:paraId="1A24B18B"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5F061DF2" w14:textId="77777777" w:rsidR="00331B1F" w:rsidRPr="00331B1F" w:rsidRDefault="00000000" w:rsidP="00A274B8">
            <w:pPr>
              <w:spacing w:line="360" w:lineRule="auto"/>
              <w:rPr>
                <w:rFonts w:ascii="Arial" w:hAnsi="Arial" w:cs="Arial"/>
                <w:b w:val="0"/>
                <w:bCs w:val="0"/>
                <w:lang w:val="en-IN"/>
              </w:rPr>
            </w:pPr>
            <w:r w:rsidRPr="00331B1F">
              <w:rPr>
                <w:rFonts w:ascii="Arial" w:hAnsi="Arial" w:cs="Arial"/>
                <w:lang w:val="en-IN"/>
              </w:rPr>
              <w:t>Tesco Grocery App</w:t>
            </w:r>
          </w:p>
        </w:tc>
        <w:tc>
          <w:tcPr>
            <w:tcW w:w="0" w:type="auto"/>
            <w:hideMark/>
          </w:tcPr>
          <w:p w14:paraId="08B7B5BE" w14:textId="77777777" w:rsidR="00331B1F" w:rsidRPr="00331B1F" w:rsidRDefault="00000000" w:rsidP="00A274B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31B1F">
              <w:rPr>
                <w:rFonts w:ascii="Arial" w:hAnsi="Arial" w:cs="Arial"/>
                <w:lang w:val="en-IN"/>
              </w:rPr>
              <w:t>Mobile shopping and order management</w:t>
            </w:r>
          </w:p>
        </w:tc>
        <w:tc>
          <w:tcPr>
            <w:tcW w:w="0" w:type="auto"/>
            <w:hideMark/>
          </w:tcPr>
          <w:p w14:paraId="0AC3F1EC" w14:textId="77777777" w:rsidR="00331B1F" w:rsidRPr="00331B1F" w:rsidRDefault="00000000" w:rsidP="00A274B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31B1F">
              <w:rPr>
                <w:rFonts w:ascii="Arial" w:hAnsi="Arial" w:cs="Arial"/>
                <w:lang w:val="en-IN"/>
              </w:rPr>
              <w:t>Greater convenience and accessibility</w:t>
            </w:r>
          </w:p>
        </w:tc>
      </w:tr>
      <w:tr w:rsidR="00E740B3" w14:paraId="53BA3FFC"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BBEDED" w14:textId="77777777" w:rsidR="00331B1F" w:rsidRPr="00331B1F" w:rsidRDefault="00000000" w:rsidP="00A274B8">
            <w:pPr>
              <w:spacing w:line="360" w:lineRule="auto"/>
              <w:rPr>
                <w:rFonts w:ascii="Arial" w:hAnsi="Arial" w:cs="Arial"/>
                <w:b w:val="0"/>
                <w:bCs w:val="0"/>
                <w:lang w:val="en-IN"/>
              </w:rPr>
            </w:pPr>
            <w:r w:rsidRPr="00331B1F">
              <w:rPr>
                <w:rFonts w:ascii="Arial" w:hAnsi="Arial" w:cs="Arial"/>
                <w:lang w:val="en-IN"/>
              </w:rPr>
              <w:lastRenderedPageBreak/>
              <w:t>Click-and-Collect Services</w:t>
            </w:r>
          </w:p>
        </w:tc>
        <w:tc>
          <w:tcPr>
            <w:tcW w:w="0" w:type="auto"/>
            <w:hideMark/>
          </w:tcPr>
          <w:p w14:paraId="20A35B11" w14:textId="77777777" w:rsidR="00331B1F" w:rsidRPr="00331B1F" w:rsidRDefault="00000000" w:rsidP="00A274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31B1F">
              <w:rPr>
                <w:rFonts w:ascii="Arial" w:hAnsi="Arial" w:cs="Arial"/>
                <w:lang w:val="en-IN"/>
              </w:rPr>
              <w:t>Integration of online and store operations</w:t>
            </w:r>
          </w:p>
        </w:tc>
        <w:tc>
          <w:tcPr>
            <w:tcW w:w="0" w:type="auto"/>
            <w:hideMark/>
          </w:tcPr>
          <w:p w14:paraId="35E956F8" w14:textId="77777777" w:rsidR="00331B1F" w:rsidRPr="00331B1F" w:rsidRDefault="00000000" w:rsidP="00A274B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31B1F">
              <w:rPr>
                <w:rFonts w:ascii="Arial" w:hAnsi="Arial" w:cs="Arial"/>
                <w:lang w:val="en-IN"/>
              </w:rPr>
              <w:t>Flexible purchasing experience</w:t>
            </w:r>
          </w:p>
        </w:tc>
      </w:tr>
      <w:tr w:rsidR="00E740B3" w14:paraId="5CF56C39"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2B3582DC" w14:textId="77777777" w:rsidR="00331B1F" w:rsidRPr="00331B1F" w:rsidRDefault="00000000" w:rsidP="00A274B8">
            <w:pPr>
              <w:spacing w:line="360" w:lineRule="auto"/>
              <w:rPr>
                <w:rFonts w:ascii="Arial" w:hAnsi="Arial" w:cs="Arial"/>
                <w:b w:val="0"/>
                <w:bCs w:val="0"/>
                <w:lang w:val="en-IN"/>
              </w:rPr>
            </w:pPr>
            <w:r w:rsidRPr="00331B1F">
              <w:rPr>
                <w:rFonts w:ascii="Arial" w:hAnsi="Arial" w:cs="Arial"/>
                <w:lang w:val="en-IN"/>
              </w:rPr>
              <w:t>AI and Data Analytics</w:t>
            </w:r>
          </w:p>
        </w:tc>
        <w:tc>
          <w:tcPr>
            <w:tcW w:w="0" w:type="auto"/>
            <w:hideMark/>
          </w:tcPr>
          <w:p w14:paraId="3EEA035F" w14:textId="77777777" w:rsidR="00331B1F" w:rsidRPr="00331B1F" w:rsidRDefault="00000000" w:rsidP="00A274B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31B1F">
              <w:rPr>
                <w:rFonts w:ascii="Arial" w:hAnsi="Arial" w:cs="Arial"/>
                <w:lang w:val="en-IN"/>
              </w:rPr>
              <w:t>Personalised recommendations and forecasting</w:t>
            </w:r>
          </w:p>
        </w:tc>
        <w:tc>
          <w:tcPr>
            <w:tcW w:w="0" w:type="auto"/>
            <w:hideMark/>
          </w:tcPr>
          <w:p w14:paraId="329017FF" w14:textId="77777777" w:rsidR="00331B1F" w:rsidRPr="00331B1F" w:rsidRDefault="00000000" w:rsidP="00A274B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31B1F">
              <w:rPr>
                <w:rFonts w:ascii="Arial" w:hAnsi="Arial" w:cs="Arial"/>
                <w:lang w:val="en-IN"/>
              </w:rPr>
              <w:t>Improved shopping experience and service quality</w:t>
            </w:r>
          </w:p>
        </w:tc>
      </w:tr>
    </w:tbl>
    <w:p w14:paraId="4E45B7B3" w14:textId="77777777" w:rsidR="00331B1F" w:rsidRDefault="00000000" w:rsidP="00331B1F">
      <w:pPr>
        <w:spacing w:line="360" w:lineRule="auto"/>
        <w:jc w:val="both"/>
        <w:rPr>
          <w:rFonts w:ascii="Arial" w:hAnsi="Arial" w:cs="Arial"/>
          <w:i/>
          <w:iCs/>
          <w:lang w:val="en-IN" w:eastAsia="en-AU"/>
        </w:rPr>
      </w:pPr>
      <w:r w:rsidRPr="00331B1F">
        <w:rPr>
          <w:rFonts w:ascii="Arial" w:hAnsi="Arial" w:cs="Arial"/>
          <w:i/>
          <w:iCs/>
          <w:lang w:val="en-IN" w:eastAsia="en-AU"/>
        </w:rPr>
        <w:t>Source: Developed by the researcher based on Tesco PLC (2024), Verhoef et al. (2021), Kumar and Reinartz (2018), and Hossain et al. (2023).</w:t>
      </w:r>
    </w:p>
    <w:p w14:paraId="63A52491" w14:textId="77777777" w:rsidR="002024F6" w:rsidRPr="00331B1F" w:rsidRDefault="002024F6" w:rsidP="00331B1F">
      <w:pPr>
        <w:spacing w:line="360" w:lineRule="auto"/>
        <w:jc w:val="both"/>
        <w:rPr>
          <w:rFonts w:ascii="Arial" w:hAnsi="Arial" w:cs="Arial"/>
          <w:lang w:val="en-IN" w:eastAsia="en-AU"/>
        </w:rPr>
      </w:pPr>
    </w:p>
    <w:p w14:paraId="5178C703" w14:textId="77777777" w:rsidR="002024F6" w:rsidRDefault="00000000" w:rsidP="00331B1F">
      <w:pPr>
        <w:spacing w:line="360" w:lineRule="auto"/>
        <w:jc w:val="both"/>
        <w:rPr>
          <w:rFonts w:ascii="Arial" w:hAnsi="Arial" w:cs="Arial"/>
          <w:lang w:val="en-AU" w:eastAsia="en-AU"/>
        </w:rPr>
      </w:pPr>
      <w:r w:rsidRPr="002024F6">
        <w:rPr>
          <w:rFonts w:ascii="Arial" w:hAnsi="Arial" w:cs="Arial"/>
          <w:lang w:val="en-AU" w:eastAsia="en-AU"/>
        </w:rPr>
        <w:t>Table 2.5 reveals that Tesco has a series of digital initiatives, which cumulatively contribute to enhanced convenience, personalisation and customer engagement, indicating that competitive advantage lies in the capability of combining complementary digital capabilities.</w:t>
      </w:r>
    </w:p>
    <w:p w14:paraId="21778CFE" w14:textId="77777777" w:rsidR="00277945" w:rsidRDefault="00000000" w:rsidP="00331B1F">
      <w:pPr>
        <w:spacing w:line="360" w:lineRule="auto"/>
        <w:jc w:val="both"/>
        <w:rPr>
          <w:rFonts w:ascii="Arial" w:hAnsi="Arial" w:cs="Arial"/>
          <w:lang w:val="en-AU" w:eastAsia="en-AU"/>
        </w:rPr>
      </w:pPr>
      <w:r>
        <w:rPr>
          <w:rFonts w:ascii="Arial" w:hAnsi="Arial" w:cs="Arial"/>
          <w:noProof/>
        </w:rPr>
        <w:drawing>
          <wp:inline distT="0" distB="0" distL="0" distR="0" wp14:anchorId="773C28E0" wp14:editId="59F914B5">
            <wp:extent cx="5943600" cy="4514850"/>
            <wp:effectExtent l="0" t="0" r="0" b="0"/>
            <wp:docPr id="15397384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738457" name="Picture 1539738457"/>
                    <pic:cNvPicPr/>
                  </pic:nvPicPr>
                  <pic:blipFill>
                    <a:blip r:embed="rId10">
                      <a:extLst>
                        <a:ext uri="{28A0092B-C50C-407E-A947-70E740481C1C}">
                          <a14:useLocalDpi xmlns:a14="http://schemas.microsoft.com/office/drawing/2010/main" val="0"/>
                        </a:ext>
                      </a:extLst>
                    </a:blip>
                    <a:srcRect t="401" b="4685"/>
                    <a:stretch>
                      <a:fillRect/>
                    </a:stretch>
                  </pic:blipFill>
                  <pic:spPr bwMode="auto">
                    <a:xfrm>
                      <a:off x="0" y="0"/>
                      <a:ext cx="5943600" cy="4514850"/>
                    </a:xfrm>
                    <a:prstGeom prst="rect">
                      <a:avLst/>
                    </a:prstGeom>
                    <a:ln>
                      <a:noFill/>
                    </a:ln>
                    <a:extLst>
                      <a:ext uri="{53640926-AAD7-44D8-BBD7-CCE9431645EC}">
                        <a14:shadowObscured xmlns:a14="http://schemas.microsoft.com/office/drawing/2010/main"/>
                      </a:ext>
                    </a:extLst>
                  </pic:spPr>
                </pic:pic>
              </a:graphicData>
            </a:graphic>
          </wp:inline>
        </w:drawing>
      </w:r>
    </w:p>
    <w:p w14:paraId="0268AA05" w14:textId="77777777" w:rsidR="00277945" w:rsidRDefault="00000000" w:rsidP="00331B1F">
      <w:pPr>
        <w:spacing w:line="360" w:lineRule="auto"/>
        <w:jc w:val="both"/>
        <w:rPr>
          <w:rFonts w:ascii="Arial" w:hAnsi="Arial" w:cs="Arial"/>
          <w:lang w:val="en-AU" w:eastAsia="en-AU"/>
        </w:rPr>
      </w:pPr>
      <w:r w:rsidRPr="00277945">
        <w:rPr>
          <w:rFonts w:ascii="Arial" w:hAnsi="Arial" w:cs="Arial"/>
          <w:lang w:val="en-AU" w:eastAsia="en-AU"/>
        </w:rPr>
        <w:t>Figure 2.2 Tesco's Digital Customer Loyalty Ecosystem</w:t>
      </w:r>
    </w:p>
    <w:p w14:paraId="044F28B5" w14:textId="77777777" w:rsidR="00277945" w:rsidRDefault="00277945" w:rsidP="00331B1F">
      <w:pPr>
        <w:spacing w:line="360" w:lineRule="auto"/>
        <w:jc w:val="both"/>
        <w:rPr>
          <w:rFonts w:ascii="Arial" w:hAnsi="Arial" w:cs="Arial"/>
          <w:lang w:val="en-AU" w:eastAsia="en-AU"/>
        </w:rPr>
      </w:pPr>
    </w:p>
    <w:p w14:paraId="6BD965A5" w14:textId="77777777" w:rsidR="002024F6" w:rsidRDefault="00000000" w:rsidP="00517156">
      <w:pPr>
        <w:spacing w:line="360" w:lineRule="auto"/>
        <w:jc w:val="both"/>
        <w:rPr>
          <w:rFonts w:ascii="Arial" w:hAnsi="Arial" w:cs="Arial"/>
          <w:lang w:val="en-AU" w:eastAsia="en-AU"/>
        </w:rPr>
      </w:pPr>
      <w:r w:rsidRPr="002024F6">
        <w:rPr>
          <w:rFonts w:ascii="Arial" w:hAnsi="Arial" w:cs="Arial"/>
          <w:lang w:val="en-AU" w:eastAsia="en-AU"/>
        </w:rPr>
        <w:lastRenderedPageBreak/>
        <w:t xml:space="preserve">With these developments, Tesco has a more competitive digital market to operate in. The significant retailers, such as Sainsbury, Asda and Aldi have hastened their investments into online retailing, loyalty programs and AI-inspired customer services, making the digital technologies themselves less unique. Therefore, sustainable competitive advantage lies in Tesco being capable of providing high quality customer experiences and building better long-term relationships instead of merely scaling its digital infrastructure. This finding supports the existing studies that propose that digital transformation only generates value when technological capabilities are converted into better customer satisfaction and loyalty. </w:t>
      </w:r>
    </w:p>
    <w:p w14:paraId="0E1D5D20" w14:textId="77777777" w:rsidR="00996285" w:rsidRDefault="00996285" w:rsidP="00517156">
      <w:pPr>
        <w:spacing w:line="360" w:lineRule="auto"/>
        <w:jc w:val="both"/>
        <w:rPr>
          <w:rFonts w:ascii="Arial" w:hAnsi="Arial" w:cs="Arial"/>
          <w:lang w:val="en-AU" w:eastAsia="en-AU"/>
        </w:rPr>
      </w:pPr>
    </w:p>
    <w:p w14:paraId="178A5870" w14:textId="77777777" w:rsidR="002024F6" w:rsidRDefault="00000000" w:rsidP="00517156">
      <w:pPr>
        <w:spacing w:line="360" w:lineRule="auto"/>
        <w:jc w:val="both"/>
        <w:rPr>
          <w:rFonts w:ascii="Arial" w:hAnsi="Arial" w:cs="Arial"/>
          <w:lang w:val="en-AU" w:eastAsia="en-AU"/>
        </w:rPr>
      </w:pPr>
      <w:r w:rsidRPr="002024F6">
        <w:rPr>
          <w:rFonts w:ascii="Arial" w:hAnsi="Arial" w:cs="Arial"/>
          <w:lang w:val="en-AU" w:eastAsia="en-AU"/>
        </w:rPr>
        <w:t>All in all, Tesco digital transformation proves that technology helps to promote customer loyalty only in case of its successful implementation, customer confidence and valuable experiences. This demonstrates the importance of investigating the impact of the digital transformation of Tesco on customer loyalty, which underlies the synthesis of the literature in the next section.</w:t>
      </w:r>
    </w:p>
    <w:p w14:paraId="316F82ED" w14:textId="77777777" w:rsidR="002024F6" w:rsidRDefault="002024F6" w:rsidP="00517156">
      <w:pPr>
        <w:spacing w:line="360" w:lineRule="auto"/>
        <w:jc w:val="both"/>
        <w:rPr>
          <w:rFonts w:ascii="Arial" w:hAnsi="Arial" w:cs="Arial"/>
          <w:lang w:val="en-AU" w:eastAsia="en-AU"/>
        </w:rPr>
      </w:pPr>
    </w:p>
    <w:p w14:paraId="1DFE8774" w14:textId="77777777" w:rsidR="00517156" w:rsidRPr="00517156" w:rsidRDefault="00000000" w:rsidP="00A274B8">
      <w:pPr>
        <w:spacing w:before="240" w:after="240"/>
        <w:outlineLvl w:val="1"/>
        <w:rPr>
          <w:rFonts w:ascii="Arial" w:hAnsi="Arial"/>
          <w:color w:val="000000"/>
          <w:sz w:val="28"/>
          <w:szCs w:val="26"/>
          <w:lang w:val="en-IN" w:eastAsia="en-AU"/>
        </w:rPr>
      </w:pPr>
      <w:bookmarkStart w:id="31" w:name="_Toc237189229"/>
      <w:bookmarkStart w:id="32" w:name="_Toc238670380"/>
      <w:r w:rsidRPr="00517156">
        <w:rPr>
          <w:rFonts w:ascii="Arial" w:hAnsi="Arial"/>
          <w:color w:val="000000"/>
          <w:sz w:val="28"/>
          <w:szCs w:val="26"/>
          <w:lang w:val="en-IN" w:eastAsia="en-AU"/>
        </w:rPr>
        <w:t>2.6 Literature Synthesis and Research Gap</w:t>
      </w:r>
      <w:bookmarkEnd w:id="31"/>
      <w:bookmarkEnd w:id="32"/>
    </w:p>
    <w:p w14:paraId="6A3870D8" w14:textId="77777777" w:rsidR="000B72FF" w:rsidRDefault="00000000" w:rsidP="00517156">
      <w:pPr>
        <w:spacing w:line="360" w:lineRule="auto"/>
        <w:jc w:val="both"/>
        <w:rPr>
          <w:rFonts w:ascii="Arial" w:hAnsi="Arial" w:cs="Arial"/>
          <w:lang w:val="en-AU" w:eastAsia="en-AU"/>
        </w:rPr>
      </w:pPr>
      <w:r w:rsidRPr="00A037A0">
        <w:rPr>
          <w:rFonts w:ascii="Arial" w:hAnsi="Arial" w:cs="Arial"/>
          <w:lang w:val="en-AU" w:eastAsia="en-AU"/>
        </w:rPr>
        <w:t xml:space="preserve">As evident through the literature reviewed, digital transformation has completely transformed the retail industry by altering the way organisations generate value, interact with customers and maintain competitive advantage. Throughout the studies reviewed, there is a consensus that digital transformation goes beyond the use of new technology and entails organisational capabilities that facilitate innovation, customer engagement and ongoing adaptation (Vial, 2019; Verhoeff et al., 2021). </w:t>
      </w:r>
    </w:p>
    <w:p w14:paraId="5695D9AA" w14:textId="77777777" w:rsidR="000B72FF" w:rsidRDefault="000B72FF" w:rsidP="00517156">
      <w:pPr>
        <w:spacing w:line="360" w:lineRule="auto"/>
        <w:jc w:val="both"/>
        <w:rPr>
          <w:rFonts w:ascii="Arial" w:hAnsi="Arial" w:cs="Arial"/>
          <w:lang w:val="en-AU" w:eastAsia="en-AU"/>
        </w:rPr>
      </w:pPr>
    </w:p>
    <w:p w14:paraId="489F4050" w14:textId="124E0801" w:rsidR="00A037A0" w:rsidRDefault="00000000" w:rsidP="00517156">
      <w:pPr>
        <w:spacing w:line="360" w:lineRule="auto"/>
        <w:jc w:val="both"/>
        <w:rPr>
          <w:rFonts w:ascii="Arial" w:hAnsi="Arial" w:cs="Arial"/>
          <w:lang w:val="en-AU" w:eastAsia="en-AU"/>
        </w:rPr>
      </w:pPr>
      <w:r w:rsidRPr="00A037A0">
        <w:rPr>
          <w:rFonts w:ascii="Arial" w:hAnsi="Arial" w:cs="Arial"/>
          <w:lang w:val="en-AU" w:eastAsia="en-AU"/>
        </w:rPr>
        <w:t>Nonetheless, despite this agreement, scientific specialists have diverged in their explanations on how digital transformation affects customer loyalty. Other studies focus on the organisational capabilities; others focus on customer experience or technology or relationship marketing as the main functions of promoting loyalty. It means that the correlation between digital transformation and customer loyalty is multidimensional and cannot be described in terms of one theoretical perspective.</w:t>
      </w:r>
    </w:p>
    <w:p w14:paraId="2073085E" w14:textId="77777777" w:rsidR="00996285" w:rsidRDefault="00996285" w:rsidP="00517156">
      <w:pPr>
        <w:spacing w:line="360" w:lineRule="auto"/>
        <w:jc w:val="both"/>
        <w:rPr>
          <w:rFonts w:ascii="Arial" w:hAnsi="Arial" w:cs="Arial"/>
          <w:lang w:val="en-AU" w:eastAsia="en-AU"/>
        </w:rPr>
      </w:pPr>
    </w:p>
    <w:p w14:paraId="7814C6AD" w14:textId="77777777" w:rsidR="00517156" w:rsidRDefault="00000000" w:rsidP="00517156">
      <w:pPr>
        <w:spacing w:line="360" w:lineRule="auto"/>
        <w:jc w:val="both"/>
        <w:rPr>
          <w:rFonts w:ascii="Arial" w:hAnsi="Arial" w:cs="Arial"/>
          <w:lang w:val="en-AU" w:eastAsia="en-AU"/>
        </w:rPr>
      </w:pPr>
      <w:r w:rsidRPr="00A037A0">
        <w:rPr>
          <w:rFonts w:ascii="Arial" w:hAnsi="Arial" w:cs="Arial"/>
          <w:lang w:val="en-AU" w:eastAsia="en-AU"/>
        </w:rPr>
        <w:t>The review identifies also that technology acceptance is significant in facilitating the digital transformation. The causes of customer adoption of digital retail technologies are explained by the Technology Acceptance Model (Davis, 1989) and UTAUT2 (Venkatesh et al., 2012), with more recent research noting the value of trust, personalisation and digital engagement to retain technology use (Marikyan et al., 2020). However, these models give little information on whether continued use of technology will lead to a long-term customer loyalty since they mostly emphasize on the initial adoption behaviour of customers. This implies that the acceptance of technology alone does not suffice to explain customer retention in extremely competitive retail settings.</w:t>
      </w:r>
    </w:p>
    <w:p w14:paraId="5016D475" w14:textId="77777777" w:rsidR="00996285" w:rsidRPr="00A037A0" w:rsidRDefault="00996285" w:rsidP="00517156">
      <w:pPr>
        <w:spacing w:line="360" w:lineRule="auto"/>
        <w:jc w:val="both"/>
        <w:rPr>
          <w:rFonts w:ascii="Arial" w:hAnsi="Arial" w:cs="Arial"/>
          <w:lang w:val="en-AU" w:eastAsia="en-AU"/>
        </w:rPr>
      </w:pPr>
    </w:p>
    <w:p w14:paraId="16E15EDA" w14:textId="77777777" w:rsidR="00A037A0" w:rsidRDefault="00000000" w:rsidP="00517156">
      <w:pPr>
        <w:spacing w:line="360" w:lineRule="auto"/>
        <w:jc w:val="both"/>
        <w:rPr>
          <w:rFonts w:ascii="Arial" w:hAnsi="Arial" w:cs="Arial"/>
          <w:lang w:val="en-AU" w:eastAsia="en-AU"/>
        </w:rPr>
      </w:pPr>
      <w:r w:rsidRPr="00A037A0">
        <w:rPr>
          <w:rFonts w:ascii="Arial" w:hAnsi="Arial" w:cs="Arial"/>
          <w:lang w:val="en-AU" w:eastAsia="en-AU"/>
        </w:rPr>
        <w:t>On the same note, research relating to omnichannel retailing will continuously recognize customer experience as a major factor in determining customer satisfaction and customer loyalty. According to Lemon and Verhoef (2016), Grewal et al. (2020) and Vakulenko et al. (2018), the seamless integration between online and offline channels brings more convenience and improves the customer opinion. Nevertheless, the literature mostly presupposes that better customer experience leads to the automatic loyalty, and the role of trust, commitment and relationship quality is relatively insufficiently considered. This means that customer experience cannot be considered a direct result of digital transformation but a part of a larger relationship-building process.</w:t>
      </w:r>
    </w:p>
    <w:p w14:paraId="5F009C92" w14:textId="77777777" w:rsidR="00996285" w:rsidRDefault="00996285" w:rsidP="00517156">
      <w:pPr>
        <w:spacing w:line="360" w:lineRule="auto"/>
        <w:jc w:val="both"/>
        <w:rPr>
          <w:rFonts w:ascii="Arial" w:hAnsi="Arial" w:cs="Arial"/>
          <w:lang w:val="en-AU" w:eastAsia="en-AU"/>
        </w:rPr>
      </w:pPr>
    </w:p>
    <w:p w14:paraId="358382E7" w14:textId="77777777" w:rsidR="00A037A0" w:rsidRDefault="00000000" w:rsidP="00517156">
      <w:pPr>
        <w:spacing w:line="360" w:lineRule="auto"/>
        <w:jc w:val="both"/>
        <w:rPr>
          <w:rFonts w:ascii="Arial" w:hAnsi="Arial" w:cs="Arial"/>
          <w:lang w:val="en-AU" w:eastAsia="en-AU"/>
        </w:rPr>
      </w:pPr>
      <w:r w:rsidRPr="00A037A0">
        <w:rPr>
          <w:rFonts w:ascii="Arial" w:hAnsi="Arial" w:cs="Arial"/>
          <w:lang w:val="en-AU" w:eastAsia="en-AU"/>
        </w:rPr>
        <w:t>This point of view is further supported by the literature on relationship marketing, emphasizing trust, commitment, and customer engagement as key elements of long-term loyalty (Morgan and Hunt, 1994; Kumar and Reinartz, 2018; Pansari and Kumar, 2017). Though digital technologies allow retailers to make interactions personalised and build better customer relationships, the ultimate success of the tool will be determined by the ability of the customers to feel that they are receiving actual value and not being bombarded with promotional messages. Thus, the literature reviewed suggests that the digital transformation, customer experience, and relationship marketing are tightly related to each other, as they have a combined effect on customer loyalty rather than independently.</w:t>
      </w:r>
    </w:p>
    <w:p w14:paraId="1141A70C" w14:textId="77777777" w:rsidR="00996285" w:rsidRDefault="00996285" w:rsidP="00517156">
      <w:pPr>
        <w:spacing w:line="360" w:lineRule="auto"/>
        <w:jc w:val="both"/>
        <w:rPr>
          <w:rFonts w:ascii="Arial" w:hAnsi="Arial" w:cs="Arial"/>
          <w:lang w:val="en-AU" w:eastAsia="en-AU"/>
        </w:rPr>
      </w:pPr>
    </w:p>
    <w:p w14:paraId="2F6602EA" w14:textId="77777777" w:rsidR="000B72FF" w:rsidRDefault="00000000" w:rsidP="00C769EF">
      <w:pPr>
        <w:spacing w:line="360" w:lineRule="auto"/>
        <w:jc w:val="both"/>
        <w:rPr>
          <w:rFonts w:ascii="Arial" w:hAnsi="Arial" w:cs="Arial"/>
          <w:lang w:val="en-AU" w:eastAsia="en-AU"/>
        </w:rPr>
      </w:pPr>
      <w:r w:rsidRPr="00A037A0">
        <w:rPr>
          <w:rFonts w:ascii="Arial" w:hAnsi="Arial" w:cs="Arial"/>
          <w:lang w:val="en-AU" w:eastAsia="en-AU"/>
        </w:rPr>
        <w:t xml:space="preserve">Even though there is an increasing amount of research, there is still </w:t>
      </w:r>
      <w:r w:rsidR="00551023" w:rsidRPr="00A037A0">
        <w:rPr>
          <w:rFonts w:ascii="Arial" w:hAnsi="Arial" w:cs="Arial"/>
          <w:lang w:val="en-AU" w:eastAsia="en-AU"/>
        </w:rPr>
        <w:t>several</w:t>
      </w:r>
      <w:r w:rsidRPr="00A037A0">
        <w:rPr>
          <w:rFonts w:ascii="Arial" w:hAnsi="Arial" w:cs="Arial"/>
          <w:lang w:val="en-AU" w:eastAsia="en-AU"/>
        </w:rPr>
        <w:t xml:space="preserve"> gaps. To start with, much of the studies examine digital transformation, customer experience or customer loyalty individually, which do not give us a lot of insight into the interaction of these concepts within one conceptual framework. </w:t>
      </w:r>
    </w:p>
    <w:p w14:paraId="1BC09791" w14:textId="77777777" w:rsidR="000B72FF" w:rsidRDefault="000B72FF" w:rsidP="00C769EF">
      <w:pPr>
        <w:spacing w:line="360" w:lineRule="auto"/>
        <w:jc w:val="both"/>
        <w:rPr>
          <w:rFonts w:ascii="Arial" w:hAnsi="Arial" w:cs="Arial"/>
          <w:lang w:val="en-AU" w:eastAsia="en-AU"/>
        </w:rPr>
      </w:pPr>
    </w:p>
    <w:p w14:paraId="3A6E373B" w14:textId="77777777" w:rsidR="000B72FF" w:rsidRDefault="00000000" w:rsidP="00C769EF">
      <w:pPr>
        <w:spacing w:line="360" w:lineRule="auto"/>
        <w:jc w:val="both"/>
        <w:rPr>
          <w:rFonts w:ascii="Arial" w:hAnsi="Arial" w:cs="Arial"/>
          <w:lang w:val="en-AU" w:eastAsia="en-AU"/>
        </w:rPr>
      </w:pPr>
      <w:r w:rsidRPr="00A037A0">
        <w:rPr>
          <w:rFonts w:ascii="Arial" w:hAnsi="Arial" w:cs="Arial"/>
          <w:lang w:val="en-AU" w:eastAsia="en-AU"/>
        </w:rPr>
        <w:t xml:space="preserve">Second, a lot of the current evidence deals with general retailing or several industries, and relatively little coverage of major UK grocery retailers like Tesco. </w:t>
      </w:r>
    </w:p>
    <w:p w14:paraId="7137D88C" w14:textId="77777777" w:rsidR="000B72FF" w:rsidRDefault="000B72FF" w:rsidP="00C769EF">
      <w:pPr>
        <w:spacing w:line="360" w:lineRule="auto"/>
        <w:jc w:val="both"/>
        <w:rPr>
          <w:rFonts w:ascii="Arial" w:hAnsi="Arial" w:cs="Arial"/>
          <w:lang w:val="en-AU" w:eastAsia="en-AU"/>
        </w:rPr>
      </w:pPr>
    </w:p>
    <w:p w14:paraId="49E5B3F4" w14:textId="77777777" w:rsidR="000B72FF" w:rsidRDefault="000B72FF" w:rsidP="00C769EF">
      <w:pPr>
        <w:spacing w:line="360" w:lineRule="auto"/>
        <w:jc w:val="both"/>
        <w:rPr>
          <w:rFonts w:ascii="Arial" w:hAnsi="Arial" w:cs="Arial"/>
          <w:lang w:val="en-AU" w:eastAsia="en-AU"/>
        </w:rPr>
      </w:pPr>
    </w:p>
    <w:p w14:paraId="1EB223A5" w14:textId="067B7936" w:rsidR="00A037A0" w:rsidRDefault="00000000" w:rsidP="00C769EF">
      <w:pPr>
        <w:spacing w:line="360" w:lineRule="auto"/>
        <w:jc w:val="both"/>
        <w:rPr>
          <w:rFonts w:ascii="Arial" w:hAnsi="Arial" w:cs="Arial"/>
          <w:lang w:val="en-AU" w:eastAsia="en-AU"/>
        </w:rPr>
      </w:pPr>
      <w:r w:rsidRPr="00A037A0">
        <w:rPr>
          <w:rFonts w:ascii="Arial" w:hAnsi="Arial" w:cs="Arial"/>
          <w:lang w:val="en-AU" w:eastAsia="en-AU"/>
        </w:rPr>
        <w:t xml:space="preserve">Third, the swift advances in artificial intelligence, data analytics and personalised retailing have changed expectations of customers, although most theoretical frameworks were created prior to the rise of these technologies into retailing strategies. Consequently, recent studies offer weak evidence on the impact of modern digital transformation initiatives on customer loyalty in the UK grocery market. </w:t>
      </w:r>
    </w:p>
    <w:p w14:paraId="7B63156D" w14:textId="77777777" w:rsidR="000B72FF" w:rsidRDefault="000B72FF" w:rsidP="00C769EF">
      <w:pPr>
        <w:spacing w:line="360" w:lineRule="auto"/>
        <w:jc w:val="both"/>
        <w:rPr>
          <w:rFonts w:ascii="Arial" w:hAnsi="Arial" w:cs="Arial"/>
          <w:lang w:val="en-AU" w:eastAsia="en-AU"/>
        </w:rPr>
      </w:pPr>
    </w:p>
    <w:p w14:paraId="330E31D5" w14:textId="77777777" w:rsidR="00A274B8" w:rsidRPr="000E29EC" w:rsidRDefault="00000000" w:rsidP="00C769EF">
      <w:pPr>
        <w:spacing w:line="360" w:lineRule="auto"/>
        <w:jc w:val="both"/>
        <w:rPr>
          <w:rFonts w:ascii="Arial" w:hAnsi="Arial" w:cs="Arial"/>
          <w:lang w:val="en-AU" w:eastAsia="en-AU"/>
        </w:rPr>
      </w:pPr>
      <w:r w:rsidRPr="00A037A0">
        <w:rPr>
          <w:rFonts w:ascii="Arial" w:hAnsi="Arial" w:cs="Arial"/>
          <w:lang w:val="en-AU" w:eastAsia="en-AU"/>
        </w:rPr>
        <w:t>To overcome these shortcomings, the current paper examines how the digital transformation of Tesco PLC affected customer loyalty through the incorporation of insights into the digital transformation research, technological adoption, omnichannel retailing and relationship marketing literature. With Tesco as its core subject, the study aims to offer a current insight into the role of digital resources, customer experience and relationship-building practices, as well as their combination in promoting customer loyalty in the dynamic UK retail market. This combined approach is a contribution to the existing literature and offers a definite theoretical basis of the research methodology in the next chapter.</w:t>
      </w:r>
    </w:p>
    <w:p w14:paraId="429A7765" w14:textId="77777777" w:rsidR="000C28BD" w:rsidRPr="000E29EC" w:rsidRDefault="000C28BD" w:rsidP="00C769EF">
      <w:pPr>
        <w:spacing w:line="360" w:lineRule="auto"/>
        <w:jc w:val="both"/>
        <w:rPr>
          <w:rFonts w:ascii="Arial" w:hAnsi="Arial" w:cs="Arial"/>
          <w:lang w:val="en-AU" w:eastAsia="en-AU"/>
        </w:rPr>
      </w:pPr>
    </w:p>
    <w:p w14:paraId="3AE32E51" w14:textId="77777777" w:rsidR="005756E7" w:rsidRPr="000E29EC" w:rsidRDefault="00000000" w:rsidP="000C28BD">
      <w:pPr>
        <w:spacing w:before="120" w:after="120"/>
        <w:jc w:val="center"/>
        <w:outlineLvl w:val="0"/>
        <w:rPr>
          <w:rFonts w:ascii="Arial" w:hAnsi="Arial" w:cs="Arial"/>
          <w:b/>
          <w:color w:val="000000"/>
          <w:sz w:val="32"/>
          <w:szCs w:val="32"/>
          <w:lang w:val="en-IN" w:eastAsia="en-AU"/>
        </w:rPr>
      </w:pPr>
      <w:bookmarkStart w:id="33" w:name="_Toc237189230"/>
      <w:bookmarkStart w:id="34" w:name="_Toc238670381"/>
      <w:r w:rsidRPr="000E29EC">
        <w:rPr>
          <w:rFonts w:ascii="Arial" w:hAnsi="Arial" w:cs="Arial"/>
          <w:b/>
          <w:color w:val="000000"/>
          <w:sz w:val="32"/>
          <w:szCs w:val="32"/>
          <w:lang w:val="en-IN" w:eastAsia="en-AU"/>
        </w:rPr>
        <w:t>Chapter 3: Research Methodology</w:t>
      </w:r>
      <w:bookmarkEnd w:id="33"/>
      <w:bookmarkEnd w:id="34"/>
    </w:p>
    <w:p w14:paraId="38749DFC" w14:textId="77777777" w:rsidR="005756E7" w:rsidRPr="000E29EC" w:rsidRDefault="00000000" w:rsidP="00C769EF">
      <w:pPr>
        <w:spacing w:before="240" w:after="240"/>
        <w:outlineLvl w:val="1"/>
        <w:rPr>
          <w:rFonts w:ascii="Arial" w:hAnsi="Arial" w:cs="Arial"/>
          <w:color w:val="000000"/>
          <w:sz w:val="28"/>
          <w:szCs w:val="26"/>
          <w:lang w:val="en-IN" w:eastAsia="en-AU"/>
        </w:rPr>
      </w:pPr>
      <w:bookmarkStart w:id="35" w:name="_Toc237189231"/>
      <w:bookmarkStart w:id="36" w:name="_Toc238670382"/>
      <w:r w:rsidRPr="000E29EC">
        <w:rPr>
          <w:rFonts w:ascii="Arial" w:hAnsi="Arial" w:cs="Arial"/>
          <w:color w:val="000000"/>
          <w:sz w:val="28"/>
          <w:szCs w:val="26"/>
          <w:lang w:val="en-IN" w:eastAsia="en-AU"/>
        </w:rPr>
        <w:t>3.1 Introduction</w:t>
      </w:r>
      <w:bookmarkEnd w:id="35"/>
      <w:bookmarkEnd w:id="36"/>
    </w:p>
    <w:p w14:paraId="6CDDAE1A" w14:textId="77777777" w:rsidR="00B61DA2" w:rsidRDefault="00000000" w:rsidP="00C769EF">
      <w:pPr>
        <w:spacing w:line="360" w:lineRule="auto"/>
        <w:jc w:val="both"/>
        <w:rPr>
          <w:rFonts w:ascii="Arial" w:hAnsi="Arial" w:cs="Arial"/>
          <w:lang w:val="en-AU" w:eastAsia="en-AU"/>
        </w:rPr>
      </w:pPr>
      <w:r w:rsidRPr="000E29EC">
        <w:rPr>
          <w:rFonts w:ascii="Arial" w:hAnsi="Arial" w:cs="Arial"/>
          <w:lang w:val="en-AU" w:eastAsia="en-AU"/>
        </w:rPr>
        <w:t xml:space="preserve">The chapter presents the research methodology that will be used to explore the effect of digital transformation on customer loyalty in Tesco PLC. An effective research </w:t>
      </w:r>
      <w:r w:rsidRPr="000E29EC">
        <w:rPr>
          <w:rFonts w:ascii="Arial" w:hAnsi="Arial" w:cs="Arial"/>
          <w:lang w:val="en-AU" w:eastAsia="en-AU"/>
        </w:rPr>
        <w:lastRenderedPageBreak/>
        <w:t>methodology is the basis of making credible, transparent, and academically rigorous findings as it makes sure that methods used are in line with the research aim and objectives (Saunders et al., 2019; Creswell and Creswell, 2018). Along these lines, this chapter supports the methodological decisions that support the study such as the philosophy of research, approach, strategy, research design, data collection methods, data sources, and data analysis methods. It further addresses the ethical issues and research quality standards embraced to promote credibility and reliability of the findings hence developing a solid platform in achieving the research objectives.</w:t>
      </w:r>
    </w:p>
    <w:p w14:paraId="026780AB" w14:textId="77777777" w:rsidR="000B72FF" w:rsidRPr="000E29EC" w:rsidRDefault="000B72FF" w:rsidP="00C769EF">
      <w:pPr>
        <w:spacing w:line="360" w:lineRule="auto"/>
        <w:jc w:val="both"/>
        <w:rPr>
          <w:rFonts w:ascii="Arial" w:hAnsi="Arial" w:cs="Arial"/>
          <w:lang w:val="en-AU" w:eastAsia="en-AU"/>
        </w:rPr>
      </w:pPr>
    </w:p>
    <w:p w14:paraId="0F6D0852" w14:textId="77777777" w:rsidR="005756E7" w:rsidRPr="000E29EC" w:rsidRDefault="00000000" w:rsidP="00C769EF">
      <w:pPr>
        <w:spacing w:before="240" w:after="240"/>
        <w:outlineLvl w:val="1"/>
        <w:rPr>
          <w:rFonts w:ascii="Arial" w:hAnsi="Arial" w:cs="Arial"/>
          <w:color w:val="000000"/>
          <w:sz w:val="28"/>
          <w:szCs w:val="26"/>
          <w:lang w:val="en-IN" w:eastAsia="en-AU"/>
        </w:rPr>
      </w:pPr>
      <w:bookmarkStart w:id="37" w:name="_Toc237189232"/>
      <w:bookmarkStart w:id="38" w:name="_Toc238670383"/>
      <w:r w:rsidRPr="000E29EC">
        <w:rPr>
          <w:rFonts w:ascii="Arial" w:hAnsi="Arial" w:cs="Arial"/>
          <w:color w:val="000000"/>
          <w:sz w:val="28"/>
          <w:szCs w:val="26"/>
          <w:lang w:val="en-IN" w:eastAsia="en-AU"/>
        </w:rPr>
        <w:t>3.2 Research Philosophy</w:t>
      </w:r>
      <w:bookmarkEnd w:id="37"/>
      <w:bookmarkEnd w:id="38"/>
    </w:p>
    <w:p w14:paraId="64E4E26A" w14:textId="77777777" w:rsidR="00B61DA2" w:rsidRPr="000E29EC" w:rsidRDefault="00000000" w:rsidP="00C769EF">
      <w:pPr>
        <w:spacing w:line="360" w:lineRule="auto"/>
        <w:jc w:val="both"/>
        <w:rPr>
          <w:rFonts w:ascii="Arial" w:hAnsi="Arial" w:cs="Arial"/>
          <w:lang w:val="en-AU" w:eastAsia="en-AU"/>
        </w:rPr>
      </w:pPr>
      <w:r w:rsidRPr="000E29EC">
        <w:rPr>
          <w:rFonts w:ascii="Arial" w:hAnsi="Arial" w:cs="Arial"/>
          <w:lang w:val="en-AU" w:eastAsia="en-AU"/>
        </w:rPr>
        <w:t xml:space="preserve">Research philosophy is a set of assumptions and beliefs that inform the knowledge creation process and determine the choice of the most appropriate research methods (Saunders et al., 2019; Creswell and Creswell, 2018). Choosing the right philosophical position is important since it determines the way research problems are framed, how evidence is evaluated and conclusions are made. An interpretivist research philosophy will be utilized in this study since it seeks to determine how Tesco PLC digital transformation initiatives can affect customer loyalty. </w:t>
      </w:r>
    </w:p>
    <w:p w14:paraId="75398559" w14:textId="77777777" w:rsidR="000B72FF" w:rsidRDefault="00000000" w:rsidP="00C769EF">
      <w:pPr>
        <w:spacing w:line="360" w:lineRule="auto"/>
        <w:jc w:val="both"/>
        <w:rPr>
          <w:rFonts w:ascii="Arial" w:hAnsi="Arial" w:cs="Arial"/>
          <w:lang w:val="en-AU" w:eastAsia="en-AU"/>
        </w:rPr>
      </w:pPr>
      <w:r w:rsidRPr="000E29EC">
        <w:rPr>
          <w:rFonts w:ascii="Arial" w:hAnsi="Arial" w:cs="Arial"/>
          <w:lang w:val="en-AU" w:eastAsia="en-AU"/>
        </w:rPr>
        <w:t xml:space="preserve">Interpretivism presupposes that the reality is created socially, and people form various interpretations of experience based on their personal and situational conditions (Creswell and Creswell, 2018). This view is correct since customer loyalty is subjective, as it is subject to factors such as trust, satisfaction, perceived value and customer engagement, which cannot be fully described by mere objective measurement. </w:t>
      </w:r>
    </w:p>
    <w:p w14:paraId="17DF8F62" w14:textId="77777777" w:rsidR="000B72FF" w:rsidRDefault="000B72FF" w:rsidP="00C769EF">
      <w:pPr>
        <w:spacing w:line="360" w:lineRule="auto"/>
        <w:jc w:val="both"/>
        <w:rPr>
          <w:rFonts w:ascii="Arial" w:hAnsi="Arial" w:cs="Arial"/>
          <w:lang w:val="en-AU" w:eastAsia="en-AU"/>
        </w:rPr>
      </w:pPr>
    </w:p>
    <w:p w14:paraId="3BCEF84A" w14:textId="3ABDA13E" w:rsidR="00B61DA2" w:rsidRPr="000E29EC" w:rsidRDefault="00000000" w:rsidP="00C769EF">
      <w:pPr>
        <w:spacing w:line="360" w:lineRule="auto"/>
        <w:jc w:val="both"/>
        <w:rPr>
          <w:rFonts w:ascii="Arial" w:hAnsi="Arial" w:cs="Arial"/>
          <w:lang w:val="en-AU" w:eastAsia="en-AU"/>
        </w:rPr>
      </w:pPr>
      <w:r w:rsidRPr="000E29EC">
        <w:rPr>
          <w:rFonts w:ascii="Arial" w:hAnsi="Arial" w:cs="Arial"/>
          <w:lang w:val="en-AU" w:eastAsia="en-AU"/>
        </w:rPr>
        <w:t>Thus, the interpretivism approach will allow gaining a more detailed insight into the experience of Tesco customers in the digital ecosystem, such as online grocery store, mobile app, and loyalty programme Clubcard. In addition, digital transformation studies also state that technological change must be conceptualised in organisational and customer settings as opposed to technology adoption itself (Hanelt et al., 2021; Verhoef et al., 2021). Therefore, interpretivism offers a consistent philosophical framework which meets the objectives of the study and qualitative research design (Aguzzoli et al., 2024).</w:t>
      </w:r>
    </w:p>
    <w:p w14:paraId="0E180B6C" w14:textId="77777777" w:rsidR="001E66C4" w:rsidRPr="000E29EC" w:rsidRDefault="00000000" w:rsidP="00C769EF">
      <w:pPr>
        <w:spacing w:before="240" w:after="240"/>
        <w:outlineLvl w:val="1"/>
        <w:rPr>
          <w:rFonts w:ascii="Arial" w:hAnsi="Arial" w:cs="Arial"/>
          <w:color w:val="000000"/>
          <w:sz w:val="28"/>
          <w:szCs w:val="26"/>
          <w:lang w:val="en-IN" w:eastAsia="en-AU"/>
        </w:rPr>
      </w:pPr>
      <w:bookmarkStart w:id="39" w:name="_Toc237189233"/>
      <w:bookmarkStart w:id="40" w:name="_Toc238670384"/>
      <w:r w:rsidRPr="000E29EC">
        <w:rPr>
          <w:rFonts w:ascii="Arial" w:hAnsi="Arial" w:cs="Arial"/>
          <w:color w:val="000000"/>
          <w:sz w:val="28"/>
          <w:szCs w:val="26"/>
          <w:lang w:val="en-IN" w:eastAsia="en-AU"/>
        </w:rPr>
        <w:lastRenderedPageBreak/>
        <w:t>3.3 Research Approach</w:t>
      </w:r>
      <w:bookmarkEnd w:id="39"/>
      <w:bookmarkEnd w:id="40"/>
    </w:p>
    <w:p w14:paraId="4B7AEE39" w14:textId="77777777" w:rsidR="00B61DA2" w:rsidRPr="000E29EC" w:rsidRDefault="00000000" w:rsidP="00C769EF">
      <w:pPr>
        <w:spacing w:line="360" w:lineRule="auto"/>
        <w:jc w:val="both"/>
        <w:rPr>
          <w:rFonts w:ascii="Arial" w:hAnsi="Arial" w:cs="Arial"/>
          <w:lang w:val="en-AU" w:eastAsia="en-AU"/>
        </w:rPr>
      </w:pPr>
      <w:r w:rsidRPr="000E29EC">
        <w:rPr>
          <w:rFonts w:ascii="Arial" w:hAnsi="Arial" w:cs="Arial"/>
          <w:lang w:val="en-AU" w:eastAsia="en-AU"/>
        </w:rPr>
        <w:t xml:space="preserve">The research methodology offers the rationale framework that connects the research purposes to the procedures to gather and analyse data (Saunders et al., 2019). The research will take an inductive approach of research, as it is suited in investigating the digital transformation in customer loyalty in the case of Tesco PLC. The inductive approach, in contrast to the deductive approach, which aims to test already existing theories by formulating hypotheses, tries to create understandings that are visible due to the available evidence, emphasizing patterns and themes (Creswell and Creswell, 2018). </w:t>
      </w:r>
    </w:p>
    <w:p w14:paraId="4611DF31" w14:textId="77777777" w:rsidR="00996285" w:rsidRDefault="00000000" w:rsidP="00C769EF">
      <w:pPr>
        <w:spacing w:line="360" w:lineRule="auto"/>
        <w:jc w:val="both"/>
        <w:rPr>
          <w:rFonts w:ascii="Arial" w:hAnsi="Arial" w:cs="Arial"/>
          <w:lang w:val="en-AU" w:eastAsia="en-AU"/>
        </w:rPr>
      </w:pPr>
      <w:r w:rsidRPr="000E29EC">
        <w:rPr>
          <w:rFonts w:ascii="Arial" w:hAnsi="Arial" w:cs="Arial"/>
          <w:lang w:val="en-AU" w:eastAsia="en-AU"/>
        </w:rPr>
        <w:t>Specifically, an inductive approach is most appropriate since the scope of this research is to comprehend how the set of Tesco digital transformation initiatives and customer loyalty are interrelated unlike testing the existence of causal relationships.</w:t>
      </w:r>
    </w:p>
    <w:p w14:paraId="36AC3684" w14:textId="77777777" w:rsidR="00996285" w:rsidRDefault="00996285" w:rsidP="00C769EF">
      <w:pPr>
        <w:spacing w:line="360" w:lineRule="auto"/>
        <w:jc w:val="both"/>
        <w:rPr>
          <w:rFonts w:ascii="Arial" w:hAnsi="Arial" w:cs="Arial"/>
          <w:lang w:val="en-AU" w:eastAsia="en-AU"/>
        </w:rPr>
      </w:pPr>
    </w:p>
    <w:p w14:paraId="07B42605" w14:textId="77777777" w:rsidR="00B61DA2" w:rsidRPr="000E29EC" w:rsidRDefault="00000000" w:rsidP="00C769EF">
      <w:pPr>
        <w:spacing w:line="360" w:lineRule="auto"/>
        <w:jc w:val="both"/>
        <w:rPr>
          <w:rFonts w:ascii="Arial" w:hAnsi="Arial" w:cs="Arial"/>
          <w:lang w:val="en-AU" w:eastAsia="en-AU"/>
        </w:rPr>
      </w:pPr>
      <w:r w:rsidRPr="000E29EC">
        <w:rPr>
          <w:rFonts w:ascii="Arial" w:hAnsi="Arial" w:cs="Arial"/>
          <w:lang w:val="en-AU" w:eastAsia="en-AU"/>
        </w:rPr>
        <w:t>Digital transformation has been identified as an ever-changing organisational process (depending on a combination of technological, organisational, and customer-related forces) and an exploratory approach would better serve to capture the complexities (Vial, 2019; Hanelt et al., 2021). In addition, inductive reasoning can assist researchers to make sense of contextual evidence and to draw meaningful conclusions based on the available literature and organisational practices (Aguzzoli et al., 2024). The chosen methodology can also be connected to the interpretivist philosophy and qualitative case study design, which will give a consistent approach to the analysis of secondary sources and the overall picture of the impact of Tesco digital transformation on customer loyalty in the context of the UK retail sector (Saunders et al., 2019; Verhoef et al., 2021).</w:t>
      </w:r>
    </w:p>
    <w:p w14:paraId="25234CE8" w14:textId="77777777" w:rsidR="001E66C4" w:rsidRPr="000E29EC" w:rsidRDefault="00000000" w:rsidP="00C769EF">
      <w:pPr>
        <w:spacing w:before="240" w:after="240"/>
        <w:outlineLvl w:val="1"/>
        <w:rPr>
          <w:rFonts w:ascii="Arial" w:hAnsi="Arial" w:cs="Arial"/>
          <w:color w:val="000000"/>
          <w:sz w:val="28"/>
          <w:szCs w:val="26"/>
          <w:lang w:val="en-IN" w:eastAsia="en-AU"/>
        </w:rPr>
      </w:pPr>
      <w:bookmarkStart w:id="41" w:name="_Toc237189234"/>
      <w:bookmarkStart w:id="42" w:name="_Toc238670385"/>
      <w:r w:rsidRPr="000E29EC">
        <w:rPr>
          <w:rFonts w:ascii="Arial" w:hAnsi="Arial" w:cs="Arial"/>
          <w:color w:val="000000"/>
          <w:sz w:val="28"/>
          <w:szCs w:val="26"/>
          <w:lang w:val="en-IN" w:eastAsia="en-AU"/>
        </w:rPr>
        <w:t>3.4 Research Strategy and Research Design</w:t>
      </w:r>
      <w:bookmarkEnd w:id="41"/>
      <w:bookmarkEnd w:id="42"/>
      <w:r w:rsidRPr="000E29EC">
        <w:rPr>
          <w:rFonts w:ascii="Arial" w:hAnsi="Arial" w:cs="Arial"/>
          <w:color w:val="000000"/>
          <w:sz w:val="28"/>
          <w:szCs w:val="26"/>
          <w:lang w:val="en-IN" w:eastAsia="en-AU"/>
        </w:rPr>
        <w:t xml:space="preserve"> </w:t>
      </w:r>
    </w:p>
    <w:p w14:paraId="564A37DF" w14:textId="77777777" w:rsidR="00B61DA2" w:rsidRDefault="00000000" w:rsidP="00C769EF">
      <w:pPr>
        <w:spacing w:line="360" w:lineRule="auto"/>
        <w:jc w:val="both"/>
        <w:rPr>
          <w:rFonts w:ascii="Arial" w:hAnsi="Arial" w:cs="Arial"/>
          <w:lang w:val="en-AU" w:eastAsia="en-AU"/>
        </w:rPr>
      </w:pPr>
      <w:r w:rsidRPr="000E29EC">
        <w:rPr>
          <w:rFonts w:ascii="Arial" w:hAnsi="Arial" w:cs="Arial"/>
          <w:lang w:val="en-AU" w:eastAsia="en-AU"/>
        </w:rPr>
        <w:t xml:space="preserve">The use of a specific research strategy and research design is crucial since it makes sure that the research goals are being met in a systematic and systematic manner (Saunders et al., 2019). In this research, a qualitative case study research strategy will be used and the Tesco PLC will be the single case organisation. A case study approach allows a researcher to examine a modern phenomenon in its natural environment, especially when the scope of the phenomenon and the surrounding environment are not well identified (Yin, 2018). Since digital transformation is associated with technological innovation, </w:t>
      </w:r>
      <w:r w:rsidRPr="000E29EC">
        <w:rPr>
          <w:rFonts w:ascii="Arial" w:hAnsi="Arial" w:cs="Arial"/>
          <w:lang w:val="en-AU" w:eastAsia="en-AU"/>
        </w:rPr>
        <w:lastRenderedPageBreak/>
        <w:t xml:space="preserve">customer experience, and relationship management, the case study approach offers a relevant scheme to explore the impact of digital transformation on customer loyalty. </w:t>
      </w:r>
    </w:p>
    <w:p w14:paraId="784E4CCF" w14:textId="77777777" w:rsidR="00996285" w:rsidRPr="000E29EC" w:rsidRDefault="00996285" w:rsidP="00C769EF">
      <w:pPr>
        <w:spacing w:line="360" w:lineRule="auto"/>
        <w:jc w:val="both"/>
        <w:rPr>
          <w:rFonts w:ascii="Arial" w:hAnsi="Arial" w:cs="Arial"/>
          <w:lang w:val="en-AU" w:eastAsia="en-AU"/>
        </w:rPr>
      </w:pPr>
    </w:p>
    <w:p w14:paraId="6EE5A97E" w14:textId="77777777" w:rsidR="00B61DA2" w:rsidRPr="000E29EC" w:rsidRDefault="00000000" w:rsidP="00C769EF">
      <w:pPr>
        <w:spacing w:line="360" w:lineRule="auto"/>
        <w:jc w:val="both"/>
        <w:rPr>
          <w:rFonts w:ascii="Arial" w:hAnsi="Arial" w:cs="Arial"/>
          <w:lang w:val="en-AU" w:eastAsia="en-AU"/>
        </w:rPr>
      </w:pPr>
      <w:r w:rsidRPr="000E29EC">
        <w:rPr>
          <w:rFonts w:ascii="Arial" w:hAnsi="Arial" w:cs="Arial"/>
          <w:lang w:val="en-AU" w:eastAsia="en-AU"/>
        </w:rPr>
        <w:t>The use of a qualitative research design is deemed appropriate as it enables the detailed examination of the digital transformation efforts of Tesco, its online grocery store, and mobile application as well as Clubcard loyalty programme. Qualitative research is committed to creating a situational knowledge of organisational behaviour and customer experiences, instead of generating statistical generalisations (Creswell and Creswell, 2018). Moreover, qualitative case studies are the most efficient ways of grasping organisational complexity and changing customer behaviours linked to digital transformation (Aguzzoli et al., 2024). Thus, the chosen research strategy and design offer a logical map of how to meet the research goals and how the digital transformation correlates with customer loyalty (Hanelt et al., 2021; Verhoef et al., 2021).</w:t>
      </w:r>
    </w:p>
    <w:p w14:paraId="7BA43032" w14:textId="77777777" w:rsidR="00D63457" w:rsidRPr="000E29EC" w:rsidRDefault="00000000" w:rsidP="00C769EF">
      <w:pPr>
        <w:spacing w:before="240" w:after="240"/>
        <w:outlineLvl w:val="1"/>
        <w:rPr>
          <w:rFonts w:ascii="Arial" w:hAnsi="Arial" w:cs="Arial"/>
          <w:color w:val="000000"/>
          <w:sz w:val="28"/>
          <w:szCs w:val="26"/>
          <w:lang w:val="en-IN" w:eastAsia="en-AU"/>
        </w:rPr>
      </w:pPr>
      <w:bookmarkStart w:id="43" w:name="_Toc237189235"/>
      <w:bookmarkStart w:id="44" w:name="_Toc238670386"/>
      <w:r w:rsidRPr="000E29EC">
        <w:rPr>
          <w:rFonts w:ascii="Arial" w:hAnsi="Arial" w:cs="Arial"/>
          <w:color w:val="000000"/>
          <w:sz w:val="28"/>
          <w:szCs w:val="26"/>
          <w:lang w:val="en-IN" w:eastAsia="en-AU"/>
        </w:rPr>
        <w:t>3.5 Data Collection Methods</w:t>
      </w:r>
      <w:bookmarkEnd w:id="43"/>
      <w:bookmarkEnd w:id="44"/>
      <w:r w:rsidRPr="000E29EC">
        <w:rPr>
          <w:rFonts w:ascii="Arial" w:hAnsi="Arial" w:cs="Arial"/>
          <w:color w:val="000000"/>
          <w:sz w:val="28"/>
          <w:szCs w:val="26"/>
          <w:lang w:val="en-IN" w:eastAsia="en-AU"/>
        </w:rPr>
        <w:t xml:space="preserve"> </w:t>
      </w:r>
    </w:p>
    <w:p w14:paraId="64D9DDE1" w14:textId="77777777" w:rsidR="002451B9" w:rsidRDefault="00000000" w:rsidP="00C769EF">
      <w:pPr>
        <w:spacing w:line="360" w:lineRule="auto"/>
        <w:jc w:val="both"/>
        <w:rPr>
          <w:rFonts w:ascii="Arial" w:hAnsi="Arial" w:cs="Arial"/>
          <w:lang w:val="en-AU" w:eastAsia="en-AU"/>
        </w:rPr>
      </w:pPr>
      <w:r w:rsidRPr="000E29EC">
        <w:rPr>
          <w:rFonts w:ascii="Arial" w:hAnsi="Arial" w:cs="Arial"/>
          <w:lang w:val="en-AU" w:eastAsia="en-AU"/>
        </w:rPr>
        <w:t xml:space="preserve">A collection of data is one of the key research stages because the quality and relevance of the collected data determine the validity of the research results (Saunders et al., 2019). The proposed study will be a secondary data collection as this approach would be suitable in exploring the issue of digital transformation and its effect on customer loyalty in Tesco PLC. Secondary research allows to conduct a systematic analysis of existing evidence which has been acquired through credible and publicly available sources and is especially appropriate in qualitative case study research (Creswell &amp; Creswell, 2018). The information will be obtained through peer-reviewed academic journal articles, Tesco PLC annual report, sustainability reports, investor presentation, as well as reliable publications in the industry. </w:t>
      </w:r>
    </w:p>
    <w:p w14:paraId="1521FA5A" w14:textId="77777777" w:rsidR="00996285" w:rsidRPr="000E29EC" w:rsidRDefault="00996285" w:rsidP="00C769EF">
      <w:pPr>
        <w:spacing w:line="360" w:lineRule="auto"/>
        <w:jc w:val="both"/>
        <w:rPr>
          <w:rFonts w:ascii="Arial" w:hAnsi="Arial" w:cs="Arial"/>
          <w:lang w:val="en-AU" w:eastAsia="en-AU"/>
        </w:rPr>
      </w:pPr>
    </w:p>
    <w:p w14:paraId="538DFA9A" w14:textId="77777777" w:rsidR="00D30959" w:rsidRDefault="00000000" w:rsidP="00C769EF">
      <w:pPr>
        <w:spacing w:line="360" w:lineRule="auto"/>
        <w:jc w:val="both"/>
        <w:rPr>
          <w:rFonts w:ascii="Arial" w:hAnsi="Arial" w:cs="Arial"/>
          <w:lang w:val="en-AU" w:eastAsia="en-AU"/>
        </w:rPr>
      </w:pPr>
      <w:r w:rsidRPr="000E29EC">
        <w:rPr>
          <w:rFonts w:ascii="Arial" w:hAnsi="Arial" w:cs="Arial"/>
          <w:lang w:val="en-AU" w:eastAsia="en-AU"/>
        </w:rPr>
        <w:t xml:space="preserve">The relevant studies published no earlier than 2015 and no later than 2025 will be identified in academic databases like Scopus, ScienceDirect, Emerald Insight, and Google Scholar. The corporate reports of Tesco PLC will offer organisation-specific indications of the digital transformation activities and customer engagement strategies (Tesco PLC, 2024). Triangulation of data using various credible secondary sources will </w:t>
      </w:r>
      <w:r w:rsidRPr="000E29EC">
        <w:rPr>
          <w:rFonts w:ascii="Arial" w:hAnsi="Arial" w:cs="Arial"/>
          <w:lang w:val="en-AU" w:eastAsia="en-AU"/>
        </w:rPr>
        <w:lastRenderedPageBreak/>
        <w:t xml:space="preserve">help to increase the validity and strength of the results </w:t>
      </w:r>
      <w:r w:rsidR="00C769EF" w:rsidRPr="000E29EC">
        <w:rPr>
          <w:rFonts w:ascii="Arial" w:hAnsi="Arial" w:cs="Arial"/>
          <w:lang w:val="en-AU" w:eastAsia="en-AU"/>
        </w:rPr>
        <w:t>and</w:t>
      </w:r>
      <w:r w:rsidRPr="000E29EC">
        <w:rPr>
          <w:rFonts w:ascii="Arial" w:hAnsi="Arial" w:cs="Arial"/>
          <w:lang w:val="en-AU" w:eastAsia="en-AU"/>
        </w:rPr>
        <w:t xml:space="preserve"> contribute to a thorough evaluation of the study goals (Yin, 2018; Hanelt et al., 2021).</w:t>
      </w:r>
    </w:p>
    <w:p w14:paraId="4D070D60" w14:textId="77777777" w:rsidR="001963CF" w:rsidRPr="000E29EC" w:rsidRDefault="001963CF" w:rsidP="00C769EF">
      <w:pPr>
        <w:spacing w:line="360" w:lineRule="auto"/>
        <w:jc w:val="both"/>
        <w:rPr>
          <w:rFonts w:ascii="Arial" w:hAnsi="Arial" w:cs="Arial"/>
          <w:lang w:val="en-AU" w:eastAsia="en-AU"/>
        </w:rPr>
      </w:pPr>
    </w:p>
    <w:p w14:paraId="08D3D0B9" w14:textId="77777777" w:rsidR="00D63457" w:rsidRPr="000E29EC" w:rsidRDefault="00000000" w:rsidP="00C769EF">
      <w:pPr>
        <w:spacing w:before="240" w:after="240"/>
        <w:outlineLvl w:val="1"/>
        <w:rPr>
          <w:rFonts w:ascii="Arial" w:hAnsi="Arial" w:cs="Arial"/>
          <w:color w:val="000000"/>
          <w:sz w:val="28"/>
          <w:szCs w:val="26"/>
          <w:lang w:val="en-IN" w:eastAsia="en-AU"/>
        </w:rPr>
      </w:pPr>
      <w:bookmarkStart w:id="45" w:name="_Toc237189236"/>
      <w:bookmarkStart w:id="46" w:name="_Toc238670387"/>
      <w:r w:rsidRPr="000E29EC">
        <w:rPr>
          <w:rFonts w:ascii="Arial" w:hAnsi="Arial" w:cs="Arial"/>
          <w:color w:val="000000"/>
          <w:sz w:val="28"/>
          <w:szCs w:val="26"/>
          <w:lang w:val="en-IN" w:eastAsia="en-AU"/>
        </w:rPr>
        <w:t>3.6 Data Sources</w:t>
      </w:r>
      <w:bookmarkEnd w:id="45"/>
      <w:bookmarkEnd w:id="46"/>
      <w:r w:rsidRPr="000E29EC">
        <w:rPr>
          <w:rFonts w:ascii="Arial" w:hAnsi="Arial" w:cs="Arial"/>
          <w:color w:val="000000"/>
          <w:sz w:val="28"/>
          <w:szCs w:val="26"/>
          <w:lang w:val="en-IN" w:eastAsia="en-AU"/>
        </w:rPr>
        <w:t xml:space="preserve"> </w:t>
      </w:r>
    </w:p>
    <w:p w14:paraId="40FAF677" w14:textId="77777777" w:rsidR="00996285" w:rsidRDefault="00000000" w:rsidP="00C769EF">
      <w:pPr>
        <w:spacing w:line="360" w:lineRule="auto"/>
        <w:jc w:val="both"/>
        <w:rPr>
          <w:rFonts w:ascii="Arial" w:hAnsi="Arial" w:cs="Arial"/>
          <w:lang w:val="en-AU" w:eastAsia="en-AU"/>
        </w:rPr>
      </w:pPr>
      <w:r w:rsidRPr="000E29EC">
        <w:rPr>
          <w:rFonts w:ascii="Arial" w:hAnsi="Arial" w:cs="Arial"/>
          <w:lang w:val="en-AU" w:eastAsia="en-AU"/>
        </w:rPr>
        <w:t>To make certain that the evidence gathered is acceptable, pertinent, and in tandem with the research aims, the study will rely on purposely chosen secondary data sources. The preference will be given to peer-reviewed journal articles that were published in the past five years (2015-2025) to reflect the latest trends in digitalisation, customer experience, omnichannel retailing, and relationship marketing.</w:t>
      </w:r>
    </w:p>
    <w:p w14:paraId="76CE01FA" w14:textId="77777777" w:rsidR="00996285" w:rsidRDefault="00996285" w:rsidP="00C769EF">
      <w:pPr>
        <w:spacing w:line="360" w:lineRule="auto"/>
        <w:jc w:val="both"/>
        <w:rPr>
          <w:rFonts w:ascii="Arial" w:hAnsi="Arial" w:cs="Arial"/>
          <w:lang w:val="en-AU" w:eastAsia="en-AU"/>
        </w:rPr>
      </w:pPr>
    </w:p>
    <w:p w14:paraId="582ED05A" w14:textId="77777777" w:rsidR="00B61DA2" w:rsidRPr="000E29EC" w:rsidRDefault="00000000" w:rsidP="00C769EF">
      <w:pPr>
        <w:spacing w:line="360" w:lineRule="auto"/>
        <w:jc w:val="both"/>
        <w:rPr>
          <w:rFonts w:ascii="Arial" w:hAnsi="Arial" w:cs="Arial"/>
          <w:lang w:val="en-AU" w:eastAsia="en-AU"/>
        </w:rPr>
      </w:pPr>
      <w:r w:rsidRPr="000E29EC">
        <w:rPr>
          <w:rFonts w:ascii="Arial" w:hAnsi="Arial" w:cs="Arial"/>
          <w:lang w:val="en-AU" w:eastAsia="en-AU"/>
        </w:rPr>
        <w:t xml:space="preserve">Besides that, Tesco PLC annual reports, sustainability reports, investor presentations and official corporate publications will provide evidence that is organisation specific, as it pertains to the </w:t>
      </w:r>
      <w:r w:rsidR="00080852" w:rsidRPr="000E29EC">
        <w:rPr>
          <w:rFonts w:ascii="Arial" w:hAnsi="Arial" w:cs="Arial"/>
          <w:lang w:val="en-AU" w:eastAsia="en-AU"/>
        </w:rPr>
        <w:t>company’s</w:t>
      </w:r>
      <w:r w:rsidRPr="000E29EC">
        <w:rPr>
          <w:rFonts w:ascii="Arial" w:hAnsi="Arial" w:cs="Arial"/>
          <w:lang w:val="en-AU" w:eastAsia="en-AU"/>
        </w:rPr>
        <w:t xml:space="preserve"> digital transformation efforts and customer loyalty tactics (Tesco PLC, 2024). Industry reports and credible market analysis will also be looked at and will give a wider perspective of the UK retail industry. The intentional use of authoritative and recent sources will enhance credibility, applicability, and trustworthiness of the research results as well as guarantee high-quality evidence can be the support of the study (Saunders et al., 2019; Bouncken et al., 2025).</w:t>
      </w:r>
    </w:p>
    <w:p w14:paraId="16FBE257" w14:textId="77777777" w:rsidR="00D63457" w:rsidRPr="000E29EC" w:rsidRDefault="00000000" w:rsidP="00C769EF">
      <w:pPr>
        <w:spacing w:before="240" w:after="240"/>
        <w:outlineLvl w:val="1"/>
        <w:rPr>
          <w:rFonts w:ascii="Arial" w:hAnsi="Arial" w:cs="Arial"/>
          <w:color w:val="000000"/>
          <w:sz w:val="28"/>
          <w:szCs w:val="26"/>
          <w:lang w:val="en-IN" w:eastAsia="en-AU"/>
        </w:rPr>
      </w:pPr>
      <w:bookmarkStart w:id="47" w:name="_Toc237189237"/>
      <w:bookmarkStart w:id="48" w:name="_Toc238670388"/>
      <w:r w:rsidRPr="000E29EC">
        <w:rPr>
          <w:rFonts w:ascii="Arial" w:hAnsi="Arial" w:cs="Arial"/>
          <w:color w:val="000000"/>
          <w:sz w:val="28"/>
          <w:szCs w:val="26"/>
          <w:lang w:val="en-IN" w:eastAsia="en-AU"/>
        </w:rPr>
        <w:t>3.7 Data Analysis</w:t>
      </w:r>
      <w:bookmarkEnd w:id="47"/>
      <w:bookmarkEnd w:id="48"/>
      <w:r w:rsidRPr="000E29EC">
        <w:rPr>
          <w:rFonts w:ascii="Arial" w:hAnsi="Arial" w:cs="Arial"/>
          <w:color w:val="000000"/>
          <w:sz w:val="28"/>
          <w:szCs w:val="26"/>
          <w:lang w:val="en-IN" w:eastAsia="en-AU"/>
        </w:rPr>
        <w:t xml:space="preserve"> </w:t>
      </w:r>
    </w:p>
    <w:p w14:paraId="5826EEAF" w14:textId="77777777" w:rsidR="00B61DA2" w:rsidRDefault="00000000" w:rsidP="00C769EF">
      <w:pPr>
        <w:spacing w:line="360" w:lineRule="auto"/>
        <w:jc w:val="both"/>
        <w:rPr>
          <w:rFonts w:ascii="Arial" w:hAnsi="Arial" w:cs="Arial"/>
          <w:lang w:val="en-AU" w:eastAsia="en-AU"/>
        </w:rPr>
      </w:pPr>
      <w:r w:rsidRPr="000E29EC">
        <w:rPr>
          <w:rFonts w:ascii="Arial" w:hAnsi="Arial" w:cs="Arial"/>
          <w:lang w:val="en-AU" w:eastAsia="en-AU"/>
        </w:rPr>
        <w:t xml:space="preserve">Thematic analysis, the most popular qualitative method of recognising recurring patterns in textual information, will be used to analyse the collected secondary data (Braun and Clarke, 2006; Castleberry and Nolen, 2018). The study requires the use of thematic analysis as it will allow conducting a systematic analysis of the qualitative data associated with the online transformation programs carried out by Tesco PLC and its impact on customer loyalty. However, thematic analysis, in contrast to other analytical methods, allows understanding of the practices and experiences of the organisation, as well as the strategic processes in the context of the real world (Creswell and Creswell, 2018). </w:t>
      </w:r>
    </w:p>
    <w:p w14:paraId="689F8990" w14:textId="77777777" w:rsidR="00996285" w:rsidRPr="000E29EC" w:rsidRDefault="00996285" w:rsidP="00C769EF">
      <w:pPr>
        <w:spacing w:line="360" w:lineRule="auto"/>
        <w:jc w:val="both"/>
        <w:rPr>
          <w:rFonts w:ascii="Arial" w:hAnsi="Arial" w:cs="Arial"/>
          <w:lang w:val="en-AU" w:eastAsia="en-AU"/>
        </w:rPr>
      </w:pPr>
    </w:p>
    <w:p w14:paraId="4B6D38EC" w14:textId="77777777" w:rsidR="00C769EF" w:rsidRPr="000E29EC" w:rsidRDefault="00000000" w:rsidP="00C769EF">
      <w:pPr>
        <w:spacing w:line="360" w:lineRule="auto"/>
        <w:jc w:val="both"/>
        <w:rPr>
          <w:rFonts w:ascii="Arial" w:hAnsi="Arial" w:cs="Arial"/>
          <w:lang w:val="en-AU" w:eastAsia="en-AU"/>
        </w:rPr>
      </w:pPr>
      <w:r w:rsidRPr="000E29EC">
        <w:rPr>
          <w:rFonts w:ascii="Arial" w:hAnsi="Arial" w:cs="Arial"/>
          <w:lang w:val="en-AU" w:eastAsia="en-AU"/>
        </w:rPr>
        <w:lastRenderedPageBreak/>
        <w:t xml:space="preserve">Analysis shall be done in an organised process by including the familiarisation of data, systematic coding, generation of themes, refining themes and interpretation of findings against the research objectives (Braun and Clarke, 2006). Special focus will be made on themes that are related to digital change, customer experience, personalisation, customer engagement, trust, satisfaction and long-term customer loyalty. These outcomes will be further critically compared to the theoretical and empirical literature to uncover consistencies, contradictions, and insights (Hanelt et al., 2021; </w:t>
      </w:r>
      <w:r w:rsidR="00500E2D" w:rsidRPr="000E29EC">
        <w:rPr>
          <w:rFonts w:ascii="Arial" w:hAnsi="Arial" w:cs="Arial"/>
          <w:lang w:val="en-AU" w:eastAsia="en-AU"/>
        </w:rPr>
        <w:t xml:space="preserve">Verhoef </w:t>
      </w:r>
      <w:r w:rsidRPr="000E29EC">
        <w:rPr>
          <w:rFonts w:ascii="Arial" w:hAnsi="Arial" w:cs="Arial"/>
          <w:lang w:val="en-AU" w:eastAsia="en-AU"/>
        </w:rPr>
        <w:t>et al., 2021). This analytical procedure will help to make the results transparent, rigorous, and aligned with the research aims and increase the validity of the study (Saunders et al., 2019; Younas and Inayat, 2025).</w:t>
      </w:r>
    </w:p>
    <w:p w14:paraId="382D86E2" w14:textId="77777777" w:rsidR="00D63457" w:rsidRPr="000E29EC" w:rsidRDefault="00000000" w:rsidP="00C769EF">
      <w:pPr>
        <w:spacing w:before="240" w:after="240"/>
        <w:outlineLvl w:val="1"/>
        <w:rPr>
          <w:rFonts w:ascii="Arial" w:hAnsi="Arial" w:cs="Arial"/>
          <w:color w:val="000000"/>
          <w:sz w:val="28"/>
          <w:szCs w:val="26"/>
          <w:lang w:val="en-IN" w:eastAsia="en-AU"/>
        </w:rPr>
      </w:pPr>
      <w:bookmarkStart w:id="49" w:name="_Toc237189238"/>
      <w:bookmarkStart w:id="50" w:name="_Toc238670389"/>
      <w:r w:rsidRPr="000E29EC">
        <w:rPr>
          <w:rFonts w:ascii="Arial" w:hAnsi="Arial" w:cs="Arial"/>
          <w:color w:val="000000"/>
          <w:sz w:val="28"/>
          <w:szCs w:val="26"/>
          <w:lang w:val="en-IN" w:eastAsia="en-AU"/>
        </w:rPr>
        <w:t>3.8 Ethical Considerations</w:t>
      </w:r>
      <w:bookmarkEnd w:id="49"/>
      <w:bookmarkEnd w:id="50"/>
      <w:r w:rsidRPr="000E29EC">
        <w:rPr>
          <w:rFonts w:ascii="Arial" w:hAnsi="Arial" w:cs="Arial"/>
          <w:color w:val="000000"/>
          <w:sz w:val="28"/>
          <w:szCs w:val="26"/>
          <w:lang w:val="en-IN" w:eastAsia="en-AU"/>
        </w:rPr>
        <w:t xml:space="preserve"> </w:t>
      </w:r>
    </w:p>
    <w:p w14:paraId="459C5B13" w14:textId="77777777" w:rsidR="00B61DA2" w:rsidRPr="000E29EC" w:rsidRDefault="00000000" w:rsidP="00C769EF">
      <w:pPr>
        <w:spacing w:line="360" w:lineRule="auto"/>
        <w:jc w:val="both"/>
        <w:rPr>
          <w:rFonts w:ascii="Arial" w:hAnsi="Arial" w:cs="Arial"/>
          <w:lang w:val="en-AU" w:eastAsia="en-AU"/>
        </w:rPr>
      </w:pPr>
      <w:r w:rsidRPr="000E29EC">
        <w:rPr>
          <w:rFonts w:ascii="Arial" w:hAnsi="Arial" w:cs="Arial"/>
          <w:lang w:val="en-AU" w:eastAsia="en-AU"/>
        </w:rPr>
        <w:t>Responsible, transparent, and academically responsible research is ensured through ethical considerations (Saunders et al., 2019). Since this research is going to be based solely on secondary data, no direct human interaction will be needed, and no informed consent or any information about the participants will be necessary. The studies will make use of publicly accessible and reliable literature such as peer-reviewed journal articles, Tesco PLC annual reports, sustainability reports, and industry publications. Any piece of information will be correctly depicted and properly credited by way of consistent referencing to prevent plagiarism and respect intellectual property rights (Creswell and Creswell, 2018). In addition, the research will ensure objectivity because it will look at evidence using a variety of authoritative sources as opposed to taking a single perspective, which will reduce researcher bias and increase the credibility and ethical rigour of research findings (Saunders et al., 2019).</w:t>
      </w:r>
    </w:p>
    <w:p w14:paraId="1A5ED2FA" w14:textId="77777777" w:rsidR="00D63457" w:rsidRPr="000E29EC" w:rsidRDefault="00000000" w:rsidP="00C769EF">
      <w:pPr>
        <w:spacing w:before="240" w:after="240"/>
        <w:outlineLvl w:val="1"/>
        <w:rPr>
          <w:rFonts w:ascii="Arial" w:hAnsi="Arial" w:cs="Arial"/>
          <w:color w:val="000000"/>
          <w:sz w:val="28"/>
          <w:szCs w:val="26"/>
          <w:lang w:val="en-IN" w:eastAsia="en-AU"/>
        </w:rPr>
      </w:pPr>
      <w:bookmarkStart w:id="51" w:name="_Toc237189239"/>
      <w:bookmarkStart w:id="52" w:name="_Toc238670390"/>
      <w:r w:rsidRPr="000E29EC">
        <w:rPr>
          <w:rFonts w:ascii="Arial" w:hAnsi="Arial" w:cs="Arial"/>
          <w:color w:val="000000"/>
          <w:sz w:val="28"/>
          <w:szCs w:val="26"/>
          <w:lang w:val="en-IN" w:eastAsia="en-AU"/>
        </w:rPr>
        <w:t>3.9 Research Quality (Trustworthiness)</w:t>
      </w:r>
      <w:bookmarkEnd w:id="51"/>
      <w:bookmarkEnd w:id="52"/>
      <w:r w:rsidRPr="000E29EC">
        <w:rPr>
          <w:rFonts w:ascii="Arial" w:hAnsi="Arial" w:cs="Arial"/>
          <w:color w:val="000000"/>
          <w:sz w:val="28"/>
          <w:szCs w:val="26"/>
          <w:lang w:val="en-IN" w:eastAsia="en-AU"/>
        </w:rPr>
        <w:t xml:space="preserve"> </w:t>
      </w:r>
    </w:p>
    <w:p w14:paraId="42D089F3" w14:textId="77777777" w:rsidR="00996285" w:rsidRDefault="00000000" w:rsidP="00C769EF">
      <w:pPr>
        <w:spacing w:line="360" w:lineRule="auto"/>
        <w:jc w:val="both"/>
        <w:rPr>
          <w:rFonts w:ascii="Arial" w:hAnsi="Arial" w:cs="Arial"/>
          <w:lang w:val="en-AU" w:eastAsia="en-AU"/>
        </w:rPr>
      </w:pPr>
      <w:r w:rsidRPr="000E29EC">
        <w:rPr>
          <w:rFonts w:ascii="Arial" w:hAnsi="Arial" w:cs="Arial"/>
          <w:lang w:val="en-AU" w:eastAsia="en-AU"/>
        </w:rPr>
        <w:t xml:space="preserve">To come up with dependable and reliable findings, it is highly important to ensure the quality of research. In qualitative secondary studies, credibility, dependability, and confirmability of the research procedure determine trustworthiness as opposed to statistical reliability (Lincoln and Guba, 1985; Saunders et al. 2019). To increase the level of credibility, the proposed study will rely on several credible sources of evidence, such </w:t>
      </w:r>
      <w:r w:rsidRPr="000E29EC">
        <w:rPr>
          <w:rFonts w:ascii="Arial" w:hAnsi="Arial" w:cs="Arial"/>
          <w:lang w:val="en-AU" w:eastAsia="en-AU"/>
        </w:rPr>
        <w:lastRenderedPageBreak/>
        <w:t xml:space="preserve">as peer-reviewed journal articles, annual reports of Tesco PLC, and authoritative industry publications, and enables data triangulation and cross-checking of the results (Yin, 2018). </w:t>
      </w:r>
    </w:p>
    <w:p w14:paraId="554913E8" w14:textId="77777777" w:rsidR="00996285" w:rsidRDefault="00996285" w:rsidP="00C769EF">
      <w:pPr>
        <w:spacing w:line="360" w:lineRule="auto"/>
        <w:jc w:val="both"/>
        <w:rPr>
          <w:rFonts w:ascii="Arial" w:hAnsi="Arial" w:cs="Arial"/>
          <w:lang w:val="en-AU" w:eastAsia="en-AU"/>
        </w:rPr>
      </w:pPr>
    </w:p>
    <w:p w14:paraId="6F8D82F2" w14:textId="77777777" w:rsidR="00B61DA2" w:rsidRPr="000E29EC" w:rsidRDefault="00000000" w:rsidP="00C769EF">
      <w:pPr>
        <w:spacing w:line="360" w:lineRule="auto"/>
        <w:jc w:val="both"/>
        <w:rPr>
          <w:rFonts w:ascii="Arial" w:hAnsi="Arial" w:cs="Arial"/>
          <w:lang w:val="en-AU" w:eastAsia="en-AU"/>
        </w:rPr>
      </w:pPr>
      <w:r w:rsidRPr="000E29EC">
        <w:rPr>
          <w:rFonts w:ascii="Arial" w:hAnsi="Arial" w:cs="Arial"/>
          <w:lang w:val="en-AU" w:eastAsia="en-AU"/>
        </w:rPr>
        <w:t>The reliability will be ensured by employing a transparent and structural approach to research, and well-defined data collection and thematic analysis procedures (Braun and Clarke, 2006). In addition, the uniformity of using firmly accepted methodological models and engagement of evidence quality will enhance the validity of the results whilst reducing researcher bias, hence the research will yield solid and academically valid findings (Creswell and Creswell, 2018).</w:t>
      </w:r>
    </w:p>
    <w:p w14:paraId="22E56BB0" w14:textId="77777777" w:rsidR="00D63457" w:rsidRPr="000E29EC" w:rsidRDefault="00000000" w:rsidP="00C769EF">
      <w:pPr>
        <w:spacing w:before="240" w:after="240"/>
        <w:outlineLvl w:val="1"/>
        <w:rPr>
          <w:rFonts w:ascii="Arial" w:hAnsi="Arial" w:cs="Arial"/>
          <w:color w:val="000000"/>
          <w:sz w:val="28"/>
          <w:szCs w:val="26"/>
          <w:lang w:val="en-IN" w:eastAsia="en-AU"/>
        </w:rPr>
      </w:pPr>
      <w:bookmarkStart w:id="53" w:name="_Toc237189240"/>
      <w:bookmarkStart w:id="54" w:name="_Toc238670391"/>
      <w:r w:rsidRPr="000E29EC">
        <w:rPr>
          <w:rFonts w:ascii="Arial" w:hAnsi="Arial" w:cs="Arial"/>
          <w:color w:val="000000"/>
          <w:sz w:val="28"/>
          <w:szCs w:val="26"/>
          <w:lang w:val="en-IN" w:eastAsia="en-AU"/>
        </w:rPr>
        <w:t>3.10 Chapter Summary</w:t>
      </w:r>
      <w:bookmarkEnd w:id="53"/>
      <w:bookmarkEnd w:id="54"/>
      <w:r w:rsidRPr="000E29EC">
        <w:rPr>
          <w:rFonts w:ascii="Arial" w:hAnsi="Arial" w:cs="Arial"/>
          <w:color w:val="000000"/>
          <w:sz w:val="28"/>
          <w:szCs w:val="26"/>
          <w:lang w:val="en-IN" w:eastAsia="en-AU"/>
        </w:rPr>
        <w:t xml:space="preserve"> </w:t>
      </w:r>
    </w:p>
    <w:p w14:paraId="5660F675" w14:textId="77777777" w:rsidR="00E97E84" w:rsidRDefault="00000000" w:rsidP="00C769EF">
      <w:pPr>
        <w:spacing w:line="360" w:lineRule="auto"/>
        <w:jc w:val="both"/>
        <w:rPr>
          <w:rFonts w:ascii="Arial" w:hAnsi="Arial" w:cs="Arial"/>
          <w:lang w:val="en-AU" w:eastAsia="en-AU"/>
        </w:rPr>
      </w:pPr>
      <w:r w:rsidRPr="000E29EC">
        <w:rPr>
          <w:rFonts w:ascii="Arial" w:hAnsi="Arial" w:cs="Arial"/>
          <w:lang w:val="en-AU" w:eastAsia="en-AU"/>
        </w:rPr>
        <w:t>This chapter has presented the methodological framework that will inform the research of the effects of digital transformation on customer loyalty at Tesco PLC. It has vindicated the choice of an interpretivist philosophy, inductive approach, qualitative case study strategy, and secondary data collection method. The chapter has also elaborated the process of data collection, thematic analysis, ethical issues as well as the quality of research and has also provided a rigorous and logical background to the presentation and presentation of findings in the next chapter.</w:t>
      </w:r>
    </w:p>
    <w:p w14:paraId="60DBD732" w14:textId="77777777" w:rsidR="00E97E84" w:rsidRDefault="00E97E84" w:rsidP="00C769EF">
      <w:pPr>
        <w:spacing w:line="360" w:lineRule="auto"/>
        <w:jc w:val="both"/>
        <w:rPr>
          <w:rFonts w:ascii="Arial" w:hAnsi="Arial" w:cs="Arial"/>
          <w:lang w:val="en-AU" w:eastAsia="en-AU"/>
        </w:rPr>
      </w:pPr>
    </w:p>
    <w:p w14:paraId="3AEBB29F" w14:textId="77777777" w:rsidR="00996285" w:rsidRDefault="00996285" w:rsidP="00C769EF">
      <w:pPr>
        <w:spacing w:line="360" w:lineRule="auto"/>
        <w:jc w:val="both"/>
        <w:rPr>
          <w:rFonts w:ascii="Arial" w:hAnsi="Arial" w:cs="Arial"/>
          <w:lang w:val="en-AU" w:eastAsia="en-AU"/>
        </w:rPr>
      </w:pPr>
    </w:p>
    <w:p w14:paraId="7F304B4F" w14:textId="77777777" w:rsidR="00E97E84" w:rsidRPr="005E3857" w:rsidRDefault="00000000" w:rsidP="000C28BD">
      <w:pPr>
        <w:spacing w:before="120" w:after="120"/>
        <w:jc w:val="center"/>
        <w:outlineLvl w:val="0"/>
        <w:rPr>
          <w:rFonts w:ascii="Arial" w:hAnsi="Arial"/>
          <w:b/>
          <w:color w:val="000000"/>
          <w:sz w:val="32"/>
          <w:szCs w:val="32"/>
          <w:lang w:val="en-AU" w:eastAsia="en-AU"/>
        </w:rPr>
      </w:pPr>
      <w:bookmarkStart w:id="55" w:name="_Toc237189241"/>
      <w:bookmarkStart w:id="56" w:name="_Toc238670392"/>
      <w:r w:rsidRPr="00E97E84">
        <w:rPr>
          <w:rFonts w:ascii="Arial" w:hAnsi="Arial"/>
          <w:b/>
          <w:color w:val="000000"/>
          <w:sz w:val="32"/>
          <w:szCs w:val="32"/>
          <w:lang w:val="en-AU" w:eastAsia="en-AU"/>
        </w:rPr>
        <w:t>Chapter 4: Findings and Discussion</w:t>
      </w:r>
      <w:bookmarkEnd w:id="55"/>
      <w:bookmarkEnd w:id="56"/>
    </w:p>
    <w:p w14:paraId="7AC615D3" w14:textId="77777777" w:rsidR="00E97E84" w:rsidRPr="00E97E84" w:rsidRDefault="00000000" w:rsidP="005E3857">
      <w:pPr>
        <w:spacing w:before="240" w:after="240"/>
        <w:outlineLvl w:val="1"/>
        <w:rPr>
          <w:rFonts w:ascii="Arial" w:hAnsi="Arial"/>
          <w:color w:val="000000"/>
          <w:sz w:val="28"/>
          <w:szCs w:val="26"/>
          <w:lang w:val="en-IN" w:eastAsia="en-AU"/>
        </w:rPr>
      </w:pPr>
      <w:bookmarkStart w:id="57" w:name="_Toc237189242"/>
      <w:bookmarkStart w:id="58" w:name="_Toc238670393"/>
      <w:r w:rsidRPr="00E97E84">
        <w:rPr>
          <w:rFonts w:ascii="Arial" w:hAnsi="Arial"/>
          <w:color w:val="000000"/>
          <w:sz w:val="28"/>
          <w:szCs w:val="26"/>
          <w:lang w:val="en-IN" w:eastAsia="en-AU"/>
        </w:rPr>
        <w:t>4.1 Introduction</w:t>
      </w:r>
      <w:bookmarkEnd w:id="57"/>
      <w:bookmarkEnd w:id="58"/>
    </w:p>
    <w:p w14:paraId="01EBA223" w14:textId="77777777" w:rsidR="000B72FF" w:rsidRDefault="00000000" w:rsidP="00C769EF">
      <w:pPr>
        <w:spacing w:line="360" w:lineRule="auto"/>
        <w:jc w:val="both"/>
        <w:rPr>
          <w:rFonts w:ascii="Arial" w:hAnsi="Arial" w:cs="Arial"/>
          <w:lang w:val="en-AU" w:eastAsia="en-AU"/>
        </w:rPr>
      </w:pPr>
      <w:r w:rsidRPr="00AA2637">
        <w:rPr>
          <w:rFonts w:ascii="Arial" w:hAnsi="Arial" w:cs="Arial"/>
          <w:lang w:val="en-AU" w:eastAsia="en-AU"/>
        </w:rPr>
        <w:t xml:space="preserve">This chapter describes and discusses the results of the analysis on the effect of digital transformation on customer loyalty in Tesco PLC. Analysis will be conducted on the secondary evidence that will be </w:t>
      </w:r>
      <w:r w:rsidR="000C28BD" w:rsidRPr="00AA2637">
        <w:rPr>
          <w:rFonts w:ascii="Arial" w:hAnsi="Arial" w:cs="Arial"/>
          <w:lang w:val="en-AU" w:eastAsia="en-AU"/>
        </w:rPr>
        <w:t>analysed</w:t>
      </w:r>
      <w:r w:rsidRPr="00AA2637">
        <w:rPr>
          <w:rFonts w:ascii="Arial" w:hAnsi="Arial" w:cs="Arial"/>
          <w:lang w:val="en-AU" w:eastAsia="en-AU"/>
        </w:rPr>
        <w:t xml:space="preserve"> using thematic analysis, which fits the qualitative case study methodology discussed in Chapter 3 (Braun and Clarke, 2006). Instead of just outlining the digital technologies used by Tesco, the chapter looks at how these projects affect customer satisfaction, engagement and loyalty. </w:t>
      </w:r>
    </w:p>
    <w:p w14:paraId="732C6DEF" w14:textId="77777777" w:rsidR="000B72FF" w:rsidRDefault="000B72FF" w:rsidP="00C769EF">
      <w:pPr>
        <w:spacing w:line="360" w:lineRule="auto"/>
        <w:jc w:val="both"/>
        <w:rPr>
          <w:rFonts w:ascii="Arial" w:hAnsi="Arial" w:cs="Arial"/>
          <w:lang w:val="en-AU" w:eastAsia="en-AU"/>
        </w:rPr>
      </w:pPr>
    </w:p>
    <w:p w14:paraId="1C4030DF" w14:textId="47B7D9D4" w:rsidR="00AA2637" w:rsidRDefault="00000000" w:rsidP="00C769EF">
      <w:pPr>
        <w:spacing w:line="360" w:lineRule="auto"/>
        <w:jc w:val="both"/>
        <w:rPr>
          <w:rFonts w:ascii="Arial" w:hAnsi="Arial" w:cs="Arial"/>
          <w:lang w:val="en-AU" w:eastAsia="en-AU"/>
        </w:rPr>
      </w:pPr>
      <w:r w:rsidRPr="00AA2637">
        <w:rPr>
          <w:rFonts w:ascii="Arial" w:hAnsi="Arial" w:cs="Arial"/>
          <w:lang w:val="en-AU" w:eastAsia="en-AU"/>
        </w:rPr>
        <w:lastRenderedPageBreak/>
        <w:t>Special emphasis is placed on the correlations between digital convenience, personalisation, omnichannel integration and customer value. There are also tensions of privacy, trust and the threat of over automation which are also discussed. The results are then contrasted with the corresponding academic literature to verify whether the Tesco digital transformation seems to enhance loyalty and in what circumstances the above advantages are most likely to be preserved.</w:t>
      </w:r>
    </w:p>
    <w:p w14:paraId="4860FDE8" w14:textId="77777777" w:rsidR="000B72FF" w:rsidRDefault="000B72FF" w:rsidP="00C769EF">
      <w:pPr>
        <w:spacing w:line="360" w:lineRule="auto"/>
        <w:jc w:val="both"/>
        <w:rPr>
          <w:rFonts w:ascii="Arial" w:hAnsi="Arial" w:cs="Arial"/>
          <w:lang w:val="en-AU" w:eastAsia="en-AU"/>
        </w:rPr>
      </w:pPr>
    </w:p>
    <w:p w14:paraId="659FA02B" w14:textId="77777777" w:rsidR="00E97E84" w:rsidRPr="00E97E84" w:rsidRDefault="00000000" w:rsidP="005E3857">
      <w:pPr>
        <w:spacing w:before="240" w:after="240"/>
        <w:outlineLvl w:val="1"/>
        <w:rPr>
          <w:rFonts w:ascii="Arial" w:hAnsi="Arial"/>
          <w:color w:val="000000"/>
          <w:sz w:val="28"/>
          <w:szCs w:val="26"/>
          <w:lang w:val="en-IN" w:eastAsia="en-AU"/>
        </w:rPr>
      </w:pPr>
      <w:bookmarkStart w:id="59" w:name="_Toc237189243"/>
      <w:bookmarkStart w:id="60" w:name="_Toc238670394"/>
      <w:r w:rsidRPr="00E97E84">
        <w:rPr>
          <w:rFonts w:ascii="Arial" w:hAnsi="Arial"/>
          <w:color w:val="000000"/>
          <w:sz w:val="28"/>
          <w:szCs w:val="26"/>
          <w:lang w:val="en-IN" w:eastAsia="en-AU"/>
        </w:rPr>
        <w:t>4.2 Overview of Findings</w:t>
      </w:r>
      <w:bookmarkEnd w:id="59"/>
      <w:bookmarkEnd w:id="60"/>
    </w:p>
    <w:p w14:paraId="37D08490"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The thematic analysis suggests that the digital transformation of Tesco has promoted a networked ecosystem comprising of Clubcard, online grocery, mobile apps, click-and-collect and data-driven personalisation. These efforts seem to drive the customer loyalty indirectly by enhancing convenience, relevancy and chances of further engagement instead of the adoption of technology. This helps to support the consideration that digital transformation value is created when technological potential is converted into enhanced experiences by customers (Reinartz et al., 2019). </w:t>
      </w:r>
    </w:p>
    <w:p w14:paraId="557A5437" w14:textId="77777777" w:rsidR="00996285" w:rsidRDefault="00996285" w:rsidP="00E97E84">
      <w:pPr>
        <w:spacing w:line="360" w:lineRule="auto"/>
        <w:jc w:val="both"/>
        <w:rPr>
          <w:rFonts w:ascii="Arial" w:hAnsi="Arial" w:cs="Arial"/>
          <w:lang w:val="en-AU" w:eastAsia="en-AU"/>
        </w:rPr>
      </w:pPr>
    </w:p>
    <w:p w14:paraId="50FD9BE5"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One of the discoveries is that customer satisfaction, engagement and loyalty are correlated yet different results. Convenience via digital means can induce repeat utilisation of Tesco services and personalised offers will reinforce this by making interaction more applicable. Nevertheless, there is no indication that such advantages automatically result in long-term loyalty. The review instead suggests that loyalty hinges on whether the customer is continually reminded of the value in the interactions with Tesco, especially when other retailers can provide the same digital services.</w:t>
      </w:r>
    </w:p>
    <w:p w14:paraId="2C5278D5" w14:textId="77777777" w:rsidR="00996285" w:rsidRDefault="00996285" w:rsidP="00E97E84">
      <w:pPr>
        <w:spacing w:line="360" w:lineRule="auto"/>
        <w:jc w:val="both"/>
        <w:rPr>
          <w:rFonts w:ascii="Arial" w:hAnsi="Arial" w:cs="Arial"/>
          <w:lang w:val="en-AU" w:eastAsia="en-AU"/>
        </w:rPr>
      </w:pPr>
    </w:p>
    <w:p w14:paraId="72F258A5"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Omnichannel integration and trust are also found as crucial conditions affecting the effectiveness of digital transformation. A smooth transition of online and offline channels can minimize customer effort, and lack of integration can diminish the power of online convenience. Likewise, customer relationships can be enhanced by personalisation perceived to be helpful, though the use of vast customer data can give rise to privacy and transparency issues. In sum, Tesco digital transformation seems to be in a best position </w:t>
      </w:r>
      <w:r w:rsidRPr="00AA2637">
        <w:rPr>
          <w:rFonts w:ascii="Arial" w:hAnsi="Arial" w:cs="Arial"/>
          <w:lang w:val="en-AU" w:eastAsia="en-AU"/>
        </w:rPr>
        <w:lastRenderedPageBreak/>
        <w:t>to build loyalty when technology supports them in improving an ongoing, meaningful and reliable relationship with their customers and not an endpoint.</w:t>
      </w:r>
    </w:p>
    <w:p w14:paraId="563FA6E7" w14:textId="77777777" w:rsidR="0086322F" w:rsidRDefault="00000000" w:rsidP="005E3857">
      <w:pPr>
        <w:spacing w:line="360" w:lineRule="auto"/>
        <w:jc w:val="center"/>
        <w:rPr>
          <w:rFonts w:ascii="Arial" w:hAnsi="Arial" w:cs="Arial"/>
          <w:lang w:val="en-IN" w:eastAsia="en-AU"/>
        </w:rPr>
      </w:pPr>
      <w:r>
        <w:rPr>
          <w:rFonts w:ascii="Arial" w:hAnsi="Arial" w:cs="Arial"/>
          <w:noProof/>
          <w:lang w:val="en-IN"/>
        </w:rPr>
        <w:drawing>
          <wp:inline distT="0" distB="0" distL="0" distR="0" wp14:anchorId="439C3CFE" wp14:editId="5BDCC2EC">
            <wp:extent cx="5248275" cy="3498850"/>
            <wp:effectExtent l="0" t="0" r="9525" b="6350"/>
            <wp:docPr id="390912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12353" name="Picture 39091235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48275" cy="3498850"/>
                    </a:xfrm>
                    <a:prstGeom prst="rect">
                      <a:avLst/>
                    </a:prstGeom>
                  </pic:spPr>
                </pic:pic>
              </a:graphicData>
            </a:graphic>
          </wp:inline>
        </w:drawing>
      </w:r>
    </w:p>
    <w:p w14:paraId="62F2DA96" w14:textId="77777777" w:rsidR="0086322F" w:rsidRDefault="0086322F" w:rsidP="00E97E84">
      <w:pPr>
        <w:spacing w:line="360" w:lineRule="auto"/>
        <w:jc w:val="both"/>
        <w:rPr>
          <w:rFonts w:ascii="Arial" w:hAnsi="Arial" w:cs="Arial"/>
          <w:lang w:val="en-IN" w:eastAsia="en-AU"/>
        </w:rPr>
      </w:pPr>
    </w:p>
    <w:p w14:paraId="19B89133" w14:textId="77777777" w:rsidR="000C28BD" w:rsidRDefault="00000000" w:rsidP="00E97E84">
      <w:pPr>
        <w:spacing w:line="360" w:lineRule="auto"/>
        <w:jc w:val="both"/>
        <w:rPr>
          <w:rFonts w:ascii="Arial" w:hAnsi="Arial" w:cs="Arial"/>
          <w:lang w:val="en-AU" w:eastAsia="en-AU"/>
        </w:rPr>
      </w:pPr>
      <w:r w:rsidRPr="0086322F">
        <w:rPr>
          <w:rFonts w:ascii="Arial" w:hAnsi="Arial" w:cs="Arial"/>
          <w:lang w:val="en-AU" w:eastAsia="en-AU"/>
        </w:rPr>
        <w:t>Figure 4.1: Thematic Findings Framework</w:t>
      </w:r>
    </w:p>
    <w:p w14:paraId="58A709CC" w14:textId="77777777" w:rsidR="00561BA1" w:rsidRDefault="00561BA1" w:rsidP="00E97E84">
      <w:pPr>
        <w:spacing w:line="360" w:lineRule="auto"/>
        <w:jc w:val="both"/>
        <w:rPr>
          <w:rFonts w:ascii="Arial" w:hAnsi="Arial" w:cs="Arial"/>
          <w:lang w:val="en-AU" w:eastAsia="en-AU"/>
        </w:rPr>
      </w:pPr>
    </w:p>
    <w:p w14:paraId="1B2FC0C3" w14:textId="77777777" w:rsidR="00561BA1" w:rsidRDefault="00561BA1" w:rsidP="00E97E84">
      <w:pPr>
        <w:spacing w:line="360" w:lineRule="auto"/>
        <w:jc w:val="both"/>
        <w:rPr>
          <w:rFonts w:ascii="Arial" w:hAnsi="Arial" w:cs="Arial"/>
          <w:lang w:val="en-AU" w:eastAsia="en-AU"/>
        </w:rPr>
      </w:pPr>
    </w:p>
    <w:p w14:paraId="1202B0AA" w14:textId="77777777" w:rsidR="00561BA1" w:rsidRPr="00561BA1" w:rsidRDefault="00561BA1" w:rsidP="00E97E84">
      <w:pPr>
        <w:spacing w:line="360" w:lineRule="auto"/>
        <w:jc w:val="both"/>
        <w:rPr>
          <w:rFonts w:ascii="Arial" w:hAnsi="Arial" w:cs="Arial"/>
          <w:lang w:val="en-AU" w:eastAsia="en-AU"/>
        </w:rPr>
      </w:pPr>
    </w:p>
    <w:p w14:paraId="0C40299A" w14:textId="77777777" w:rsidR="000C28BD" w:rsidRDefault="000C28BD" w:rsidP="00E97E84">
      <w:pPr>
        <w:spacing w:line="360" w:lineRule="auto"/>
        <w:jc w:val="both"/>
        <w:rPr>
          <w:rFonts w:ascii="Arial" w:hAnsi="Arial" w:cs="Arial"/>
          <w:lang w:val="en-IN" w:eastAsia="en-AU"/>
        </w:rPr>
      </w:pPr>
    </w:p>
    <w:p w14:paraId="1488A322" w14:textId="77777777" w:rsidR="00E97E84" w:rsidRPr="00E97E84" w:rsidRDefault="00000000" w:rsidP="00E97E84">
      <w:pPr>
        <w:spacing w:line="360" w:lineRule="auto"/>
        <w:jc w:val="both"/>
        <w:rPr>
          <w:rFonts w:ascii="Arial" w:hAnsi="Arial" w:cs="Arial"/>
          <w:lang w:val="en-IN" w:eastAsia="en-AU"/>
        </w:rPr>
      </w:pPr>
      <w:r w:rsidRPr="00E97E84">
        <w:rPr>
          <w:rFonts w:ascii="Arial" w:hAnsi="Arial" w:cs="Arial"/>
          <w:b/>
          <w:bCs/>
          <w:lang w:val="en-IN" w:eastAsia="en-AU"/>
        </w:rPr>
        <w:t>Table 4.1: Summary of Key Findings from the Thematic Analysis</w:t>
      </w:r>
    </w:p>
    <w:tbl>
      <w:tblPr>
        <w:tblStyle w:val="GridTable6Colorful"/>
        <w:tblW w:w="0" w:type="auto"/>
        <w:tblLook w:val="04A0" w:firstRow="1" w:lastRow="0" w:firstColumn="1" w:lastColumn="0" w:noHBand="0" w:noVBand="1"/>
      </w:tblPr>
      <w:tblGrid>
        <w:gridCol w:w="2244"/>
        <w:gridCol w:w="3644"/>
        <w:gridCol w:w="3462"/>
      </w:tblGrid>
      <w:tr w:rsidR="00E740B3" w14:paraId="0EE0351E" w14:textId="77777777" w:rsidTr="00E740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E70CF1" w14:textId="77777777" w:rsidR="00E97E84" w:rsidRPr="00E97E84" w:rsidRDefault="00000000" w:rsidP="005E3857">
            <w:pPr>
              <w:spacing w:line="360" w:lineRule="auto"/>
              <w:rPr>
                <w:rFonts w:ascii="Arial" w:hAnsi="Arial" w:cs="Arial"/>
                <w:b w:val="0"/>
                <w:bCs w:val="0"/>
                <w:lang w:val="en-IN"/>
              </w:rPr>
            </w:pPr>
            <w:r w:rsidRPr="00E97E84">
              <w:rPr>
                <w:rFonts w:ascii="Arial" w:hAnsi="Arial" w:cs="Arial"/>
                <w:lang w:val="en-IN"/>
              </w:rPr>
              <w:t>Theme</w:t>
            </w:r>
          </w:p>
        </w:tc>
        <w:tc>
          <w:tcPr>
            <w:tcW w:w="0" w:type="auto"/>
            <w:hideMark/>
          </w:tcPr>
          <w:p w14:paraId="32E85F3B" w14:textId="77777777" w:rsidR="00E97E84" w:rsidRPr="00E97E84" w:rsidRDefault="00000000" w:rsidP="005E385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IN"/>
              </w:rPr>
            </w:pPr>
            <w:r w:rsidRPr="00E97E84">
              <w:rPr>
                <w:rFonts w:ascii="Arial" w:hAnsi="Arial" w:cs="Arial"/>
                <w:lang w:val="en-IN"/>
              </w:rPr>
              <w:t>Key Finding</w:t>
            </w:r>
          </w:p>
        </w:tc>
        <w:tc>
          <w:tcPr>
            <w:tcW w:w="0" w:type="auto"/>
            <w:hideMark/>
          </w:tcPr>
          <w:p w14:paraId="179A2092" w14:textId="77777777" w:rsidR="00E97E84" w:rsidRPr="00E97E84" w:rsidRDefault="00000000" w:rsidP="005E385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IN"/>
              </w:rPr>
            </w:pPr>
            <w:r w:rsidRPr="00E97E84">
              <w:rPr>
                <w:rFonts w:ascii="Arial" w:hAnsi="Arial" w:cs="Arial"/>
                <w:lang w:val="en-IN"/>
              </w:rPr>
              <w:t>Interpretation for Tesco PLC</w:t>
            </w:r>
          </w:p>
        </w:tc>
      </w:tr>
      <w:tr w:rsidR="00E740B3" w14:paraId="6207056A"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627C97" w14:textId="77777777" w:rsidR="00E97E84" w:rsidRPr="00E97E84" w:rsidRDefault="00000000" w:rsidP="005E3857">
            <w:pPr>
              <w:spacing w:line="360" w:lineRule="auto"/>
              <w:rPr>
                <w:rFonts w:ascii="Arial" w:hAnsi="Arial" w:cs="Arial"/>
                <w:b w:val="0"/>
                <w:bCs w:val="0"/>
                <w:lang w:val="en-IN"/>
              </w:rPr>
            </w:pPr>
            <w:r w:rsidRPr="00E97E84">
              <w:rPr>
                <w:rFonts w:ascii="Arial" w:hAnsi="Arial" w:cs="Arial"/>
                <w:lang w:val="en-IN"/>
              </w:rPr>
              <w:t>Digital transformation initiatives</w:t>
            </w:r>
          </w:p>
        </w:tc>
        <w:tc>
          <w:tcPr>
            <w:tcW w:w="0" w:type="auto"/>
            <w:hideMark/>
          </w:tcPr>
          <w:p w14:paraId="3F528BA4" w14:textId="77777777" w:rsidR="00E97E84" w:rsidRPr="00E97E84"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E97E84">
              <w:rPr>
                <w:rFonts w:ascii="Arial" w:hAnsi="Arial" w:cs="Arial"/>
                <w:lang w:val="en-IN"/>
              </w:rPr>
              <w:t>Tesco's Clubcard, online grocery services, mobile applications, click-and-collect and customer analytics operate as interconnected digital capabilities.</w:t>
            </w:r>
          </w:p>
        </w:tc>
        <w:tc>
          <w:tcPr>
            <w:tcW w:w="0" w:type="auto"/>
            <w:hideMark/>
          </w:tcPr>
          <w:p w14:paraId="5CC3E3CD" w14:textId="77777777" w:rsidR="00E97E84" w:rsidRPr="00E97E84"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E97E84">
              <w:rPr>
                <w:rFonts w:ascii="Arial" w:hAnsi="Arial" w:cs="Arial"/>
                <w:lang w:val="en-IN"/>
              </w:rPr>
              <w:t>The value of digital transformation comes from combining capabilities rather than relying on individual technologies.</w:t>
            </w:r>
          </w:p>
        </w:tc>
      </w:tr>
      <w:tr w:rsidR="00E740B3" w14:paraId="762659D2"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42679A76" w14:textId="77777777" w:rsidR="00E97E84" w:rsidRPr="00E97E84" w:rsidRDefault="00000000" w:rsidP="005E3857">
            <w:pPr>
              <w:spacing w:line="360" w:lineRule="auto"/>
              <w:rPr>
                <w:rFonts w:ascii="Arial" w:hAnsi="Arial" w:cs="Arial"/>
                <w:b w:val="0"/>
                <w:bCs w:val="0"/>
                <w:lang w:val="en-IN"/>
              </w:rPr>
            </w:pPr>
            <w:r w:rsidRPr="00E97E84">
              <w:rPr>
                <w:rFonts w:ascii="Arial" w:hAnsi="Arial" w:cs="Arial"/>
                <w:lang w:val="en-IN"/>
              </w:rPr>
              <w:lastRenderedPageBreak/>
              <w:t>Customer satisfaction</w:t>
            </w:r>
          </w:p>
        </w:tc>
        <w:tc>
          <w:tcPr>
            <w:tcW w:w="0" w:type="auto"/>
            <w:hideMark/>
          </w:tcPr>
          <w:p w14:paraId="1B9D6A60" w14:textId="77777777" w:rsidR="00E97E84" w:rsidRPr="00E97E84"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E97E84">
              <w:rPr>
                <w:rFonts w:ascii="Arial" w:hAnsi="Arial" w:cs="Arial"/>
                <w:lang w:val="en-IN"/>
              </w:rPr>
              <w:t>Digital services improve convenience, accessibility and relevance by reducing customer effort and supporting personalised interactions.</w:t>
            </w:r>
          </w:p>
        </w:tc>
        <w:tc>
          <w:tcPr>
            <w:tcW w:w="0" w:type="auto"/>
            <w:hideMark/>
          </w:tcPr>
          <w:p w14:paraId="01069F9F" w14:textId="77777777" w:rsidR="00E97E84" w:rsidRPr="00E97E84"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E97E84">
              <w:rPr>
                <w:rFonts w:ascii="Arial" w:hAnsi="Arial" w:cs="Arial"/>
                <w:lang w:val="en-IN"/>
              </w:rPr>
              <w:t>Satisfaction is strengthened when digital services reliably solve practical customer needs.</w:t>
            </w:r>
          </w:p>
        </w:tc>
      </w:tr>
      <w:tr w:rsidR="00E740B3" w14:paraId="54A02569"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50BCEF" w14:textId="77777777" w:rsidR="00E97E84" w:rsidRPr="00E97E84" w:rsidRDefault="00000000" w:rsidP="005E3857">
            <w:pPr>
              <w:spacing w:line="360" w:lineRule="auto"/>
              <w:rPr>
                <w:rFonts w:ascii="Arial" w:hAnsi="Arial" w:cs="Arial"/>
                <w:b w:val="0"/>
                <w:bCs w:val="0"/>
                <w:lang w:val="en-IN"/>
              </w:rPr>
            </w:pPr>
            <w:r w:rsidRPr="00E97E84">
              <w:rPr>
                <w:rFonts w:ascii="Arial" w:hAnsi="Arial" w:cs="Arial"/>
                <w:lang w:val="en-IN"/>
              </w:rPr>
              <w:t>Customer engagement</w:t>
            </w:r>
          </w:p>
        </w:tc>
        <w:tc>
          <w:tcPr>
            <w:tcW w:w="0" w:type="auto"/>
            <w:hideMark/>
          </w:tcPr>
          <w:p w14:paraId="0C6CF492" w14:textId="77777777" w:rsidR="00E97E84" w:rsidRPr="00E97E84"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E97E84">
              <w:rPr>
                <w:rFonts w:ascii="Arial" w:hAnsi="Arial" w:cs="Arial"/>
                <w:lang w:val="en-IN"/>
              </w:rPr>
              <w:t>Digital channels increase opportunities for repeated interaction through personalised offers, loyalty benefits and mobile services.</w:t>
            </w:r>
          </w:p>
        </w:tc>
        <w:tc>
          <w:tcPr>
            <w:tcW w:w="0" w:type="auto"/>
            <w:hideMark/>
          </w:tcPr>
          <w:p w14:paraId="4AEF2D0D" w14:textId="77777777" w:rsidR="00E97E84" w:rsidRPr="00E97E84"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E97E84">
              <w:rPr>
                <w:rFonts w:ascii="Arial" w:hAnsi="Arial" w:cs="Arial"/>
                <w:lang w:val="en-IN"/>
              </w:rPr>
              <w:t>Greater interaction can strengthen engagement, but frequency of interaction does not automatically indicate stronger customer commitment.</w:t>
            </w:r>
          </w:p>
        </w:tc>
      </w:tr>
      <w:tr w:rsidR="00E740B3" w14:paraId="12EE3AAD"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1EC8173F" w14:textId="77777777" w:rsidR="00E97E84" w:rsidRPr="00E97E84" w:rsidRDefault="00000000" w:rsidP="005E3857">
            <w:pPr>
              <w:spacing w:line="360" w:lineRule="auto"/>
              <w:rPr>
                <w:rFonts w:ascii="Arial" w:hAnsi="Arial" w:cs="Arial"/>
                <w:b w:val="0"/>
                <w:bCs w:val="0"/>
                <w:lang w:val="en-IN"/>
              </w:rPr>
            </w:pPr>
            <w:r w:rsidRPr="00E97E84">
              <w:rPr>
                <w:rFonts w:ascii="Arial" w:hAnsi="Arial" w:cs="Arial"/>
                <w:lang w:val="en-IN"/>
              </w:rPr>
              <w:t>Customer loyalty</w:t>
            </w:r>
          </w:p>
        </w:tc>
        <w:tc>
          <w:tcPr>
            <w:tcW w:w="0" w:type="auto"/>
            <w:hideMark/>
          </w:tcPr>
          <w:p w14:paraId="7D308727" w14:textId="77777777" w:rsidR="00E97E84" w:rsidRPr="00E97E84"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E97E84">
              <w:rPr>
                <w:rFonts w:ascii="Arial" w:hAnsi="Arial" w:cs="Arial"/>
                <w:lang w:val="en-IN"/>
              </w:rPr>
              <w:t>Digital transformation can support loyalty through convenience, perceived value, engagement and relationship quality.</w:t>
            </w:r>
          </w:p>
        </w:tc>
        <w:tc>
          <w:tcPr>
            <w:tcW w:w="0" w:type="auto"/>
            <w:hideMark/>
          </w:tcPr>
          <w:p w14:paraId="49BDD702" w14:textId="77777777" w:rsidR="00E97E84" w:rsidRPr="00E97E84"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E97E84">
              <w:rPr>
                <w:rFonts w:ascii="Arial" w:hAnsi="Arial" w:cs="Arial"/>
                <w:lang w:val="en-IN"/>
              </w:rPr>
              <w:t>Loyalty is conditional and depends on Tesco consistently delivering value that customers have a reason to maintain.</w:t>
            </w:r>
          </w:p>
        </w:tc>
      </w:tr>
      <w:tr w:rsidR="00E740B3" w14:paraId="220BC722"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4DB53F" w14:textId="77777777" w:rsidR="00E97E84" w:rsidRPr="00E97E84" w:rsidRDefault="00000000" w:rsidP="005E3857">
            <w:pPr>
              <w:spacing w:line="360" w:lineRule="auto"/>
              <w:rPr>
                <w:rFonts w:ascii="Arial" w:hAnsi="Arial" w:cs="Arial"/>
                <w:b w:val="0"/>
                <w:bCs w:val="0"/>
                <w:lang w:val="en-IN"/>
              </w:rPr>
            </w:pPr>
            <w:r w:rsidRPr="00E97E84">
              <w:rPr>
                <w:rFonts w:ascii="Arial" w:hAnsi="Arial" w:cs="Arial"/>
                <w:lang w:val="en-IN"/>
              </w:rPr>
              <w:t>Omnichannel experience</w:t>
            </w:r>
          </w:p>
        </w:tc>
        <w:tc>
          <w:tcPr>
            <w:tcW w:w="0" w:type="auto"/>
            <w:hideMark/>
          </w:tcPr>
          <w:p w14:paraId="382F06C8" w14:textId="77777777" w:rsidR="00E97E84" w:rsidRPr="00E97E84"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E97E84">
              <w:rPr>
                <w:rFonts w:ascii="Arial" w:hAnsi="Arial" w:cs="Arial"/>
                <w:lang w:val="en-IN"/>
              </w:rPr>
              <w:t>Integration between online and physical touchpoints influences the consistency and convenience of the customer journey.</w:t>
            </w:r>
          </w:p>
        </w:tc>
        <w:tc>
          <w:tcPr>
            <w:tcW w:w="0" w:type="auto"/>
            <w:hideMark/>
          </w:tcPr>
          <w:p w14:paraId="7F23F8C6" w14:textId="77777777" w:rsidR="00E97E84" w:rsidRPr="00E97E84"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E97E84">
              <w:rPr>
                <w:rFonts w:ascii="Arial" w:hAnsi="Arial" w:cs="Arial"/>
                <w:lang w:val="en-IN"/>
              </w:rPr>
              <w:t>Tesco needs to ensure that digital and physical channels operate as one coherent customer experience.</w:t>
            </w:r>
          </w:p>
        </w:tc>
      </w:tr>
      <w:tr w:rsidR="00E740B3" w14:paraId="7987137D"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38E318ED" w14:textId="77777777" w:rsidR="00E97E84" w:rsidRPr="00E97E84" w:rsidRDefault="00000000" w:rsidP="005E3857">
            <w:pPr>
              <w:spacing w:line="360" w:lineRule="auto"/>
              <w:rPr>
                <w:rFonts w:ascii="Arial" w:hAnsi="Arial" w:cs="Arial"/>
                <w:b w:val="0"/>
                <w:bCs w:val="0"/>
                <w:lang w:val="en-IN"/>
              </w:rPr>
            </w:pPr>
            <w:r w:rsidRPr="00E97E84">
              <w:rPr>
                <w:rFonts w:ascii="Arial" w:hAnsi="Arial" w:cs="Arial"/>
                <w:lang w:val="en-IN"/>
              </w:rPr>
              <w:t>Personalisation and trust</w:t>
            </w:r>
          </w:p>
        </w:tc>
        <w:tc>
          <w:tcPr>
            <w:tcW w:w="0" w:type="auto"/>
            <w:hideMark/>
          </w:tcPr>
          <w:p w14:paraId="7B401110" w14:textId="77777777" w:rsidR="00E97E84" w:rsidRPr="00E97E84"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E97E84">
              <w:rPr>
                <w:rFonts w:ascii="Arial" w:hAnsi="Arial" w:cs="Arial"/>
                <w:lang w:val="en-IN"/>
              </w:rPr>
              <w:t>Personalised services can increase relevance, but extensive use of customer data creates privacy and transparency considerations.</w:t>
            </w:r>
          </w:p>
        </w:tc>
        <w:tc>
          <w:tcPr>
            <w:tcW w:w="0" w:type="auto"/>
            <w:hideMark/>
          </w:tcPr>
          <w:p w14:paraId="63DB9243" w14:textId="77777777" w:rsidR="00E97E84" w:rsidRPr="00E97E84" w:rsidRDefault="00E97E84"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IN"/>
              </w:rPr>
            </w:pPr>
          </w:p>
        </w:tc>
      </w:tr>
    </w:tbl>
    <w:p w14:paraId="4E03ABFA" w14:textId="77777777" w:rsidR="00E97E84" w:rsidRDefault="00E97E84" w:rsidP="00E97E84">
      <w:pPr>
        <w:spacing w:line="360" w:lineRule="auto"/>
        <w:jc w:val="both"/>
        <w:rPr>
          <w:rFonts w:ascii="Arial" w:hAnsi="Arial" w:cs="Arial"/>
          <w:lang w:val="en-IN" w:eastAsia="en-AU"/>
        </w:rPr>
      </w:pPr>
    </w:p>
    <w:p w14:paraId="7DE9828A" w14:textId="77777777" w:rsidR="000C28BD" w:rsidRPr="000C28BD" w:rsidRDefault="00000000" w:rsidP="00E97E84">
      <w:pPr>
        <w:spacing w:line="360" w:lineRule="auto"/>
        <w:jc w:val="both"/>
        <w:rPr>
          <w:rFonts w:ascii="Arial" w:hAnsi="Arial" w:cs="Arial"/>
          <w:i/>
          <w:iCs/>
          <w:lang w:val="en-IN" w:eastAsia="en-AU"/>
        </w:rPr>
      </w:pPr>
      <w:r w:rsidRPr="000C28BD">
        <w:rPr>
          <w:rFonts w:ascii="Arial" w:hAnsi="Arial" w:cs="Arial"/>
          <w:i/>
          <w:iCs/>
          <w:lang w:val="en-AU" w:eastAsia="en-AU"/>
        </w:rPr>
        <w:t>Source: Author's own analysis based on secondary sources including Tesco PLC (2024, 2025), Reinartz et al. (2019), Kumar et al. (2019), Lemon and Verhoef (2016), Shankar et al. (2021), Mukhopadhyay et al. (2024), and Frank et al. (2021).</w:t>
      </w:r>
    </w:p>
    <w:p w14:paraId="0241D77B" w14:textId="77777777" w:rsidR="00E97E84" w:rsidRPr="00E97E84" w:rsidRDefault="00000000" w:rsidP="005E3857">
      <w:pPr>
        <w:spacing w:before="240" w:after="240"/>
        <w:outlineLvl w:val="1"/>
        <w:rPr>
          <w:rFonts w:ascii="Arial" w:hAnsi="Arial"/>
          <w:color w:val="000000"/>
          <w:sz w:val="28"/>
          <w:szCs w:val="26"/>
          <w:lang w:val="en-IN" w:eastAsia="en-AU"/>
        </w:rPr>
      </w:pPr>
      <w:bookmarkStart w:id="61" w:name="_Toc237189244"/>
      <w:bookmarkStart w:id="62" w:name="_Toc238670395"/>
      <w:r w:rsidRPr="00E97E84">
        <w:rPr>
          <w:rFonts w:ascii="Arial" w:hAnsi="Arial"/>
          <w:color w:val="000000"/>
          <w:sz w:val="28"/>
          <w:szCs w:val="26"/>
          <w:lang w:val="en-IN" w:eastAsia="en-AU"/>
        </w:rPr>
        <w:lastRenderedPageBreak/>
        <w:t>4.3 Tesco's Digital Transformation Initiatives</w:t>
      </w:r>
      <w:bookmarkEnd w:id="61"/>
      <w:bookmarkEnd w:id="62"/>
    </w:p>
    <w:p w14:paraId="32F43A2A"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The results show that Tesco is transforming digitally through </w:t>
      </w:r>
      <w:r w:rsidR="000C28BD" w:rsidRPr="00AA2637">
        <w:rPr>
          <w:rFonts w:ascii="Arial" w:hAnsi="Arial" w:cs="Arial"/>
          <w:lang w:val="en-AU" w:eastAsia="en-AU"/>
        </w:rPr>
        <w:t>several</w:t>
      </w:r>
      <w:r w:rsidRPr="00AA2637">
        <w:rPr>
          <w:rFonts w:ascii="Arial" w:hAnsi="Arial" w:cs="Arial"/>
          <w:lang w:val="en-AU" w:eastAsia="en-AU"/>
        </w:rPr>
        <w:t xml:space="preserve"> complementary initiatives, and not through one specific technology. These are the Clubcard ecosystem, online grocery services, mobile apps, click-and-collect and customer analytics. In 2023/24, Tesco recorded a figure of over 82% of its UK sales attributable to Clubcard transactions (Tesco PLC, 2024). This shows just how large the customer data has been incorporated into retail operations by Tesco. </w:t>
      </w:r>
    </w:p>
    <w:p w14:paraId="5E6824BD" w14:textId="77777777" w:rsidR="00996285" w:rsidRDefault="00996285" w:rsidP="00E97E84">
      <w:pPr>
        <w:spacing w:line="360" w:lineRule="auto"/>
        <w:jc w:val="both"/>
        <w:rPr>
          <w:rFonts w:ascii="Arial" w:hAnsi="Arial" w:cs="Arial"/>
          <w:lang w:val="en-AU" w:eastAsia="en-AU"/>
        </w:rPr>
      </w:pPr>
    </w:p>
    <w:p w14:paraId="5C566271"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To Clubcard thus seems to have evolved to become more than a traditional rewards programme. Its significance is based on linking buying behaviour to tailored offerings and maintaining customer engagement. This establishes an ability whereby Tesco can act on the individual buying trends as opposed to customers being a homogenous market. Nevertheless, gathering a large amount of customer data does not necessarily generate loyalty since the strategic value of it will be established by how customers view the subsequent gains as applicable and valuable. </w:t>
      </w:r>
    </w:p>
    <w:p w14:paraId="790B6596" w14:textId="77777777" w:rsidR="00996285" w:rsidRDefault="00996285" w:rsidP="00E97E84">
      <w:pPr>
        <w:spacing w:line="360" w:lineRule="auto"/>
        <w:jc w:val="both"/>
        <w:rPr>
          <w:rFonts w:ascii="Arial" w:hAnsi="Arial" w:cs="Arial"/>
          <w:lang w:val="en-AU" w:eastAsia="en-AU"/>
        </w:rPr>
      </w:pPr>
    </w:p>
    <w:p w14:paraId="454511D8"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This relationship goes beyond the physical store with Tesco providing online grocery provision and mobile applications. Through digital channels, customers can shop and manage all their purchases, make orders and search the products without losing touch with Clubcard benefits. This provides Tesco with a chance to know the behaviour of customers in various touchpoints. This observation is meaningful since digital transformation is hence transforming not merely the location where the customers go shopping but also the manner Tesco remains on an everlasting relationship with its customers.</w:t>
      </w:r>
    </w:p>
    <w:p w14:paraId="05CA6A1B" w14:textId="77777777" w:rsidR="00996285" w:rsidRDefault="00996285" w:rsidP="00E97E84">
      <w:pPr>
        <w:spacing w:line="360" w:lineRule="auto"/>
        <w:jc w:val="both"/>
        <w:rPr>
          <w:rFonts w:ascii="Arial" w:hAnsi="Arial" w:cs="Arial"/>
          <w:lang w:val="en-AU" w:eastAsia="en-AU"/>
        </w:rPr>
      </w:pPr>
    </w:p>
    <w:p w14:paraId="41555118"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Another way in which Tesco is integrating its digital and physical activities is through click-and-collect. Purchasing process becomes online where the customers collect the orders in the physical stores integrating the physical store infrastructure with digital convenience. This integration is also aligned with the recent studies that claimed that the success of omnichannel retailing relies heavily on the quality of channel-channel connections as opposed to mere the availability of their channels (Balbín Buckley et al., 2024). </w:t>
      </w:r>
    </w:p>
    <w:p w14:paraId="0114E3E8" w14:textId="77777777" w:rsidR="00996285" w:rsidRDefault="00996285" w:rsidP="00E97E84">
      <w:pPr>
        <w:spacing w:line="360" w:lineRule="auto"/>
        <w:jc w:val="both"/>
        <w:rPr>
          <w:rFonts w:ascii="Arial" w:hAnsi="Arial" w:cs="Arial"/>
          <w:lang w:val="en-AU" w:eastAsia="en-AU"/>
        </w:rPr>
      </w:pPr>
    </w:p>
    <w:p w14:paraId="1977FB1F"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This difference should be considered when assessing the digital transformation of Tesco. It can be possible to provide a variety of digital channels to offer more customer choice, but a disjunctive or uneven experience can diminish the value produced by these channels. Studies by omnichannel customer experience also highlight the need to have consistent interactions between touchpoints (Both &amp; Steinmann, 2023). The transformation of Tesco cannot be evaluated based on any other criteria, but rather on the effectiveness of channels to operate in a way that is customer focused. </w:t>
      </w:r>
    </w:p>
    <w:p w14:paraId="2AE9A4D0" w14:textId="77777777" w:rsidR="00996285" w:rsidRDefault="00996285" w:rsidP="00E97E84">
      <w:pPr>
        <w:spacing w:line="360" w:lineRule="auto"/>
        <w:jc w:val="both"/>
        <w:rPr>
          <w:rFonts w:ascii="Arial" w:hAnsi="Arial" w:cs="Arial"/>
          <w:lang w:val="en-AU" w:eastAsia="en-AU"/>
        </w:rPr>
      </w:pPr>
    </w:p>
    <w:p w14:paraId="606488A7" w14:textId="77777777" w:rsidR="0070300A" w:rsidRDefault="00000000" w:rsidP="00E97E84">
      <w:pPr>
        <w:spacing w:line="360" w:lineRule="auto"/>
        <w:jc w:val="both"/>
        <w:rPr>
          <w:rFonts w:ascii="Arial" w:hAnsi="Arial" w:cs="Arial"/>
          <w:lang w:val="en-AU" w:eastAsia="en-AU"/>
        </w:rPr>
      </w:pPr>
      <w:r w:rsidRPr="0070300A">
        <w:rPr>
          <w:rFonts w:ascii="Arial" w:hAnsi="Arial" w:cs="Arial"/>
          <w:lang w:val="en-AU" w:eastAsia="en-AU"/>
        </w:rPr>
        <w:t>The recent performance of Tesco serves as another indication that such digital capabilities are now integrated into the broader customer offer of the latter. In 2024/25, the UK Clubcard sales penetration rose to 84</w:t>
      </w:r>
      <w:r>
        <w:rPr>
          <w:rFonts w:ascii="Arial" w:hAnsi="Arial" w:cs="Arial"/>
          <w:lang w:val="en-AU" w:eastAsia="en-AU"/>
        </w:rPr>
        <w:t>%</w:t>
      </w:r>
      <w:r w:rsidRPr="0070300A">
        <w:rPr>
          <w:rFonts w:ascii="Arial" w:hAnsi="Arial" w:cs="Arial"/>
          <w:lang w:val="en-AU" w:eastAsia="en-AU"/>
        </w:rPr>
        <w:t>, and Group-wide Tesco app users stood at 18 million, which is 12% growth per year. Digital Clubcard scans explained 63% of all UK Clubcard transactions which is 11 percentage points higher (Tesco PLC, 2025). These numbers prove that there is considerable digital engagement, and it cannot be regarded as the sign of loyalty. High adoption could capture the financial appeal of the Clubcard prices, and the ease of shopping online as opposed to emotional attachment to Tesco. This vital implication is that Tesco digital ecosystem seems to be increasingly taking root in the daily purchasing behaviour, yet behavioural dependence need not be readily equated with attitudinal loyalty.</w:t>
      </w:r>
    </w:p>
    <w:p w14:paraId="0BDB62FF" w14:textId="77777777" w:rsidR="00996285" w:rsidRDefault="00996285" w:rsidP="00E97E84">
      <w:pPr>
        <w:spacing w:line="360" w:lineRule="auto"/>
        <w:jc w:val="both"/>
        <w:rPr>
          <w:rFonts w:ascii="Arial" w:hAnsi="Arial" w:cs="Arial"/>
          <w:lang w:val="en-AU" w:eastAsia="en-AU"/>
        </w:rPr>
      </w:pPr>
    </w:p>
    <w:p w14:paraId="7A719737"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Another layer to this change is customer analytics and AI-powered personalisation. These features enable Tesco to utilize the information on purchases to create more personalized offers and interactions. This personalisation has the potential to make it more relevant and to stimulate customer involvement when the customers are offered benefits based on their real needs. But increased personalisation also creates more need to be responsible with data use, as customers can be concerned about how their data is collected and used.</w:t>
      </w:r>
    </w:p>
    <w:p w14:paraId="72C31D3A" w14:textId="77777777" w:rsidR="00996285" w:rsidRDefault="00996285" w:rsidP="00E97E84">
      <w:pPr>
        <w:spacing w:line="360" w:lineRule="auto"/>
        <w:jc w:val="both"/>
        <w:rPr>
          <w:rFonts w:ascii="Arial" w:hAnsi="Arial" w:cs="Arial"/>
          <w:lang w:val="en-AU" w:eastAsia="en-AU"/>
        </w:rPr>
      </w:pPr>
    </w:p>
    <w:p w14:paraId="42452AD6"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The results on balance point to the fact that Tesco as a company is not stronger regarding its digital capabilities due to the presence of a specific technology but as a compound of </w:t>
      </w:r>
      <w:r w:rsidRPr="00AA2637">
        <w:rPr>
          <w:rFonts w:ascii="Arial" w:hAnsi="Arial" w:cs="Arial"/>
          <w:lang w:val="en-AU" w:eastAsia="en-AU"/>
        </w:rPr>
        <w:lastRenderedPageBreak/>
        <w:t>interconnected digital capabilities. Clubcard is a source of customer understanding, digital channels are convenient sources of value, and analytics have the potential to convert behavioural data into personalised value. However, these capabilities can be of strategic use only when they enhance the overall experience of the customer. This evidence then indicates that the digital transformation of Tesco should be seen as an act of enhancing customer relationships, but not as a testament to the fact that investment in technology itself results in loyalty</w:t>
      </w:r>
      <w:r w:rsidR="00561BA1">
        <w:rPr>
          <w:rFonts w:ascii="Arial" w:hAnsi="Arial" w:cs="Arial"/>
          <w:lang w:val="en-AU" w:eastAsia="en-AU"/>
        </w:rPr>
        <w:t>.</w:t>
      </w:r>
    </w:p>
    <w:p w14:paraId="72893BD1" w14:textId="77777777" w:rsidR="00561BA1" w:rsidRDefault="00561BA1" w:rsidP="00E97E84">
      <w:pPr>
        <w:spacing w:line="360" w:lineRule="auto"/>
        <w:jc w:val="both"/>
        <w:rPr>
          <w:rFonts w:ascii="Arial" w:hAnsi="Arial" w:cs="Arial"/>
          <w:lang w:val="en-AU" w:eastAsia="en-AU"/>
        </w:rPr>
      </w:pPr>
    </w:p>
    <w:p w14:paraId="15C8A63B" w14:textId="77777777" w:rsidR="00E97E84" w:rsidRPr="00E97E84" w:rsidRDefault="00000000" w:rsidP="005E3857">
      <w:pPr>
        <w:spacing w:before="240" w:after="240"/>
        <w:outlineLvl w:val="1"/>
        <w:rPr>
          <w:rFonts w:ascii="Arial" w:hAnsi="Arial"/>
          <w:color w:val="000000"/>
          <w:sz w:val="28"/>
          <w:szCs w:val="26"/>
          <w:lang w:val="en-IN" w:eastAsia="en-AU"/>
        </w:rPr>
      </w:pPr>
      <w:bookmarkStart w:id="63" w:name="_Toc237189245"/>
      <w:bookmarkStart w:id="64" w:name="_Toc238670396"/>
      <w:r w:rsidRPr="00E97E84">
        <w:rPr>
          <w:rFonts w:ascii="Arial" w:hAnsi="Arial"/>
          <w:color w:val="000000"/>
          <w:sz w:val="28"/>
          <w:szCs w:val="26"/>
          <w:lang w:val="en-IN" w:eastAsia="en-AU"/>
        </w:rPr>
        <w:t>4.4 Impact on Customer Satisfaction</w:t>
      </w:r>
      <w:bookmarkEnd w:id="63"/>
      <w:bookmarkEnd w:id="64"/>
    </w:p>
    <w:p w14:paraId="4D9DEF16"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The results specify that the Tesco digital transformation is an aspect that leads to customer satisfaction primarily due to lessening efforts and enhancing convenience during the shopping process. Online groceries give customers an opportunity to shop and not travel to a store, whereas mobile services give them more control over shopping and order management. The significance of this is that convenience can be converted to a significant source of value when digital services are used to eliminate the practicality of shopping groceries as part of an everyday routine. Yet, the data indicate that the concept of convenience should be regarded as the factor of satisfaction but not the indicator of loyalty in isolation (Singh and Soderlund, 2020). </w:t>
      </w:r>
    </w:p>
    <w:p w14:paraId="3EEA0E09" w14:textId="77777777" w:rsidR="00996285" w:rsidRDefault="00996285" w:rsidP="00E97E84">
      <w:pPr>
        <w:spacing w:line="360" w:lineRule="auto"/>
        <w:jc w:val="both"/>
        <w:rPr>
          <w:rFonts w:ascii="Arial" w:hAnsi="Arial" w:cs="Arial"/>
          <w:lang w:val="en-AU" w:eastAsia="en-AU"/>
        </w:rPr>
      </w:pPr>
    </w:p>
    <w:p w14:paraId="34295074"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Personalisation offers a second way of how digital transformation can impact satisfaction. The fact that Tesco utilises the data on Clubcards means that offers and promotions can also be better tailored to the purchasing behaviour of individual customers, which may create a sense of more relevance of the digital interactions. The advantage is not that customers will have more information but that some of the information and offers they are faced with can be useful to them. This agrees with Hossain et al. (2023) who explain that customer analytics have the potential to generate value when organisations are effective in converting data into applicable customer outcomes.</w:t>
      </w:r>
    </w:p>
    <w:p w14:paraId="30003C2C" w14:textId="77777777" w:rsidR="00996285" w:rsidRDefault="00996285" w:rsidP="00E97E84">
      <w:pPr>
        <w:spacing w:line="360" w:lineRule="auto"/>
        <w:jc w:val="both"/>
        <w:rPr>
          <w:rFonts w:ascii="Arial" w:hAnsi="Arial" w:cs="Arial"/>
          <w:lang w:val="en-AU" w:eastAsia="en-AU"/>
        </w:rPr>
      </w:pPr>
    </w:p>
    <w:p w14:paraId="14112925"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The results also emphasize the significance of the merging between the digital and physical channels of Tesco. Customers can start their shopping experience online, and </w:t>
      </w:r>
      <w:r w:rsidRPr="00AA2637">
        <w:rPr>
          <w:rFonts w:ascii="Arial" w:hAnsi="Arial" w:cs="Arial"/>
          <w:lang w:val="en-AU" w:eastAsia="en-AU"/>
        </w:rPr>
        <w:lastRenderedPageBreak/>
        <w:t xml:space="preserve">in the process, utilize a mobile application and communicate with a physical store via collection or fulfilment. In the case that these interactions are regular, the customer will not need to repeat information or to adapt to varying processes. According to recent findings, the overall experience of the channel integration can be reinforced, and the level of satisfaction is partly determined by the extent to which retailers make their respective touchpoints interdependent (Balbín Buckley et al., 2024). </w:t>
      </w:r>
    </w:p>
    <w:p w14:paraId="71643D04" w14:textId="77777777" w:rsidR="00996285" w:rsidRDefault="00996285" w:rsidP="00E97E84">
      <w:pPr>
        <w:spacing w:line="360" w:lineRule="auto"/>
        <w:jc w:val="both"/>
        <w:rPr>
          <w:rFonts w:ascii="Arial" w:hAnsi="Arial" w:cs="Arial"/>
          <w:lang w:val="en-AU" w:eastAsia="en-AU"/>
        </w:rPr>
      </w:pPr>
    </w:p>
    <w:p w14:paraId="2D85B4B8"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However, the convenience online does not preclude the chances of dissatisfaction. Availability and delivery issues, substitutions, technical functionality or communication issues can all easily erode the advantages that digital services bring. This implies that customers can evaluate Tesco not just based on the refined nature of the technology but on whether the technology is able to give the anticipated result. This result is important as it contradicts a technology-based definition of satisfaction: a complex digital interface cannot do much when the experience of the service behind it is patchy.</w:t>
      </w:r>
    </w:p>
    <w:p w14:paraId="7D72D0D4" w14:textId="77777777" w:rsidR="00996285" w:rsidRDefault="00996285" w:rsidP="00E97E84">
      <w:pPr>
        <w:spacing w:line="360" w:lineRule="auto"/>
        <w:jc w:val="both"/>
        <w:rPr>
          <w:rFonts w:ascii="Arial" w:hAnsi="Arial" w:cs="Arial"/>
          <w:lang w:val="en-AU" w:eastAsia="en-AU"/>
        </w:rPr>
      </w:pPr>
    </w:p>
    <w:p w14:paraId="38C25AFD"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Personalisation and customer expectations also may come into a possible conflict. Interactions can be more valuable with relevant recommendations, although overload or poorly targeted communications can be more of an annoyance than a benefit. As a result, Tesco should focus on making personalisation be viewed as customer-focused instead of being viewed as a major means of intensifying promotional activity. In general, the results indicate that digital transformation can positively impact customer satisfaction, yet such an effect is conditional on the aspect of reliability, integration and perceived relevance. Satisfaction is then more about the outcome of the effectiveness of Tesco digital capabilities in addressing customer problems and not merely the extent to which the capabilities are advanced.</w:t>
      </w:r>
    </w:p>
    <w:p w14:paraId="13296D10" w14:textId="77777777" w:rsidR="00E97E84" w:rsidRPr="00E97E84" w:rsidRDefault="00000000" w:rsidP="005E3857">
      <w:pPr>
        <w:spacing w:before="240" w:after="240"/>
        <w:outlineLvl w:val="1"/>
        <w:rPr>
          <w:rFonts w:ascii="Arial" w:hAnsi="Arial"/>
          <w:color w:val="000000"/>
          <w:sz w:val="28"/>
          <w:szCs w:val="26"/>
          <w:lang w:val="en-IN" w:eastAsia="en-AU"/>
        </w:rPr>
      </w:pPr>
      <w:bookmarkStart w:id="65" w:name="_Toc237189246"/>
      <w:bookmarkStart w:id="66" w:name="_Toc238670397"/>
      <w:r w:rsidRPr="00E97E84">
        <w:rPr>
          <w:rFonts w:ascii="Arial" w:hAnsi="Arial"/>
          <w:color w:val="000000"/>
          <w:sz w:val="28"/>
          <w:szCs w:val="26"/>
          <w:lang w:val="en-IN" w:eastAsia="en-AU"/>
        </w:rPr>
        <w:t>4.5 Impact on Customer Engagement</w:t>
      </w:r>
      <w:bookmarkEnd w:id="65"/>
      <w:bookmarkEnd w:id="66"/>
    </w:p>
    <w:p w14:paraId="3749A76D"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The results suggest that the digital transformation of Tesco has increased the interaction with customers and customer engagement that was mostly occasional customer purchasing has been replaced with more persistent types of digital communication. Repeat customer interactions with Tesco through Clubcard, mobile applications and </w:t>
      </w:r>
      <w:r w:rsidRPr="00AA2637">
        <w:rPr>
          <w:rFonts w:ascii="Arial" w:hAnsi="Arial" w:cs="Arial"/>
          <w:lang w:val="en-AU" w:eastAsia="en-AU"/>
        </w:rPr>
        <w:lastRenderedPageBreak/>
        <w:t xml:space="preserve">online grocery services offer a customer repeated opportunities to engage with Tesco prior, at the time and post purchase. This is important to note since engagement goes beyond making a purchase; it is an expression of how much customers are willing and able to engage and react with the retailer (Pansari and Kumar, 2017). </w:t>
      </w:r>
    </w:p>
    <w:p w14:paraId="1FA8C54F" w14:textId="77777777" w:rsidR="00996285" w:rsidRDefault="00996285" w:rsidP="00E97E84">
      <w:pPr>
        <w:spacing w:line="360" w:lineRule="auto"/>
        <w:jc w:val="both"/>
        <w:rPr>
          <w:rFonts w:ascii="Arial" w:hAnsi="Arial" w:cs="Arial"/>
          <w:lang w:val="en-AU" w:eastAsia="en-AU"/>
        </w:rPr>
      </w:pPr>
    </w:p>
    <w:p w14:paraId="28A630D5"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The importance of clubcard seems especially significant as it ties the activity of purchasing to the individual communication and incentives. The customer will be able to get the offers based on their past purchase behaviour to generate an urge to revisit both the digital and brick-and-mortar channels of Tesco. This will help to enhance the interaction, where the customers feel that the interaction is not just promotional. Nonetheless, the repeated communication does not always imply the greater involvement, as the excessive or unrelated offers can decrease the perceived value of the relationship.</w:t>
      </w:r>
    </w:p>
    <w:p w14:paraId="0AAC19A6" w14:textId="77777777" w:rsidR="00996285" w:rsidRDefault="00996285" w:rsidP="00E97E84">
      <w:pPr>
        <w:spacing w:line="360" w:lineRule="auto"/>
        <w:jc w:val="both"/>
        <w:rPr>
          <w:rFonts w:ascii="Arial" w:hAnsi="Arial" w:cs="Arial"/>
          <w:lang w:val="en-AU" w:eastAsia="en-AU"/>
        </w:rPr>
      </w:pPr>
    </w:p>
    <w:p w14:paraId="0760A69C"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The mobile</w:t>
      </w:r>
      <w:r>
        <w:rPr>
          <w:rFonts w:ascii="Arial" w:hAnsi="Arial" w:cs="Arial"/>
          <w:lang w:val="en-AU" w:eastAsia="en-AU"/>
        </w:rPr>
        <w:t xml:space="preserve"> and </w:t>
      </w:r>
      <w:r w:rsidRPr="00AA2637">
        <w:rPr>
          <w:rFonts w:ascii="Arial" w:hAnsi="Arial" w:cs="Arial"/>
          <w:lang w:val="en-AU" w:eastAsia="en-AU"/>
        </w:rPr>
        <w:t xml:space="preserve">online ecosystem also facilitates engagement where Tesco can be found in various touch points of the customer journey. Customers can browse products, manage orders, review offers and interact with loyalty benefits without waiting until their next physical store visit. Recent findings on the topic of omnichannel retailing indicate that the integrated touchpoints have the potential to enhance customer experience through forming more continuous and connected interactions (Xuan et al., 2023). In the case of Tesco, this implies that the digital channels can enhance the intensity and frequency of contact with customers. </w:t>
      </w:r>
    </w:p>
    <w:p w14:paraId="21E47615" w14:textId="77777777" w:rsidR="00996285" w:rsidRDefault="00996285" w:rsidP="00E97E84">
      <w:pPr>
        <w:spacing w:line="360" w:lineRule="auto"/>
        <w:jc w:val="both"/>
        <w:rPr>
          <w:rFonts w:ascii="Arial" w:hAnsi="Arial" w:cs="Arial"/>
          <w:lang w:val="en-AU" w:eastAsia="en-AU"/>
        </w:rPr>
      </w:pPr>
    </w:p>
    <w:p w14:paraId="5492BB13"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Nonetheless, the results indicate that the frequency of interaction is to be mixed up with the quality of engagement. A customer might use the application repeatedly due to the convenience of Tesco but is only strongly attached to the brand. Such a difference is significant since, even though digital convenience may promote the development of a habitual behaviour, it may not produce an emotional commitment or advocacy, in the first place. Thus, the problem Tesco will face is how to turn recurring digital interaction into value generation and relationship building as opposed to using a frequency of transactions as an indicator of interaction.</w:t>
      </w:r>
    </w:p>
    <w:p w14:paraId="1C1FB1A1" w14:textId="77777777" w:rsidR="00996285" w:rsidRDefault="00996285" w:rsidP="00E97E84">
      <w:pPr>
        <w:spacing w:line="360" w:lineRule="auto"/>
        <w:jc w:val="both"/>
        <w:rPr>
          <w:rFonts w:ascii="Arial" w:hAnsi="Arial" w:cs="Arial"/>
          <w:lang w:val="en-AU" w:eastAsia="en-AU"/>
        </w:rPr>
      </w:pPr>
    </w:p>
    <w:p w14:paraId="06EE2C48"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AI and customer analytics open additional possibilities to enhance the level of engagement with more relevant suggestions and personalised interactions. Recent studies also see AI as more significant in the process of customer </w:t>
      </w:r>
      <w:r w:rsidR="003B0292" w:rsidRPr="00AA2637">
        <w:rPr>
          <w:rFonts w:ascii="Arial" w:hAnsi="Arial" w:cs="Arial"/>
          <w:lang w:val="en-AU" w:eastAsia="en-AU"/>
        </w:rPr>
        <w:t>engagement;</w:t>
      </w:r>
      <w:r w:rsidRPr="00AA2637">
        <w:rPr>
          <w:rFonts w:ascii="Arial" w:hAnsi="Arial" w:cs="Arial"/>
          <w:lang w:val="en-AU" w:eastAsia="en-AU"/>
        </w:rPr>
        <w:t xml:space="preserve"> however, it is essential to consider the customer experience of technology instead of reviewing it based on its technological potential (Suraña-Sánchez et al., 2024). Tesco must thus make sure that automated interactions are valuable, interpretable and in proper timing. In general, the findings indicate that the most effective way of engaging is by using digital change to enable the meaningful customer participation, and not by the sheer number of digital contacts.</w:t>
      </w:r>
    </w:p>
    <w:p w14:paraId="7A2581DF" w14:textId="77777777" w:rsidR="00E97E84" w:rsidRPr="00E97E84" w:rsidRDefault="00000000" w:rsidP="005E3857">
      <w:pPr>
        <w:spacing w:before="240" w:after="240"/>
        <w:outlineLvl w:val="1"/>
        <w:rPr>
          <w:rFonts w:ascii="Arial" w:hAnsi="Arial"/>
          <w:color w:val="000000"/>
          <w:sz w:val="28"/>
          <w:szCs w:val="26"/>
          <w:lang w:val="en-IN" w:eastAsia="en-AU"/>
        </w:rPr>
      </w:pPr>
      <w:bookmarkStart w:id="67" w:name="_Toc237189247"/>
      <w:bookmarkStart w:id="68" w:name="_Toc238670398"/>
      <w:r w:rsidRPr="00E97E84">
        <w:rPr>
          <w:rFonts w:ascii="Arial" w:hAnsi="Arial"/>
          <w:color w:val="000000"/>
          <w:sz w:val="28"/>
          <w:szCs w:val="26"/>
          <w:lang w:val="en-IN" w:eastAsia="en-AU"/>
        </w:rPr>
        <w:t>4.6 Impact on Customer Loyalty</w:t>
      </w:r>
      <w:bookmarkEnd w:id="67"/>
      <w:bookmarkEnd w:id="68"/>
    </w:p>
    <w:p w14:paraId="0BF43F4D"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The results indicate that Tesco digital transformation can lead to customer loyalty in </w:t>
      </w:r>
      <w:r w:rsidR="005E3857" w:rsidRPr="00AA2637">
        <w:rPr>
          <w:rFonts w:ascii="Arial" w:hAnsi="Arial" w:cs="Arial"/>
          <w:lang w:val="en-AU" w:eastAsia="en-AU"/>
        </w:rPr>
        <w:t>several</w:t>
      </w:r>
      <w:r w:rsidRPr="00AA2637">
        <w:rPr>
          <w:rFonts w:ascii="Arial" w:hAnsi="Arial" w:cs="Arial"/>
          <w:lang w:val="en-AU" w:eastAsia="en-AU"/>
        </w:rPr>
        <w:t xml:space="preserve"> intertwined mechanisms, especially perceived value, convenience, engagement and relationship quality. Nevertheless, the assumption of creating loyalty through digital investment is not evidenced. Tesco customers can use its digital services again and again as they find them convenient and are still willing to switch to those of competitors who can provide them with better prices and products or experiences. Loyalty thus seems to be determined by whether a digital transformation produces a relationship that is valuable enough and consistent enough, to diminish the urge of customers to change (Rather et al., 2019).</w:t>
      </w:r>
    </w:p>
    <w:p w14:paraId="342D270B" w14:textId="77777777" w:rsidR="00996285" w:rsidRDefault="00996285" w:rsidP="00E97E84">
      <w:pPr>
        <w:spacing w:line="360" w:lineRule="auto"/>
        <w:jc w:val="both"/>
        <w:rPr>
          <w:rFonts w:ascii="Arial" w:hAnsi="Arial" w:cs="Arial"/>
          <w:lang w:val="en-AU" w:eastAsia="en-AU"/>
        </w:rPr>
      </w:pPr>
    </w:p>
    <w:p w14:paraId="433FA212"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Clubcard plays a key role in this relationship given that it enables Tesco to relate customer buying behaviour with individualised loyalty and communication. This will be able to add value of staying in the ecosystem of Tesco especially as customers are given offers that are applicable to their real purchasing behavior. The benefit of loyalty does not then lie in the disciplined offer of discounts, but in the utilization of the information of a customer to make the relationship a more personally relevant one. The more recent studies of omnichannel retailing also show that customer experience in a set of integrated touchpoints can lead to increased brand loyalty (Xuan et al., 2023).</w:t>
      </w:r>
    </w:p>
    <w:p w14:paraId="7B39548B" w14:textId="77777777" w:rsidR="00996285" w:rsidRDefault="00996285" w:rsidP="00E97E84">
      <w:pPr>
        <w:spacing w:line="360" w:lineRule="auto"/>
        <w:jc w:val="both"/>
        <w:rPr>
          <w:rFonts w:ascii="Arial" w:hAnsi="Arial" w:cs="Arial"/>
          <w:lang w:val="en-AU" w:eastAsia="en-AU"/>
        </w:rPr>
      </w:pPr>
    </w:p>
    <w:p w14:paraId="616D47B0"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lastRenderedPageBreak/>
        <w:t xml:space="preserve">Another significant route linking digital transformation and loyalty is convenience. Mobile ordering and click-and-collect, online grocery shopping can save time and effort in making regular purchases, rendering the further use of Tesco more appealing. This can promote the development of the buying habit as buyers can get used to the digital operations of Tesco and have fewer reasons to switch. However, the loyalty that is based on convenience can be quite weak since it is possible to copy comparable digital services introduced by rivals. The implication here is that Tesco cannot use convenience as a sole determinant of developing a sustainable competitive advantage. </w:t>
      </w:r>
    </w:p>
    <w:p w14:paraId="38641A0F" w14:textId="77777777" w:rsidR="00996285" w:rsidRDefault="00996285" w:rsidP="00E97E84">
      <w:pPr>
        <w:spacing w:line="360" w:lineRule="auto"/>
        <w:jc w:val="both"/>
        <w:rPr>
          <w:rFonts w:ascii="Arial" w:hAnsi="Arial" w:cs="Arial"/>
          <w:lang w:val="en-AU" w:eastAsia="en-AU"/>
        </w:rPr>
      </w:pPr>
    </w:p>
    <w:p w14:paraId="7348733C"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The interaction with customers seems to offer an even higher connection between digital interaction and long-term loyalty. Customised offers, loyalty points and frequent digital interactions aim to provide Tesco with an opportunity to continue their relationship after the completion of a single transaction. This adds to the likeliness that committed customers could be capable of demonstrating behavioural as well as relational loyalty to a retailer (Pansari and Kumar, 2017). Nevertheless, the level of engagement is not to be evaluated in terms of how many times the apps are used or purchases are made, as the repetitive checks can be attributed to convenience and not the attachment to the brand.</w:t>
      </w:r>
    </w:p>
    <w:p w14:paraId="3D79B112" w14:textId="77777777" w:rsidR="005B61D8" w:rsidRDefault="005B61D8" w:rsidP="00E97E84">
      <w:pPr>
        <w:spacing w:line="360" w:lineRule="auto"/>
        <w:jc w:val="both"/>
        <w:rPr>
          <w:rFonts w:ascii="Arial" w:hAnsi="Arial" w:cs="Arial"/>
          <w:lang w:val="en-AU" w:eastAsia="en-AU"/>
        </w:rPr>
      </w:pPr>
    </w:p>
    <w:p w14:paraId="008AC527"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Another significant finding is a critical weakness of the study, namely digital transformation can enable switching more and less difficult. The use of digital platforms lowers transaction and search costs, enabling the customers to weigh competing retailers against each other, comparatively without much effort. Tesco thus finds itself in a place where technology could both deepen its bond with the current customers and open them up to other offers. This supports the previous observation that the loyalty is determined by the quality of the overall customer relationship and not technological sophistication solely (Reinartz et al., 2019). </w:t>
      </w:r>
    </w:p>
    <w:p w14:paraId="66BA12D3" w14:textId="77777777" w:rsidR="005B61D8" w:rsidRDefault="005B61D8" w:rsidP="00E97E84">
      <w:pPr>
        <w:spacing w:line="360" w:lineRule="auto"/>
        <w:jc w:val="both"/>
        <w:rPr>
          <w:rFonts w:ascii="Arial" w:hAnsi="Arial" w:cs="Arial"/>
          <w:lang w:val="en-AU" w:eastAsia="en-AU"/>
        </w:rPr>
      </w:pPr>
    </w:p>
    <w:p w14:paraId="0B71288F"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Altogether, Tesco can be seen as having been effective in its digital transformation in encouraging loyalty in ways that are both convenient and personalised value and meaningful engagement. Nevertheless, these mechanisms are contingent on the credibility of the service, similar experiences and ongoing belief among the customers </w:t>
      </w:r>
      <w:r w:rsidRPr="00AA2637">
        <w:rPr>
          <w:rFonts w:ascii="Arial" w:hAnsi="Arial" w:cs="Arial"/>
          <w:lang w:val="en-AU" w:eastAsia="en-AU"/>
        </w:rPr>
        <w:lastRenderedPageBreak/>
        <w:t>that Tesco offers them a better offer. The key conclusion then is that technology does not build loyalty per se, rather loyalty is reinforced when it is incorporated into a customer relationship which customers have a reason to sustain.</w:t>
      </w:r>
    </w:p>
    <w:p w14:paraId="408A8D5F" w14:textId="77777777" w:rsidR="000B72FF" w:rsidRDefault="000B72FF" w:rsidP="00E97E84">
      <w:pPr>
        <w:spacing w:line="360" w:lineRule="auto"/>
        <w:jc w:val="both"/>
        <w:rPr>
          <w:rFonts w:ascii="Arial" w:hAnsi="Arial" w:cs="Arial"/>
          <w:lang w:val="en-AU" w:eastAsia="en-AU"/>
        </w:rPr>
      </w:pPr>
    </w:p>
    <w:p w14:paraId="0F2DB737" w14:textId="77777777" w:rsidR="00E97E84" w:rsidRPr="00E97E84" w:rsidRDefault="00000000" w:rsidP="00E97E84">
      <w:pPr>
        <w:spacing w:line="360" w:lineRule="auto"/>
        <w:jc w:val="both"/>
        <w:rPr>
          <w:rFonts w:ascii="Arial" w:hAnsi="Arial" w:cs="Arial"/>
          <w:lang w:val="en-IN" w:eastAsia="en-AU"/>
        </w:rPr>
      </w:pPr>
      <w:r w:rsidRPr="00E97E84">
        <w:rPr>
          <w:rFonts w:ascii="Arial" w:hAnsi="Arial" w:cs="Arial"/>
          <w:b/>
          <w:bCs/>
          <w:lang w:val="en-IN" w:eastAsia="en-AU"/>
        </w:rPr>
        <w:t>Table 4.2: Relationship Between Tesco's Digital Capabilities and Customer Outcomes</w:t>
      </w:r>
    </w:p>
    <w:tbl>
      <w:tblPr>
        <w:tblStyle w:val="ListTable6Colorful-Accent2"/>
        <w:tblW w:w="0" w:type="auto"/>
        <w:tblLook w:val="04A0" w:firstRow="1" w:lastRow="0" w:firstColumn="1" w:lastColumn="0" w:noHBand="0" w:noVBand="1"/>
      </w:tblPr>
      <w:tblGrid>
        <w:gridCol w:w="2160"/>
        <w:gridCol w:w="2404"/>
        <w:gridCol w:w="2311"/>
        <w:gridCol w:w="2485"/>
      </w:tblGrid>
      <w:tr w:rsidR="00E740B3" w14:paraId="51A3F1C6" w14:textId="77777777" w:rsidTr="00E740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DA7479" w14:textId="77777777" w:rsidR="00E97E84" w:rsidRPr="005E3857" w:rsidRDefault="00000000" w:rsidP="005E3857">
            <w:pPr>
              <w:spacing w:line="360" w:lineRule="auto"/>
              <w:rPr>
                <w:rFonts w:ascii="Arial" w:hAnsi="Arial" w:cs="Arial"/>
                <w:b w:val="0"/>
                <w:bCs w:val="0"/>
                <w:color w:val="000000"/>
                <w:lang w:val="en-IN"/>
              </w:rPr>
            </w:pPr>
            <w:r w:rsidRPr="005E3857">
              <w:rPr>
                <w:rFonts w:ascii="Arial" w:hAnsi="Arial" w:cs="Arial"/>
                <w:color w:val="000000"/>
                <w:lang w:val="en-IN"/>
              </w:rPr>
              <w:t>Digital Capability</w:t>
            </w:r>
          </w:p>
        </w:tc>
        <w:tc>
          <w:tcPr>
            <w:tcW w:w="0" w:type="auto"/>
            <w:hideMark/>
          </w:tcPr>
          <w:p w14:paraId="42B32857" w14:textId="77777777" w:rsidR="00E97E84" w:rsidRPr="005E3857" w:rsidRDefault="00000000" w:rsidP="005E385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lang w:val="en-IN"/>
              </w:rPr>
            </w:pPr>
            <w:r w:rsidRPr="005E3857">
              <w:rPr>
                <w:rFonts w:ascii="Arial" w:hAnsi="Arial" w:cs="Arial"/>
                <w:color w:val="000000"/>
                <w:lang w:val="en-IN"/>
              </w:rPr>
              <w:t>Primary Customer Outcome</w:t>
            </w:r>
          </w:p>
        </w:tc>
        <w:tc>
          <w:tcPr>
            <w:tcW w:w="0" w:type="auto"/>
            <w:hideMark/>
          </w:tcPr>
          <w:p w14:paraId="6E1F5809" w14:textId="77777777" w:rsidR="00E97E84" w:rsidRPr="005E3857" w:rsidRDefault="00000000" w:rsidP="005E385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lang w:val="en-IN"/>
              </w:rPr>
            </w:pPr>
            <w:r w:rsidRPr="005E3857">
              <w:rPr>
                <w:rFonts w:ascii="Arial" w:hAnsi="Arial" w:cs="Arial"/>
                <w:color w:val="000000"/>
                <w:lang w:val="en-IN"/>
              </w:rPr>
              <w:t>Potential Contribution to Loyalty</w:t>
            </w:r>
          </w:p>
        </w:tc>
        <w:tc>
          <w:tcPr>
            <w:tcW w:w="0" w:type="auto"/>
            <w:hideMark/>
          </w:tcPr>
          <w:p w14:paraId="43814795" w14:textId="77777777" w:rsidR="00E97E84" w:rsidRPr="005E3857" w:rsidRDefault="00000000" w:rsidP="005E385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lang w:val="en-IN"/>
              </w:rPr>
            </w:pPr>
            <w:r w:rsidRPr="005E3857">
              <w:rPr>
                <w:rFonts w:ascii="Arial" w:hAnsi="Arial" w:cs="Arial"/>
                <w:color w:val="000000"/>
                <w:lang w:val="en-IN"/>
              </w:rPr>
              <w:t>Key Limitation/Risk</w:t>
            </w:r>
          </w:p>
        </w:tc>
      </w:tr>
      <w:tr w:rsidR="00E740B3" w14:paraId="67367B94"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7F202F" w14:textId="77777777" w:rsidR="00E97E84" w:rsidRPr="005E3857" w:rsidRDefault="00000000" w:rsidP="005E3857">
            <w:pPr>
              <w:spacing w:line="360" w:lineRule="auto"/>
              <w:rPr>
                <w:rFonts w:ascii="Arial" w:hAnsi="Arial" w:cs="Arial"/>
                <w:b w:val="0"/>
                <w:bCs w:val="0"/>
                <w:color w:val="000000"/>
                <w:lang w:val="en-IN"/>
              </w:rPr>
            </w:pPr>
            <w:r w:rsidRPr="005E3857">
              <w:rPr>
                <w:rFonts w:ascii="Arial" w:hAnsi="Arial" w:cs="Arial"/>
                <w:color w:val="000000"/>
                <w:lang w:val="en-IN"/>
              </w:rPr>
              <w:t>Clubcard and customer analytics</w:t>
            </w:r>
          </w:p>
        </w:tc>
        <w:tc>
          <w:tcPr>
            <w:tcW w:w="0" w:type="auto"/>
            <w:hideMark/>
          </w:tcPr>
          <w:p w14:paraId="3D026A17" w14:textId="77777777" w:rsidR="00E97E84" w:rsidRPr="000C28BD"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Personalised value and targeted engagement</w:t>
            </w:r>
          </w:p>
        </w:tc>
        <w:tc>
          <w:tcPr>
            <w:tcW w:w="0" w:type="auto"/>
            <w:hideMark/>
          </w:tcPr>
          <w:p w14:paraId="20ACC4FB" w14:textId="77777777" w:rsidR="00E97E84" w:rsidRPr="000C28BD"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Encourages repeat purchasing and strengthens perceived relevance</w:t>
            </w:r>
          </w:p>
        </w:tc>
        <w:tc>
          <w:tcPr>
            <w:tcW w:w="0" w:type="auto"/>
            <w:hideMark/>
          </w:tcPr>
          <w:p w14:paraId="1F0D95BF" w14:textId="77777777" w:rsidR="00E97E84" w:rsidRPr="000C28BD"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Excessive data use may create privacy concerns</w:t>
            </w:r>
          </w:p>
        </w:tc>
      </w:tr>
      <w:tr w:rsidR="00E740B3" w14:paraId="66366FF7"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302FC9A3" w14:textId="77777777" w:rsidR="00E97E84" w:rsidRPr="005E3857" w:rsidRDefault="00000000" w:rsidP="005E3857">
            <w:pPr>
              <w:spacing w:line="360" w:lineRule="auto"/>
              <w:rPr>
                <w:rFonts w:ascii="Arial" w:hAnsi="Arial" w:cs="Arial"/>
                <w:b w:val="0"/>
                <w:bCs w:val="0"/>
                <w:color w:val="000000"/>
                <w:lang w:val="en-IN"/>
              </w:rPr>
            </w:pPr>
            <w:r w:rsidRPr="005E3857">
              <w:rPr>
                <w:rFonts w:ascii="Arial" w:hAnsi="Arial" w:cs="Arial"/>
                <w:color w:val="000000"/>
                <w:lang w:val="en-IN"/>
              </w:rPr>
              <w:t>Online grocery services</w:t>
            </w:r>
          </w:p>
        </w:tc>
        <w:tc>
          <w:tcPr>
            <w:tcW w:w="0" w:type="auto"/>
            <w:hideMark/>
          </w:tcPr>
          <w:p w14:paraId="34574922" w14:textId="77777777" w:rsidR="00E97E84" w:rsidRPr="000C28BD"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Convenience and accessibility</w:t>
            </w:r>
          </w:p>
        </w:tc>
        <w:tc>
          <w:tcPr>
            <w:tcW w:w="0" w:type="auto"/>
            <w:hideMark/>
          </w:tcPr>
          <w:p w14:paraId="139D6BCE" w14:textId="77777777" w:rsidR="00E97E84" w:rsidRPr="000C28BD"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Can encourage continued use through reduced effort</w:t>
            </w:r>
          </w:p>
        </w:tc>
        <w:tc>
          <w:tcPr>
            <w:tcW w:w="0" w:type="auto"/>
            <w:hideMark/>
          </w:tcPr>
          <w:p w14:paraId="193D7822" w14:textId="77777777" w:rsidR="00E97E84" w:rsidRPr="000C28BD"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Delivery, availability or service problems may reduce satisfaction</w:t>
            </w:r>
          </w:p>
        </w:tc>
      </w:tr>
      <w:tr w:rsidR="00E740B3" w14:paraId="6DD4671C"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7238BC" w14:textId="77777777" w:rsidR="00E97E84" w:rsidRPr="005E3857" w:rsidRDefault="00000000" w:rsidP="005E3857">
            <w:pPr>
              <w:spacing w:line="360" w:lineRule="auto"/>
              <w:rPr>
                <w:rFonts w:ascii="Arial" w:hAnsi="Arial" w:cs="Arial"/>
                <w:b w:val="0"/>
                <w:bCs w:val="0"/>
                <w:color w:val="000000"/>
                <w:lang w:val="en-IN"/>
              </w:rPr>
            </w:pPr>
            <w:r w:rsidRPr="005E3857">
              <w:rPr>
                <w:rFonts w:ascii="Arial" w:hAnsi="Arial" w:cs="Arial"/>
                <w:color w:val="000000"/>
                <w:lang w:val="en-IN"/>
              </w:rPr>
              <w:t>Mobile applications</w:t>
            </w:r>
          </w:p>
        </w:tc>
        <w:tc>
          <w:tcPr>
            <w:tcW w:w="0" w:type="auto"/>
            <w:hideMark/>
          </w:tcPr>
          <w:p w14:paraId="25F7749E" w14:textId="77777777" w:rsidR="00E97E84" w:rsidRPr="000C28BD"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Continuous access and interaction</w:t>
            </w:r>
          </w:p>
        </w:tc>
        <w:tc>
          <w:tcPr>
            <w:tcW w:w="0" w:type="auto"/>
            <w:hideMark/>
          </w:tcPr>
          <w:p w14:paraId="21418F97" w14:textId="77777777" w:rsidR="00E97E84" w:rsidRPr="000C28BD"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Supports habitual engagement and personalised communication</w:t>
            </w:r>
          </w:p>
        </w:tc>
        <w:tc>
          <w:tcPr>
            <w:tcW w:w="0" w:type="auto"/>
            <w:hideMark/>
          </w:tcPr>
          <w:p w14:paraId="6B2E648D" w14:textId="77777777" w:rsidR="00E97E84" w:rsidRPr="000C28BD"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Regular usage does not necessarily indicate emotional loyalty</w:t>
            </w:r>
          </w:p>
        </w:tc>
      </w:tr>
      <w:tr w:rsidR="00E740B3" w14:paraId="0D5F1BFE"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0884A0F9" w14:textId="77777777" w:rsidR="00E97E84" w:rsidRPr="005E3857" w:rsidRDefault="00000000" w:rsidP="005E3857">
            <w:pPr>
              <w:spacing w:line="360" w:lineRule="auto"/>
              <w:rPr>
                <w:rFonts w:ascii="Arial" w:hAnsi="Arial" w:cs="Arial"/>
                <w:b w:val="0"/>
                <w:bCs w:val="0"/>
                <w:color w:val="000000"/>
                <w:lang w:val="en-IN"/>
              </w:rPr>
            </w:pPr>
            <w:r w:rsidRPr="005E3857">
              <w:rPr>
                <w:rFonts w:ascii="Arial" w:hAnsi="Arial" w:cs="Arial"/>
                <w:color w:val="000000"/>
                <w:lang w:val="en-IN"/>
              </w:rPr>
              <w:t>Click-and-collect</w:t>
            </w:r>
          </w:p>
        </w:tc>
        <w:tc>
          <w:tcPr>
            <w:tcW w:w="0" w:type="auto"/>
            <w:hideMark/>
          </w:tcPr>
          <w:p w14:paraId="6320376A" w14:textId="77777777" w:rsidR="00E97E84" w:rsidRPr="000C28BD"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Flexibility and channel convenience</w:t>
            </w:r>
          </w:p>
        </w:tc>
        <w:tc>
          <w:tcPr>
            <w:tcW w:w="0" w:type="auto"/>
            <w:hideMark/>
          </w:tcPr>
          <w:p w14:paraId="65FAB7DF" w14:textId="77777777" w:rsidR="00E97E84" w:rsidRPr="000C28BD"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Reduces effort and supports integrated shopping behaviour</w:t>
            </w:r>
          </w:p>
        </w:tc>
        <w:tc>
          <w:tcPr>
            <w:tcW w:w="0" w:type="auto"/>
            <w:hideMark/>
          </w:tcPr>
          <w:p w14:paraId="5E6CC219" w14:textId="77777777" w:rsidR="00E97E84" w:rsidRPr="000C28BD"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Requires effective coordination between digital and physical channels</w:t>
            </w:r>
          </w:p>
        </w:tc>
      </w:tr>
      <w:tr w:rsidR="00E740B3" w14:paraId="1103692C" w14:textId="77777777" w:rsidTr="00E740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C189C3" w14:textId="77777777" w:rsidR="00E97E84" w:rsidRPr="005E3857" w:rsidRDefault="00000000" w:rsidP="005E3857">
            <w:pPr>
              <w:spacing w:line="360" w:lineRule="auto"/>
              <w:rPr>
                <w:rFonts w:ascii="Arial" w:hAnsi="Arial" w:cs="Arial"/>
                <w:b w:val="0"/>
                <w:bCs w:val="0"/>
                <w:color w:val="000000"/>
                <w:lang w:val="en-IN"/>
              </w:rPr>
            </w:pPr>
            <w:r w:rsidRPr="005E3857">
              <w:rPr>
                <w:rFonts w:ascii="Arial" w:hAnsi="Arial" w:cs="Arial"/>
                <w:color w:val="000000"/>
                <w:lang w:val="en-IN"/>
              </w:rPr>
              <w:t>AI and personalisation</w:t>
            </w:r>
          </w:p>
        </w:tc>
        <w:tc>
          <w:tcPr>
            <w:tcW w:w="0" w:type="auto"/>
            <w:hideMark/>
          </w:tcPr>
          <w:p w14:paraId="5FCEB0F0" w14:textId="77777777" w:rsidR="00E97E84" w:rsidRPr="000C28BD"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More relevant recommendations and interactions</w:t>
            </w:r>
          </w:p>
        </w:tc>
        <w:tc>
          <w:tcPr>
            <w:tcW w:w="0" w:type="auto"/>
            <w:hideMark/>
          </w:tcPr>
          <w:p w14:paraId="1766E2BF" w14:textId="77777777" w:rsidR="00E97E84" w:rsidRPr="000C28BD"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Can strengthen engagement and perceived customer value</w:t>
            </w:r>
          </w:p>
        </w:tc>
        <w:tc>
          <w:tcPr>
            <w:tcW w:w="0" w:type="auto"/>
            <w:hideMark/>
          </w:tcPr>
          <w:p w14:paraId="61158104" w14:textId="77777777" w:rsidR="00E97E84" w:rsidRPr="000C28BD" w:rsidRDefault="00000000" w:rsidP="005E385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Poorly targeted or excessive automation may reduce trust</w:t>
            </w:r>
          </w:p>
        </w:tc>
      </w:tr>
      <w:tr w:rsidR="00E740B3" w14:paraId="0EFD2361" w14:textId="77777777" w:rsidTr="00E740B3">
        <w:tc>
          <w:tcPr>
            <w:cnfStyle w:val="001000000000" w:firstRow="0" w:lastRow="0" w:firstColumn="1" w:lastColumn="0" w:oddVBand="0" w:evenVBand="0" w:oddHBand="0" w:evenHBand="0" w:firstRowFirstColumn="0" w:firstRowLastColumn="0" w:lastRowFirstColumn="0" w:lastRowLastColumn="0"/>
            <w:tcW w:w="0" w:type="auto"/>
            <w:hideMark/>
          </w:tcPr>
          <w:p w14:paraId="4AE673FB" w14:textId="77777777" w:rsidR="00E97E84" w:rsidRPr="005E3857" w:rsidRDefault="00000000" w:rsidP="005E3857">
            <w:pPr>
              <w:spacing w:line="360" w:lineRule="auto"/>
              <w:rPr>
                <w:rFonts w:ascii="Arial" w:hAnsi="Arial" w:cs="Arial"/>
                <w:b w:val="0"/>
                <w:bCs w:val="0"/>
                <w:color w:val="000000"/>
                <w:lang w:val="en-IN"/>
              </w:rPr>
            </w:pPr>
            <w:r w:rsidRPr="005E3857">
              <w:rPr>
                <w:rFonts w:ascii="Arial" w:hAnsi="Arial" w:cs="Arial"/>
                <w:color w:val="000000"/>
                <w:lang w:val="en-IN"/>
              </w:rPr>
              <w:lastRenderedPageBreak/>
              <w:t>Omnichannel integration</w:t>
            </w:r>
          </w:p>
        </w:tc>
        <w:tc>
          <w:tcPr>
            <w:tcW w:w="0" w:type="auto"/>
            <w:hideMark/>
          </w:tcPr>
          <w:p w14:paraId="05FC4A77" w14:textId="77777777" w:rsidR="00E97E84" w:rsidRPr="000C28BD"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Consistent customer journey</w:t>
            </w:r>
          </w:p>
        </w:tc>
        <w:tc>
          <w:tcPr>
            <w:tcW w:w="0" w:type="auto"/>
            <w:hideMark/>
          </w:tcPr>
          <w:p w14:paraId="3AC16862" w14:textId="77777777" w:rsidR="00E97E84" w:rsidRPr="000C28BD"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Can strengthen satisfaction and relationship quality</w:t>
            </w:r>
          </w:p>
        </w:tc>
        <w:tc>
          <w:tcPr>
            <w:tcW w:w="0" w:type="auto"/>
            <w:hideMark/>
          </w:tcPr>
          <w:p w14:paraId="28CE5770" w14:textId="77777777" w:rsidR="00E97E84" w:rsidRPr="000C28BD" w:rsidRDefault="00000000" w:rsidP="005E385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lang w:val="en-IN"/>
              </w:rPr>
            </w:pPr>
            <w:r w:rsidRPr="000C28BD">
              <w:rPr>
                <w:rFonts w:ascii="Arial" w:hAnsi="Arial" w:cs="Arial"/>
                <w:color w:val="000000"/>
                <w:lang w:val="en-IN"/>
              </w:rPr>
              <w:t>Fragmented experiences can undermine the benefits of digital transformation</w:t>
            </w:r>
          </w:p>
        </w:tc>
      </w:tr>
    </w:tbl>
    <w:p w14:paraId="204302DA" w14:textId="77777777" w:rsidR="00E97E84" w:rsidRPr="00E97E84" w:rsidRDefault="00E97E84" w:rsidP="00E97E84">
      <w:pPr>
        <w:spacing w:line="360" w:lineRule="auto"/>
        <w:jc w:val="both"/>
        <w:rPr>
          <w:rFonts w:ascii="Arial" w:hAnsi="Arial" w:cs="Arial"/>
          <w:lang w:val="en-IN" w:eastAsia="en-AU"/>
        </w:rPr>
      </w:pPr>
    </w:p>
    <w:p w14:paraId="45D12B07" w14:textId="77777777" w:rsidR="00E97E84" w:rsidRPr="00E97E84" w:rsidRDefault="00000000" w:rsidP="005E3857">
      <w:pPr>
        <w:spacing w:before="240" w:after="240"/>
        <w:outlineLvl w:val="1"/>
        <w:rPr>
          <w:rFonts w:ascii="Arial" w:hAnsi="Arial"/>
          <w:color w:val="000000"/>
          <w:sz w:val="28"/>
          <w:szCs w:val="26"/>
          <w:lang w:val="en-IN" w:eastAsia="en-AU"/>
        </w:rPr>
      </w:pPr>
      <w:bookmarkStart w:id="69" w:name="_Toc237189248"/>
      <w:bookmarkStart w:id="70" w:name="_Toc238670399"/>
      <w:r w:rsidRPr="00E97E84">
        <w:rPr>
          <w:rFonts w:ascii="Arial" w:hAnsi="Arial"/>
          <w:color w:val="000000"/>
          <w:sz w:val="28"/>
          <w:szCs w:val="26"/>
          <w:lang w:val="en-IN" w:eastAsia="en-AU"/>
        </w:rPr>
        <w:t>4.7 Omnichannel Customer Experience</w:t>
      </w:r>
      <w:bookmarkEnd w:id="69"/>
      <w:bookmarkEnd w:id="70"/>
    </w:p>
    <w:p w14:paraId="046C907A"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The results show that the omnichannel model of Tesco is significant as its customers are shifting between online and offline touchpoints when making the same purchase. Online grocery shopping, mobile, Clubcard and click-and-collect enable customers to engage with Tesco across a variety of different platforms whilst all within the same retailing ecosystem. The usefulness of this model then is the extent to which these channels deliver a consistent experience and not merely the magnitude of the available number of options. This helps to affirm the idea of customer experience as building within the broader journey as opposed to individual transactions (Lemon and Verhoef, 2016). </w:t>
      </w:r>
    </w:p>
    <w:p w14:paraId="53EF3F22" w14:textId="77777777" w:rsidR="005B61D8" w:rsidRDefault="005B61D8" w:rsidP="00E97E84">
      <w:pPr>
        <w:spacing w:line="360" w:lineRule="auto"/>
        <w:jc w:val="both"/>
        <w:rPr>
          <w:rFonts w:ascii="Arial" w:hAnsi="Arial" w:cs="Arial"/>
          <w:lang w:val="en-AU" w:eastAsia="en-AU"/>
        </w:rPr>
      </w:pPr>
    </w:p>
    <w:p w14:paraId="1C55D8A4"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Integration of channels seems to be especially significant in terms of convenience of customers. Using physical stores to collect or another stage of the purchase process, the customers are able to search and order products digitally. According to new studies, an excellent channel integration will help to enhance the quality of customer experience through the omnichannel by diminishing friction across their touchpoints (Balbín Buckley et al., 2024). In the case of Tesco, it implies that the digital transformation is more powerful when online and bricks-and-mortar services are linked elements in the same customer experience.</w:t>
      </w:r>
    </w:p>
    <w:p w14:paraId="2464C487" w14:textId="77777777" w:rsidR="005B61D8" w:rsidRDefault="005B61D8" w:rsidP="00E97E84">
      <w:pPr>
        <w:spacing w:line="360" w:lineRule="auto"/>
        <w:jc w:val="both"/>
        <w:rPr>
          <w:rFonts w:ascii="Arial" w:hAnsi="Arial" w:cs="Arial"/>
          <w:lang w:val="en-AU" w:eastAsia="en-AU"/>
        </w:rPr>
      </w:pPr>
    </w:p>
    <w:p w14:paraId="48D42451" w14:textId="77777777" w:rsidR="005E385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Nonetheless, expansion into the omnichannel also brings more expectations. Less tolerates to inconsistent prices, incorrectly represented availability, technical issues or channel variations in service quality may be manifested in customers. As a result, the very digital infrastructure which makes life more convenient can be the source of dissatisfaction in the situations when integration does not take place. The results thereby </w:t>
      </w:r>
      <w:r w:rsidRPr="00AA2637">
        <w:rPr>
          <w:rFonts w:ascii="Arial" w:hAnsi="Arial" w:cs="Arial"/>
          <w:lang w:val="en-AU" w:eastAsia="en-AU"/>
        </w:rPr>
        <w:lastRenderedPageBreak/>
        <w:t>indicate that the competitive benefits that Tesco is enjoying is not just in the number of channels that are available but in the process of rendering the channels to be coherent, reliable and easy to use. This renders the aspect of omnichannel integration to be a factor that can be added to digital transformation to bring about satisfaction and, indirectly, customer loyalty in the long-term.</w:t>
      </w:r>
    </w:p>
    <w:p w14:paraId="0D8216E3" w14:textId="77777777" w:rsidR="00E97E84" w:rsidRPr="00E97E84" w:rsidRDefault="00000000" w:rsidP="005E3857">
      <w:pPr>
        <w:spacing w:before="240" w:after="240"/>
        <w:outlineLvl w:val="1"/>
        <w:rPr>
          <w:rFonts w:ascii="Arial" w:hAnsi="Arial"/>
          <w:color w:val="000000"/>
          <w:sz w:val="28"/>
          <w:szCs w:val="26"/>
          <w:lang w:val="en-IN" w:eastAsia="en-AU"/>
        </w:rPr>
      </w:pPr>
      <w:bookmarkStart w:id="71" w:name="_Toc237189249"/>
      <w:bookmarkStart w:id="72" w:name="_Toc238670400"/>
      <w:r w:rsidRPr="00E97E84">
        <w:rPr>
          <w:rFonts w:ascii="Arial" w:hAnsi="Arial"/>
          <w:color w:val="000000"/>
          <w:sz w:val="28"/>
          <w:szCs w:val="26"/>
          <w:lang w:val="en-IN" w:eastAsia="en-AU"/>
        </w:rPr>
        <w:t>4.8 Trust, Privacy and Personalisation</w:t>
      </w:r>
      <w:bookmarkEnd w:id="71"/>
      <w:bookmarkEnd w:id="72"/>
    </w:p>
    <w:p w14:paraId="52B4C5AD"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The results have shown that one of the best methods by which Tesco can translate customer data into perceived value is personalisation. Clubcard helps Tesco to track the buying behaviour and offer more personalized offers to customers. Nonetheless, personalisation is subject to the worth of the perception that customers hold about the exchange of their information as fair and valuable. Personalisation can thus serve to reinforce the relationship in a high relevance but might fail to maximize its effectiveness where customers feel that data use is extreme or intrusive (Aguirre et al., 2015). </w:t>
      </w:r>
    </w:p>
    <w:p w14:paraId="7C105510" w14:textId="77777777" w:rsidR="005B61D8" w:rsidRDefault="005B61D8" w:rsidP="00E97E84">
      <w:pPr>
        <w:spacing w:line="360" w:lineRule="auto"/>
        <w:jc w:val="both"/>
        <w:rPr>
          <w:rFonts w:ascii="Arial" w:hAnsi="Arial" w:cs="Arial"/>
          <w:lang w:val="en-AU" w:eastAsia="en-AU"/>
        </w:rPr>
      </w:pPr>
    </w:p>
    <w:p w14:paraId="199C3123"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Trust is thus a significant requirement in continuing to enjoy the positive attributes of Tesco data-driven strategy. Customers must have the assurance that their data are utilized with care and that customized communications are real value-generation and not mere promotions to spend money. This poses a conflict between the capability of Tesco to make the marketing more accurate and the expectation of the customer towards privacy and transparency. Martin and Murphy (2017) also note that data privacy has come to the forefront of new marketing relationships.</w:t>
      </w:r>
    </w:p>
    <w:p w14:paraId="1815DBF7" w14:textId="77777777" w:rsidR="00E97E84" w:rsidRPr="00E97E84" w:rsidRDefault="00000000" w:rsidP="00E97E84">
      <w:pPr>
        <w:spacing w:line="360" w:lineRule="auto"/>
        <w:jc w:val="both"/>
        <w:rPr>
          <w:rFonts w:ascii="Arial" w:hAnsi="Arial" w:cs="Arial"/>
          <w:lang w:val="en-IN" w:eastAsia="en-AU"/>
        </w:rPr>
      </w:pPr>
      <w:r w:rsidRPr="00E97E84">
        <w:rPr>
          <w:rFonts w:ascii="Arial" w:hAnsi="Arial" w:cs="Arial"/>
          <w:lang w:val="en-IN" w:eastAsia="en-AU"/>
        </w:rPr>
        <w:t>.</w:t>
      </w:r>
    </w:p>
    <w:p w14:paraId="19A45AD0"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The analysis thus indicates that Tesco ought not to measure personalisation based on increased activity or purchases. A more sustainable practice necessitates a balance between commercial utilization of customer data and transparency, relevance and customer control. In case this balance is attained, personalisation can enhance perceived value and quality of relationships; otherwise, the same potential can be used against trust and diminish loyalty. The critical implication is that the customer data will only be a loyalty asset when customers believe that the data exchange is valuable, appropriate and trustworthy.</w:t>
      </w:r>
    </w:p>
    <w:p w14:paraId="513CAD5C" w14:textId="77777777" w:rsidR="00E97E84" w:rsidRPr="00E97E84" w:rsidRDefault="00000000" w:rsidP="005E3857">
      <w:pPr>
        <w:spacing w:before="240" w:after="240"/>
        <w:outlineLvl w:val="1"/>
        <w:rPr>
          <w:rFonts w:ascii="Arial" w:hAnsi="Arial"/>
          <w:color w:val="000000"/>
          <w:sz w:val="28"/>
          <w:szCs w:val="26"/>
          <w:lang w:val="en-IN" w:eastAsia="en-AU"/>
        </w:rPr>
      </w:pPr>
      <w:bookmarkStart w:id="73" w:name="_Toc237189250"/>
      <w:bookmarkStart w:id="74" w:name="_Toc238670401"/>
      <w:r w:rsidRPr="00E97E84">
        <w:rPr>
          <w:rFonts w:ascii="Arial" w:hAnsi="Arial"/>
          <w:color w:val="000000"/>
          <w:sz w:val="28"/>
          <w:szCs w:val="26"/>
          <w:lang w:val="en-IN" w:eastAsia="en-AU"/>
        </w:rPr>
        <w:lastRenderedPageBreak/>
        <w:t>4.9 Critical Discussion and Synthesis</w:t>
      </w:r>
      <w:bookmarkEnd w:id="73"/>
      <w:bookmarkEnd w:id="74"/>
    </w:p>
    <w:p w14:paraId="1FD38D6C"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 xml:space="preserve">Combined, the results imply that the digital transformation of Tesco is </w:t>
      </w:r>
      <w:r w:rsidR="005E3857" w:rsidRPr="00AA2637">
        <w:rPr>
          <w:rFonts w:ascii="Arial" w:hAnsi="Arial" w:cs="Arial"/>
          <w:lang w:val="en-AU" w:eastAsia="en-AU"/>
        </w:rPr>
        <w:t>positively but</w:t>
      </w:r>
      <w:r w:rsidRPr="00AA2637">
        <w:rPr>
          <w:rFonts w:ascii="Arial" w:hAnsi="Arial" w:cs="Arial"/>
          <w:lang w:val="en-AU" w:eastAsia="en-AU"/>
        </w:rPr>
        <w:t xml:space="preserve"> contingently correlated with the customer loyalty. There is no evidence to support a linear technology-loyalty relationship. Conversely, the digital capabilities seem to have an impact on loyalty via the medium results including convenience, satisfaction, engagement and perceived value. This is overall in line with the existing literature, but the example of Tesco suggests that these consequences should act in concert to generate more significant relationship effects (Reinartz et al., 2019). </w:t>
      </w:r>
    </w:p>
    <w:p w14:paraId="11E52A66" w14:textId="77777777" w:rsidR="005B61D8" w:rsidRDefault="005B61D8" w:rsidP="00E97E84">
      <w:pPr>
        <w:spacing w:line="360" w:lineRule="auto"/>
        <w:jc w:val="both"/>
        <w:rPr>
          <w:rFonts w:ascii="Arial" w:hAnsi="Arial" w:cs="Arial"/>
          <w:lang w:val="en-AU" w:eastAsia="en-AU"/>
        </w:rPr>
      </w:pPr>
    </w:p>
    <w:p w14:paraId="1F984D72" w14:textId="77777777" w:rsidR="00AA2637" w:rsidRDefault="00000000" w:rsidP="00E97E84">
      <w:pPr>
        <w:spacing w:line="360" w:lineRule="auto"/>
        <w:jc w:val="both"/>
        <w:rPr>
          <w:rFonts w:ascii="Arial" w:hAnsi="Arial" w:cs="Arial"/>
          <w:lang w:val="en-AU" w:eastAsia="en-AU"/>
        </w:rPr>
      </w:pPr>
      <w:r w:rsidRPr="00AA2637">
        <w:rPr>
          <w:rFonts w:ascii="Arial" w:hAnsi="Arial" w:cs="Arial"/>
          <w:lang w:val="en-AU" w:eastAsia="en-AU"/>
        </w:rPr>
        <w:t>One of the important findings is that customer experience serves as the mediating factor between digital and loyalty capabilities. Tesco can generate value by making its online services and omnichannel infrastructure make interactions more relevant and less work. Nevertheless, according to the latest omnichannel studies, the quality of integration matters when it comes to the actual experience of the customers regarding the benefits (Mukhopadhyay et al., 2024). This implies that, to a customer who experiences discontinuous or disintegrated service, technological investment has little strategic importance.</w:t>
      </w:r>
    </w:p>
    <w:p w14:paraId="30DFBF58" w14:textId="77777777" w:rsidR="005B61D8" w:rsidRDefault="005B61D8" w:rsidP="00E97E84">
      <w:pPr>
        <w:spacing w:line="360" w:lineRule="auto"/>
        <w:jc w:val="both"/>
        <w:rPr>
          <w:rFonts w:ascii="Arial" w:hAnsi="Arial" w:cs="Arial"/>
          <w:lang w:val="en-AU" w:eastAsia="en-AU"/>
        </w:rPr>
      </w:pPr>
    </w:p>
    <w:p w14:paraId="12BC5DE6" w14:textId="77777777" w:rsidR="00DA4113" w:rsidRDefault="00000000" w:rsidP="00E97E84">
      <w:pPr>
        <w:spacing w:line="360" w:lineRule="auto"/>
        <w:jc w:val="both"/>
        <w:rPr>
          <w:rFonts w:ascii="Arial" w:hAnsi="Arial" w:cs="Arial"/>
          <w:lang w:val="en-AU" w:eastAsia="en-AU"/>
        </w:rPr>
      </w:pPr>
      <w:r w:rsidRPr="00DA4113">
        <w:rPr>
          <w:rFonts w:ascii="Arial" w:hAnsi="Arial" w:cs="Arial"/>
          <w:lang w:val="en-AU" w:eastAsia="en-AU"/>
        </w:rPr>
        <w:t xml:space="preserve">The findings also reveal a tension between personalisation and trust. The increased access to customer data will enable Tesco to offer more relevant offers, yet the same can raise questions about privacy and over targeting. Consequently, the commercial efficiency of personalisation is conditioned in part by the perception of the data exchange as the beneficial and appropriate one by customers. This builds on the previous body of literature in that loyalty is not merely a by-product of more positive digital experiences; it also relies on the willingness of customers to have trust in the processes by which positive experiences are generated. </w:t>
      </w:r>
    </w:p>
    <w:p w14:paraId="5F6B0C9B" w14:textId="77777777" w:rsidR="005B61D8" w:rsidRDefault="005B61D8" w:rsidP="00E97E84">
      <w:pPr>
        <w:spacing w:line="360" w:lineRule="auto"/>
        <w:jc w:val="both"/>
        <w:rPr>
          <w:rFonts w:ascii="Arial" w:hAnsi="Arial" w:cs="Arial"/>
          <w:lang w:val="en-AU" w:eastAsia="en-AU"/>
        </w:rPr>
      </w:pPr>
    </w:p>
    <w:p w14:paraId="28CF7E29" w14:textId="77777777" w:rsidR="00DA4113" w:rsidRDefault="00000000" w:rsidP="00E97E84">
      <w:pPr>
        <w:spacing w:line="360" w:lineRule="auto"/>
        <w:jc w:val="both"/>
        <w:rPr>
          <w:rFonts w:ascii="Arial" w:hAnsi="Arial" w:cs="Arial"/>
          <w:lang w:val="en-AU" w:eastAsia="en-AU"/>
        </w:rPr>
      </w:pPr>
      <w:r w:rsidRPr="00DA4113">
        <w:rPr>
          <w:rFonts w:ascii="Arial" w:hAnsi="Arial" w:cs="Arial"/>
          <w:lang w:val="en-AU" w:eastAsia="en-AU"/>
        </w:rPr>
        <w:t xml:space="preserve">Overall, the analysis has shown that Tesco creates the greatest source of digital advantage not by technology, but by integrating technology with value creation based on customers. Digital transformation has the potential to build loyalty when it creates convenient, relevant, integrated and trustful experiences. On the other hand, technology </w:t>
      </w:r>
      <w:r w:rsidRPr="00DA4113">
        <w:rPr>
          <w:rFonts w:ascii="Arial" w:hAnsi="Arial" w:cs="Arial"/>
          <w:lang w:val="en-AU" w:eastAsia="en-AU"/>
        </w:rPr>
        <w:lastRenderedPageBreak/>
        <w:t>that makes things more complicated, less human-friendly or privacy-related could decrease the very quality of relations it is supposed to enhance.</w:t>
      </w:r>
    </w:p>
    <w:p w14:paraId="3B27BB4B" w14:textId="77777777" w:rsidR="0086322F" w:rsidRDefault="00000000" w:rsidP="00E97E84">
      <w:pPr>
        <w:spacing w:line="360" w:lineRule="auto"/>
        <w:jc w:val="both"/>
        <w:rPr>
          <w:rFonts w:ascii="Arial" w:hAnsi="Arial" w:cs="Arial"/>
          <w:lang w:val="en-IN" w:eastAsia="en-AU"/>
        </w:rPr>
      </w:pPr>
      <w:r>
        <w:rPr>
          <w:rFonts w:ascii="Arial" w:hAnsi="Arial" w:cs="Arial"/>
          <w:noProof/>
          <w:lang w:val="en-IN"/>
        </w:rPr>
        <w:drawing>
          <wp:inline distT="0" distB="0" distL="0" distR="0" wp14:anchorId="3F2ED218" wp14:editId="023EADF3">
            <wp:extent cx="5943600" cy="2990850"/>
            <wp:effectExtent l="0" t="0" r="0" b="0"/>
            <wp:docPr id="196892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9236" name="Picture 19689236"/>
                    <pic:cNvPicPr/>
                  </pic:nvPicPr>
                  <pic:blipFill>
                    <a:blip r:embed="rId12" cstate="print">
                      <a:extLst>
                        <a:ext uri="{28A0092B-C50C-407E-A947-70E740481C1C}">
                          <a14:useLocalDpi xmlns:a14="http://schemas.microsoft.com/office/drawing/2010/main" val="0"/>
                        </a:ext>
                      </a:extLst>
                    </a:blip>
                    <a:srcRect b="24519"/>
                    <a:stretch>
                      <a:fillRect/>
                    </a:stretch>
                  </pic:blipFill>
                  <pic:spPr bwMode="auto">
                    <a:xfrm>
                      <a:off x="0" y="0"/>
                      <a:ext cx="5943600" cy="2990850"/>
                    </a:xfrm>
                    <a:prstGeom prst="rect">
                      <a:avLst/>
                    </a:prstGeom>
                    <a:ln>
                      <a:noFill/>
                    </a:ln>
                    <a:extLst>
                      <a:ext uri="{53640926-AAD7-44D8-BBD7-CCE9431645EC}">
                        <a14:shadowObscured xmlns:a14="http://schemas.microsoft.com/office/drawing/2010/main"/>
                      </a:ext>
                    </a:extLst>
                  </pic:spPr>
                </pic:pic>
              </a:graphicData>
            </a:graphic>
          </wp:inline>
        </w:drawing>
      </w:r>
    </w:p>
    <w:p w14:paraId="7E490243" w14:textId="77777777" w:rsidR="0086322F" w:rsidRDefault="00000000" w:rsidP="00E97E84">
      <w:pPr>
        <w:spacing w:line="360" w:lineRule="auto"/>
        <w:jc w:val="both"/>
        <w:rPr>
          <w:rFonts w:ascii="Arial" w:hAnsi="Arial" w:cs="Arial"/>
          <w:lang w:val="en-AU" w:eastAsia="en-AU"/>
        </w:rPr>
      </w:pPr>
      <w:r w:rsidRPr="0086322F">
        <w:rPr>
          <w:rFonts w:ascii="Arial" w:hAnsi="Arial" w:cs="Arial"/>
          <w:lang w:val="en-AU" w:eastAsia="en-AU"/>
        </w:rPr>
        <w:t>Figure 4.2: Digital Transformation–Customer Loyalty Relationship</w:t>
      </w:r>
    </w:p>
    <w:p w14:paraId="51E8B242" w14:textId="77777777" w:rsidR="0070300A" w:rsidRDefault="0070300A" w:rsidP="00E97E84">
      <w:pPr>
        <w:spacing w:line="360" w:lineRule="auto"/>
        <w:jc w:val="both"/>
        <w:rPr>
          <w:rFonts w:ascii="Arial" w:hAnsi="Arial" w:cs="Arial"/>
          <w:lang w:val="en-AU" w:eastAsia="en-AU"/>
        </w:rPr>
      </w:pPr>
    </w:p>
    <w:p w14:paraId="670B79CC" w14:textId="77777777" w:rsidR="005B61D8" w:rsidRDefault="00000000" w:rsidP="00E97E84">
      <w:pPr>
        <w:spacing w:line="360" w:lineRule="auto"/>
        <w:jc w:val="both"/>
        <w:rPr>
          <w:rFonts w:ascii="Arial" w:hAnsi="Arial" w:cs="Arial"/>
          <w:lang w:val="en-AU" w:eastAsia="en-AU"/>
        </w:rPr>
      </w:pPr>
      <w:r w:rsidRPr="0070300A">
        <w:rPr>
          <w:rFonts w:ascii="Arial" w:hAnsi="Arial" w:cs="Arial"/>
          <w:lang w:val="en-AU" w:eastAsia="en-AU"/>
        </w:rPr>
        <w:t xml:space="preserve">Another critical interpretation is that digital transformation at Tesco has the potential to generate both switching resistance and switching flexibility. Clubcard benefits, tailored deals and encounters with the digital world of Tesco can add to the perceived benefits of staying with the retailer. Nevertheless, digital platforms also lower the costs of search and comparison, so the customers can more easily compare competing retailers. This poses a strategic paradox as the same technology that leverages the relationship of Tesco with the current customers could equally bring alternative offers into the limelight of view and accessibility. </w:t>
      </w:r>
    </w:p>
    <w:p w14:paraId="3E4C6F8F" w14:textId="77777777" w:rsidR="005B61D8" w:rsidRDefault="005B61D8" w:rsidP="00E97E84">
      <w:pPr>
        <w:spacing w:line="360" w:lineRule="auto"/>
        <w:jc w:val="both"/>
        <w:rPr>
          <w:rFonts w:ascii="Arial" w:hAnsi="Arial" w:cs="Arial"/>
          <w:lang w:val="en-AU" w:eastAsia="en-AU"/>
        </w:rPr>
      </w:pPr>
    </w:p>
    <w:p w14:paraId="1560A2BC" w14:textId="77777777" w:rsidR="0070300A" w:rsidRPr="003B0292" w:rsidRDefault="00000000" w:rsidP="00E97E84">
      <w:pPr>
        <w:spacing w:line="360" w:lineRule="auto"/>
        <w:jc w:val="both"/>
        <w:rPr>
          <w:rFonts w:ascii="Arial" w:hAnsi="Arial" w:cs="Arial"/>
          <w:lang w:val="en-AU" w:eastAsia="en-AU"/>
        </w:rPr>
      </w:pPr>
      <w:r w:rsidRPr="0070300A">
        <w:rPr>
          <w:rFonts w:ascii="Arial" w:hAnsi="Arial" w:cs="Arial"/>
          <w:lang w:val="en-AU" w:eastAsia="en-AU"/>
        </w:rPr>
        <w:t xml:space="preserve">Thus, digital interaction cannot be considered a barrier to switching, especially in a very competitive grocery market. It implies that Tesco can leverage its digital edge by the constant provision of higher customer value, as opposed to technological implementation. The customers might stay due to the convenience of digital services and personalisation, yet they might become less unique as other retailers will learn to do so. The strategic issue is then how to integrate Clubcard data, omnichannel integration and individualised </w:t>
      </w:r>
      <w:r w:rsidRPr="0070300A">
        <w:rPr>
          <w:rFonts w:ascii="Arial" w:hAnsi="Arial" w:cs="Arial"/>
          <w:lang w:val="en-AU" w:eastAsia="en-AU"/>
        </w:rPr>
        <w:lastRenderedPageBreak/>
        <w:t>engagement in a manner that is hard to copy and always valuable to the customer. This is in keeping with Singh (2019) who demonstrates that the quality of online grocery experiences can determine customer loyalty and switching loyalty. Tesco therefore needs to translate the digital engagement into more of relationship value as opposed to usage frequency as a sign of loyalty.</w:t>
      </w:r>
    </w:p>
    <w:p w14:paraId="374FBB59" w14:textId="77777777" w:rsidR="00E97E84" w:rsidRPr="00E97E84" w:rsidRDefault="00000000" w:rsidP="005E3857">
      <w:pPr>
        <w:spacing w:before="240" w:after="240"/>
        <w:outlineLvl w:val="1"/>
        <w:rPr>
          <w:rFonts w:ascii="Arial" w:hAnsi="Arial"/>
          <w:color w:val="000000"/>
          <w:sz w:val="28"/>
          <w:szCs w:val="26"/>
          <w:lang w:val="en-IN" w:eastAsia="en-AU"/>
        </w:rPr>
      </w:pPr>
      <w:bookmarkStart w:id="75" w:name="_Toc237189251"/>
      <w:bookmarkStart w:id="76" w:name="_Toc238670402"/>
      <w:r w:rsidRPr="00E97E84">
        <w:rPr>
          <w:rFonts w:ascii="Arial" w:hAnsi="Arial"/>
          <w:color w:val="000000"/>
          <w:sz w:val="28"/>
          <w:szCs w:val="26"/>
          <w:lang w:val="en-IN" w:eastAsia="en-AU"/>
        </w:rPr>
        <w:t>4.10 Findings Against Research Questions</w:t>
      </w:r>
      <w:bookmarkEnd w:id="75"/>
      <w:bookmarkEnd w:id="76"/>
    </w:p>
    <w:p w14:paraId="08D30FE4" w14:textId="77777777" w:rsidR="00A07DD4" w:rsidRDefault="00000000" w:rsidP="00E97E84">
      <w:pPr>
        <w:spacing w:line="360" w:lineRule="auto"/>
        <w:jc w:val="both"/>
        <w:rPr>
          <w:rFonts w:ascii="Arial" w:hAnsi="Arial" w:cs="Arial"/>
          <w:lang w:val="en-AU" w:eastAsia="en-AU"/>
        </w:rPr>
      </w:pPr>
      <w:r w:rsidRPr="00A07DD4">
        <w:rPr>
          <w:rFonts w:ascii="Arial" w:hAnsi="Arial" w:cs="Arial"/>
          <w:lang w:val="en-AU" w:eastAsia="en-AU"/>
        </w:rPr>
        <w:t>The results give a very definite answer to each of the three research questions. RQ1 is discussed with references to the integrated use of Clubcard, online grocery services, mobile applications, click-and-collect and customer analytics utilized by Tesco. RQ2 is answered by the fact that the initiatives can enhance convenient, satisfaction and engagement as they may lead to loyalty in case of a sustained service and perceived value. The need to enhance channel integration, personalisation (personal responsibility) and customer trust and relationship-oriented digital engagement addresses RQ3. All in all, the results show that Tesco can leverage digital transformation to enhance loyalty, although its success hinges on the success of converting technology to both long-term customer value and relationship quality.</w:t>
      </w:r>
    </w:p>
    <w:p w14:paraId="2415470A" w14:textId="77777777" w:rsidR="0070300A" w:rsidRDefault="00000000" w:rsidP="00E97E84">
      <w:pPr>
        <w:spacing w:line="360" w:lineRule="auto"/>
        <w:jc w:val="both"/>
        <w:rPr>
          <w:rFonts w:ascii="Arial" w:hAnsi="Arial" w:cs="Arial"/>
          <w:lang w:val="en-AU" w:eastAsia="en-AU"/>
        </w:rPr>
      </w:pPr>
      <w:r w:rsidRPr="0070300A">
        <w:rPr>
          <w:rFonts w:ascii="Arial" w:hAnsi="Arial" w:cs="Arial"/>
          <w:lang w:val="en-AU" w:eastAsia="en-AU"/>
        </w:rPr>
        <w:t xml:space="preserve">An important condition is that the results have a higher level of evidence on the relationship between digital transformation and loyalty than causation impact. Analysis reveals that digital capabilities provide grounds that could make customers loyal by satisfying, engaging, being convenient and perceiving value but the customers might also act on the price, availability of goods and services quality. Thus, the results cannot be viewed as proving that the digital transformation </w:t>
      </w:r>
      <w:r w:rsidR="004F521F" w:rsidRPr="0070300A">
        <w:rPr>
          <w:rFonts w:ascii="Arial" w:hAnsi="Arial" w:cs="Arial"/>
          <w:lang w:val="en-AU" w:eastAsia="en-AU"/>
        </w:rPr>
        <w:t>determines</w:t>
      </w:r>
      <w:r w:rsidRPr="0070300A">
        <w:rPr>
          <w:rFonts w:ascii="Arial" w:hAnsi="Arial" w:cs="Arial"/>
          <w:lang w:val="en-AU" w:eastAsia="en-AU"/>
        </w:rPr>
        <w:t xml:space="preserve"> the loyalty. Rather, it seems that digital transformation is a potential enabling capability the success of which relies on the degree to which Tesco integrates technology with the overall customer value and relationship management.</w:t>
      </w:r>
    </w:p>
    <w:p w14:paraId="5F5320B9" w14:textId="77777777" w:rsidR="00E97E84" w:rsidRPr="00E97E84" w:rsidRDefault="00000000" w:rsidP="005E3857">
      <w:pPr>
        <w:spacing w:before="240" w:after="240"/>
        <w:outlineLvl w:val="1"/>
        <w:rPr>
          <w:rFonts w:ascii="Arial" w:hAnsi="Arial"/>
          <w:color w:val="000000"/>
          <w:sz w:val="28"/>
          <w:szCs w:val="26"/>
          <w:lang w:val="en-IN" w:eastAsia="en-AU"/>
        </w:rPr>
      </w:pPr>
      <w:bookmarkStart w:id="77" w:name="_Toc237189252"/>
      <w:bookmarkStart w:id="78" w:name="_Toc238670403"/>
      <w:r w:rsidRPr="00E97E84">
        <w:rPr>
          <w:rFonts w:ascii="Arial" w:hAnsi="Arial"/>
          <w:color w:val="000000"/>
          <w:sz w:val="28"/>
          <w:szCs w:val="26"/>
          <w:lang w:val="en-IN" w:eastAsia="en-AU"/>
        </w:rPr>
        <w:t>4.11 Chapter Summary</w:t>
      </w:r>
      <w:bookmarkEnd w:id="77"/>
      <w:bookmarkEnd w:id="78"/>
    </w:p>
    <w:p w14:paraId="131B4E19" w14:textId="77777777" w:rsidR="003B0292" w:rsidRDefault="00000000" w:rsidP="00C769EF">
      <w:pPr>
        <w:spacing w:line="360" w:lineRule="auto"/>
        <w:jc w:val="both"/>
        <w:rPr>
          <w:rFonts w:ascii="Arial" w:hAnsi="Arial" w:cs="Arial"/>
          <w:lang w:val="en-AU" w:eastAsia="en-AU"/>
        </w:rPr>
      </w:pPr>
      <w:r w:rsidRPr="00A07DD4">
        <w:rPr>
          <w:rFonts w:ascii="Arial" w:hAnsi="Arial" w:cs="Arial"/>
          <w:lang w:val="en-AU" w:eastAsia="en-AU"/>
        </w:rPr>
        <w:t xml:space="preserve">This chapter discovered that the digital transformation of Tesco has the potential to enhance customer loyalty based on convenience, personalisation, engagement and integrated customer experiences. These are however conditional on service consistency, </w:t>
      </w:r>
      <w:r w:rsidRPr="00A07DD4">
        <w:rPr>
          <w:rFonts w:ascii="Arial" w:hAnsi="Arial" w:cs="Arial"/>
          <w:lang w:val="en-AU" w:eastAsia="en-AU"/>
        </w:rPr>
        <w:lastRenderedPageBreak/>
        <w:t>trust and perceived customer value. The results thus show that technology is not the source of loyalty, but it works based on how well Tesco exploits digital strengths to develop and maintain meaningful customer relationships.</w:t>
      </w:r>
    </w:p>
    <w:p w14:paraId="198FD659" w14:textId="77777777" w:rsidR="003B0292" w:rsidRDefault="003B0292" w:rsidP="00C769EF">
      <w:pPr>
        <w:spacing w:line="360" w:lineRule="auto"/>
        <w:jc w:val="both"/>
        <w:rPr>
          <w:rFonts w:ascii="Arial" w:hAnsi="Arial" w:cs="Arial"/>
          <w:lang w:val="en-AU" w:eastAsia="en-AU"/>
        </w:rPr>
      </w:pPr>
    </w:p>
    <w:p w14:paraId="3E1ECFD3" w14:textId="77777777" w:rsidR="008F3D51" w:rsidRPr="008F3D51" w:rsidRDefault="00000000" w:rsidP="000C28BD">
      <w:pPr>
        <w:spacing w:before="120" w:after="120"/>
        <w:jc w:val="center"/>
        <w:outlineLvl w:val="0"/>
        <w:rPr>
          <w:rFonts w:ascii="Arial" w:hAnsi="Arial"/>
          <w:b/>
          <w:color w:val="000000"/>
          <w:sz w:val="32"/>
          <w:szCs w:val="32"/>
          <w:lang w:val="en-IN" w:eastAsia="en-AU"/>
        </w:rPr>
      </w:pPr>
      <w:bookmarkStart w:id="79" w:name="_Toc237189253"/>
      <w:bookmarkStart w:id="80" w:name="_Toc238670404"/>
      <w:r w:rsidRPr="008F3D51">
        <w:rPr>
          <w:rFonts w:ascii="Arial" w:hAnsi="Arial"/>
          <w:b/>
          <w:color w:val="000000"/>
          <w:sz w:val="32"/>
          <w:szCs w:val="32"/>
          <w:lang w:val="en-IN" w:eastAsia="en-AU"/>
        </w:rPr>
        <w:t>Chapter 5: Conclusion and Recommendations</w:t>
      </w:r>
      <w:bookmarkEnd w:id="79"/>
      <w:bookmarkEnd w:id="80"/>
    </w:p>
    <w:p w14:paraId="3F17B409" w14:textId="77777777" w:rsidR="008F3D51" w:rsidRPr="008F3D51" w:rsidRDefault="00000000" w:rsidP="005E3857">
      <w:pPr>
        <w:spacing w:before="240" w:after="240"/>
        <w:outlineLvl w:val="1"/>
        <w:rPr>
          <w:rFonts w:ascii="Arial" w:hAnsi="Arial"/>
          <w:color w:val="000000"/>
          <w:sz w:val="28"/>
          <w:szCs w:val="26"/>
          <w:lang w:val="en-IN" w:eastAsia="en-AU"/>
        </w:rPr>
      </w:pPr>
      <w:bookmarkStart w:id="81" w:name="_Toc237189254"/>
      <w:bookmarkStart w:id="82" w:name="_Toc238670405"/>
      <w:r w:rsidRPr="008F3D51">
        <w:rPr>
          <w:rFonts w:ascii="Arial" w:hAnsi="Arial"/>
          <w:color w:val="000000"/>
          <w:sz w:val="28"/>
          <w:szCs w:val="26"/>
          <w:lang w:val="en-IN" w:eastAsia="en-AU"/>
        </w:rPr>
        <w:t>5.1 Introduction</w:t>
      </w:r>
      <w:bookmarkEnd w:id="81"/>
      <w:bookmarkEnd w:id="82"/>
    </w:p>
    <w:p w14:paraId="0B6283B5" w14:textId="77777777" w:rsidR="00A07DD4" w:rsidRDefault="00000000" w:rsidP="008F3D51">
      <w:pPr>
        <w:spacing w:line="360" w:lineRule="auto"/>
        <w:jc w:val="both"/>
        <w:rPr>
          <w:rFonts w:ascii="Arial" w:hAnsi="Arial" w:cs="Arial"/>
          <w:lang w:val="en-AU" w:eastAsia="en-AU"/>
        </w:rPr>
      </w:pPr>
      <w:r w:rsidRPr="00A07DD4">
        <w:rPr>
          <w:rFonts w:ascii="Arial" w:hAnsi="Arial" w:cs="Arial"/>
          <w:lang w:val="en-AU" w:eastAsia="en-AU"/>
        </w:rPr>
        <w:t>This chapter summarizes the entire research by assessing the general association between the digital transformation and customer loyalty at Tesco PLC. The results show that Tesco has the potential to use its digital capabilities to enhance customer satisfaction, engagement, and loyalty but the success of these capabilities is tied to the ability to integrate these capabilities in the overall customer relationship. The research thus does not suggest a naive intuition that the initiatives of technological investment automatically generate higher loyalty. Rather, digital transformation adds value through enhancing convenience, personalisation, service consistency and meaningful customer interaction. The chapter is a summary of the main conclusions, theoretical and managerial implications, and the recommendations, which directly address the findings. It also recognizes study limitations and possibilities of future research.</w:t>
      </w:r>
    </w:p>
    <w:p w14:paraId="5D636056" w14:textId="77777777" w:rsidR="008F3D51" w:rsidRPr="008F3D51" w:rsidRDefault="00000000" w:rsidP="005E3857">
      <w:pPr>
        <w:spacing w:before="240" w:after="240"/>
        <w:outlineLvl w:val="1"/>
        <w:rPr>
          <w:rFonts w:ascii="Arial" w:hAnsi="Arial"/>
          <w:color w:val="000000"/>
          <w:sz w:val="28"/>
          <w:szCs w:val="26"/>
          <w:lang w:val="en-IN" w:eastAsia="en-AU"/>
        </w:rPr>
      </w:pPr>
      <w:bookmarkStart w:id="83" w:name="_Toc237189255"/>
      <w:bookmarkStart w:id="84" w:name="_Toc238670406"/>
      <w:r w:rsidRPr="008F3D51">
        <w:rPr>
          <w:rFonts w:ascii="Arial" w:hAnsi="Arial"/>
          <w:color w:val="000000"/>
          <w:sz w:val="28"/>
          <w:szCs w:val="26"/>
          <w:lang w:val="en-IN" w:eastAsia="en-AU"/>
        </w:rPr>
        <w:t>5.2 Overall Conclusion and Key Findings</w:t>
      </w:r>
      <w:bookmarkEnd w:id="83"/>
      <w:bookmarkEnd w:id="84"/>
    </w:p>
    <w:p w14:paraId="4873BC2D" w14:textId="77777777" w:rsidR="00A07DD4" w:rsidRDefault="00000000" w:rsidP="008F3D51">
      <w:pPr>
        <w:spacing w:line="360" w:lineRule="auto"/>
        <w:jc w:val="both"/>
        <w:rPr>
          <w:rFonts w:ascii="Arial" w:hAnsi="Arial" w:cs="Arial"/>
          <w:lang w:val="en-AU" w:eastAsia="en-AU"/>
        </w:rPr>
      </w:pPr>
      <w:r w:rsidRPr="00A07DD4">
        <w:rPr>
          <w:rFonts w:ascii="Arial" w:hAnsi="Arial" w:cs="Arial"/>
          <w:lang w:val="en-AU" w:eastAsia="en-AU"/>
        </w:rPr>
        <w:t xml:space="preserve">The paper </w:t>
      </w:r>
      <w:r w:rsidR="003B0292" w:rsidRPr="00A07DD4">
        <w:rPr>
          <w:rFonts w:ascii="Arial" w:hAnsi="Arial" w:cs="Arial"/>
          <w:lang w:val="en-AU" w:eastAsia="en-AU"/>
        </w:rPr>
        <w:t>concludes</w:t>
      </w:r>
      <w:r w:rsidRPr="00A07DD4">
        <w:rPr>
          <w:rFonts w:ascii="Arial" w:hAnsi="Arial" w:cs="Arial"/>
          <w:lang w:val="en-AU" w:eastAsia="en-AU"/>
        </w:rPr>
        <w:t xml:space="preserve"> that the digital transformation of Tesco can result in a stronger customer loyalty; nevertheless, it is not a direct and automatic interrelation. The capabilities that can be used to enhance the customer experience are offered by Tesco through its ecosystem of Clubcards, online grocery services, mobile apps, click-and-collect and customer analytics. Their value to loyalty is however subject to their perception by the customers to be able to provide continuing value. The observation allows advancing the idea that the digital transformation needs to be measured based on the customer outcomes that it generates instead of the complexity of technologies used (Reinartz et al., 2019). </w:t>
      </w:r>
    </w:p>
    <w:p w14:paraId="1B06EAA2" w14:textId="77777777" w:rsidR="005B61D8" w:rsidRDefault="005B61D8" w:rsidP="008F3D51">
      <w:pPr>
        <w:spacing w:line="360" w:lineRule="auto"/>
        <w:jc w:val="both"/>
        <w:rPr>
          <w:rFonts w:ascii="Arial" w:hAnsi="Arial" w:cs="Arial"/>
          <w:lang w:val="en-AU" w:eastAsia="en-AU"/>
        </w:rPr>
      </w:pPr>
    </w:p>
    <w:p w14:paraId="73640BFC" w14:textId="77777777" w:rsidR="00A07DD4" w:rsidRDefault="00000000" w:rsidP="008F3D51">
      <w:pPr>
        <w:spacing w:line="360" w:lineRule="auto"/>
        <w:jc w:val="both"/>
        <w:rPr>
          <w:rFonts w:ascii="Arial" w:hAnsi="Arial" w:cs="Arial"/>
          <w:lang w:val="en-AU" w:eastAsia="en-AU"/>
        </w:rPr>
      </w:pPr>
      <w:r w:rsidRPr="00A07DD4">
        <w:rPr>
          <w:rFonts w:ascii="Arial" w:hAnsi="Arial" w:cs="Arial"/>
          <w:lang w:val="en-AU" w:eastAsia="en-AU"/>
        </w:rPr>
        <w:lastRenderedPageBreak/>
        <w:t>Customer satisfaction was one of the significant value-creating mechanisms that the digital transformation brings about. Mobile services and click-and-collect as well as online shopping can decrease customer effort and offer them more flexibility in regular grocery shopping. However, it is a weak point in terms of satisfaction in situations where technology does not bring the desired service outcome. Convenience generated by digital services can easily be negated by delivery issues, inaccurate availability, technical issues or inconsistent channel experiences. Tesco must thus be aware that digital convenience is useful only with the back-up of sound underlining service quality.</w:t>
      </w:r>
    </w:p>
    <w:p w14:paraId="602CB928" w14:textId="77777777" w:rsidR="005B61D8" w:rsidRDefault="005B61D8" w:rsidP="008F3D51">
      <w:pPr>
        <w:spacing w:line="360" w:lineRule="auto"/>
        <w:jc w:val="both"/>
        <w:rPr>
          <w:rFonts w:ascii="Arial" w:hAnsi="Arial" w:cs="Arial"/>
          <w:lang w:val="en-AU" w:eastAsia="en-AU"/>
        </w:rPr>
      </w:pPr>
    </w:p>
    <w:p w14:paraId="2EC8220D" w14:textId="77777777" w:rsidR="00A07DD4" w:rsidRDefault="00000000" w:rsidP="008F3D51">
      <w:pPr>
        <w:spacing w:line="360" w:lineRule="auto"/>
        <w:jc w:val="both"/>
        <w:rPr>
          <w:rFonts w:ascii="Arial" w:hAnsi="Arial" w:cs="Arial"/>
          <w:lang w:val="en-AU" w:eastAsia="en-AU"/>
        </w:rPr>
      </w:pPr>
      <w:r w:rsidRPr="00A07DD4">
        <w:rPr>
          <w:rFonts w:ascii="Arial" w:hAnsi="Arial" w:cs="Arial"/>
          <w:lang w:val="en-AU" w:eastAsia="en-AU"/>
        </w:rPr>
        <w:t xml:space="preserve">The results also mean that customer interaction is a significant customer contact point between digital communication and loyalty. Personalization of clubcards and mobile services give Tesco recurring chances to engage with customers on a more personal level than on a transaction-to-transaction basis. Nevertheless, the common contact is not necessarily to be understood as high relationship commitment. Tesco customers can continue using the services of the firm due to its convenient nature although they can switch over to competitors who offer a better price. The Tesco dilemma is therefore to change recurrent digital contact to benefitable relationship worth as opposed to the current attitude of measuring a transaction frequency or frequency of repetition as loyalty indicators. </w:t>
      </w:r>
    </w:p>
    <w:p w14:paraId="4ECF237D" w14:textId="77777777" w:rsidR="005B61D8" w:rsidRDefault="005B61D8" w:rsidP="008F3D51">
      <w:pPr>
        <w:spacing w:line="360" w:lineRule="auto"/>
        <w:jc w:val="both"/>
        <w:rPr>
          <w:rFonts w:ascii="Arial" w:hAnsi="Arial" w:cs="Arial"/>
          <w:lang w:val="en-AU" w:eastAsia="en-AU"/>
        </w:rPr>
      </w:pPr>
    </w:p>
    <w:p w14:paraId="7B915949" w14:textId="77777777" w:rsidR="00A07DD4" w:rsidRDefault="00000000" w:rsidP="008F3D51">
      <w:pPr>
        <w:spacing w:line="360" w:lineRule="auto"/>
        <w:jc w:val="both"/>
        <w:rPr>
          <w:rFonts w:ascii="Arial" w:hAnsi="Arial" w:cs="Arial"/>
          <w:lang w:val="en-AU" w:eastAsia="en-AU"/>
        </w:rPr>
      </w:pPr>
      <w:r w:rsidRPr="00A07DD4">
        <w:rPr>
          <w:rFonts w:ascii="Arial" w:hAnsi="Arial" w:cs="Arial"/>
          <w:lang w:val="en-AU" w:eastAsia="en-AU"/>
        </w:rPr>
        <w:t>Another conclusion is about the connection between individualisation and the trust. The availability of customer purchasing information by Tesco gives it significant potential to offer viable deals and enhance the sense of value. Meanwhile, the more personal data is used, the more significance the transparency and data management responsiveness has. Personalisation may hence emerge as a competitive advantage where the customers will realise that it has its advantages, and the exchange of the information will be seen as fair. When customers rather feel overwhelmed by targeting or loss of control of their information, the same will empty the trust, and loyalty.</w:t>
      </w:r>
    </w:p>
    <w:p w14:paraId="121B2E6C" w14:textId="77777777" w:rsidR="005B61D8" w:rsidRDefault="005B61D8" w:rsidP="008F3D51">
      <w:pPr>
        <w:spacing w:line="360" w:lineRule="auto"/>
        <w:jc w:val="both"/>
        <w:rPr>
          <w:rFonts w:ascii="Arial" w:hAnsi="Arial" w:cs="Arial"/>
          <w:lang w:val="en-AU" w:eastAsia="en-AU"/>
        </w:rPr>
      </w:pPr>
    </w:p>
    <w:p w14:paraId="37D0A41A" w14:textId="77777777" w:rsidR="003B0292" w:rsidRDefault="00000000" w:rsidP="008F3D51">
      <w:pPr>
        <w:spacing w:line="360" w:lineRule="auto"/>
        <w:jc w:val="both"/>
        <w:rPr>
          <w:rFonts w:ascii="Arial" w:hAnsi="Arial" w:cs="Arial"/>
          <w:lang w:val="en-AU" w:eastAsia="en-AU"/>
        </w:rPr>
      </w:pPr>
      <w:r w:rsidRPr="00A07DD4">
        <w:rPr>
          <w:rFonts w:ascii="Arial" w:hAnsi="Arial" w:cs="Arial"/>
          <w:lang w:val="en-AU" w:eastAsia="en-AU"/>
        </w:rPr>
        <w:t xml:space="preserve">In general, the research finds that the integration of technology, customer experience and relationship management is the strongest digital strength of Tesco. The infrastructure is </w:t>
      </w:r>
      <w:r w:rsidRPr="00A07DD4">
        <w:rPr>
          <w:rFonts w:ascii="Arial" w:hAnsi="Arial" w:cs="Arial"/>
          <w:lang w:val="en-AU" w:eastAsia="en-AU"/>
        </w:rPr>
        <w:lastRenderedPageBreak/>
        <w:t>provided by technology, but loyalty is tied to the ability to make the infrastructure useful, topical, consistent and dependable experiences. The conclusion is critical especially in a competitive grocery market where digital capabilities are becoming more prevalent among competing retailers. The long-term strength of Tesco thus lies not so much in digital technology ownership but rather in methods of applying it to the practices that the customers would still appreciate.</w:t>
      </w:r>
    </w:p>
    <w:p w14:paraId="5A343C21" w14:textId="77777777" w:rsidR="008F3D51" w:rsidRPr="008F3D51" w:rsidRDefault="00000000" w:rsidP="005E3857">
      <w:pPr>
        <w:spacing w:before="240" w:after="240"/>
        <w:outlineLvl w:val="1"/>
        <w:rPr>
          <w:rFonts w:ascii="Arial" w:hAnsi="Arial"/>
          <w:color w:val="000000"/>
          <w:sz w:val="28"/>
          <w:szCs w:val="26"/>
          <w:lang w:val="en-IN" w:eastAsia="en-AU"/>
        </w:rPr>
      </w:pPr>
      <w:bookmarkStart w:id="85" w:name="_Toc237189256"/>
      <w:bookmarkStart w:id="86" w:name="_Toc238670407"/>
      <w:r w:rsidRPr="008F3D51">
        <w:rPr>
          <w:rFonts w:ascii="Arial" w:hAnsi="Arial"/>
          <w:color w:val="000000"/>
          <w:sz w:val="28"/>
          <w:szCs w:val="26"/>
          <w:lang w:val="en-IN" w:eastAsia="en-AU"/>
        </w:rPr>
        <w:t>5.3 Conclusions Against Research Objectives</w:t>
      </w:r>
      <w:bookmarkEnd w:id="85"/>
      <w:bookmarkEnd w:id="86"/>
    </w:p>
    <w:p w14:paraId="20F3B128" w14:textId="77777777" w:rsidR="008F3D51" w:rsidRPr="008F3D51" w:rsidRDefault="00000000" w:rsidP="008F3D51">
      <w:pPr>
        <w:spacing w:line="360" w:lineRule="auto"/>
        <w:jc w:val="both"/>
        <w:rPr>
          <w:rFonts w:ascii="Arial" w:hAnsi="Arial" w:cs="Arial"/>
          <w:b/>
          <w:bCs/>
          <w:lang w:val="en-IN" w:eastAsia="en-AU"/>
        </w:rPr>
      </w:pPr>
      <w:r w:rsidRPr="008F3D51">
        <w:rPr>
          <w:rFonts w:ascii="Arial" w:hAnsi="Arial" w:cs="Arial"/>
          <w:b/>
          <w:bCs/>
          <w:lang w:val="en-IN" w:eastAsia="en-AU"/>
        </w:rPr>
        <w:t>Objective 1: To identify the key digital transformation initiatives implemented by Tesco PLC</w:t>
      </w:r>
    </w:p>
    <w:p w14:paraId="3FE005FA" w14:textId="77777777" w:rsidR="00A07DD4" w:rsidRDefault="00000000" w:rsidP="008F3D51">
      <w:pPr>
        <w:spacing w:line="360" w:lineRule="auto"/>
        <w:jc w:val="both"/>
        <w:rPr>
          <w:rFonts w:ascii="Arial" w:hAnsi="Arial" w:cs="Arial"/>
          <w:lang w:val="en-AU" w:eastAsia="en-AU"/>
        </w:rPr>
      </w:pPr>
      <w:r w:rsidRPr="00A07DD4">
        <w:rPr>
          <w:rFonts w:ascii="Arial" w:hAnsi="Arial" w:cs="Arial"/>
          <w:lang w:val="en-AU" w:eastAsia="en-AU"/>
        </w:rPr>
        <w:t>The initial goal was met by determining the core digital activities of Tesco in its Clubcard ecosystem, online grocery, mobile apps, click-and-collect and customer analytics. As the analysis shows, these initiatives cannot be considered in isolation since their value can be enhanced as they create networked components of the broader Tesco digital ecosystem. Clubcard is especially important as it relates both customer transactions to personalised engagement and gives Tesco information that can be used to make customer-focused decisions. The purpose is thus covered in the light of digital transformation being an interconnected ability as opposed to the compilation of technologies.</w:t>
      </w:r>
    </w:p>
    <w:p w14:paraId="10521560" w14:textId="77777777" w:rsidR="008F3D51" w:rsidRPr="008F3D51" w:rsidRDefault="00000000" w:rsidP="008F3D51">
      <w:pPr>
        <w:spacing w:line="360" w:lineRule="auto"/>
        <w:jc w:val="both"/>
        <w:rPr>
          <w:rFonts w:ascii="Arial" w:hAnsi="Arial" w:cs="Arial"/>
          <w:b/>
          <w:bCs/>
          <w:lang w:val="en-IN" w:eastAsia="en-AU"/>
        </w:rPr>
      </w:pPr>
      <w:r w:rsidRPr="008F3D51">
        <w:rPr>
          <w:rFonts w:ascii="Arial" w:hAnsi="Arial" w:cs="Arial"/>
          <w:b/>
          <w:bCs/>
          <w:lang w:val="en-IN" w:eastAsia="en-AU"/>
        </w:rPr>
        <w:t>Objective 2: To examine the impact of digital transformation on satisfaction, engagement and loyalty</w:t>
      </w:r>
    </w:p>
    <w:p w14:paraId="380AB747" w14:textId="77777777" w:rsidR="00A07DD4" w:rsidRDefault="00000000" w:rsidP="008F3D51">
      <w:pPr>
        <w:spacing w:line="360" w:lineRule="auto"/>
        <w:jc w:val="both"/>
        <w:rPr>
          <w:rFonts w:ascii="Arial" w:hAnsi="Arial" w:cs="Arial"/>
          <w:lang w:val="en-AU" w:eastAsia="en-AU"/>
        </w:rPr>
      </w:pPr>
      <w:r w:rsidRPr="00A07DD4">
        <w:rPr>
          <w:rFonts w:ascii="Arial" w:hAnsi="Arial" w:cs="Arial"/>
          <w:lang w:val="en-AU" w:eastAsia="en-AU"/>
        </w:rPr>
        <w:t>The second goal was sated by the discovery that digital transformation has the capability to enhance convenience, accessibility, personalisation and customer interaction. Nevertheless, the discussion shows that these results do not necessarily result in long-lasting loyalty. Happiness may lead to recommending and repeat use, whereas engagement may lead customers to interact with Tesco more, yet loyalty will come when customers see further value in the relationship. This difference is significant as digital technologies can both make Tesco more convenient and competitors easier to compare. The grand conclusion is, then, that digital transformation of Tesco will help to foster loyalty most effectively when satisfaction and engagement are translated into a wider notion of relationship value.</w:t>
      </w:r>
    </w:p>
    <w:p w14:paraId="0E25E980" w14:textId="77777777" w:rsidR="008F3D51" w:rsidRPr="008F3D51" w:rsidRDefault="00000000" w:rsidP="008F3D51">
      <w:pPr>
        <w:spacing w:line="360" w:lineRule="auto"/>
        <w:jc w:val="both"/>
        <w:rPr>
          <w:rFonts w:ascii="Arial" w:hAnsi="Arial" w:cs="Arial"/>
          <w:b/>
          <w:bCs/>
          <w:lang w:val="en-IN" w:eastAsia="en-AU"/>
        </w:rPr>
      </w:pPr>
      <w:r w:rsidRPr="008F3D51">
        <w:rPr>
          <w:rFonts w:ascii="Arial" w:hAnsi="Arial" w:cs="Arial"/>
          <w:b/>
          <w:bCs/>
          <w:lang w:val="en-IN" w:eastAsia="en-AU"/>
        </w:rPr>
        <w:lastRenderedPageBreak/>
        <w:t>Objective 3: To recommend strategies for enhancing customer loyalty through digital transformation</w:t>
      </w:r>
    </w:p>
    <w:p w14:paraId="5F7B8AA5" w14:textId="77777777" w:rsidR="00A07DD4" w:rsidRDefault="00000000" w:rsidP="008F3D51">
      <w:pPr>
        <w:spacing w:line="360" w:lineRule="auto"/>
        <w:jc w:val="both"/>
        <w:rPr>
          <w:rFonts w:ascii="Arial" w:hAnsi="Arial" w:cs="Arial"/>
          <w:lang w:val="en-AU" w:eastAsia="en-AU"/>
        </w:rPr>
      </w:pPr>
      <w:r w:rsidRPr="00A07DD4">
        <w:rPr>
          <w:rFonts w:ascii="Arial" w:hAnsi="Arial" w:cs="Arial"/>
          <w:lang w:val="en-AU" w:eastAsia="en-AU"/>
        </w:rPr>
        <w:t xml:space="preserve">The third goal is achieved by recommending </w:t>
      </w:r>
      <w:r w:rsidR="005E3857" w:rsidRPr="00A07DD4">
        <w:rPr>
          <w:rFonts w:ascii="Arial" w:hAnsi="Arial" w:cs="Arial"/>
          <w:lang w:val="en-AU" w:eastAsia="en-AU"/>
        </w:rPr>
        <w:t>enhancing</w:t>
      </w:r>
      <w:r w:rsidRPr="00A07DD4">
        <w:rPr>
          <w:rFonts w:ascii="Arial" w:hAnsi="Arial" w:cs="Arial"/>
          <w:lang w:val="en-AU" w:eastAsia="en-AU"/>
        </w:rPr>
        <w:t xml:space="preserve"> the quality, instead of merely expanding the scope of Tesco digital transformation. The results indicate that Tesco needs to focus more on the smooth integration of channels, accountable personalisation, enhanced data transparency, and balanced provision of both digital and human services. These priorities are a direct response to the limitations that are presented in the analysis. This goal is thus achieved by converting the findings into practical actions that will help to build long term relationships with the customers.</w:t>
      </w:r>
    </w:p>
    <w:p w14:paraId="2182D028" w14:textId="77777777" w:rsidR="008F3D51" w:rsidRPr="008F3D51" w:rsidRDefault="00000000" w:rsidP="005E3857">
      <w:pPr>
        <w:spacing w:before="240" w:after="240"/>
        <w:outlineLvl w:val="1"/>
        <w:rPr>
          <w:rFonts w:ascii="Arial" w:hAnsi="Arial"/>
          <w:color w:val="000000"/>
          <w:sz w:val="28"/>
          <w:szCs w:val="26"/>
          <w:lang w:val="en-IN" w:eastAsia="en-AU"/>
        </w:rPr>
      </w:pPr>
      <w:bookmarkStart w:id="87" w:name="_Toc237189257"/>
      <w:bookmarkStart w:id="88" w:name="_Toc238670408"/>
      <w:r w:rsidRPr="008F3D51">
        <w:rPr>
          <w:rFonts w:ascii="Arial" w:hAnsi="Arial"/>
          <w:color w:val="000000"/>
          <w:sz w:val="28"/>
          <w:szCs w:val="26"/>
          <w:lang w:val="en-IN" w:eastAsia="en-AU"/>
        </w:rPr>
        <w:t>5.4 Theoretical and Managerial Implications</w:t>
      </w:r>
      <w:bookmarkEnd w:id="87"/>
      <w:bookmarkEnd w:id="88"/>
    </w:p>
    <w:p w14:paraId="32785DCE" w14:textId="77777777" w:rsidR="00A07DD4" w:rsidRDefault="00000000" w:rsidP="008F3D51">
      <w:pPr>
        <w:spacing w:line="360" w:lineRule="auto"/>
        <w:jc w:val="both"/>
        <w:rPr>
          <w:rFonts w:ascii="Arial" w:hAnsi="Arial" w:cs="Arial"/>
          <w:lang w:val="en-AU" w:eastAsia="en-AU"/>
        </w:rPr>
      </w:pPr>
      <w:r w:rsidRPr="00A07DD4">
        <w:rPr>
          <w:rFonts w:ascii="Arial" w:hAnsi="Arial" w:cs="Arial"/>
          <w:lang w:val="en-AU" w:eastAsia="en-AU"/>
        </w:rPr>
        <w:t>This research adds to the scientific community by linking digital transformation to customer experience and relationship marketing instead of using technology adoption as an adequate response to loyalty. The results indicate that the willingness of customers to use digital services might be explained by technology acceptance, yet sustained use cannot be an explanation of whether customers will turn out to be loyal. Digital capabilities can affect longer-term relationships via intermediate mechanisms via customer experience, perceived value, engagement and trust. This reinforces the overarching view that it has been laid down in the literature review and shows how digital transformation and loyalty need to be approached as a phenomenon rather than as two distinct phenomena.</w:t>
      </w:r>
      <w:r w:rsidR="005B61D8">
        <w:rPr>
          <w:rFonts w:ascii="Arial" w:hAnsi="Arial" w:cs="Arial"/>
          <w:lang w:val="en-AU" w:eastAsia="en-AU"/>
        </w:rPr>
        <w:br/>
      </w:r>
    </w:p>
    <w:p w14:paraId="4EB3886B" w14:textId="77777777" w:rsidR="00A07DD4" w:rsidRDefault="00000000" w:rsidP="008F3D51">
      <w:pPr>
        <w:spacing w:line="360" w:lineRule="auto"/>
        <w:jc w:val="both"/>
        <w:rPr>
          <w:rFonts w:ascii="Arial" w:hAnsi="Arial" w:cs="Arial"/>
          <w:lang w:val="en-AU" w:eastAsia="en-AU"/>
        </w:rPr>
      </w:pPr>
      <w:r w:rsidRPr="00A07DD4">
        <w:rPr>
          <w:rFonts w:ascii="Arial" w:hAnsi="Arial" w:cs="Arial"/>
          <w:lang w:val="en-AU" w:eastAsia="en-AU"/>
        </w:rPr>
        <w:t>In terms of management, the results can imply that Tesco must assess digital investments based on the customer value and relationship outcomes, rather than on the adoption rates or technological scale. Managers can ask the question of whether digital services lead to less customer effort, make the experiences more relevant and consistent across channels. This would promote a change in the current technology-based performance measures to wider customer relationship quality and retention measures.</w:t>
      </w:r>
    </w:p>
    <w:p w14:paraId="79F0AB72" w14:textId="77777777" w:rsidR="000B72FF" w:rsidRDefault="000B72FF" w:rsidP="008F3D51">
      <w:pPr>
        <w:spacing w:line="360" w:lineRule="auto"/>
        <w:jc w:val="both"/>
        <w:rPr>
          <w:rFonts w:ascii="Arial" w:hAnsi="Arial" w:cs="Arial"/>
          <w:lang w:val="en-AU" w:eastAsia="en-AU"/>
        </w:rPr>
      </w:pPr>
    </w:p>
    <w:p w14:paraId="69F2EAC5" w14:textId="77777777" w:rsidR="000B72FF" w:rsidRDefault="000B72FF" w:rsidP="008F3D51">
      <w:pPr>
        <w:spacing w:line="360" w:lineRule="auto"/>
        <w:jc w:val="both"/>
        <w:rPr>
          <w:rFonts w:ascii="Arial" w:hAnsi="Arial" w:cs="Arial"/>
          <w:lang w:val="en-AU" w:eastAsia="en-AU"/>
        </w:rPr>
      </w:pPr>
    </w:p>
    <w:p w14:paraId="52C21B6E" w14:textId="77777777" w:rsidR="000B72FF" w:rsidRDefault="000B72FF" w:rsidP="008F3D51">
      <w:pPr>
        <w:spacing w:line="360" w:lineRule="auto"/>
        <w:jc w:val="both"/>
        <w:rPr>
          <w:rFonts w:ascii="Arial" w:hAnsi="Arial" w:cs="Arial"/>
          <w:lang w:val="en-AU" w:eastAsia="en-AU"/>
        </w:rPr>
      </w:pPr>
    </w:p>
    <w:p w14:paraId="58854FE1" w14:textId="77777777" w:rsidR="008F3D51" w:rsidRPr="008F3D51" w:rsidRDefault="00000000" w:rsidP="005E3857">
      <w:pPr>
        <w:spacing w:before="240" w:after="240"/>
        <w:outlineLvl w:val="1"/>
        <w:rPr>
          <w:rFonts w:ascii="Arial" w:hAnsi="Arial"/>
          <w:color w:val="000000"/>
          <w:sz w:val="28"/>
          <w:szCs w:val="26"/>
          <w:lang w:val="en-IN" w:eastAsia="en-AU"/>
        </w:rPr>
      </w:pPr>
      <w:bookmarkStart w:id="89" w:name="_Toc237189258"/>
      <w:bookmarkStart w:id="90" w:name="_Toc238670409"/>
      <w:r w:rsidRPr="008F3D51">
        <w:rPr>
          <w:rFonts w:ascii="Arial" w:hAnsi="Arial"/>
          <w:color w:val="000000"/>
          <w:sz w:val="28"/>
          <w:szCs w:val="26"/>
          <w:lang w:val="en-IN" w:eastAsia="en-AU"/>
        </w:rPr>
        <w:lastRenderedPageBreak/>
        <w:t>5.5 Recommendations for Tesco PLC</w:t>
      </w:r>
      <w:bookmarkEnd w:id="89"/>
      <w:bookmarkEnd w:id="90"/>
    </w:p>
    <w:p w14:paraId="0D5650DE" w14:textId="77777777" w:rsidR="008F3D51" w:rsidRPr="008F3D51" w:rsidRDefault="00000000" w:rsidP="008F3D51">
      <w:pPr>
        <w:spacing w:line="360" w:lineRule="auto"/>
        <w:jc w:val="both"/>
        <w:rPr>
          <w:rFonts w:ascii="Arial" w:hAnsi="Arial" w:cs="Arial"/>
          <w:lang w:val="en-IN" w:eastAsia="en-AU"/>
        </w:rPr>
      </w:pPr>
      <w:r w:rsidRPr="008F3D51">
        <w:rPr>
          <w:rFonts w:ascii="Arial" w:hAnsi="Arial" w:cs="Arial"/>
          <w:b/>
          <w:bCs/>
          <w:lang w:val="en-IN" w:eastAsia="en-AU"/>
        </w:rPr>
        <w:t>1. Strengthen omnichannel integration.</w:t>
      </w:r>
      <w:r w:rsidRPr="008F3D51">
        <w:rPr>
          <w:rFonts w:ascii="Arial" w:hAnsi="Arial" w:cs="Arial"/>
          <w:lang w:val="en-IN" w:eastAsia="en-AU"/>
        </w:rPr>
        <w:t xml:space="preserve"> </w:t>
      </w:r>
      <w:r w:rsidR="00A07DD4" w:rsidRPr="00A07DD4">
        <w:rPr>
          <w:rFonts w:ascii="Arial" w:hAnsi="Arial" w:cs="Arial"/>
          <w:lang w:val="en-AU" w:eastAsia="en-AU"/>
        </w:rPr>
        <w:t>Tesco needs to focus on maintaining uniformity in information, service processes and customer service through its online, mobile and physical systems. The aim must be to ensure that channel switching is easy and not just increasing the number of digital touchpoints.</w:t>
      </w:r>
    </w:p>
    <w:p w14:paraId="43691E3A" w14:textId="77777777" w:rsidR="008F3D51" w:rsidRPr="008F3D51" w:rsidRDefault="00000000" w:rsidP="008F3D51">
      <w:pPr>
        <w:spacing w:line="360" w:lineRule="auto"/>
        <w:jc w:val="both"/>
        <w:rPr>
          <w:rFonts w:ascii="Arial" w:hAnsi="Arial" w:cs="Arial"/>
          <w:lang w:val="en-IN" w:eastAsia="en-AU"/>
        </w:rPr>
      </w:pPr>
      <w:r w:rsidRPr="008F3D51">
        <w:rPr>
          <w:rFonts w:ascii="Arial" w:hAnsi="Arial" w:cs="Arial"/>
          <w:b/>
          <w:bCs/>
          <w:lang w:val="en-IN" w:eastAsia="en-AU"/>
        </w:rPr>
        <w:t>2. Adopt responsible personalisation.</w:t>
      </w:r>
      <w:r w:rsidRPr="008F3D51">
        <w:rPr>
          <w:rFonts w:ascii="Arial" w:hAnsi="Arial" w:cs="Arial"/>
          <w:lang w:val="en-IN" w:eastAsia="en-AU"/>
        </w:rPr>
        <w:t xml:space="preserve"> </w:t>
      </w:r>
      <w:r w:rsidR="00A07DD4" w:rsidRPr="00A07DD4">
        <w:rPr>
          <w:rFonts w:ascii="Arial" w:hAnsi="Arial" w:cs="Arial"/>
          <w:lang w:val="en-AU" w:eastAsia="en-AU"/>
        </w:rPr>
        <w:t>Tesco ought to utilise Clubcard data as a way of offering realistically relevant offers without over-targeting or being redundant. The personalisation must be measured based on the usefulness which is perceived by the customers and not just the promotional response.</w:t>
      </w:r>
    </w:p>
    <w:p w14:paraId="32B97F26" w14:textId="77777777" w:rsidR="008F3D51" w:rsidRPr="008F3D51" w:rsidRDefault="00000000" w:rsidP="008F3D51">
      <w:pPr>
        <w:spacing w:line="360" w:lineRule="auto"/>
        <w:jc w:val="both"/>
        <w:rPr>
          <w:rFonts w:ascii="Arial" w:hAnsi="Arial" w:cs="Arial"/>
          <w:lang w:val="en-IN" w:eastAsia="en-AU"/>
        </w:rPr>
      </w:pPr>
      <w:r w:rsidRPr="008F3D51">
        <w:rPr>
          <w:rFonts w:ascii="Arial" w:hAnsi="Arial" w:cs="Arial"/>
          <w:b/>
          <w:bCs/>
          <w:lang w:val="en-IN" w:eastAsia="en-AU"/>
        </w:rPr>
        <w:t>3. Increase transparency around customer data.</w:t>
      </w:r>
      <w:r w:rsidRPr="008F3D51">
        <w:rPr>
          <w:rFonts w:ascii="Arial" w:hAnsi="Arial" w:cs="Arial"/>
          <w:lang w:val="en-IN" w:eastAsia="en-AU"/>
        </w:rPr>
        <w:t xml:space="preserve"> </w:t>
      </w:r>
      <w:r w:rsidR="00A07DD4" w:rsidRPr="00A07DD4">
        <w:rPr>
          <w:rFonts w:ascii="Arial" w:hAnsi="Arial" w:cs="Arial"/>
          <w:lang w:val="en-AU" w:eastAsia="en-AU"/>
        </w:rPr>
        <w:t>Tesco ought to articulate the message about how customer information assists in personalised services and offer customers significant control over their information. This can be used to maintain confidence needed in long term digital relationships.</w:t>
      </w:r>
    </w:p>
    <w:p w14:paraId="114F93BF" w14:textId="77777777" w:rsidR="008F3D51" w:rsidRPr="008F3D51" w:rsidRDefault="00000000" w:rsidP="008F3D51">
      <w:pPr>
        <w:spacing w:line="360" w:lineRule="auto"/>
        <w:jc w:val="both"/>
        <w:rPr>
          <w:rFonts w:ascii="Arial" w:hAnsi="Arial" w:cs="Arial"/>
          <w:lang w:val="en-IN" w:eastAsia="en-AU"/>
        </w:rPr>
      </w:pPr>
      <w:r w:rsidRPr="008F3D51">
        <w:rPr>
          <w:rFonts w:ascii="Arial" w:hAnsi="Arial" w:cs="Arial"/>
          <w:b/>
          <w:bCs/>
          <w:lang w:val="en-IN" w:eastAsia="en-AU"/>
        </w:rPr>
        <w:t>4. Maintain human support alongside automation.</w:t>
      </w:r>
      <w:r w:rsidRPr="008F3D51">
        <w:rPr>
          <w:rFonts w:ascii="Arial" w:hAnsi="Arial" w:cs="Arial"/>
          <w:lang w:val="en-IN" w:eastAsia="en-AU"/>
        </w:rPr>
        <w:t xml:space="preserve"> </w:t>
      </w:r>
      <w:r w:rsidR="00A07DD4" w:rsidRPr="00A07DD4">
        <w:rPr>
          <w:rFonts w:ascii="Arial" w:hAnsi="Arial" w:cs="Arial"/>
          <w:lang w:val="en-AU" w:eastAsia="en-AU"/>
        </w:rPr>
        <w:t>Regular interactions should be processed effectively by AI and automated services, whereas human help must be built in such a way that the customers could reach it whenever issues are complicated or delicate. This would stop efficiency gains undermining the perceived relationship quality</w:t>
      </w:r>
      <w:r w:rsidRPr="008F3D51">
        <w:rPr>
          <w:rFonts w:ascii="Arial" w:hAnsi="Arial" w:cs="Arial"/>
          <w:lang w:val="en-IN" w:eastAsia="en-AU"/>
        </w:rPr>
        <w:t>.</w:t>
      </w:r>
    </w:p>
    <w:p w14:paraId="34E3D00B" w14:textId="77777777" w:rsidR="00A07DD4" w:rsidRPr="003B0292" w:rsidRDefault="00000000" w:rsidP="008F3D51">
      <w:pPr>
        <w:spacing w:line="360" w:lineRule="auto"/>
        <w:jc w:val="both"/>
        <w:rPr>
          <w:rFonts w:ascii="Arial" w:hAnsi="Arial" w:cs="Arial"/>
          <w:lang w:val="en-AU" w:eastAsia="en-AU"/>
        </w:rPr>
      </w:pPr>
      <w:r w:rsidRPr="008F3D51">
        <w:rPr>
          <w:rFonts w:ascii="Arial" w:hAnsi="Arial" w:cs="Arial"/>
          <w:b/>
          <w:bCs/>
          <w:lang w:val="en-IN" w:eastAsia="en-AU"/>
        </w:rPr>
        <w:t>5. Measure loyalty beyond repeat purchasing.</w:t>
      </w:r>
      <w:r w:rsidRPr="008F3D51">
        <w:rPr>
          <w:rFonts w:ascii="Arial" w:hAnsi="Arial" w:cs="Arial"/>
          <w:lang w:val="en-IN" w:eastAsia="en-AU"/>
        </w:rPr>
        <w:t xml:space="preserve"> </w:t>
      </w:r>
      <w:r w:rsidRPr="00A07DD4">
        <w:rPr>
          <w:rFonts w:ascii="Arial" w:hAnsi="Arial" w:cs="Arial"/>
          <w:lang w:val="en-AU" w:eastAsia="en-AU"/>
        </w:rPr>
        <w:t>Tesco ought to differentiate between repeat purchases, which are based on convenience and loyalty, which is more profound (engagement, retention, advocacy and satisfaction with relationship). This would give a more conclusive measure of whether digital transformation is creating sustainable customer value.</w:t>
      </w:r>
    </w:p>
    <w:p w14:paraId="22B0FEAE" w14:textId="77777777" w:rsidR="008F3D51" w:rsidRPr="008F3D51" w:rsidRDefault="00000000" w:rsidP="005E3857">
      <w:pPr>
        <w:spacing w:before="240" w:after="240"/>
        <w:outlineLvl w:val="1"/>
        <w:rPr>
          <w:rFonts w:ascii="Arial" w:hAnsi="Arial"/>
          <w:color w:val="000000"/>
          <w:sz w:val="28"/>
          <w:szCs w:val="26"/>
          <w:lang w:val="en-IN" w:eastAsia="en-AU"/>
        </w:rPr>
      </w:pPr>
      <w:bookmarkStart w:id="91" w:name="_Toc237189259"/>
      <w:bookmarkStart w:id="92" w:name="_Toc238670410"/>
      <w:r w:rsidRPr="008F3D51">
        <w:rPr>
          <w:rFonts w:ascii="Arial" w:hAnsi="Arial"/>
          <w:color w:val="000000"/>
          <w:sz w:val="28"/>
          <w:szCs w:val="26"/>
          <w:lang w:val="en-IN" w:eastAsia="en-AU"/>
        </w:rPr>
        <w:t>5.6 Limitations and Future Research</w:t>
      </w:r>
      <w:bookmarkEnd w:id="91"/>
      <w:bookmarkEnd w:id="92"/>
    </w:p>
    <w:p w14:paraId="7B271407" w14:textId="77777777" w:rsidR="00A07DD4" w:rsidRDefault="00000000" w:rsidP="008F3D51">
      <w:pPr>
        <w:spacing w:line="360" w:lineRule="auto"/>
        <w:jc w:val="both"/>
        <w:rPr>
          <w:rFonts w:ascii="Arial" w:hAnsi="Arial" w:cs="Arial"/>
          <w:lang w:val="en-AU" w:eastAsia="en-AU"/>
        </w:rPr>
      </w:pPr>
      <w:r w:rsidRPr="00A07DD4">
        <w:rPr>
          <w:rFonts w:ascii="Arial" w:hAnsi="Arial" w:cs="Arial"/>
          <w:lang w:val="en-AU" w:eastAsia="en-AU"/>
        </w:rPr>
        <w:t xml:space="preserve">The limitation of this study is that it used secondary qualitative evidence and also was restricted to Tesco as a case study. The results thus offer contextual meaning and not statistically generalisable data or the actual measure of customer attitudes. The evidence may be further solidified in the future with primary research that will involve Tesco customers, specifically survey or interviews with customers about their perception of personalisation, privacy, convenience and loyalty. Comparative analyses of Tesco and </w:t>
      </w:r>
      <w:r w:rsidRPr="00A07DD4">
        <w:rPr>
          <w:rFonts w:ascii="Arial" w:hAnsi="Arial" w:cs="Arial"/>
          <w:lang w:val="en-AU" w:eastAsia="en-AU"/>
        </w:rPr>
        <w:lastRenderedPageBreak/>
        <w:t>other UK grocery market rivals might also determine whether the relationships found are Tesco-only or the grocery sector.</w:t>
      </w:r>
    </w:p>
    <w:p w14:paraId="253840F0" w14:textId="77777777" w:rsidR="008F3D51" w:rsidRPr="008F3D51" w:rsidRDefault="00000000" w:rsidP="005E3857">
      <w:pPr>
        <w:spacing w:before="240" w:after="240"/>
        <w:outlineLvl w:val="1"/>
        <w:rPr>
          <w:rFonts w:ascii="Arial" w:hAnsi="Arial"/>
          <w:color w:val="000000"/>
          <w:sz w:val="28"/>
          <w:szCs w:val="26"/>
          <w:lang w:val="en-IN" w:eastAsia="en-AU"/>
        </w:rPr>
      </w:pPr>
      <w:bookmarkStart w:id="93" w:name="_Toc237189260"/>
      <w:bookmarkStart w:id="94" w:name="_Toc238670411"/>
      <w:r w:rsidRPr="008F3D51">
        <w:rPr>
          <w:rFonts w:ascii="Arial" w:hAnsi="Arial"/>
          <w:color w:val="000000"/>
          <w:sz w:val="28"/>
          <w:szCs w:val="26"/>
          <w:lang w:val="en-IN" w:eastAsia="en-AU"/>
        </w:rPr>
        <w:t>5.7 Chapter Conclusion</w:t>
      </w:r>
      <w:bookmarkEnd w:id="93"/>
      <w:bookmarkEnd w:id="94"/>
    </w:p>
    <w:p w14:paraId="7A1FFC58" w14:textId="77777777" w:rsidR="005E3857" w:rsidRDefault="00000000" w:rsidP="00C769EF">
      <w:pPr>
        <w:spacing w:line="360" w:lineRule="auto"/>
        <w:jc w:val="both"/>
        <w:rPr>
          <w:rFonts w:ascii="Arial" w:hAnsi="Arial" w:cs="Arial"/>
          <w:lang w:val="en-AU" w:eastAsia="en-AU"/>
        </w:rPr>
      </w:pPr>
      <w:r w:rsidRPr="00A07DD4">
        <w:rPr>
          <w:rFonts w:ascii="Arial" w:hAnsi="Arial" w:cs="Arial"/>
          <w:lang w:val="en-AU" w:eastAsia="en-AU"/>
        </w:rPr>
        <w:t>The research concludes that digital transformation has the potential to enhance the loyalty of Tesco customers, and it is not only technology that can produce loyalty. Sustainable loyalty is pegged on the capacity of Tesco to transform digital powers into handy, personal, integrated and reliable customer relationships. Digital transformation must be made more customer centred, instead of merely more technological, which should be the strategic priority.</w:t>
      </w:r>
    </w:p>
    <w:p w14:paraId="3820AEE9" w14:textId="77777777" w:rsidR="00561BA1" w:rsidRDefault="00561BA1" w:rsidP="00C769EF">
      <w:pPr>
        <w:spacing w:line="360" w:lineRule="auto"/>
        <w:jc w:val="both"/>
        <w:rPr>
          <w:rFonts w:ascii="Arial" w:hAnsi="Arial" w:cs="Arial"/>
          <w:lang w:val="en-AU" w:eastAsia="en-AU"/>
        </w:rPr>
      </w:pPr>
    </w:p>
    <w:p w14:paraId="58E2ECB2" w14:textId="77777777" w:rsidR="00561BA1" w:rsidRDefault="00561BA1" w:rsidP="00C769EF">
      <w:pPr>
        <w:spacing w:line="360" w:lineRule="auto"/>
        <w:jc w:val="both"/>
        <w:rPr>
          <w:rFonts w:ascii="Arial" w:hAnsi="Arial" w:cs="Arial"/>
          <w:lang w:val="en-AU" w:eastAsia="en-AU"/>
        </w:rPr>
      </w:pPr>
    </w:p>
    <w:p w14:paraId="149F5085" w14:textId="77777777" w:rsidR="00561BA1" w:rsidRDefault="00561BA1" w:rsidP="00C769EF">
      <w:pPr>
        <w:spacing w:line="360" w:lineRule="auto"/>
        <w:jc w:val="both"/>
        <w:rPr>
          <w:rFonts w:ascii="Arial" w:hAnsi="Arial" w:cs="Arial"/>
          <w:lang w:val="en-AU" w:eastAsia="en-AU"/>
        </w:rPr>
      </w:pPr>
    </w:p>
    <w:p w14:paraId="3EE0A85A" w14:textId="77777777" w:rsidR="00561BA1" w:rsidRDefault="00561BA1" w:rsidP="00C769EF">
      <w:pPr>
        <w:spacing w:line="360" w:lineRule="auto"/>
        <w:jc w:val="both"/>
        <w:rPr>
          <w:rFonts w:ascii="Arial" w:hAnsi="Arial" w:cs="Arial"/>
          <w:lang w:val="en-AU" w:eastAsia="en-AU"/>
        </w:rPr>
      </w:pPr>
    </w:p>
    <w:p w14:paraId="4BA75AB6" w14:textId="77777777" w:rsidR="00561BA1" w:rsidRDefault="00561BA1" w:rsidP="00C769EF">
      <w:pPr>
        <w:spacing w:line="360" w:lineRule="auto"/>
        <w:jc w:val="both"/>
        <w:rPr>
          <w:rFonts w:ascii="Arial" w:hAnsi="Arial" w:cs="Arial"/>
          <w:lang w:val="en-AU" w:eastAsia="en-AU"/>
        </w:rPr>
      </w:pPr>
    </w:p>
    <w:p w14:paraId="6E4FE609" w14:textId="77777777" w:rsidR="00561BA1" w:rsidRDefault="00561BA1" w:rsidP="00C769EF">
      <w:pPr>
        <w:spacing w:line="360" w:lineRule="auto"/>
        <w:jc w:val="both"/>
        <w:rPr>
          <w:rFonts w:ascii="Arial" w:hAnsi="Arial" w:cs="Arial"/>
          <w:lang w:val="en-AU" w:eastAsia="en-AU"/>
        </w:rPr>
      </w:pPr>
    </w:p>
    <w:p w14:paraId="0A38D305" w14:textId="77777777" w:rsidR="00561BA1" w:rsidRDefault="00561BA1" w:rsidP="00C769EF">
      <w:pPr>
        <w:spacing w:line="360" w:lineRule="auto"/>
        <w:jc w:val="both"/>
        <w:rPr>
          <w:rFonts w:ascii="Arial" w:hAnsi="Arial" w:cs="Arial"/>
          <w:lang w:val="en-AU" w:eastAsia="en-AU"/>
        </w:rPr>
      </w:pPr>
    </w:p>
    <w:p w14:paraId="41042216" w14:textId="77777777" w:rsidR="00561BA1" w:rsidRDefault="00561BA1" w:rsidP="00C769EF">
      <w:pPr>
        <w:spacing w:line="360" w:lineRule="auto"/>
        <w:jc w:val="both"/>
        <w:rPr>
          <w:rFonts w:ascii="Arial" w:hAnsi="Arial" w:cs="Arial"/>
          <w:lang w:val="en-AU" w:eastAsia="en-AU"/>
        </w:rPr>
      </w:pPr>
    </w:p>
    <w:p w14:paraId="674AD3AF" w14:textId="77777777" w:rsidR="00F239F5" w:rsidRDefault="00F239F5" w:rsidP="00C769EF">
      <w:pPr>
        <w:spacing w:line="360" w:lineRule="auto"/>
        <w:jc w:val="both"/>
        <w:rPr>
          <w:rFonts w:ascii="Arial" w:hAnsi="Arial" w:cs="Arial"/>
          <w:lang w:val="en-AU" w:eastAsia="en-AU"/>
        </w:rPr>
      </w:pPr>
    </w:p>
    <w:p w14:paraId="0ED46A90" w14:textId="77777777" w:rsidR="00F239F5" w:rsidRDefault="00F239F5" w:rsidP="00C769EF">
      <w:pPr>
        <w:spacing w:line="360" w:lineRule="auto"/>
        <w:jc w:val="both"/>
        <w:rPr>
          <w:rFonts w:ascii="Arial" w:hAnsi="Arial" w:cs="Arial"/>
          <w:lang w:val="en-AU" w:eastAsia="en-AU"/>
        </w:rPr>
      </w:pPr>
    </w:p>
    <w:p w14:paraId="1CE11D26" w14:textId="77777777" w:rsidR="00F239F5" w:rsidRDefault="00F239F5" w:rsidP="00C769EF">
      <w:pPr>
        <w:spacing w:line="360" w:lineRule="auto"/>
        <w:jc w:val="both"/>
        <w:rPr>
          <w:rFonts w:ascii="Arial" w:hAnsi="Arial" w:cs="Arial"/>
          <w:lang w:val="en-AU" w:eastAsia="en-AU"/>
        </w:rPr>
      </w:pPr>
    </w:p>
    <w:p w14:paraId="2FBBDD02" w14:textId="77777777" w:rsidR="00F239F5" w:rsidRDefault="00F239F5" w:rsidP="00C769EF">
      <w:pPr>
        <w:spacing w:line="360" w:lineRule="auto"/>
        <w:jc w:val="both"/>
        <w:rPr>
          <w:rFonts w:ascii="Arial" w:hAnsi="Arial" w:cs="Arial"/>
          <w:lang w:val="en-AU" w:eastAsia="en-AU"/>
        </w:rPr>
      </w:pPr>
    </w:p>
    <w:p w14:paraId="7073AAA7" w14:textId="77777777" w:rsidR="00F239F5" w:rsidRDefault="00F239F5" w:rsidP="00C769EF">
      <w:pPr>
        <w:spacing w:line="360" w:lineRule="auto"/>
        <w:jc w:val="both"/>
        <w:rPr>
          <w:rFonts w:ascii="Arial" w:hAnsi="Arial" w:cs="Arial"/>
          <w:lang w:val="en-AU" w:eastAsia="en-AU"/>
        </w:rPr>
      </w:pPr>
    </w:p>
    <w:p w14:paraId="20017E1C" w14:textId="77777777" w:rsidR="00F239F5" w:rsidRDefault="00F239F5" w:rsidP="00C769EF">
      <w:pPr>
        <w:spacing w:line="360" w:lineRule="auto"/>
        <w:jc w:val="both"/>
        <w:rPr>
          <w:rFonts w:ascii="Arial" w:hAnsi="Arial" w:cs="Arial"/>
          <w:lang w:val="en-AU" w:eastAsia="en-AU"/>
        </w:rPr>
      </w:pPr>
    </w:p>
    <w:p w14:paraId="30C3621B" w14:textId="77777777" w:rsidR="00F239F5" w:rsidRDefault="00F239F5" w:rsidP="00C769EF">
      <w:pPr>
        <w:spacing w:line="360" w:lineRule="auto"/>
        <w:jc w:val="both"/>
        <w:rPr>
          <w:rFonts w:ascii="Arial" w:hAnsi="Arial" w:cs="Arial"/>
          <w:lang w:val="en-AU" w:eastAsia="en-AU"/>
        </w:rPr>
      </w:pPr>
    </w:p>
    <w:p w14:paraId="16F22D09" w14:textId="77777777" w:rsidR="00F239F5" w:rsidRDefault="00F239F5" w:rsidP="00C769EF">
      <w:pPr>
        <w:spacing w:line="360" w:lineRule="auto"/>
        <w:jc w:val="both"/>
        <w:rPr>
          <w:rFonts w:ascii="Arial" w:hAnsi="Arial" w:cs="Arial"/>
          <w:lang w:val="en-AU" w:eastAsia="en-AU"/>
        </w:rPr>
      </w:pPr>
    </w:p>
    <w:p w14:paraId="673C2420" w14:textId="77777777" w:rsidR="00F239F5" w:rsidRDefault="00F239F5" w:rsidP="00C769EF">
      <w:pPr>
        <w:spacing w:line="360" w:lineRule="auto"/>
        <w:jc w:val="both"/>
        <w:rPr>
          <w:rFonts w:ascii="Arial" w:hAnsi="Arial" w:cs="Arial"/>
          <w:lang w:val="en-AU" w:eastAsia="en-AU"/>
        </w:rPr>
      </w:pPr>
    </w:p>
    <w:p w14:paraId="63E26D16" w14:textId="77777777" w:rsidR="00F239F5" w:rsidRDefault="00F239F5" w:rsidP="00C769EF">
      <w:pPr>
        <w:spacing w:line="360" w:lineRule="auto"/>
        <w:jc w:val="both"/>
        <w:rPr>
          <w:rFonts w:ascii="Arial" w:hAnsi="Arial" w:cs="Arial"/>
          <w:lang w:val="en-AU" w:eastAsia="en-AU"/>
        </w:rPr>
      </w:pPr>
    </w:p>
    <w:p w14:paraId="405E3C53" w14:textId="77777777" w:rsidR="00F239F5" w:rsidRDefault="00F239F5" w:rsidP="00C769EF">
      <w:pPr>
        <w:spacing w:line="360" w:lineRule="auto"/>
        <w:jc w:val="both"/>
        <w:rPr>
          <w:rFonts w:ascii="Arial" w:hAnsi="Arial" w:cs="Arial"/>
          <w:lang w:val="en-AU" w:eastAsia="en-AU"/>
        </w:rPr>
      </w:pPr>
    </w:p>
    <w:p w14:paraId="16D1B3C5" w14:textId="77777777" w:rsidR="00F239F5" w:rsidRDefault="00F239F5" w:rsidP="00C769EF">
      <w:pPr>
        <w:spacing w:line="360" w:lineRule="auto"/>
        <w:jc w:val="both"/>
        <w:rPr>
          <w:rFonts w:ascii="Arial" w:hAnsi="Arial" w:cs="Arial"/>
          <w:lang w:val="en-AU" w:eastAsia="en-AU"/>
        </w:rPr>
      </w:pPr>
    </w:p>
    <w:p w14:paraId="0A67CC7A" w14:textId="77777777" w:rsidR="00F239F5" w:rsidRDefault="00F239F5" w:rsidP="00C769EF">
      <w:pPr>
        <w:spacing w:line="360" w:lineRule="auto"/>
        <w:jc w:val="both"/>
        <w:rPr>
          <w:rFonts w:ascii="Arial" w:hAnsi="Arial" w:cs="Arial"/>
          <w:lang w:val="en-AU" w:eastAsia="en-AU"/>
        </w:rPr>
      </w:pPr>
    </w:p>
    <w:p w14:paraId="569DEC27" w14:textId="77777777" w:rsidR="00B77284" w:rsidRDefault="00000000" w:rsidP="00561BA1">
      <w:pPr>
        <w:spacing w:before="120" w:after="120"/>
        <w:jc w:val="center"/>
        <w:outlineLvl w:val="0"/>
        <w:rPr>
          <w:rFonts w:ascii="Arial" w:hAnsi="Arial" w:cs="Arial"/>
          <w:b/>
          <w:color w:val="000000"/>
          <w:sz w:val="32"/>
          <w:szCs w:val="32"/>
          <w:lang w:val="en-AU" w:eastAsia="en-AU"/>
        </w:rPr>
      </w:pPr>
      <w:bookmarkStart w:id="95" w:name="_Toc237189261"/>
      <w:bookmarkStart w:id="96" w:name="_Toc238670412"/>
      <w:r w:rsidRPr="000E29EC">
        <w:rPr>
          <w:rFonts w:ascii="Arial" w:hAnsi="Arial" w:cs="Arial"/>
          <w:b/>
          <w:color w:val="000000"/>
          <w:sz w:val="32"/>
          <w:szCs w:val="32"/>
          <w:lang w:val="en-AU" w:eastAsia="en-AU"/>
        </w:rPr>
        <w:lastRenderedPageBreak/>
        <w:t>References</w:t>
      </w:r>
      <w:bookmarkEnd w:id="95"/>
      <w:bookmarkEnd w:id="96"/>
    </w:p>
    <w:p w14:paraId="2D6E56B0" w14:textId="77777777" w:rsidR="000B72FF" w:rsidRPr="000E29EC" w:rsidRDefault="000B72FF" w:rsidP="00561BA1">
      <w:pPr>
        <w:spacing w:before="120" w:after="120"/>
        <w:jc w:val="center"/>
        <w:outlineLvl w:val="0"/>
        <w:rPr>
          <w:rFonts w:ascii="Arial" w:hAnsi="Arial" w:cs="Arial"/>
          <w:b/>
          <w:color w:val="000000"/>
          <w:sz w:val="32"/>
          <w:szCs w:val="32"/>
          <w:lang w:val="en-AU" w:eastAsia="en-AU"/>
        </w:rPr>
      </w:pPr>
    </w:p>
    <w:p w14:paraId="0379714F"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Aguzzoli, R., Lengler, J., Miller, S. R., Child, J., &amp; Tan, D. (2024). Paradigms in qualitative international business research: Trends, analysis and recommendations. </w:t>
      </w:r>
      <w:r w:rsidRPr="008F3D51">
        <w:rPr>
          <w:rFonts w:ascii="Arial" w:hAnsi="Arial" w:cs="Arial"/>
          <w:i/>
          <w:iCs/>
          <w:lang w:val="en-IN" w:eastAsia="en-AU"/>
        </w:rPr>
        <w:t>Management International Review, 64</w:t>
      </w:r>
      <w:r w:rsidRPr="008F3D51">
        <w:rPr>
          <w:rFonts w:ascii="Arial" w:hAnsi="Arial" w:cs="Arial"/>
          <w:lang w:val="en-IN" w:eastAsia="en-AU"/>
        </w:rPr>
        <w:t xml:space="preserve">(2), 165–198. </w:t>
      </w:r>
      <w:hyperlink r:id="rId13" w:tgtFrame="_new" w:history="1">
        <w:r w:rsidR="008F3D51" w:rsidRPr="008F3D51">
          <w:rPr>
            <w:rFonts w:ascii="Arial" w:hAnsi="Arial" w:cs="Arial"/>
            <w:color w:val="0563C1"/>
            <w:u w:val="single"/>
            <w:lang w:val="en-IN" w:eastAsia="en-AU"/>
          </w:rPr>
          <w:t>https://doi.org/10.1007/s11575-024-00529-5</w:t>
        </w:r>
      </w:hyperlink>
    </w:p>
    <w:p w14:paraId="64FC8EB5"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Artusi, F., Magistretti, S., Bellini, E., &amp; Dell’Era, C. (2025). Technology-aided customer experience innovation: Implementation modes in retail. </w:t>
      </w:r>
      <w:r w:rsidRPr="008F3D51">
        <w:rPr>
          <w:rFonts w:ascii="Arial" w:hAnsi="Arial" w:cs="Arial"/>
          <w:i/>
          <w:iCs/>
          <w:lang w:val="en-IN" w:eastAsia="en-AU"/>
        </w:rPr>
        <w:t>Creativity and Innovation Management, 34</w:t>
      </w:r>
      <w:r w:rsidRPr="008F3D51">
        <w:rPr>
          <w:rFonts w:ascii="Arial" w:hAnsi="Arial" w:cs="Arial"/>
          <w:lang w:val="en-IN" w:eastAsia="en-AU"/>
        </w:rPr>
        <w:t xml:space="preserve">, 414–426. https://doi.org/10.1111/caim.12646 </w:t>
      </w:r>
    </w:p>
    <w:p w14:paraId="47FB99A2"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Ameen, N., Tarhini, A., Reppel, A., &amp; Anand, A. (2021). Customer experiences in the age of artificial intelligence. </w:t>
      </w:r>
      <w:r w:rsidRPr="008F3D51">
        <w:rPr>
          <w:rFonts w:ascii="Arial" w:hAnsi="Arial" w:cs="Arial"/>
          <w:i/>
          <w:iCs/>
          <w:lang w:val="en-IN" w:eastAsia="en-AU"/>
        </w:rPr>
        <w:t>Computers in Human Behavior, 114</w:t>
      </w:r>
      <w:r w:rsidRPr="008F3D51">
        <w:rPr>
          <w:rFonts w:ascii="Arial" w:hAnsi="Arial" w:cs="Arial"/>
          <w:lang w:val="en-IN" w:eastAsia="en-AU"/>
        </w:rPr>
        <w:t xml:space="preserve">, 106548. </w:t>
      </w:r>
      <w:hyperlink r:id="rId14" w:tgtFrame="_new" w:history="1">
        <w:r w:rsidR="008F3D51" w:rsidRPr="008F3D51">
          <w:rPr>
            <w:rFonts w:ascii="Arial" w:hAnsi="Arial" w:cs="Arial"/>
            <w:color w:val="0563C1"/>
            <w:u w:val="single"/>
            <w:lang w:val="en-IN" w:eastAsia="en-AU"/>
          </w:rPr>
          <w:t>https://doi.org/10.1016/j.chb.2020.106548</w:t>
        </w:r>
      </w:hyperlink>
      <w:r w:rsidRPr="008F3D51">
        <w:rPr>
          <w:rFonts w:ascii="Arial" w:hAnsi="Arial" w:cs="Arial"/>
          <w:lang w:val="en-IN" w:eastAsia="en-AU"/>
        </w:rPr>
        <w:t xml:space="preserve"> </w:t>
      </w:r>
    </w:p>
    <w:p w14:paraId="1A41BA90"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Balbín Buckley, J. A., &amp; Marquina Feldman, P. S. (2024). Effects of channel integration on the omnichannel customer experience. </w:t>
      </w:r>
      <w:r w:rsidRPr="008F3D51">
        <w:rPr>
          <w:rFonts w:ascii="Arial" w:hAnsi="Arial" w:cs="Arial"/>
          <w:i/>
          <w:iCs/>
          <w:lang w:val="en-IN" w:eastAsia="en-AU"/>
        </w:rPr>
        <w:t>Cogent Business &amp; Management, 11</w:t>
      </w:r>
      <w:r w:rsidRPr="008F3D51">
        <w:rPr>
          <w:rFonts w:ascii="Arial" w:hAnsi="Arial" w:cs="Arial"/>
          <w:lang w:val="en-IN" w:eastAsia="en-AU"/>
        </w:rPr>
        <w:t xml:space="preserve">(1), 2364841. </w:t>
      </w:r>
      <w:hyperlink r:id="rId15" w:tgtFrame="_new" w:history="1">
        <w:r w:rsidR="008F3D51" w:rsidRPr="008F3D51">
          <w:rPr>
            <w:rFonts w:ascii="Arial" w:hAnsi="Arial" w:cs="Arial"/>
            <w:color w:val="0563C1"/>
            <w:u w:val="single"/>
            <w:lang w:val="en-IN" w:eastAsia="en-AU"/>
          </w:rPr>
          <w:t>https://doi.org/10.1080/23311975.2024.2364841</w:t>
        </w:r>
      </w:hyperlink>
    </w:p>
    <w:p w14:paraId="669EF090"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Becker, L., &amp; Jaakkola, E. (2020). Customer experience: Fundamental premises and implications for research. </w:t>
      </w:r>
      <w:r w:rsidRPr="008F3D51">
        <w:rPr>
          <w:rFonts w:ascii="Arial" w:hAnsi="Arial" w:cs="Arial"/>
          <w:i/>
          <w:iCs/>
          <w:lang w:val="en-IN" w:eastAsia="en-AU"/>
        </w:rPr>
        <w:t>Journal of the Academy of Marketing Science, 48</w:t>
      </w:r>
      <w:r w:rsidRPr="008F3D51">
        <w:rPr>
          <w:rFonts w:ascii="Arial" w:hAnsi="Arial" w:cs="Arial"/>
          <w:lang w:val="en-IN" w:eastAsia="en-AU"/>
        </w:rPr>
        <w:t xml:space="preserve">, 630–648. </w:t>
      </w:r>
      <w:hyperlink r:id="rId16" w:tgtFrame="_new" w:history="1">
        <w:r w:rsidR="008F3D51" w:rsidRPr="008F3D51">
          <w:rPr>
            <w:rFonts w:ascii="Arial" w:hAnsi="Arial" w:cs="Arial"/>
            <w:color w:val="0563C1"/>
            <w:u w:val="single"/>
            <w:lang w:val="en-IN" w:eastAsia="en-AU"/>
          </w:rPr>
          <w:t>https://doi.org/10.1007/s11747-019-00718-x</w:t>
        </w:r>
      </w:hyperlink>
    </w:p>
    <w:p w14:paraId="7A7FC4BD"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Bhattacharya, A., Srivastava, M., &amp; Verma, S. (2019). Customer experience in online shopping: A structural modeling approach. </w:t>
      </w:r>
      <w:r w:rsidRPr="008F3D51">
        <w:rPr>
          <w:rFonts w:ascii="Arial" w:hAnsi="Arial" w:cs="Arial"/>
          <w:i/>
          <w:iCs/>
          <w:lang w:val="en-IN" w:eastAsia="en-AU"/>
        </w:rPr>
        <w:t>Journal of Global Marketing, 32</w:t>
      </w:r>
      <w:r w:rsidRPr="008F3D51">
        <w:rPr>
          <w:rFonts w:ascii="Arial" w:hAnsi="Arial" w:cs="Arial"/>
          <w:lang w:val="en-IN" w:eastAsia="en-AU"/>
        </w:rPr>
        <w:t xml:space="preserve">(1), 3–16. </w:t>
      </w:r>
      <w:hyperlink r:id="rId17" w:tgtFrame="_new" w:history="1">
        <w:r w:rsidR="008F3D51" w:rsidRPr="008F3D51">
          <w:rPr>
            <w:rFonts w:ascii="Arial" w:hAnsi="Arial" w:cs="Arial"/>
            <w:color w:val="0563C1"/>
            <w:u w:val="single"/>
            <w:lang w:val="en-IN" w:eastAsia="en-AU"/>
          </w:rPr>
          <w:t>https://doi.org/10.1080/08911762.2018.1441938</w:t>
        </w:r>
      </w:hyperlink>
    </w:p>
    <w:p w14:paraId="12AB6D3D"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Both, A., &amp; Steinmann, S. (2023). Customer experiences in omnichannel retail environments: A thematic literature review. </w:t>
      </w:r>
      <w:r w:rsidRPr="008F3D51">
        <w:rPr>
          <w:rFonts w:ascii="Arial" w:hAnsi="Arial" w:cs="Arial"/>
          <w:i/>
          <w:iCs/>
          <w:lang w:val="en-IN" w:eastAsia="en-AU"/>
        </w:rPr>
        <w:t>The International Review of Retail, Distribution and Consumer Research, 33</w:t>
      </w:r>
      <w:r w:rsidRPr="008F3D51">
        <w:rPr>
          <w:rFonts w:ascii="Arial" w:hAnsi="Arial" w:cs="Arial"/>
          <w:lang w:val="en-IN" w:eastAsia="en-AU"/>
        </w:rPr>
        <w:t xml:space="preserve">(5), 445–478. </w:t>
      </w:r>
      <w:hyperlink r:id="rId18" w:history="1">
        <w:r w:rsidR="003B0292" w:rsidRPr="00307257">
          <w:rPr>
            <w:rFonts w:ascii="Arial" w:hAnsi="Arial" w:cs="Arial"/>
            <w:color w:val="0563C1"/>
            <w:u w:val="single"/>
            <w:lang w:val="en-IN" w:eastAsia="en-AU"/>
          </w:rPr>
          <w:t>https://doi.org/10.1080/09593969.2023.2256491</w:t>
        </w:r>
      </w:hyperlink>
      <w:r w:rsidR="003B0292">
        <w:rPr>
          <w:rFonts w:ascii="Arial" w:hAnsi="Arial" w:cs="Arial"/>
          <w:lang w:val="en-IN" w:eastAsia="en-AU"/>
        </w:rPr>
        <w:t xml:space="preserve"> </w:t>
      </w:r>
    </w:p>
    <w:p w14:paraId="558A8A43"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Bouncken, R. B., Czakon, W., &amp; Schmitt, F. (2025). Purposeful sampling and saturation in qualitative research methodologies: Recommendations and review. </w:t>
      </w:r>
      <w:r w:rsidRPr="008F3D51">
        <w:rPr>
          <w:rFonts w:ascii="Arial" w:hAnsi="Arial" w:cs="Arial"/>
          <w:i/>
          <w:iCs/>
          <w:lang w:val="en-IN" w:eastAsia="en-AU"/>
        </w:rPr>
        <w:t>Review of Managerial Science</w:t>
      </w:r>
      <w:r w:rsidRPr="008F3D51">
        <w:rPr>
          <w:rFonts w:ascii="Arial" w:hAnsi="Arial" w:cs="Arial"/>
          <w:lang w:val="en-IN" w:eastAsia="en-AU"/>
        </w:rPr>
        <w:t xml:space="preserve">. Advance online publication. </w:t>
      </w:r>
      <w:hyperlink r:id="rId19" w:tgtFrame="_new" w:history="1">
        <w:r w:rsidR="008F3D51" w:rsidRPr="008F3D51">
          <w:rPr>
            <w:rFonts w:ascii="Arial" w:hAnsi="Arial" w:cs="Arial"/>
            <w:color w:val="0563C1"/>
            <w:u w:val="single"/>
            <w:lang w:val="en-IN" w:eastAsia="en-AU"/>
          </w:rPr>
          <w:t>https://doi.org/10.1007/s11846-025-00881-2</w:t>
        </w:r>
      </w:hyperlink>
    </w:p>
    <w:p w14:paraId="3EE702A8"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Braun, V., &amp; Clarke, V. (2006). Using thematic analysis in psychology. </w:t>
      </w:r>
      <w:r w:rsidRPr="008F3D51">
        <w:rPr>
          <w:rFonts w:ascii="Arial" w:hAnsi="Arial" w:cs="Arial"/>
          <w:i/>
          <w:iCs/>
          <w:lang w:val="en-IN" w:eastAsia="en-AU"/>
        </w:rPr>
        <w:t>Qualitative Research in Psychology, 3</w:t>
      </w:r>
      <w:r w:rsidRPr="008F3D51">
        <w:rPr>
          <w:rFonts w:ascii="Arial" w:hAnsi="Arial" w:cs="Arial"/>
          <w:lang w:val="en-IN" w:eastAsia="en-AU"/>
        </w:rPr>
        <w:t xml:space="preserve">(2), 77–101. </w:t>
      </w:r>
      <w:hyperlink r:id="rId20" w:tgtFrame="_new" w:history="1">
        <w:r w:rsidR="008F3D51" w:rsidRPr="008F3D51">
          <w:rPr>
            <w:rFonts w:ascii="Arial" w:hAnsi="Arial" w:cs="Arial"/>
            <w:color w:val="0563C1"/>
            <w:u w:val="single"/>
            <w:lang w:val="en-IN" w:eastAsia="en-AU"/>
          </w:rPr>
          <w:t>https://doi.org/10.1191/1478088706qp063oa</w:t>
        </w:r>
      </w:hyperlink>
    </w:p>
    <w:p w14:paraId="3F5DCA76"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lastRenderedPageBreak/>
        <w:t xml:space="preserve">Castleberry, A., &amp; Nolen, A. (2018). Thematic analysis of qualitative research data: Is it as easy as it sounds? </w:t>
      </w:r>
      <w:r w:rsidRPr="008F3D51">
        <w:rPr>
          <w:rFonts w:ascii="Arial" w:hAnsi="Arial" w:cs="Arial"/>
          <w:i/>
          <w:iCs/>
          <w:lang w:val="en-IN" w:eastAsia="en-AU"/>
        </w:rPr>
        <w:t>Currents in Pharmacy Teaching and Learning, 10</w:t>
      </w:r>
      <w:r w:rsidRPr="008F3D51">
        <w:rPr>
          <w:rFonts w:ascii="Arial" w:hAnsi="Arial" w:cs="Arial"/>
          <w:lang w:val="en-IN" w:eastAsia="en-AU"/>
        </w:rPr>
        <w:t xml:space="preserve">(6), 807–815. </w:t>
      </w:r>
      <w:hyperlink r:id="rId21" w:tgtFrame="_new" w:history="1">
        <w:r w:rsidR="008F3D51" w:rsidRPr="008F3D51">
          <w:rPr>
            <w:rFonts w:ascii="Arial" w:hAnsi="Arial" w:cs="Arial"/>
            <w:color w:val="0563C1"/>
            <w:u w:val="single"/>
            <w:lang w:val="en-IN" w:eastAsia="en-AU"/>
          </w:rPr>
          <w:t>https://doi.org/10.1016/j.cptl.2018.03.019</w:t>
        </w:r>
      </w:hyperlink>
    </w:p>
    <w:p w14:paraId="0C2CEC22"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Creswell, J. W., &amp; Creswell, J. D. (2018). </w:t>
      </w:r>
      <w:r w:rsidRPr="008F3D51">
        <w:rPr>
          <w:rFonts w:ascii="Arial" w:hAnsi="Arial" w:cs="Arial"/>
          <w:i/>
          <w:iCs/>
          <w:lang w:val="en-IN" w:eastAsia="en-AU"/>
        </w:rPr>
        <w:t>Research design: Qualitative, quantitative, and mixed methods approaches</w:t>
      </w:r>
      <w:r w:rsidRPr="008F3D51">
        <w:rPr>
          <w:rFonts w:ascii="Arial" w:hAnsi="Arial" w:cs="Arial"/>
          <w:lang w:val="en-IN" w:eastAsia="en-AU"/>
        </w:rPr>
        <w:t xml:space="preserve"> (5th ed.). SAGE Publications.</w:t>
      </w:r>
    </w:p>
    <w:p w14:paraId="326B90F8"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Davis, F. D. (1989). Perceived usefulness, perceived ease of use, and user acceptance of information technology. </w:t>
      </w:r>
      <w:r w:rsidRPr="008F3D51">
        <w:rPr>
          <w:rFonts w:ascii="Arial" w:hAnsi="Arial" w:cs="Arial"/>
          <w:i/>
          <w:iCs/>
          <w:lang w:val="en-IN" w:eastAsia="en-AU"/>
        </w:rPr>
        <w:t>MIS Quarterly, 13</w:t>
      </w:r>
      <w:r w:rsidRPr="008F3D51">
        <w:rPr>
          <w:rFonts w:ascii="Arial" w:hAnsi="Arial" w:cs="Arial"/>
          <w:lang w:val="en-IN" w:eastAsia="en-AU"/>
        </w:rPr>
        <w:t xml:space="preserve">(3), 319–340. </w:t>
      </w:r>
      <w:hyperlink r:id="rId22" w:tgtFrame="_new" w:history="1">
        <w:r w:rsidR="008F3D51" w:rsidRPr="008F3D51">
          <w:rPr>
            <w:rFonts w:ascii="Arial" w:hAnsi="Arial" w:cs="Arial"/>
            <w:color w:val="0563C1"/>
            <w:u w:val="single"/>
            <w:lang w:val="en-IN" w:eastAsia="en-AU"/>
          </w:rPr>
          <w:t>https://doi.org/10.2307/249008</w:t>
        </w:r>
      </w:hyperlink>
    </w:p>
    <w:p w14:paraId="63A551E8"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Frank, B., Herbas-Torrico, B., &amp; Schvaneveldt, S. J. (2021). The AI-enabled customer experience: A multidimensional framework. </w:t>
      </w:r>
      <w:r w:rsidRPr="008F3D51">
        <w:rPr>
          <w:rFonts w:ascii="Arial" w:hAnsi="Arial" w:cs="Arial"/>
          <w:i/>
          <w:iCs/>
          <w:lang w:val="en-IN" w:eastAsia="en-AU"/>
        </w:rPr>
        <w:t>Technological Forecasting and Social Change, 169</w:t>
      </w:r>
      <w:r w:rsidRPr="008F3D51">
        <w:rPr>
          <w:rFonts w:ascii="Arial" w:hAnsi="Arial" w:cs="Arial"/>
          <w:lang w:val="en-IN" w:eastAsia="en-AU"/>
        </w:rPr>
        <w:t xml:space="preserve">, 120796. </w:t>
      </w:r>
      <w:hyperlink r:id="rId23" w:tgtFrame="_new" w:history="1">
        <w:r w:rsidR="008F3D51" w:rsidRPr="008F3D51">
          <w:rPr>
            <w:rFonts w:ascii="Arial" w:hAnsi="Arial" w:cs="Arial"/>
            <w:color w:val="0563C1"/>
            <w:u w:val="single"/>
            <w:lang w:val="en-IN" w:eastAsia="en-AU"/>
          </w:rPr>
          <w:t>https://doi.org/10.1016/j.techfore.2021.120796</w:t>
        </w:r>
      </w:hyperlink>
    </w:p>
    <w:p w14:paraId="58442CFD"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Grewal, D., Noble, S. M., Roggeveen, A. L., &amp; Nordfalt, J. (2020). The future of in-store technology. </w:t>
      </w:r>
      <w:r w:rsidRPr="008F3D51">
        <w:rPr>
          <w:rFonts w:ascii="Arial" w:hAnsi="Arial" w:cs="Arial"/>
          <w:i/>
          <w:iCs/>
          <w:lang w:val="en-IN" w:eastAsia="en-AU"/>
        </w:rPr>
        <w:t>Journal of the Academy of Marketing Science, 48</w:t>
      </w:r>
      <w:r w:rsidRPr="008F3D51">
        <w:rPr>
          <w:rFonts w:ascii="Arial" w:hAnsi="Arial" w:cs="Arial"/>
          <w:lang w:val="en-IN" w:eastAsia="en-AU"/>
        </w:rPr>
        <w:t xml:space="preserve">(1), 96–113. </w:t>
      </w:r>
      <w:hyperlink r:id="rId24" w:tgtFrame="_new" w:history="1">
        <w:r w:rsidR="008F3D51" w:rsidRPr="008F3D51">
          <w:rPr>
            <w:rFonts w:ascii="Arial" w:hAnsi="Arial" w:cs="Arial"/>
            <w:color w:val="0563C1"/>
            <w:u w:val="single"/>
            <w:lang w:val="en-IN" w:eastAsia="en-AU"/>
          </w:rPr>
          <w:t>https://doi.org/10.1007/s11747-019-00697-z</w:t>
        </w:r>
      </w:hyperlink>
    </w:p>
    <w:p w14:paraId="4A7EBB7A"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Hanelt, A., Bohnsack, R., Marz, D., &amp; Antunes Marante, C. (2021). A systematic review of the literature on digital transformation: Insights and implications for strategy and organizational change. </w:t>
      </w:r>
      <w:r w:rsidRPr="008F3D51">
        <w:rPr>
          <w:rFonts w:ascii="Arial" w:hAnsi="Arial" w:cs="Arial"/>
          <w:i/>
          <w:iCs/>
          <w:lang w:val="en-IN" w:eastAsia="en-AU"/>
        </w:rPr>
        <w:t>Journal of Management Studies, 58</w:t>
      </w:r>
      <w:r w:rsidRPr="008F3D51">
        <w:rPr>
          <w:rFonts w:ascii="Arial" w:hAnsi="Arial" w:cs="Arial"/>
          <w:lang w:val="en-IN" w:eastAsia="en-AU"/>
        </w:rPr>
        <w:t xml:space="preserve">(5), 1159–1197. </w:t>
      </w:r>
      <w:hyperlink r:id="rId25" w:tgtFrame="_new" w:history="1">
        <w:r w:rsidR="008F3D51" w:rsidRPr="008F3D51">
          <w:rPr>
            <w:rFonts w:ascii="Arial" w:hAnsi="Arial" w:cs="Arial"/>
            <w:color w:val="0563C1"/>
            <w:u w:val="single"/>
            <w:lang w:val="en-IN" w:eastAsia="en-AU"/>
          </w:rPr>
          <w:t>https://doi.org/10.1111/joms.12639</w:t>
        </w:r>
      </w:hyperlink>
    </w:p>
    <w:p w14:paraId="7AEB21CA"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Hofacker, C. F., Golgeci, I., Pillai, K. G., &amp; Gligor, D. M. (2020). Digital marketing and business-to-business relationships: A close look at the interface and a roadmap for the future. </w:t>
      </w:r>
      <w:r w:rsidRPr="008F3D51">
        <w:rPr>
          <w:rFonts w:ascii="Arial" w:hAnsi="Arial" w:cs="Arial"/>
          <w:i/>
          <w:iCs/>
          <w:lang w:val="en-IN" w:eastAsia="en-AU"/>
        </w:rPr>
        <w:t>European Journal of Marketing, 54</w:t>
      </w:r>
      <w:r w:rsidRPr="008F3D51">
        <w:rPr>
          <w:rFonts w:ascii="Arial" w:hAnsi="Arial" w:cs="Arial"/>
          <w:lang w:val="en-IN" w:eastAsia="en-AU"/>
        </w:rPr>
        <w:t xml:space="preserve">(6), 1161–1179. </w:t>
      </w:r>
      <w:hyperlink r:id="rId26" w:tgtFrame="_new" w:history="1">
        <w:r w:rsidR="008F3D51" w:rsidRPr="008F3D51">
          <w:rPr>
            <w:rFonts w:ascii="Arial" w:hAnsi="Arial" w:cs="Arial"/>
            <w:color w:val="0563C1"/>
            <w:u w:val="single"/>
            <w:lang w:val="en-IN" w:eastAsia="en-AU"/>
          </w:rPr>
          <w:t>https://doi.org/10.1108/EJM-04-2020-0247</w:t>
        </w:r>
      </w:hyperlink>
    </w:p>
    <w:p w14:paraId="297C46DC"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Hossain, M. A., Akter, S., &amp; Yanamandram, V. (2023). Why doesn’t our value creation payoff: Unpacking customer analytics-driven value creation capability. </w:t>
      </w:r>
      <w:r w:rsidRPr="008F3D51">
        <w:rPr>
          <w:rFonts w:ascii="Arial" w:hAnsi="Arial" w:cs="Arial"/>
          <w:i/>
          <w:iCs/>
          <w:lang w:val="en-IN" w:eastAsia="en-AU"/>
        </w:rPr>
        <w:t>Journal of Business Research, 154</w:t>
      </w:r>
      <w:r w:rsidRPr="008F3D51">
        <w:rPr>
          <w:rFonts w:ascii="Arial" w:hAnsi="Arial" w:cs="Arial"/>
          <w:lang w:val="en-IN" w:eastAsia="en-AU"/>
        </w:rPr>
        <w:t xml:space="preserve">, 113309. </w:t>
      </w:r>
      <w:hyperlink r:id="rId27" w:tgtFrame="_new" w:history="1">
        <w:r w:rsidR="008F3D51" w:rsidRPr="008F3D51">
          <w:rPr>
            <w:rFonts w:ascii="Arial" w:hAnsi="Arial" w:cs="Arial"/>
            <w:color w:val="0563C1"/>
            <w:u w:val="single"/>
            <w:lang w:val="en-IN" w:eastAsia="en-AU"/>
          </w:rPr>
          <w:t>https://doi.org/10.1016/j.jbusres.2022.113309</w:t>
        </w:r>
      </w:hyperlink>
    </w:p>
    <w:p w14:paraId="1FB71ECB"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Kraus, S., Durst, S., Ferreira, J. J., Veiga, P., Kailer, N., &amp; Weinmann, A. (2022). Digital transformation in business and management research: An overview of the current status quo. </w:t>
      </w:r>
      <w:r w:rsidRPr="008F3D51">
        <w:rPr>
          <w:rFonts w:ascii="Arial" w:hAnsi="Arial" w:cs="Arial"/>
          <w:i/>
          <w:iCs/>
          <w:lang w:val="en-IN" w:eastAsia="en-AU"/>
        </w:rPr>
        <w:t>International Journal of Information Management, 63</w:t>
      </w:r>
      <w:r w:rsidRPr="008F3D51">
        <w:rPr>
          <w:rFonts w:ascii="Arial" w:hAnsi="Arial" w:cs="Arial"/>
          <w:lang w:val="en-IN" w:eastAsia="en-AU"/>
        </w:rPr>
        <w:t xml:space="preserve">, 102466. </w:t>
      </w:r>
      <w:hyperlink r:id="rId28" w:tgtFrame="_new" w:history="1">
        <w:r w:rsidR="008F3D51" w:rsidRPr="008F3D51">
          <w:rPr>
            <w:rFonts w:ascii="Arial" w:hAnsi="Arial" w:cs="Arial"/>
            <w:color w:val="0563C1"/>
            <w:u w:val="single"/>
            <w:lang w:val="en-IN" w:eastAsia="en-AU"/>
          </w:rPr>
          <w:t>https://doi.org/10.1016/j.ijinfomgt.2021.102466</w:t>
        </w:r>
      </w:hyperlink>
    </w:p>
    <w:p w14:paraId="4F25266A"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Kumar, V., &amp; Reinartz, W. (2018). </w:t>
      </w:r>
      <w:r w:rsidRPr="008F3D51">
        <w:rPr>
          <w:rFonts w:ascii="Arial" w:hAnsi="Arial" w:cs="Arial"/>
          <w:i/>
          <w:iCs/>
          <w:lang w:val="en-IN" w:eastAsia="en-AU"/>
        </w:rPr>
        <w:t>Customer relationship management: Concept, strategy, and tools</w:t>
      </w:r>
      <w:r w:rsidRPr="008F3D51">
        <w:rPr>
          <w:rFonts w:ascii="Arial" w:hAnsi="Arial" w:cs="Arial"/>
          <w:lang w:val="en-IN" w:eastAsia="en-AU"/>
        </w:rPr>
        <w:t xml:space="preserve"> (3rd ed.). Springer. </w:t>
      </w:r>
      <w:hyperlink r:id="rId29" w:tgtFrame="_new" w:history="1">
        <w:r w:rsidR="008F3D51" w:rsidRPr="008F3D51">
          <w:rPr>
            <w:rFonts w:ascii="Arial" w:hAnsi="Arial" w:cs="Arial"/>
            <w:color w:val="0563C1"/>
            <w:u w:val="single"/>
            <w:lang w:val="en-IN" w:eastAsia="en-AU"/>
          </w:rPr>
          <w:t>https://doi.org/10.1007/978-3-662-55381-7</w:t>
        </w:r>
      </w:hyperlink>
    </w:p>
    <w:p w14:paraId="5F3F9416"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lastRenderedPageBreak/>
        <w:t xml:space="preserve">Kumar, V., Rajan, B., Gupta, S., &amp; Pozza, I. D. (2019). Customer engagement in service. </w:t>
      </w:r>
      <w:r w:rsidRPr="008F3D51">
        <w:rPr>
          <w:rFonts w:ascii="Arial" w:hAnsi="Arial" w:cs="Arial"/>
          <w:i/>
          <w:iCs/>
          <w:lang w:val="en-IN" w:eastAsia="en-AU"/>
        </w:rPr>
        <w:t>Journal of the Academy of Marketing Science, 47</w:t>
      </w:r>
      <w:r w:rsidRPr="008F3D51">
        <w:rPr>
          <w:rFonts w:ascii="Arial" w:hAnsi="Arial" w:cs="Arial"/>
          <w:lang w:val="en-IN" w:eastAsia="en-AU"/>
        </w:rPr>
        <w:t xml:space="preserve">(1), 138–160. </w:t>
      </w:r>
      <w:hyperlink r:id="rId30" w:tgtFrame="_new" w:history="1">
        <w:r w:rsidR="008F3D51" w:rsidRPr="008F3D51">
          <w:rPr>
            <w:rFonts w:ascii="Arial" w:hAnsi="Arial" w:cs="Arial"/>
            <w:color w:val="0563C1"/>
            <w:u w:val="single"/>
            <w:lang w:val="en-IN" w:eastAsia="en-AU"/>
          </w:rPr>
          <w:t>https://doi.org/10.1007/s11747-017-0565-2</w:t>
        </w:r>
      </w:hyperlink>
    </w:p>
    <w:p w14:paraId="2520F932"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Lemon, K. N., &amp; Verhoef, P. C. (2016). Understanding customer experience throughout the customer journey. </w:t>
      </w:r>
      <w:r w:rsidRPr="008F3D51">
        <w:rPr>
          <w:rFonts w:ascii="Arial" w:hAnsi="Arial" w:cs="Arial"/>
          <w:i/>
          <w:iCs/>
          <w:lang w:val="en-IN" w:eastAsia="en-AU"/>
        </w:rPr>
        <w:t>Journal of Marketing, 80</w:t>
      </w:r>
      <w:r w:rsidRPr="008F3D51">
        <w:rPr>
          <w:rFonts w:ascii="Arial" w:hAnsi="Arial" w:cs="Arial"/>
          <w:lang w:val="en-IN" w:eastAsia="en-AU"/>
        </w:rPr>
        <w:t xml:space="preserve">(6), 69–96. </w:t>
      </w:r>
      <w:hyperlink r:id="rId31" w:tgtFrame="_new" w:history="1">
        <w:r w:rsidR="008F3D51" w:rsidRPr="008F3D51">
          <w:rPr>
            <w:rFonts w:ascii="Arial" w:hAnsi="Arial" w:cs="Arial"/>
            <w:color w:val="0563C1"/>
            <w:u w:val="single"/>
            <w:lang w:val="en-IN" w:eastAsia="en-AU"/>
          </w:rPr>
          <w:t>https://doi.org/10.1509/jm.15.0420</w:t>
        </w:r>
      </w:hyperlink>
    </w:p>
    <w:p w14:paraId="7D04A789"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Mansurali, A., Stephen, G., Kasilingam, D., &amp; Jublee, D. I. (2024). Omnichannel marketing: A systematic review and research agenda. </w:t>
      </w:r>
      <w:r w:rsidRPr="008F3D51">
        <w:rPr>
          <w:rFonts w:ascii="Arial" w:hAnsi="Arial" w:cs="Arial"/>
          <w:i/>
          <w:iCs/>
          <w:lang w:val="en-IN" w:eastAsia="en-AU"/>
        </w:rPr>
        <w:t>The International Review of Retail, Distribution and Consumer Research, 34</w:t>
      </w:r>
      <w:r w:rsidRPr="008F3D51">
        <w:rPr>
          <w:rFonts w:ascii="Arial" w:hAnsi="Arial" w:cs="Arial"/>
          <w:lang w:val="en-IN" w:eastAsia="en-AU"/>
        </w:rPr>
        <w:t xml:space="preserve">(5), 616–645. </w:t>
      </w:r>
      <w:hyperlink r:id="rId32" w:history="1">
        <w:r w:rsidR="003B0292" w:rsidRPr="00307257">
          <w:rPr>
            <w:rFonts w:ascii="Arial" w:hAnsi="Arial" w:cs="Arial"/>
            <w:color w:val="0563C1"/>
            <w:u w:val="single"/>
            <w:lang w:val="en-IN" w:eastAsia="en-AU"/>
          </w:rPr>
          <w:t>https://doi.org/10.1080/09593969.2024.2321917</w:t>
        </w:r>
      </w:hyperlink>
      <w:r w:rsidR="003B0292">
        <w:rPr>
          <w:rFonts w:ascii="Arial" w:hAnsi="Arial" w:cs="Arial"/>
          <w:lang w:val="en-IN" w:eastAsia="en-AU"/>
        </w:rPr>
        <w:t xml:space="preserve"> </w:t>
      </w:r>
    </w:p>
    <w:p w14:paraId="369C31B3"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Marikyan, D., Papagiannidis, S., &amp; Alamanos, E. (2020). Cognitive dissonance in technology adoption: A study of smart home users. </w:t>
      </w:r>
      <w:r w:rsidRPr="008F3D51">
        <w:rPr>
          <w:rFonts w:ascii="Arial" w:hAnsi="Arial" w:cs="Arial"/>
          <w:i/>
          <w:iCs/>
          <w:lang w:val="en-IN" w:eastAsia="en-AU"/>
        </w:rPr>
        <w:t>Information Systems Frontiers, 23</w:t>
      </w:r>
      <w:r w:rsidRPr="008F3D51">
        <w:rPr>
          <w:rFonts w:ascii="Arial" w:hAnsi="Arial" w:cs="Arial"/>
          <w:lang w:val="en-IN" w:eastAsia="en-AU"/>
        </w:rPr>
        <w:t xml:space="preserve">, 1101–1123. </w:t>
      </w:r>
      <w:hyperlink r:id="rId33" w:tgtFrame="_new" w:history="1">
        <w:r w:rsidR="008F3D51" w:rsidRPr="008F3D51">
          <w:rPr>
            <w:rFonts w:ascii="Arial" w:hAnsi="Arial" w:cs="Arial"/>
            <w:color w:val="0563C1"/>
            <w:u w:val="single"/>
            <w:lang w:val="en-IN" w:eastAsia="en-AU"/>
          </w:rPr>
          <w:t>https://doi.org/10.1007/s10796-020-10042-3</w:t>
        </w:r>
      </w:hyperlink>
    </w:p>
    <w:p w14:paraId="212B6E7B"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Martin, K. D., &amp; Murphy, P. E. (2017). The role of data privacy in marketing. </w:t>
      </w:r>
      <w:r w:rsidRPr="008F3D51">
        <w:rPr>
          <w:rFonts w:ascii="Arial" w:hAnsi="Arial" w:cs="Arial"/>
          <w:i/>
          <w:iCs/>
          <w:lang w:val="en-IN" w:eastAsia="en-AU"/>
        </w:rPr>
        <w:t>Journal of the Academy of Marketing Science, 45</w:t>
      </w:r>
      <w:r w:rsidRPr="008F3D51">
        <w:rPr>
          <w:rFonts w:ascii="Arial" w:hAnsi="Arial" w:cs="Arial"/>
          <w:lang w:val="en-IN" w:eastAsia="en-AU"/>
        </w:rPr>
        <w:t xml:space="preserve">(2), 135–155. </w:t>
      </w:r>
      <w:hyperlink r:id="rId34" w:tgtFrame="_new" w:history="1">
        <w:r w:rsidR="008F3D51" w:rsidRPr="008F3D51">
          <w:rPr>
            <w:rFonts w:ascii="Arial" w:hAnsi="Arial" w:cs="Arial"/>
            <w:color w:val="0563C1"/>
            <w:u w:val="single"/>
            <w:lang w:val="en-IN" w:eastAsia="en-AU"/>
          </w:rPr>
          <w:t>https://doi.org/10.1007/s11747-016-0495-4</w:t>
        </w:r>
      </w:hyperlink>
      <w:r w:rsidRPr="008F3D51">
        <w:rPr>
          <w:rFonts w:ascii="Arial" w:hAnsi="Arial" w:cs="Arial"/>
          <w:lang w:val="en-IN" w:eastAsia="en-AU"/>
        </w:rPr>
        <w:t xml:space="preserve"> </w:t>
      </w:r>
    </w:p>
    <w:p w14:paraId="1A3A1EFB"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Massi, M., Piancatelli, C., &amp; Vocino, A. (2023). Authentic omnichannel: Providing consumers with a seamless brand experience through authenticity. </w:t>
      </w:r>
      <w:r w:rsidRPr="008F3D51">
        <w:rPr>
          <w:rFonts w:ascii="Arial" w:hAnsi="Arial" w:cs="Arial"/>
          <w:i/>
          <w:iCs/>
          <w:lang w:val="en-IN" w:eastAsia="en-AU"/>
        </w:rPr>
        <w:t>Psychology &amp; Marketing, 40</w:t>
      </w:r>
      <w:r w:rsidRPr="008F3D51">
        <w:rPr>
          <w:rFonts w:ascii="Arial" w:hAnsi="Arial" w:cs="Arial"/>
          <w:lang w:val="en-IN" w:eastAsia="en-AU"/>
        </w:rPr>
        <w:t xml:space="preserve">(7), 1280–1298. </w:t>
      </w:r>
      <w:hyperlink r:id="rId35" w:tgtFrame="_new" w:history="1">
        <w:r w:rsidR="008F3D51" w:rsidRPr="008F3D51">
          <w:rPr>
            <w:rFonts w:ascii="Arial" w:hAnsi="Arial" w:cs="Arial"/>
            <w:color w:val="0563C1"/>
            <w:u w:val="single"/>
            <w:lang w:val="en-IN" w:eastAsia="en-AU"/>
          </w:rPr>
          <w:t>https://doi.org/10.1002/mar.21815</w:t>
        </w:r>
      </w:hyperlink>
      <w:r w:rsidRPr="008F3D51">
        <w:rPr>
          <w:rFonts w:ascii="Arial" w:hAnsi="Arial" w:cs="Arial"/>
          <w:lang w:val="en-IN" w:eastAsia="en-AU"/>
        </w:rPr>
        <w:t xml:space="preserve"> </w:t>
      </w:r>
    </w:p>
    <w:p w14:paraId="42C342CC"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Mukhopadhyay, S., Chauhan, S., &amp; Mishra, S. (2024). Consumer patronage in omnichannel retailing and the moderating impact of culture: A MetaSEM review. </w:t>
      </w:r>
      <w:r w:rsidRPr="008F3D51">
        <w:rPr>
          <w:rFonts w:ascii="Arial" w:hAnsi="Arial" w:cs="Arial"/>
          <w:i/>
          <w:iCs/>
          <w:lang w:val="en-IN" w:eastAsia="en-AU"/>
        </w:rPr>
        <w:t>Journal of Strategic Marketing, 32</w:t>
      </w:r>
      <w:r w:rsidRPr="008F3D51">
        <w:rPr>
          <w:rFonts w:ascii="Arial" w:hAnsi="Arial" w:cs="Arial"/>
          <w:lang w:val="en-IN" w:eastAsia="en-AU"/>
        </w:rPr>
        <w:t xml:space="preserve">(3), 374–390. </w:t>
      </w:r>
      <w:hyperlink r:id="rId36" w:history="1">
        <w:r w:rsidR="003B0292" w:rsidRPr="00307257">
          <w:rPr>
            <w:rFonts w:ascii="Arial" w:hAnsi="Arial" w:cs="Arial"/>
            <w:color w:val="0563C1"/>
            <w:u w:val="single"/>
            <w:lang w:val="en-IN" w:eastAsia="en-AU"/>
          </w:rPr>
          <w:t>https://doi.org/10.1080/0965254X.2023.2229331</w:t>
        </w:r>
      </w:hyperlink>
      <w:r w:rsidR="003B0292">
        <w:rPr>
          <w:rFonts w:ascii="Arial" w:hAnsi="Arial" w:cs="Arial"/>
          <w:lang w:val="en-IN" w:eastAsia="en-AU"/>
        </w:rPr>
        <w:t xml:space="preserve"> </w:t>
      </w:r>
    </w:p>
    <w:p w14:paraId="57E66E1D"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Nyadzayo, M. W., &amp; Khajehzadeh, S. (2016). The antecedents of customer loyalty: A moderated mediation model of customer relationship management quality and brand image. </w:t>
      </w:r>
      <w:r w:rsidRPr="008F3D51">
        <w:rPr>
          <w:rFonts w:ascii="Arial" w:hAnsi="Arial" w:cs="Arial"/>
          <w:i/>
          <w:iCs/>
          <w:lang w:val="en-IN" w:eastAsia="en-AU"/>
        </w:rPr>
        <w:t>Journal of Retailing and Consumer Services, 30</w:t>
      </w:r>
      <w:r w:rsidRPr="008F3D51">
        <w:rPr>
          <w:rFonts w:ascii="Arial" w:hAnsi="Arial" w:cs="Arial"/>
          <w:lang w:val="en-IN" w:eastAsia="en-AU"/>
        </w:rPr>
        <w:t xml:space="preserve">, 262–270. </w:t>
      </w:r>
      <w:hyperlink r:id="rId37" w:tgtFrame="_new" w:history="1">
        <w:r w:rsidR="008F3D51" w:rsidRPr="008F3D51">
          <w:rPr>
            <w:rFonts w:ascii="Arial" w:hAnsi="Arial" w:cs="Arial"/>
            <w:color w:val="0563C1"/>
            <w:u w:val="single"/>
            <w:lang w:val="en-IN" w:eastAsia="en-AU"/>
          </w:rPr>
          <w:t>https://doi.org/10.1016/j.jretconser.2016.02.002</w:t>
        </w:r>
      </w:hyperlink>
    </w:p>
    <w:p w14:paraId="3E1B3EDA"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Ozuem, W., Ranfagni, S., Willis, M., Salvietti, G., &amp; Howell, K. (2024). Exploring the relationship between chatbots, service failure recovery and customer loyalty: A frustration–aggression perspective. </w:t>
      </w:r>
      <w:r w:rsidRPr="008F3D51">
        <w:rPr>
          <w:rFonts w:ascii="Arial" w:hAnsi="Arial" w:cs="Arial"/>
          <w:i/>
          <w:iCs/>
          <w:lang w:val="en-IN" w:eastAsia="en-AU"/>
        </w:rPr>
        <w:t>Psychology &amp; Marketing, 41</w:t>
      </w:r>
      <w:r w:rsidRPr="008F3D51">
        <w:rPr>
          <w:rFonts w:ascii="Arial" w:hAnsi="Arial" w:cs="Arial"/>
          <w:lang w:val="en-IN" w:eastAsia="en-AU"/>
        </w:rPr>
        <w:t xml:space="preserve">(10), 2253–2273. </w:t>
      </w:r>
      <w:hyperlink r:id="rId38" w:tgtFrame="_new" w:history="1">
        <w:r w:rsidR="008F3D51" w:rsidRPr="008F3D51">
          <w:rPr>
            <w:rFonts w:ascii="Arial" w:hAnsi="Arial" w:cs="Arial"/>
            <w:color w:val="0563C1"/>
            <w:u w:val="single"/>
            <w:lang w:val="en-IN" w:eastAsia="en-AU"/>
          </w:rPr>
          <w:t>https://doi.org/10.1002/mar.22051</w:t>
        </w:r>
      </w:hyperlink>
    </w:p>
    <w:p w14:paraId="364715C0"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lastRenderedPageBreak/>
        <w:t xml:space="preserve">Pansari, A., &amp; Kumar, V. (2017). Customer engagement: The construct, antecedents, and consequences. </w:t>
      </w:r>
      <w:r w:rsidRPr="008F3D51">
        <w:rPr>
          <w:rFonts w:ascii="Arial" w:hAnsi="Arial" w:cs="Arial"/>
          <w:i/>
          <w:iCs/>
          <w:lang w:val="en-IN" w:eastAsia="en-AU"/>
        </w:rPr>
        <w:t>Journal of the Academy of Marketing Science, 45</w:t>
      </w:r>
      <w:r w:rsidRPr="008F3D51">
        <w:rPr>
          <w:rFonts w:ascii="Arial" w:hAnsi="Arial" w:cs="Arial"/>
          <w:lang w:val="en-IN" w:eastAsia="en-AU"/>
        </w:rPr>
        <w:t xml:space="preserve">(3), 294–311. </w:t>
      </w:r>
      <w:hyperlink r:id="rId39" w:tgtFrame="_new" w:history="1">
        <w:r w:rsidR="008F3D51" w:rsidRPr="008F3D51">
          <w:rPr>
            <w:rFonts w:ascii="Arial" w:hAnsi="Arial" w:cs="Arial"/>
            <w:color w:val="0563C1"/>
            <w:u w:val="single"/>
            <w:lang w:val="en-IN" w:eastAsia="en-AU"/>
          </w:rPr>
          <w:t>https://doi.org/10.1007/s11747-016-0485-6</w:t>
        </w:r>
      </w:hyperlink>
    </w:p>
    <w:p w14:paraId="601A3772"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Pantano, E., Pizzi, G., Scarpi, D., &amp; Dennis, C. (2020). Competing during a pandemic? Retailers’ ups and downs during the COVID-19 outbreak. </w:t>
      </w:r>
      <w:r w:rsidRPr="008F3D51">
        <w:rPr>
          <w:rFonts w:ascii="Arial" w:hAnsi="Arial" w:cs="Arial"/>
          <w:i/>
          <w:iCs/>
          <w:lang w:val="en-IN" w:eastAsia="en-AU"/>
        </w:rPr>
        <w:t>Journal of Business Research, 116</w:t>
      </w:r>
      <w:r w:rsidRPr="008F3D51">
        <w:rPr>
          <w:rFonts w:ascii="Arial" w:hAnsi="Arial" w:cs="Arial"/>
          <w:lang w:val="en-IN" w:eastAsia="en-AU"/>
        </w:rPr>
        <w:t xml:space="preserve">, 209–213. </w:t>
      </w:r>
      <w:hyperlink r:id="rId40" w:tgtFrame="_new" w:history="1">
        <w:r w:rsidR="008F3D51" w:rsidRPr="008F3D51">
          <w:rPr>
            <w:rFonts w:ascii="Arial" w:hAnsi="Arial" w:cs="Arial"/>
            <w:color w:val="0563C1"/>
            <w:u w:val="single"/>
            <w:lang w:val="en-IN" w:eastAsia="en-AU"/>
          </w:rPr>
          <w:t>https://doi.org/10.1016/j.jbusres.2020.05.036</w:t>
        </w:r>
      </w:hyperlink>
    </w:p>
    <w:p w14:paraId="68CE024E"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Rather, R. A., Tehseen, S., Itoo, M. H., &amp; Shah, S. A. (2019). Customer brand identification, affective commitment, customer satisfaction, and brand trust as antecedents of customer behavioral intention of loyalty. </w:t>
      </w:r>
      <w:r w:rsidRPr="008F3D51">
        <w:rPr>
          <w:rFonts w:ascii="Arial" w:hAnsi="Arial" w:cs="Arial"/>
          <w:i/>
          <w:iCs/>
          <w:lang w:val="en-IN" w:eastAsia="en-AU"/>
        </w:rPr>
        <w:t>Journal of Global Scholars of Marketing Science, 29</w:t>
      </w:r>
      <w:r w:rsidRPr="008F3D51">
        <w:rPr>
          <w:rFonts w:ascii="Arial" w:hAnsi="Arial" w:cs="Arial"/>
          <w:lang w:val="en-IN" w:eastAsia="en-AU"/>
        </w:rPr>
        <w:t xml:space="preserve">(2), 196–217. </w:t>
      </w:r>
      <w:hyperlink r:id="rId41" w:tgtFrame="_new" w:history="1">
        <w:r w:rsidR="008F3D51" w:rsidRPr="008F3D51">
          <w:rPr>
            <w:rFonts w:ascii="Arial" w:hAnsi="Arial" w:cs="Arial"/>
            <w:color w:val="0563C1"/>
            <w:u w:val="single"/>
            <w:lang w:val="en-IN" w:eastAsia="en-AU"/>
          </w:rPr>
          <w:t>https://doi.org/10.1080/21639159.2019.1577694</w:t>
        </w:r>
      </w:hyperlink>
    </w:p>
    <w:p w14:paraId="423B47C6"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Reinartz, W., Wiegand, N., &amp; Imschloss, M. (2019). The impact of digital transformation on the retailing value chain. </w:t>
      </w:r>
      <w:r w:rsidRPr="008F3D51">
        <w:rPr>
          <w:rFonts w:ascii="Arial" w:hAnsi="Arial" w:cs="Arial"/>
          <w:i/>
          <w:iCs/>
          <w:lang w:val="en-IN" w:eastAsia="en-AU"/>
        </w:rPr>
        <w:t>International Journal of Research in Marketing, 36</w:t>
      </w:r>
      <w:r w:rsidRPr="008F3D51">
        <w:rPr>
          <w:rFonts w:ascii="Arial" w:hAnsi="Arial" w:cs="Arial"/>
          <w:lang w:val="en-IN" w:eastAsia="en-AU"/>
        </w:rPr>
        <w:t xml:space="preserve">(3), 350–366. </w:t>
      </w:r>
      <w:hyperlink r:id="rId42" w:tgtFrame="_new" w:history="1">
        <w:r w:rsidR="008F3D51" w:rsidRPr="008F3D51">
          <w:rPr>
            <w:rFonts w:ascii="Arial" w:hAnsi="Arial" w:cs="Arial"/>
            <w:color w:val="0563C1"/>
            <w:u w:val="single"/>
            <w:lang w:val="en-IN" w:eastAsia="en-AU"/>
          </w:rPr>
          <w:t>https://doi.org/10.1016/j.ijresmar.2018.12.002</w:t>
        </w:r>
      </w:hyperlink>
    </w:p>
    <w:p w14:paraId="773D3DCF"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Saunders, M., Lewis, P., &amp; Thornhill, A. (2019). </w:t>
      </w:r>
      <w:r w:rsidRPr="008F3D51">
        <w:rPr>
          <w:rFonts w:ascii="Arial" w:hAnsi="Arial" w:cs="Arial"/>
          <w:i/>
          <w:iCs/>
          <w:lang w:val="en-IN" w:eastAsia="en-AU"/>
        </w:rPr>
        <w:t>Research methods for business students</w:t>
      </w:r>
      <w:r w:rsidRPr="008F3D51">
        <w:rPr>
          <w:rFonts w:ascii="Arial" w:hAnsi="Arial" w:cs="Arial"/>
          <w:lang w:val="en-IN" w:eastAsia="en-AU"/>
        </w:rPr>
        <w:t xml:space="preserve"> (8th ed.). Pearson Education.</w:t>
      </w:r>
    </w:p>
    <w:p w14:paraId="037927F6"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Shankar, V., Kalyanam, K., Setia, P., Golmohammadi, A., Tirunillai, S., Douglass, T., Hennessey, J., Bull, J. S., &amp; Waddoups, R. (2021). How technology is changing retail. </w:t>
      </w:r>
      <w:r w:rsidRPr="008F3D51">
        <w:rPr>
          <w:rFonts w:ascii="Arial" w:hAnsi="Arial" w:cs="Arial"/>
          <w:i/>
          <w:iCs/>
          <w:lang w:val="en-IN" w:eastAsia="en-AU"/>
        </w:rPr>
        <w:t>Journal of Retailing, 97</w:t>
      </w:r>
      <w:r w:rsidRPr="008F3D51">
        <w:rPr>
          <w:rFonts w:ascii="Arial" w:hAnsi="Arial" w:cs="Arial"/>
          <w:lang w:val="en-IN" w:eastAsia="en-AU"/>
        </w:rPr>
        <w:t xml:space="preserve">(1), 13–27. </w:t>
      </w:r>
      <w:hyperlink r:id="rId43" w:tgtFrame="_new" w:history="1">
        <w:r w:rsidR="008F3D51" w:rsidRPr="008F3D51">
          <w:rPr>
            <w:rFonts w:ascii="Arial" w:hAnsi="Arial" w:cs="Arial"/>
            <w:color w:val="0563C1"/>
            <w:u w:val="single"/>
            <w:lang w:val="en-IN" w:eastAsia="en-AU"/>
          </w:rPr>
          <w:t>https://doi.org/10.1016/j.jretai.2020.10.006</w:t>
        </w:r>
      </w:hyperlink>
    </w:p>
    <w:p w14:paraId="59FEC249"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Singh, R. (2019). Why do online grocery shoppers switch or stay? An exploratory analysis of consumers' response to online grocery shopping experience. </w:t>
      </w:r>
      <w:r w:rsidRPr="008F3D51">
        <w:rPr>
          <w:rFonts w:ascii="Arial" w:hAnsi="Arial" w:cs="Arial"/>
          <w:i/>
          <w:iCs/>
          <w:lang w:val="en-IN" w:eastAsia="en-AU"/>
        </w:rPr>
        <w:t>International Journal of Retail &amp; Distribution Management, 47</w:t>
      </w:r>
      <w:r w:rsidRPr="008F3D51">
        <w:rPr>
          <w:rFonts w:ascii="Arial" w:hAnsi="Arial" w:cs="Arial"/>
          <w:lang w:val="en-IN" w:eastAsia="en-AU"/>
        </w:rPr>
        <w:t xml:space="preserve">(12), 1300–1317. </w:t>
      </w:r>
      <w:hyperlink r:id="rId44" w:tgtFrame="_new" w:history="1">
        <w:r w:rsidR="008F3D51" w:rsidRPr="008F3D51">
          <w:rPr>
            <w:rFonts w:ascii="Arial" w:hAnsi="Arial" w:cs="Arial"/>
            <w:color w:val="0563C1"/>
            <w:u w:val="single"/>
            <w:lang w:val="en-IN" w:eastAsia="en-AU"/>
          </w:rPr>
          <w:t>https://doi.org/10.1108/IJRDM-10-2018-0224</w:t>
        </w:r>
      </w:hyperlink>
    </w:p>
    <w:p w14:paraId="1D705405"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Singh, R., &amp; Söderlund, M. (2020). Extending the experience construct: An examination of online grocery shopping. </w:t>
      </w:r>
      <w:r w:rsidRPr="008F3D51">
        <w:rPr>
          <w:rFonts w:ascii="Arial" w:hAnsi="Arial" w:cs="Arial"/>
          <w:i/>
          <w:iCs/>
          <w:lang w:val="en-IN" w:eastAsia="en-AU"/>
        </w:rPr>
        <w:t>European Journal of Marketing, 54</w:t>
      </w:r>
      <w:r w:rsidRPr="008F3D51">
        <w:rPr>
          <w:rFonts w:ascii="Arial" w:hAnsi="Arial" w:cs="Arial"/>
          <w:lang w:val="en-IN" w:eastAsia="en-AU"/>
        </w:rPr>
        <w:t xml:space="preserve">(10), 2419–2446. </w:t>
      </w:r>
      <w:hyperlink r:id="rId45" w:tgtFrame="_new" w:history="1">
        <w:r w:rsidR="008F3D51" w:rsidRPr="008F3D51">
          <w:rPr>
            <w:rFonts w:ascii="Arial" w:hAnsi="Arial" w:cs="Arial"/>
            <w:color w:val="0563C1"/>
            <w:u w:val="single"/>
            <w:lang w:val="en-IN" w:eastAsia="en-AU"/>
          </w:rPr>
          <w:t>https://doi.org/10.1108/EJM-06-2019-0536</w:t>
        </w:r>
      </w:hyperlink>
    </w:p>
    <w:p w14:paraId="79541410"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Sousa, R., &amp; Voss, C. A. (2006). Service quality in multichannel services employing virtual channels. </w:t>
      </w:r>
      <w:r w:rsidRPr="008F3D51">
        <w:rPr>
          <w:rFonts w:ascii="Arial" w:hAnsi="Arial" w:cs="Arial"/>
          <w:i/>
          <w:iCs/>
          <w:lang w:val="en-IN" w:eastAsia="en-AU"/>
        </w:rPr>
        <w:t>Journal of Service Research, 8</w:t>
      </w:r>
      <w:r w:rsidRPr="008F3D51">
        <w:rPr>
          <w:rFonts w:ascii="Arial" w:hAnsi="Arial" w:cs="Arial"/>
          <w:lang w:val="en-IN" w:eastAsia="en-AU"/>
        </w:rPr>
        <w:t xml:space="preserve">(4), 356–371. </w:t>
      </w:r>
      <w:hyperlink r:id="rId46" w:tgtFrame="_new" w:history="1">
        <w:r w:rsidR="008F3D51" w:rsidRPr="008F3D51">
          <w:rPr>
            <w:rFonts w:ascii="Arial" w:hAnsi="Arial" w:cs="Arial"/>
            <w:color w:val="0563C1"/>
            <w:u w:val="single"/>
            <w:lang w:val="en-IN" w:eastAsia="en-AU"/>
          </w:rPr>
          <w:t>https://doi.org/10.1177/1094670506286324</w:t>
        </w:r>
      </w:hyperlink>
    </w:p>
    <w:p w14:paraId="29929842"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Steinhoff, L., Arli, D., Weaven, S., &amp; Kozlenkova, I. V. (2019). Online relationship marketing. </w:t>
      </w:r>
      <w:r w:rsidRPr="008F3D51">
        <w:rPr>
          <w:rFonts w:ascii="Arial" w:hAnsi="Arial" w:cs="Arial"/>
          <w:i/>
          <w:iCs/>
          <w:lang w:val="en-IN" w:eastAsia="en-AU"/>
        </w:rPr>
        <w:t>Journal of the Academy of Marketing Science, 47</w:t>
      </w:r>
      <w:r w:rsidRPr="008F3D51">
        <w:rPr>
          <w:rFonts w:ascii="Arial" w:hAnsi="Arial" w:cs="Arial"/>
          <w:lang w:val="en-IN" w:eastAsia="en-AU"/>
        </w:rPr>
        <w:t xml:space="preserve">(3), 369–393. </w:t>
      </w:r>
      <w:hyperlink r:id="rId47" w:tgtFrame="_new" w:history="1">
        <w:r w:rsidR="008F3D51" w:rsidRPr="008F3D51">
          <w:rPr>
            <w:rFonts w:ascii="Arial" w:hAnsi="Arial" w:cs="Arial"/>
            <w:color w:val="0563C1"/>
            <w:u w:val="single"/>
            <w:lang w:val="en-IN" w:eastAsia="en-AU"/>
          </w:rPr>
          <w:t>https://doi.org/10.1007/s11747-018-0621-6</w:t>
        </w:r>
      </w:hyperlink>
    </w:p>
    <w:p w14:paraId="77E7EBEC"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lastRenderedPageBreak/>
        <w:t xml:space="preserve">Suraña-Sánchez, C., &amp; Aramendia-Muneta, M. E. (2024). Impact of artificial intelligence on customer engagement and advertising engagement: A review and future research agenda. </w:t>
      </w:r>
      <w:r w:rsidRPr="008F3D51">
        <w:rPr>
          <w:rFonts w:ascii="Arial" w:hAnsi="Arial" w:cs="Arial"/>
          <w:i/>
          <w:iCs/>
          <w:lang w:val="en-IN" w:eastAsia="en-AU"/>
        </w:rPr>
        <w:t>International Journal of Consumer Studies, 48</w:t>
      </w:r>
      <w:r w:rsidRPr="008F3D51">
        <w:rPr>
          <w:rFonts w:ascii="Arial" w:hAnsi="Arial" w:cs="Arial"/>
          <w:lang w:val="en-IN" w:eastAsia="en-AU"/>
        </w:rPr>
        <w:t xml:space="preserve">(2), e13027. </w:t>
      </w:r>
      <w:hyperlink r:id="rId48" w:history="1">
        <w:r w:rsidR="003B0292" w:rsidRPr="00307257">
          <w:rPr>
            <w:rFonts w:ascii="Arial" w:hAnsi="Arial" w:cs="Arial"/>
            <w:color w:val="0563C1"/>
            <w:u w:val="single"/>
            <w:lang w:val="en-IN" w:eastAsia="en-AU"/>
          </w:rPr>
          <w:t>https://doi.org/10.1111/ijcs.13027</w:t>
        </w:r>
      </w:hyperlink>
      <w:r w:rsidR="003B0292">
        <w:rPr>
          <w:rFonts w:ascii="Arial" w:hAnsi="Arial" w:cs="Arial"/>
          <w:lang w:val="en-IN" w:eastAsia="en-AU"/>
        </w:rPr>
        <w:t xml:space="preserve"> </w:t>
      </w:r>
      <w:r w:rsidRPr="008F3D51">
        <w:rPr>
          <w:rFonts w:ascii="Arial" w:hAnsi="Arial" w:cs="Arial"/>
          <w:lang w:val="en-IN" w:eastAsia="en-AU"/>
        </w:rPr>
        <w:t xml:space="preserve"> </w:t>
      </w:r>
    </w:p>
    <w:p w14:paraId="1752B5AC"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Teece, D. J. (2018). Business models and dynamic capabilities. </w:t>
      </w:r>
      <w:r w:rsidRPr="008F3D51">
        <w:rPr>
          <w:rFonts w:ascii="Arial" w:hAnsi="Arial" w:cs="Arial"/>
          <w:i/>
          <w:iCs/>
          <w:lang w:val="en-IN" w:eastAsia="en-AU"/>
        </w:rPr>
        <w:t>Long Range Planning, 51</w:t>
      </w:r>
      <w:r w:rsidRPr="008F3D51">
        <w:rPr>
          <w:rFonts w:ascii="Arial" w:hAnsi="Arial" w:cs="Arial"/>
          <w:lang w:val="en-IN" w:eastAsia="en-AU"/>
        </w:rPr>
        <w:t xml:space="preserve">(1), 40–49. </w:t>
      </w:r>
      <w:hyperlink r:id="rId49" w:tgtFrame="_new" w:history="1">
        <w:r w:rsidR="008F3D51" w:rsidRPr="008F3D51">
          <w:rPr>
            <w:rFonts w:ascii="Arial" w:hAnsi="Arial" w:cs="Arial"/>
            <w:color w:val="0563C1"/>
            <w:u w:val="single"/>
            <w:lang w:val="en-IN" w:eastAsia="en-AU"/>
          </w:rPr>
          <w:t>https://doi.org/10.1016/j.lrp.2017.06.007</w:t>
        </w:r>
      </w:hyperlink>
    </w:p>
    <w:p w14:paraId="5B10418D"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Tesco PLC. (2024). </w:t>
      </w:r>
      <w:r w:rsidRPr="008F3D51">
        <w:rPr>
          <w:rFonts w:ascii="Arial" w:hAnsi="Arial" w:cs="Arial"/>
          <w:i/>
          <w:iCs/>
          <w:lang w:val="en-IN" w:eastAsia="en-AU"/>
        </w:rPr>
        <w:t>Annual report and financial statements 2024</w:t>
      </w:r>
      <w:r w:rsidRPr="008F3D51">
        <w:rPr>
          <w:rFonts w:ascii="Arial" w:hAnsi="Arial" w:cs="Arial"/>
          <w:lang w:val="en-IN" w:eastAsia="en-AU"/>
        </w:rPr>
        <w:t>. Tesco PLC.</w:t>
      </w:r>
    </w:p>
    <w:p w14:paraId="19AFB5A9"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Vakulenko, Y., Shams, P., Hellström, D., &amp; Hjort, K. (2019). Service innovation in e-commerce last mile delivery: Mapping the e-customer journey. </w:t>
      </w:r>
      <w:r w:rsidRPr="008F3D51">
        <w:rPr>
          <w:rFonts w:ascii="Arial" w:hAnsi="Arial" w:cs="Arial"/>
          <w:i/>
          <w:iCs/>
          <w:lang w:val="en-IN" w:eastAsia="en-AU"/>
        </w:rPr>
        <w:t>Journal of Business Research, 101</w:t>
      </w:r>
      <w:r w:rsidRPr="008F3D51">
        <w:rPr>
          <w:rFonts w:ascii="Arial" w:hAnsi="Arial" w:cs="Arial"/>
          <w:lang w:val="en-IN" w:eastAsia="en-AU"/>
        </w:rPr>
        <w:t xml:space="preserve">, 461–468. </w:t>
      </w:r>
      <w:hyperlink r:id="rId50" w:tgtFrame="_new" w:history="1">
        <w:r w:rsidR="008F3D51" w:rsidRPr="008F3D51">
          <w:rPr>
            <w:rFonts w:ascii="Arial" w:hAnsi="Arial" w:cs="Arial"/>
            <w:color w:val="0563C1"/>
            <w:u w:val="single"/>
            <w:lang w:val="en-IN" w:eastAsia="en-AU"/>
          </w:rPr>
          <w:t>https://doi.org/10.1016/j.jbusres.2019.01.016</w:t>
        </w:r>
      </w:hyperlink>
    </w:p>
    <w:p w14:paraId="04D8DC68"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Venkatesh, V., Thong, J. Y. L., &amp; Xu, X. (2012). Consumer acceptance and use of information technology: Extending the unified theory of acceptance and use of technology. </w:t>
      </w:r>
      <w:r w:rsidRPr="008F3D51">
        <w:rPr>
          <w:rFonts w:ascii="Arial" w:hAnsi="Arial" w:cs="Arial"/>
          <w:i/>
          <w:iCs/>
          <w:lang w:val="en-IN" w:eastAsia="en-AU"/>
        </w:rPr>
        <w:t>MIS Quarterly, 36</w:t>
      </w:r>
      <w:r w:rsidRPr="008F3D51">
        <w:rPr>
          <w:rFonts w:ascii="Arial" w:hAnsi="Arial" w:cs="Arial"/>
          <w:lang w:val="en-IN" w:eastAsia="en-AU"/>
        </w:rPr>
        <w:t xml:space="preserve">(1), 157–178. </w:t>
      </w:r>
      <w:hyperlink r:id="rId51" w:tgtFrame="_new" w:history="1">
        <w:r w:rsidR="008F3D51" w:rsidRPr="008F3D51">
          <w:rPr>
            <w:rFonts w:ascii="Arial" w:hAnsi="Arial" w:cs="Arial"/>
            <w:color w:val="0563C1"/>
            <w:u w:val="single"/>
            <w:lang w:val="en-IN" w:eastAsia="en-AU"/>
          </w:rPr>
          <w:t>https://doi.org/10.2307/41410412</w:t>
        </w:r>
      </w:hyperlink>
    </w:p>
    <w:p w14:paraId="0E8C2440"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Verhoef, P. C., Broekhuizen, T., Bart, Y., Bhattacharya, A., Qi Dong, J., Fabian, N., &amp; Haenlein, M. (2021). Digital transformation: A multidisciplinary reflection and research agenda. </w:t>
      </w:r>
      <w:r w:rsidRPr="008F3D51">
        <w:rPr>
          <w:rFonts w:ascii="Arial" w:hAnsi="Arial" w:cs="Arial"/>
          <w:i/>
          <w:iCs/>
          <w:lang w:val="en-IN" w:eastAsia="en-AU"/>
        </w:rPr>
        <w:t>Journal of Business Research, 122</w:t>
      </w:r>
      <w:r w:rsidRPr="008F3D51">
        <w:rPr>
          <w:rFonts w:ascii="Arial" w:hAnsi="Arial" w:cs="Arial"/>
          <w:lang w:val="en-IN" w:eastAsia="en-AU"/>
        </w:rPr>
        <w:t xml:space="preserve">, 889–901. </w:t>
      </w:r>
      <w:hyperlink r:id="rId52" w:tgtFrame="_new" w:history="1">
        <w:r w:rsidR="008F3D51" w:rsidRPr="008F3D51">
          <w:rPr>
            <w:rFonts w:ascii="Arial" w:hAnsi="Arial" w:cs="Arial"/>
            <w:color w:val="0563C1"/>
            <w:u w:val="single"/>
            <w:lang w:val="en-IN" w:eastAsia="en-AU"/>
          </w:rPr>
          <w:t>https://doi.org/10.1016/j.jbusres.2019.09.022</w:t>
        </w:r>
      </w:hyperlink>
    </w:p>
    <w:p w14:paraId="31577402"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Vial, G. (2019). Understanding digital transformation: A review and a research agenda. </w:t>
      </w:r>
      <w:r w:rsidRPr="008F3D51">
        <w:rPr>
          <w:rFonts w:ascii="Arial" w:hAnsi="Arial" w:cs="Arial"/>
          <w:i/>
          <w:iCs/>
          <w:lang w:val="en-IN" w:eastAsia="en-AU"/>
        </w:rPr>
        <w:t>The Journal of Strategic Information Systems, 28</w:t>
      </w:r>
      <w:r w:rsidRPr="008F3D51">
        <w:rPr>
          <w:rFonts w:ascii="Arial" w:hAnsi="Arial" w:cs="Arial"/>
          <w:lang w:val="en-IN" w:eastAsia="en-AU"/>
        </w:rPr>
        <w:t xml:space="preserve">(2), 118–144. </w:t>
      </w:r>
      <w:hyperlink r:id="rId53" w:tgtFrame="_new" w:history="1">
        <w:r w:rsidR="008F3D51" w:rsidRPr="008F3D51">
          <w:rPr>
            <w:rFonts w:ascii="Arial" w:hAnsi="Arial" w:cs="Arial"/>
            <w:color w:val="0563C1"/>
            <w:u w:val="single"/>
            <w:lang w:val="en-IN" w:eastAsia="en-AU"/>
          </w:rPr>
          <w:t>https://doi.org/10.1016/j.jsis.2019.01.003</w:t>
        </w:r>
      </w:hyperlink>
    </w:p>
    <w:p w14:paraId="030A3285"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Wang, Y., Kung, L., &amp; Byrd, T. A. (2018). Big data analytics: Understanding its capabilities and potential benefits for healthcare organizations. </w:t>
      </w:r>
      <w:r w:rsidRPr="008F3D51">
        <w:rPr>
          <w:rFonts w:ascii="Arial" w:hAnsi="Arial" w:cs="Arial"/>
          <w:i/>
          <w:iCs/>
          <w:lang w:val="en-IN" w:eastAsia="en-AU"/>
        </w:rPr>
        <w:t>Technological Forecasting and Social Change, 126</w:t>
      </w:r>
      <w:r w:rsidRPr="008F3D51">
        <w:rPr>
          <w:rFonts w:ascii="Arial" w:hAnsi="Arial" w:cs="Arial"/>
          <w:lang w:val="en-IN" w:eastAsia="en-AU"/>
        </w:rPr>
        <w:t xml:space="preserve">, 3–13. </w:t>
      </w:r>
      <w:hyperlink r:id="rId54" w:tgtFrame="_new" w:history="1">
        <w:r w:rsidR="008F3D51" w:rsidRPr="008F3D51">
          <w:rPr>
            <w:rFonts w:ascii="Arial" w:hAnsi="Arial" w:cs="Arial"/>
            <w:color w:val="0563C1"/>
            <w:u w:val="single"/>
            <w:lang w:val="en-IN" w:eastAsia="en-AU"/>
          </w:rPr>
          <w:t>https://doi.org/10.1016/j.techfore.2015.12.019</w:t>
        </w:r>
      </w:hyperlink>
    </w:p>
    <w:p w14:paraId="3940B7DD"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Warner, K. S. R., &amp; Wäger, M. (2019). Building dynamic capabilities for digital transformation: An ongoing process of strategic renewal. </w:t>
      </w:r>
      <w:r w:rsidRPr="008F3D51">
        <w:rPr>
          <w:rFonts w:ascii="Arial" w:hAnsi="Arial" w:cs="Arial"/>
          <w:i/>
          <w:iCs/>
          <w:lang w:val="en-IN" w:eastAsia="en-AU"/>
        </w:rPr>
        <w:t>Long Range Planning, 52</w:t>
      </w:r>
      <w:r w:rsidRPr="008F3D51">
        <w:rPr>
          <w:rFonts w:ascii="Arial" w:hAnsi="Arial" w:cs="Arial"/>
          <w:lang w:val="en-IN" w:eastAsia="en-AU"/>
        </w:rPr>
        <w:t xml:space="preserve">(3), 326–349. </w:t>
      </w:r>
      <w:hyperlink r:id="rId55" w:tgtFrame="_new" w:history="1">
        <w:r w:rsidR="008F3D51" w:rsidRPr="008F3D51">
          <w:rPr>
            <w:rFonts w:ascii="Arial" w:hAnsi="Arial" w:cs="Arial"/>
            <w:color w:val="0563C1"/>
            <w:u w:val="single"/>
            <w:lang w:val="en-IN" w:eastAsia="en-AU"/>
          </w:rPr>
          <w:t>https://doi.org/10.1016/j.lrp.2018.12.001</w:t>
        </w:r>
      </w:hyperlink>
    </w:p>
    <w:p w14:paraId="02DA5ED3"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Xuan, Q. T., Truong, H. T. H., &amp; Vo, T. Q. (2023). The impacts of omnichannel retailing properties on customer experience and brand loyalty: A study in the banking sector. </w:t>
      </w:r>
      <w:r w:rsidRPr="008F3D51">
        <w:rPr>
          <w:rFonts w:ascii="Arial" w:hAnsi="Arial" w:cs="Arial"/>
          <w:i/>
          <w:iCs/>
          <w:lang w:val="en-IN" w:eastAsia="en-AU"/>
        </w:rPr>
        <w:t>Cogent Business &amp; Management, 10</w:t>
      </w:r>
      <w:r w:rsidRPr="008F3D51">
        <w:rPr>
          <w:rFonts w:ascii="Arial" w:hAnsi="Arial" w:cs="Arial"/>
          <w:lang w:val="en-IN" w:eastAsia="en-AU"/>
        </w:rPr>
        <w:t xml:space="preserve">(2), 2244765. </w:t>
      </w:r>
      <w:hyperlink r:id="rId56" w:tgtFrame="_new" w:history="1">
        <w:r w:rsidR="008F3D51" w:rsidRPr="008F3D51">
          <w:rPr>
            <w:rFonts w:ascii="Arial" w:hAnsi="Arial" w:cs="Arial"/>
            <w:color w:val="0563C1"/>
            <w:u w:val="single"/>
            <w:lang w:val="en-IN" w:eastAsia="en-AU"/>
          </w:rPr>
          <w:t>https://doi.org/10.1080/23311975.2023.2244765</w:t>
        </w:r>
      </w:hyperlink>
      <w:r w:rsidRPr="008F3D51">
        <w:rPr>
          <w:rFonts w:ascii="Arial" w:hAnsi="Arial" w:cs="Arial"/>
          <w:lang w:val="en-IN" w:eastAsia="en-AU"/>
        </w:rPr>
        <w:t xml:space="preserve"> </w:t>
      </w:r>
    </w:p>
    <w:p w14:paraId="0E747E5A"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lastRenderedPageBreak/>
        <w:t xml:space="preserve">Yin, R. K. (2018). </w:t>
      </w:r>
      <w:r w:rsidRPr="008F3D51">
        <w:rPr>
          <w:rFonts w:ascii="Arial" w:hAnsi="Arial" w:cs="Arial"/>
          <w:i/>
          <w:iCs/>
          <w:lang w:val="en-IN" w:eastAsia="en-AU"/>
        </w:rPr>
        <w:t>Case study research and applications: Design and methods</w:t>
      </w:r>
      <w:r w:rsidRPr="008F3D51">
        <w:rPr>
          <w:rFonts w:ascii="Arial" w:hAnsi="Arial" w:cs="Arial"/>
          <w:lang w:val="en-IN" w:eastAsia="en-AU"/>
        </w:rPr>
        <w:t xml:space="preserve"> (6th ed.). SAGE Publications.</w:t>
      </w:r>
    </w:p>
    <w:p w14:paraId="261FF0EE" w14:textId="77777777" w:rsidR="008F3D51" w:rsidRPr="008F3D51" w:rsidRDefault="00000000" w:rsidP="008F3D51">
      <w:pPr>
        <w:spacing w:line="360" w:lineRule="auto"/>
        <w:rPr>
          <w:rFonts w:ascii="Arial" w:hAnsi="Arial" w:cs="Arial"/>
          <w:lang w:val="en-IN" w:eastAsia="en-AU"/>
        </w:rPr>
      </w:pPr>
      <w:r w:rsidRPr="008F3D51">
        <w:rPr>
          <w:rFonts w:ascii="Arial" w:hAnsi="Arial" w:cs="Arial"/>
          <w:lang w:val="en-IN" w:eastAsia="en-AU"/>
        </w:rPr>
        <w:t xml:space="preserve">Younas, A., &amp; Inayat, S. (2025). Choosing an analytical approach in case study research. </w:t>
      </w:r>
      <w:r w:rsidRPr="008F3D51">
        <w:rPr>
          <w:rFonts w:ascii="Arial" w:hAnsi="Arial" w:cs="Arial"/>
          <w:i/>
          <w:iCs/>
          <w:lang w:val="en-IN" w:eastAsia="en-AU"/>
        </w:rPr>
        <w:t>Global Qualitative Nursing Research, 12</w:t>
      </w:r>
      <w:r w:rsidRPr="008F3D51">
        <w:rPr>
          <w:rFonts w:ascii="Arial" w:hAnsi="Arial" w:cs="Arial"/>
          <w:lang w:val="en-IN" w:eastAsia="en-AU"/>
        </w:rPr>
        <w:t xml:space="preserve">. </w:t>
      </w:r>
      <w:hyperlink r:id="rId57" w:tgtFrame="_new" w:history="1">
        <w:r w:rsidR="008F3D51" w:rsidRPr="008F3D51">
          <w:rPr>
            <w:rFonts w:ascii="Arial" w:hAnsi="Arial" w:cs="Arial"/>
            <w:color w:val="0563C1"/>
            <w:u w:val="single"/>
            <w:lang w:val="en-IN" w:eastAsia="en-AU"/>
          </w:rPr>
          <w:t>https://doi.org/10.1177/10784535241306773</w:t>
        </w:r>
      </w:hyperlink>
    </w:p>
    <w:p w14:paraId="326AA7B7" w14:textId="77777777" w:rsidR="00327ACA" w:rsidRDefault="00327ACA" w:rsidP="008F3D51">
      <w:pPr>
        <w:spacing w:line="360" w:lineRule="auto"/>
        <w:rPr>
          <w:rFonts w:ascii="Arial" w:hAnsi="Arial" w:cs="Arial"/>
          <w:lang w:val="en-AU" w:eastAsia="en-AU"/>
        </w:rPr>
      </w:pPr>
    </w:p>
    <w:p w14:paraId="40B0D55F" w14:textId="77777777" w:rsidR="00E0460A" w:rsidRDefault="00E0460A" w:rsidP="008F3D51">
      <w:pPr>
        <w:spacing w:line="360" w:lineRule="auto"/>
        <w:rPr>
          <w:rFonts w:ascii="Arial" w:hAnsi="Arial" w:cs="Arial"/>
          <w:lang w:val="en-AU" w:eastAsia="en-AU"/>
        </w:rPr>
      </w:pPr>
    </w:p>
    <w:p w14:paraId="5AF678B3" w14:textId="77777777" w:rsidR="00E0460A" w:rsidRDefault="00E0460A" w:rsidP="008F3D51">
      <w:pPr>
        <w:spacing w:line="360" w:lineRule="auto"/>
        <w:rPr>
          <w:rFonts w:ascii="Arial" w:hAnsi="Arial" w:cs="Arial"/>
          <w:lang w:val="en-AU" w:eastAsia="en-AU"/>
        </w:rPr>
      </w:pPr>
    </w:p>
    <w:p w14:paraId="3C81470A" w14:textId="77777777" w:rsidR="00E0460A" w:rsidRDefault="00E0460A" w:rsidP="008F3D51">
      <w:pPr>
        <w:spacing w:line="360" w:lineRule="auto"/>
        <w:rPr>
          <w:rFonts w:ascii="Arial" w:hAnsi="Arial" w:cs="Arial"/>
          <w:lang w:val="en-AU" w:eastAsia="en-AU"/>
        </w:rPr>
      </w:pPr>
    </w:p>
    <w:p w14:paraId="468F2692" w14:textId="77777777" w:rsidR="00E0460A" w:rsidRDefault="00E0460A" w:rsidP="008F3D51">
      <w:pPr>
        <w:spacing w:line="360" w:lineRule="auto"/>
        <w:rPr>
          <w:rFonts w:ascii="Arial" w:hAnsi="Arial" w:cs="Arial"/>
          <w:lang w:val="en-AU" w:eastAsia="en-AU"/>
        </w:rPr>
      </w:pPr>
    </w:p>
    <w:p w14:paraId="7CC78401" w14:textId="77777777" w:rsidR="00E0460A" w:rsidRDefault="00E0460A" w:rsidP="008F3D51">
      <w:pPr>
        <w:spacing w:line="360" w:lineRule="auto"/>
        <w:rPr>
          <w:rFonts w:ascii="Arial" w:hAnsi="Arial" w:cs="Arial"/>
          <w:lang w:val="en-AU" w:eastAsia="en-AU"/>
        </w:rPr>
      </w:pPr>
    </w:p>
    <w:p w14:paraId="0D2019D2" w14:textId="77777777" w:rsidR="00E0460A" w:rsidRDefault="00E0460A" w:rsidP="008F3D51">
      <w:pPr>
        <w:spacing w:line="360" w:lineRule="auto"/>
        <w:rPr>
          <w:rFonts w:ascii="Arial" w:hAnsi="Arial" w:cs="Arial"/>
          <w:lang w:val="en-AU" w:eastAsia="en-AU"/>
        </w:rPr>
      </w:pPr>
    </w:p>
    <w:p w14:paraId="238B3FB8" w14:textId="77777777" w:rsidR="00E0460A" w:rsidRDefault="00E0460A" w:rsidP="008F3D51">
      <w:pPr>
        <w:spacing w:line="360" w:lineRule="auto"/>
        <w:rPr>
          <w:rFonts w:ascii="Arial" w:hAnsi="Arial" w:cs="Arial"/>
          <w:lang w:val="en-AU" w:eastAsia="en-AU"/>
        </w:rPr>
      </w:pPr>
    </w:p>
    <w:p w14:paraId="301832B0" w14:textId="77777777" w:rsidR="00E0460A" w:rsidRDefault="00E0460A" w:rsidP="008F3D51">
      <w:pPr>
        <w:spacing w:line="360" w:lineRule="auto"/>
        <w:rPr>
          <w:rFonts w:ascii="Arial" w:hAnsi="Arial" w:cs="Arial"/>
          <w:lang w:val="en-AU" w:eastAsia="en-AU"/>
        </w:rPr>
      </w:pPr>
    </w:p>
    <w:p w14:paraId="2B5D504C" w14:textId="77777777" w:rsidR="00E0460A" w:rsidRDefault="00E0460A" w:rsidP="008F3D51">
      <w:pPr>
        <w:spacing w:line="360" w:lineRule="auto"/>
        <w:rPr>
          <w:rFonts w:ascii="Arial" w:hAnsi="Arial" w:cs="Arial"/>
          <w:lang w:val="en-AU" w:eastAsia="en-AU"/>
        </w:rPr>
      </w:pPr>
    </w:p>
    <w:p w14:paraId="35DE3C97" w14:textId="77777777" w:rsidR="00E0460A" w:rsidRDefault="00E0460A" w:rsidP="008F3D51">
      <w:pPr>
        <w:spacing w:line="360" w:lineRule="auto"/>
        <w:rPr>
          <w:rFonts w:ascii="Arial" w:hAnsi="Arial" w:cs="Arial"/>
          <w:lang w:val="en-AU" w:eastAsia="en-AU"/>
        </w:rPr>
      </w:pPr>
    </w:p>
    <w:p w14:paraId="29C7438D" w14:textId="77777777" w:rsidR="00E0460A" w:rsidRDefault="00E0460A" w:rsidP="008F3D51">
      <w:pPr>
        <w:spacing w:line="360" w:lineRule="auto"/>
        <w:rPr>
          <w:rFonts w:ascii="Arial" w:hAnsi="Arial" w:cs="Arial"/>
          <w:lang w:val="en-AU" w:eastAsia="en-AU"/>
        </w:rPr>
      </w:pPr>
    </w:p>
    <w:p w14:paraId="5C7731C4" w14:textId="77777777" w:rsidR="00E0460A" w:rsidRDefault="00E0460A" w:rsidP="008F3D51">
      <w:pPr>
        <w:spacing w:line="360" w:lineRule="auto"/>
        <w:rPr>
          <w:rFonts w:ascii="Arial" w:hAnsi="Arial" w:cs="Arial"/>
          <w:lang w:val="en-AU" w:eastAsia="en-AU"/>
        </w:rPr>
      </w:pPr>
    </w:p>
    <w:p w14:paraId="63BD1939" w14:textId="77777777" w:rsidR="00E0460A" w:rsidRDefault="00E0460A" w:rsidP="008F3D51">
      <w:pPr>
        <w:spacing w:line="360" w:lineRule="auto"/>
        <w:rPr>
          <w:rFonts w:ascii="Arial" w:hAnsi="Arial" w:cs="Arial"/>
          <w:lang w:val="en-AU" w:eastAsia="en-AU"/>
        </w:rPr>
      </w:pPr>
    </w:p>
    <w:p w14:paraId="687D848F" w14:textId="77777777" w:rsidR="00E0460A" w:rsidRDefault="00E0460A" w:rsidP="008F3D51">
      <w:pPr>
        <w:spacing w:line="360" w:lineRule="auto"/>
        <w:rPr>
          <w:rFonts w:ascii="Arial" w:hAnsi="Arial" w:cs="Arial"/>
          <w:lang w:val="en-AU" w:eastAsia="en-AU"/>
        </w:rPr>
      </w:pPr>
    </w:p>
    <w:p w14:paraId="32534E85" w14:textId="77777777" w:rsidR="00E0460A" w:rsidRDefault="00E0460A" w:rsidP="008F3D51">
      <w:pPr>
        <w:spacing w:line="360" w:lineRule="auto"/>
        <w:rPr>
          <w:rFonts w:ascii="Arial" w:hAnsi="Arial" w:cs="Arial"/>
          <w:lang w:val="en-AU" w:eastAsia="en-AU"/>
        </w:rPr>
      </w:pPr>
    </w:p>
    <w:p w14:paraId="40F825B9" w14:textId="77777777" w:rsidR="00E0460A" w:rsidRDefault="00E0460A" w:rsidP="008F3D51">
      <w:pPr>
        <w:spacing w:line="360" w:lineRule="auto"/>
        <w:rPr>
          <w:rFonts w:ascii="Arial" w:hAnsi="Arial" w:cs="Arial"/>
          <w:lang w:val="en-AU" w:eastAsia="en-AU"/>
        </w:rPr>
      </w:pPr>
    </w:p>
    <w:p w14:paraId="0ACC0925" w14:textId="77777777" w:rsidR="00E0460A" w:rsidRDefault="00E0460A" w:rsidP="008F3D51">
      <w:pPr>
        <w:spacing w:line="360" w:lineRule="auto"/>
        <w:rPr>
          <w:rFonts w:ascii="Arial" w:hAnsi="Arial" w:cs="Arial"/>
          <w:lang w:val="en-AU" w:eastAsia="en-AU"/>
        </w:rPr>
      </w:pPr>
    </w:p>
    <w:p w14:paraId="5087893D" w14:textId="77777777" w:rsidR="00E0460A" w:rsidRDefault="00E0460A" w:rsidP="008F3D51">
      <w:pPr>
        <w:spacing w:line="360" w:lineRule="auto"/>
        <w:rPr>
          <w:rFonts w:ascii="Arial" w:hAnsi="Arial" w:cs="Arial"/>
          <w:lang w:val="en-AU" w:eastAsia="en-AU"/>
        </w:rPr>
      </w:pPr>
    </w:p>
    <w:p w14:paraId="7AA8B6DC" w14:textId="77777777" w:rsidR="00E0460A" w:rsidRDefault="00E0460A" w:rsidP="008F3D51">
      <w:pPr>
        <w:spacing w:line="360" w:lineRule="auto"/>
        <w:rPr>
          <w:rFonts w:ascii="Arial" w:hAnsi="Arial" w:cs="Arial"/>
          <w:lang w:val="en-AU" w:eastAsia="en-AU"/>
        </w:rPr>
      </w:pPr>
    </w:p>
    <w:p w14:paraId="357BFDA0" w14:textId="77777777" w:rsidR="00E0460A" w:rsidRDefault="00E0460A" w:rsidP="008F3D51">
      <w:pPr>
        <w:spacing w:line="360" w:lineRule="auto"/>
        <w:rPr>
          <w:rFonts w:ascii="Arial" w:hAnsi="Arial" w:cs="Arial"/>
          <w:lang w:val="en-AU" w:eastAsia="en-AU"/>
        </w:rPr>
      </w:pPr>
    </w:p>
    <w:p w14:paraId="70BDA595" w14:textId="77777777" w:rsidR="00E0460A" w:rsidRDefault="00E0460A" w:rsidP="008F3D51">
      <w:pPr>
        <w:spacing w:line="360" w:lineRule="auto"/>
        <w:rPr>
          <w:rFonts w:ascii="Arial" w:hAnsi="Arial" w:cs="Arial"/>
          <w:lang w:val="en-AU" w:eastAsia="en-AU"/>
        </w:rPr>
      </w:pPr>
    </w:p>
    <w:p w14:paraId="368649C1" w14:textId="77777777" w:rsidR="00E0460A" w:rsidRDefault="00E0460A" w:rsidP="008F3D51">
      <w:pPr>
        <w:spacing w:line="360" w:lineRule="auto"/>
        <w:rPr>
          <w:rFonts w:ascii="Arial" w:hAnsi="Arial" w:cs="Arial"/>
          <w:lang w:val="en-AU" w:eastAsia="en-AU"/>
        </w:rPr>
      </w:pPr>
    </w:p>
    <w:p w14:paraId="58C83812" w14:textId="77777777" w:rsidR="00E0460A" w:rsidRDefault="00E0460A" w:rsidP="008F3D51">
      <w:pPr>
        <w:spacing w:line="360" w:lineRule="auto"/>
        <w:rPr>
          <w:rFonts w:ascii="Arial" w:hAnsi="Arial" w:cs="Arial"/>
          <w:lang w:val="en-AU" w:eastAsia="en-AU"/>
        </w:rPr>
      </w:pPr>
    </w:p>
    <w:p w14:paraId="141BE4E8" w14:textId="77777777" w:rsidR="00E0460A" w:rsidRDefault="00E0460A" w:rsidP="008F3D51">
      <w:pPr>
        <w:spacing w:line="360" w:lineRule="auto"/>
        <w:rPr>
          <w:rFonts w:ascii="Arial" w:hAnsi="Arial" w:cs="Arial"/>
          <w:lang w:val="en-AU" w:eastAsia="en-AU"/>
        </w:rPr>
      </w:pPr>
    </w:p>
    <w:p w14:paraId="0D294E02" w14:textId="77777777" w:rsidR="00E0460A" w:rsidRPr="000E29EC" w:rsidRDefault="00E0460A" w:rsidP="008F3D51">
      <w:pPr>
        <w:spacing w:line="360" w:lineRule="auto"/>
        <w:rPr>
          <w:rFonts w:ascii="Arial" w:hAnsi="Arial" w:cs="Arial"/>
          <w:lang w:val="en-AU" w:eastAsia="en-AU"/>
        </w:rPr>
        <w:sectPr w:rsidR="00E0460A" w:rsidRPr="000E29EC" w:rsidSect="00EE3DF0">
          <w:footerReference w:type="default" r:id="rId58"/>
          <w:pgSz w:w="12240" w:h="15840"/>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20"/>
          <w:docGrid w:linePitch="360"/>
        </w:sectPr>
      </w:pPr>
    </w:p>
    <w:p w14:paraId="04A25F46" w14:textId="77777777" w:rsidR="0040057E" w:rsidRPr="00E55061" w:rsidRDefault="00000000" w:rsidP="00E55061">
      <w:pPr>
        <w:pStyle w:val="Heading1"/>
      </w:pPr>
      <w:bookmarkStart w:id="97" w:name="_Ref237734011"/>
      <w:bookmarkStart w:id="98" w:name="_Toc238670413"/>
      <w:r w:rsidRPr="00E55061">
        <w:lastRenderedPageBreak/>
        <w:t>Appendix:</w:t>
      </w:r>
      <w:bookmarkEnd w:id="97"/>
      <w:bookmarkEnd w:id="98"/>
    </w:p>
    <w:p w14:paraId="642DAAEA" w14:textId="77777777" w:rsidR="00436BC6" w:rsidRPr="00F239F5" w:rsidRDefault="00000000" w:rsidP="00D81527">
      <w:pPr>
        <w:spacing w:after="120" w:line="276" w:lineRule="auto"/>
        <w:rPr>
          <w:rFonts w:ascii="Arial" w:hAnsi="Arial" w:cs="Arial"/>
          <w:sz w:val="16"/>
          <w:szCs w:val="16"/>
        </w:rPr>
      </w:pPr>
      <w:r w:rsidRPr="00F239F5">
        <w:rPr>
          <w:rFonts w:ascii="Arial" w:hAnsi="Arial" w:cs="Arial"/>
          <w:b/>
          <w:sz w:val="16"/>
          <w:szCs w:val="16"/>
        </w:rPr>
        <w:t>50 Journal Articles</w:t>
      </w:r>
    </w:p>
    <w:tbl>
      <w:tblPr>
        <w:tblStyle w:val="TableGrid"/>
        <w:tblW w:w="0" w:type="auto"/>
        <w:jc w:val="center"/>
        <w:tblLayout w:type="fixed"/>
        <w:tblLook w:val="04A0" w:firstRow="1" w:lastRow="0" w:firstColumn="1" w:lastColumn="0" w:noHBand="0" w:noVBand="1"/>
      </w:tblPr>
      <w:tblGrid>
        <w:gridCol w:w="504"/>
        <w:gridCol w:w="1512"/>
        <w:gridCol w:w="605"/>
        <w:gridCol w:w="1944"/>
        <w:gridCol w:w="1584"/>
        <w:gridCol w:w="2016"/>
        <w:gridCol w:w="1512"/>
        <w:gridCol w:w="1800"/>
        <w:gridCol w:w="1181"/>
        <w:gridCol w:w="1325"/>
        <w:gridCol w:w="1800"/>
      </w:tblGrid>
      <w:tr w:rsidR="00E740B3" w:rsidRPr="00F239F5" w14:paraId="67D8C608" w14:textId="77777777">
        <w:trPr>
          <w:tblHeader/>
          <w:jc w:val="center"/>
        </w:trPr>
        <w:tc>
          <w:tcPr>
            <w:tcW w:w="504" w:type="dxa"/>
            <w:shd w:val="clear" w:color="auto" w:fill="D9E1F2"/>
            <w:tcMar>
              <w:top w:w="28" w:type="dxa"/>
              <w:left w:w="30" w:type="dxa"/>
              <w:bottom w:w="28" w:type="dxa"/>
              <w:right w:w="30" w:type="dxa"/>
            </w:tcMar>
          </w:tcPr>
          <w:p w14:paraId="4702AC79"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b/>
                <w:sz w:val="16"/>
                <w:szCs w:val="16"/>
              </w:rPr>
              <w:t>Index</w:t>
            </w:r>
          </w:p>
        </w:tc>
        <w:tc>
          <w:tcPr>
            <w:tcW w:w="1512" w:type="dxa"/>
            <w:shd w:val="clear" w:color="auto" w:fill="D9E1F2"/>
            <w:tcMar>
              <w:top w:w="28" w:type="dxa"/>
              <w:left w:w="30" w:type="dxa"/>
              <w:bottom w:w="28" w:type="dxa"/>
              <w:right w:w="30" w:type="dxa"/>
            </w:tcMar>
          </w:tcPr>
          <w:p w14:paraId="4C9F732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b/>
                <w:sz w:val="16"/>
                <w:szCs w:val="16"/>
              </w:rPr>
              <w:t>Author(s)</w:t>
            </w:r>
          </w:p>
        </w:tc>
        <w:tc>
          <w:tcPr>
            <w:tcW w:w="605" w:type="dxa"/>
            <w:shd w:val="clear" w:color="auto" w:fill="D9E1F2"/>
            <w:tcMar>
              <w:top w:w="28" w:type="dxa"/>
              <w:left w:w="30" w:type="dxa"/>
              <w:bottom w:w="28" w:type="dxa"/>
              <w:right w:w="30" w:type="dxa"/>
            </w:tcMar>
          </w:tcPr>
          <w:p w14:paraId="1C1166C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b/>
                <w:sz w:val="16"/>
                <w:szCs w:val="16"/>
              </w:rPr>
              <w:t>Year</w:t>
            </w:r>
          </w:p>
        </w:tc>
        <w:tc>
          <w:tcPr>
            <w:tcW w:w="1944" w:type="dxa"/>
            <w:shd w:val="clear" w:color="auto" w:fill="D9E1F2"/>
            <w:tcMar>
              <w:top w:w="28" w:type="dxa"/>
              <w:left w:w="30" w:type="dxa"/>
              <w:bottom w:w="28" w:type="dxa"/>
              <w:right w:w="30" w:type="dxa"/>
            </w:tcMar>
          </w:tcPr>
          <w:p w14:paraId="62A192D3"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b/>
                <w:sz w:val="16"/>
                <w:szCs w:val="16"/>
              </w:rPr>
              <w:t>Article Title</w:t>
            </w:r>
          </w:p>
        </w:tc>
        <w:tc>
          <w:tcPr>
            <w:tcW w:w="1584" w:type="dxa"/>
            <w:shd w:val="clear" w:color="auto" w:fill="D9E1F2"/>
            <w:tcMar>
              <w:top w:w="28" w:type="dxa"/>
              <w:left w:w="30" w:type="dxa"/>
              <w:bottom w:w="28" w:type="dxa"/>
              <w:right w:w="30" w:type="dxa"/>
            </w:tcMar>
          </w:tcPr>
          <w:p w14:paraId="6B8A8603"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b/>
                <w:sz w:val="16"/>
                <w:szCs w:val="16"/>
              </w:rPr>
              <w:t>Journal</w:t>
            </w:r>
          </w:p>
        </w:tc>
        <w:tc>
          <w:tcPr>
            <w:tcW w:w="2016" w:type="dxa"/>
            <w:shd w:val="clear" w:color="auto" w:fill="D9E1F2"/>
            <w:tcMar>
              <w:top w:w="28" w:type="dxa"/>
              <w:left w:w="30" w:type="dxa"/>
              <w:bottom w:w="28" w:type="dxa"/>
              <w:right w:w="30" w:type="dxa"/>
            </w:tcMar>
          </w:tcPr>
          <w:p w14:paraId="3C44075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b/>
                <w:sz w:val="16"/>
                <w:szCs w:val="16"/>
              </w:rPr>
              <w:t>Study Aim</w:t>
            </w:r>
          </w:p>
        </w:tc>
        <w:tc>
          <w:tcPr>
            <w:tcW w:w="1512" w:type="dxa"/>
            <w:shd w:val="clear" w:color="auto" w:fill="D9E1F2"/>
            <w:tcMar>
              <w:top w:w="28" w:type="dxa"/>
              <w:left w:w="30" w:type="dxa"/>
              <w:bottom w:w="28" w:type="dxa"/>
              <w:right w:w="30" w:type="dxa"/>
            </w:tcMar>
          </w:tcPr>
          <w:p w14:paraId="18DB78B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b/>
                <w:sz w:val="16"/>
                <w:szCs w:val="16"/>
              </w:rPr>
              <w:t>Methodology</w:t>
            </w:r>
          </w:p>
        </w:tc>
        <w:tc>
          <w:tcPr>
            <w:tcW w:w="1800" w:type="dxa"/>
            <w:shd w:val="clear" w:color="auto" w:fill="D9E1F2"/>
            <w:tcMar>
              <w:top w:w="28" w:type="dxa"/>
              <w:left w:w="30" w:type="dxa"/>
              <w:bottom w:w="28" w:type="dxa"/>
              <w:right w:w="30" w:type="dxa"/>
            </w:tcMar>
          </w:tcPr>
          <w:p w14:paraId="36B3D17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b/>
                <w:sz w:val="16"/>
                <w:szCs w:val="16"/>
              </w:rPr>
              <w:t>Key Themes / Keywords</w:t>
            </w:r>
          </w:p>
        </w:tc>
        <w:tc>
          <w:tcPr>
            <w:tcW w:w="1181" w:type="dxa"/>
            <w:shd w:val="clear" w:color="auto" w:fill="D9E1F2"/>
            <w:tcMar>
              <w:top w:w="28" w:type="dxa"/>
              <w:left w:w="30" w:type="dxa"/>
              <w:bottom w:w="28" w:type="dxa"/>
              <w:right w:w="30" w:type="dxa"/>
            </w:tcMar>
          </w:tcPr>
          <w:p w14:paraId="2B777DC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b/>
                <w:sz w:val="16"/>
                <w:szCs w:val="16"/>
              </w:rPr>
              <w:t>Relevance to Research Question(s)</w:t>
            </w:r>
          </w:p>
        </w:tc>
        <w:tc>
          <w:tcPr>
            <w:tcW w:w="1325" w:type="dxa"/>
            <w:shd w:val="clear" w:color="auto" w:fill="D9E1F2"/>
            <w:tcMar>
              <w:top w:w="28" w:type="dxa"/>
              <w:left w:w="30" w:type="dxa"/>
              <w:bottom w:w="28" w:type="dxa"/>
              <w:right w:w="30" w:type="dxa"/>
            </w:tcMar>
          </w:tcPr>
          <w:p w14:paraId="2221E47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b/>
                <w:sz w:val="16"/>
                <w:szCs w:val="16"/>
              </w:rPr>
              <w:t>Publisher / Platform</w:t>
            </w:r>
          </w:p>
        </w:tc>
        <w:tc>
          <w:tcPr>
            <w:tcW w:w="1800" w:type="dxa"/>
            <w:shd w:val="clear" w:color="auto" w:fill="D9E1F2"/>
            <w:tcMar>
              <w:top w:w="28" w:type="dxa"/>
              <w:left w:w="30" w:type="dxa"/>
              <w:bottom w:w="28" w:type="dxa"/>
              <w:right w:w="30" w:type="dxa"/>
            </w:tcMar>
          </w:tcPr>
          <w:p w14:paraId="0946452F"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b/>
                <w:sz w:val="16"/>
                <w:szCs w:val="16"/>
              </w:rPr>
              <w:t>DOI / Article URL</w:t>
            </w:r>
          </w:p>
        </w:tc>
      </w:tr>
      <w:tr w:rsidR="00E740B3" w:rsidRPr="00F239F5" w14:paraId="0F5AC6A6" w14:textId="77777777">
        <w:trPr>
          <w:cantSplit/>
          <w:jc w:val="center"/>
        </w:trPr>
        <w:tc>
          <w:tcPr>
            <w:tcW w:w="504" w:type="dxa"/>
            <w:tcMar>
              <w:top w:w="28" w:type="dxa"/>
              <w:left w:w="30" w:type="dxa"/>
              <w:bottom w:w="28" w:type="dxa"/>
              <w:right w:w="30" w:type="dxa"/>
            </w:tcMar>
          </w:tcPr>
          <w:p w14:paraId="02321653"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1</w:t>
            </w:r>
          </w:p>
        </w:tc>
        <w:tc>
          <w:tcPr>
            <w:tcW w:w="1512" w:type="dxa"/>
            <w:tcMar>
              <w:top w:w="28" w:type="dxa"/>
              <w:left w:w="30" w:type="dxa"/>
              <w:bottom w:w="28" w:type="dxa"/>
              <w:right w:w="30" w:type="dxa"/>
            </w:tcMar>
          </w:tcPr>
          <w:p w14:paraId="568F137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Verhoef, P. C., Broekhuizen, T., Bart, Y., Bhattacharya, A., Dong, J. Q., Fabian, N., &amp; Haenlein, M.</w:t>
            </w:r>
          </w:p>
        </w:tc>
        <w:tc>
          <w:tcPr>
            <w:tcW w:w="605" w:type="dxa"/>
            <w:tcMar>
              <w:top w:w="28" w:type="dxa"/>
              <w:left w:w="30" w:type="dxa"/>
              <w:bottom w:w="28" w:type="dxa"/>
              <w:right w:w="30" w:type="dxa"/>
            </w:tcMar>
          </w:tcPr>
          <w:p w14:paraId="49EAA79B"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2021</w:t>
            </w:r>
          </w:p>
        </w:tc>
        <w:tc>
          <w:tcPr>
            <w:tcW w:w="1944" w:type="dxa"/>
            <w:tcMar>
              <w:top w:w="28" w:type="dxa"/>
              <w:left w:w="30" w:type="dxa"/>
              <w:bottom w:w="28" w:type="dxa"/>
              <w:right w:w="30" w:type="dxa"/>
            </w:tcMar>
          </w:tcPr>
          <w:p w14:paraId="4A2CBAF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Digital transformation: A multidisciplinary reflection and research agenda</w:t>
            </w:r>
          </w:p>
        </w:tc>
        <w:tc>
          <w:tcPr>
            <w:tcW w:w="1584" w:type="dxa"/>
            <w:tcMar>
              <w:top w:w="28" w:type="dxa"/>
              <w:left w:w="30" w:type="dxa"/>
              <w:bottom w:w="28" w:type="dxa"/>
              <w:right w:w="30" w:type="dxa"/>
            </w:tcMar>
          </w:tcPr>
          <w:p w14:paraId="310CEDB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Business Research</w:t>
            </w:r>
          </w:p>
        </w:tc>
        <w:tc>
          <w:tcPr>
            <w:tcW w:w="2016" w:type="dxa"/>
            <w:tcMar>
              <w:top w:w="28" w:type="dxa"/>
              <w:left w:w="30" w:type="dxa"/>
              <w:bottom w:w="28" w:type="dxa"/>
              <w:right w:w="30" w:type="dxa"/>
            </w:tcMar>
          </w:tcPr>
          <w:p w14:paraId="580885D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define digital transformation and build a research agenda across strategy, marketing, information systems, and operations.</w:t>
            </w:r>
          </w:p>
        </w:tc>
        <w:tc>
          <w:tcPr>
            <w:tcW w:w="1512" w:type="dxa"/>
            <w:tcMar>
              <w:top w:w="28" w:type="dxa"/>
              <w:left w:w="30" w:type="dxa"/>
              <w:bottom w:w="28" w:type="dxa"/>
              <w:right w:w="30" w:type="dxa"/>
            </w:tcMar>
          </w:tcPr>
          <w:p w14:paraId="5A031BF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Conceptual review / multidisciplinary research agenda</w:t>
            </w:r>
          </w:p>
        </w:tc>
        <w:tc>
          <w:tcPr>
            <w:tcW w:w="1800" w:type="dxa"/>
            <w:tcMar>
              <w:top w:w="28" w:type="dxa"/>
              <w:left w:w="30" w:type="dxa"/>
              <w:bottom w:w="28" w:type="dxa"/>
              <w:right w:w="30" w:type="dxa"/>
            </w:tcMar>
          </w:tcPr>
          <w:p w14:paraId="44558A0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Digital transformation; digital capabilities; value creation; customer experience</w:t>
            </w:r>
          </w:p>
        </w:tc>
        <w:tc>
          <w:tcPr>
            <w:tcW w:w="1181" w:type="dxa"/>
            <w:tcMar>
              <w:top w:w="28" w:type="dxa"/>
              <w:left w:w="30" w:type="dxa"/>
              <w:bottom w:w="28" w:type="dxa"/>
              <w:right w:w="30" w:type="dxa"/>
            </w:tcMar>
          </w:tcPr>
          <w:p w14:paraId="209E306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w:t>
            </w:r>
          </w:p>
        </w:tc>
        <w:tc>
          <w:tcPr>
            <w:tcW w:w="1325" w:type="dxa"/>
            <w:tcMar>
              <w:top w:w="28" w:type="dxa"/>
              <w:left w:w="30" w:type="dxa"/>
              <w:bottom w:w="28" w:type="dxa"/>
              <w:right w:w="30" w:type="dxa"/>
            </w:tcMar>
          </w:tcPr>
          <w:p w14:paraId="6FB48A4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7C2AC1D3" w14:textId="77777777" w:rsidR="00436BC6" w:rsidRPr="00F239F5" w:rsidRDefault="00436BC6" w:rsidP="00D81527">
            <w:pPr>
              <w:spacing w:line="276" w:lineRule="auto"/>
              <w:rPr>
                <w:rFonts w:ascii="Arial" w:hAnsi="Arial" w:cs="Arial"/>
                <w:sz w:val="16"/>
                <w:szCs w:val="16"/>
              </w:rPr>
            </w:pPr>
            <w:hyperlink r:id="rId59" w:history="1">
              <w:r w:rsidRPr="00F239F5">
                <w:rPr>
                  <w:rFonts w:ascii="Arial" w:hAnsi="Arial" w:cs="Arial"/>
                  <w:color w:val="0000FF"/>
                  <w:sz w:val="16"/>
                  <w:szCs w:val="16"/>
                  <w:u w:val="single"/>
                </w:rPr>
                <w:t>https://doi.org/10.1016/j.jbusres.2019.09.022</w:t>
              </w:r>
            </w:hyperlink>
            <w:r w:rsidRPr="00F239F5">
              <w:rPr>
                <w:rFonts w:ascii="Arial" w:hAnsi="Arial" w:cs="Arial"/>
                <w:sz w:val="16"/>
                <w:szCs w:val="16"/>
              </w:rPr>
              <w:t xml:space="preserve"> </w:t>
            </w:r>
          </w:p>
        </w:tc>
      </w:tr>
      <w:tr w:rsidR="00E740B3" w:rsidRPr="00F239F5" w14:paraId="181C7244" w14:textId="77777777">
        <w:trPr>
          <w:cantSplit/>
          <w:jc w:val="center"/>
        </w:trPr>
        <w:tc>
          <w:tcPr>
            <w:tcW w:w="504" w:type="dxa"/>
            <w:tcMar>
              <w:top w:w="28" w:type="dxa"/>
              <w:left w:w="30" w:type="dxa"/>
              <w:bottom w:w="28" w:type="dxa"/>
              <w:right w:w="30" w:type="dxa"/>
            </w:tcMar>
          </w:tcPr>
          <w:p w14:paraId="28837FAF"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w:t>
            </w:r>
          </w:p>
        </w:tc>
        <w:tc>
          <w:tcPr>
            <w:tcW w:w="1512" w:type="dxa"/>
            <w:tcMar>
              <w:top w:w="28" w:type="dxa"/>
              <w:left w:w="30" w:type="dxa"/>
              <w:bottom w:w="28" w:type="dxa"/>
              <w:right w:w="30" w:type="dxa"/>
            </w:tcMar>
          </w:tcPr>
          <w:p w14:paraId="57C62AF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Vial, G.</w:t>
            </w:r>
          </w:p>
        </w:tc>
        <w:tc>
          <w:tcPr>
            <w:tcW w:w="605" w:type="dxa"/>
            <w:tcMar>
              <w:top w:w="28" w:type="dxa"/>
              <w:left w:w="30" w:type="dxa"/>
              <w:bottom w:w="28" w:type="dxa"/>
              <w:right w:w="30" w:type="dxa"/>
            </w:tcMar>
          </w:tcPr>
          <w:p w14:paraId="686A85F7"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2019</w:t>
            </w:r>
          </w:p>
        </w:tc>
        <w:tc>
          <w:tcPr>
            <w:tcW w:w="1944" w:type="dxa"/>
            <w:tcMar>
              <w:top w:w="28" w:type="dxa"/>
              <w:left w:w="30" w:type="dxa"/>
              <w:bottom w:w="28" w:type="dxa"/>
              <w:right w:w="30" w:type="dxa"/>
            </w:tcMar>
          </w:tcPr>
          <w:p w14:paraId="59A23ED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Understanding digital transformation: A review and a research agenda</w:t>
            </w:r>
          </w:p>
        </w:tc>
        <w:tc>
          <w:tcPr>
            <w:tcW w:w="1584" w:type="dxa"/>
            <w:tcMar>
              <w:top w:w="28" w:type="dxa"/>
              <w:left w:w="30" w:type="dxa"/>
              <w:bottom w:w="28" w:type="dxa"/>
              <w:right w:w="30" w:type="dxa"/>
            </w:tcMar>
          </w:tcPr>
          <w:p w14:paraId="40512CA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The Journal of Strategic Information Systems</w:t>
            </w:r>
          </w:p>
        </w:tc>
        <w:tc>
          <w:tcPr>
            <w:tcW w:w="2016" w:type="dxa"/>
            <w:tcMar>
              <w:top w:w="28" w:type="dxa"/>
              <w:left w:w="30" w:type="dxa"/>
              <w:bottom w:w="28" w:type="dxa"/>
              <w:right w:w="30" w:type="dxa"/>
            </w:tcMar>
          </w:tcPr>
          <w:p w14:paraId="052AA9C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synthesise how digital technologies trigger organisational responses and value-creation changes.</w:t>
            </w:r>
          </w:p>
        </w:tc>
        <w:tc>
          <w:tcPr>
            <w:tcW w:w="1512" w:type="dxa"/>
            <w:tcMar>
              <w:top w:w="28" w:type="dxa"/>
              <w:left w:w="30" w:type="dxa"/>
              <w:bottom w:w="28" w:type="dxa"/>
              <w:right w:w="30" w:type="dxa"/>
            </w:tcMar>
          </w:tcPr>
          <w:p w14:paraId="50C0307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Systematic literature review</w:t>
            </w:r>
          </w:p>
        </w:tc>
        <w:tc>
          <w:tcPr>
            <w:tcW w:w="1800" w:type="dxa"/>
            <w:tcMar>
              <w:top w:w="28" w:type="dxa"/>
              <w:left w:w="30" w:type="dxa"/>
              <w:bottom w:w="28" w:type="dxa"/>
              <w:right w:w="30" w:type="dxa"/>
            </w:tcMar>
          </w:tcPr>
          <w:p w14:paraId="780FA0F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Digital transformation; organisational change; value creation; disruption</w:t>
            </w:r>
          </w:p>
        </w:tc>
        <w:tc>
          <w:tcPr>
            <w:tcW w:w="1181" w:type="dxa"/>
            <w:tcMar>
              <w:top w:w="28" w:type="dxa"/>
              <w:left w:w="30" w:type="dxa"/>
              <w:bottom w:w="28" w:type="dxa"/>
              <w:right w:w="30" w:type="dxa"/>
            </w:tcMar>
          </w:tcPr>
          <w:p w14:paraId="0A9F00DF"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w:t>
            </w:r>
          </w:p>
        </w:tc>
        <w:tc>
          <w:tcPr>
            <w:tcW w:w="1325" w:type="dxa"/>
            <w:tcMar>
              <w:top w:w="28" w:type="dxa"/>
              <w:left w:w="30" w:type="dxa"/>
              <w:bottom w:w="28" w:type="dxa"/>
              <w:right w:w="30" w:type="dxa"/>
            </w:tcMar>
          </w:tcPr>
          <w:p w14:paraId="10F1161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0BE98192" w14:textId="77777777" w:rsidR="00436BC6" w:rsidRPr="00F239F5" w:rsidRDefault="00436BC6" w:rsidP="00D81527">
            <w:pPr>
              <w:spacing w:line="276" w:lineRule="auto"/>
              <w:rPr>
                <w:rFonts w:ascii="Arial" w:hAnsi="Arial" w:cs="Arial"/>
                <w:sz w:val="16"/>
                <w:szCs w:val="16"/>
              </w:rPr>
            </w:pPr>
            <w:hyperlink r:id="rId60" w:history="1">
              <w:r w:rsidRPr="00F239F5">
                <w:rPr>
                  <w:rFonts w:ascii="Arial" w:hAnsi="Arial" w:cs="Arial"/>
                  <w:color w:val="0000FF"/>
                  <w:sz w:val="16"/>
                  <w:szCs w:val="16"/>
                  <w:u w:val="single"/>
                </w:rPr>
                <w:t>https://doi.org/10.1016/j.jsis.2019.01.003</w:t>
              </w:r>
            </w:hyperlink>
            <w:r w:rsidRPr="00F239F5">
              <w:rPr>
                <w:rFonts w:ascii="Arial" w:hAnsi="Arial" w:cs="Arial"/>
                <w:sz w:val="16"/>
                <w:szCs w:val="16"/>
              </w:rPr>
              <w:t xml:space="preserve"> </w:t>
            </w:r>
          </w:p>
        </w:tc>
      </w:tr>
      <w:tr w:rsidR="00E740B3" w:rsidRPr="00F239F5" w14:paraId="7C27CB20" w14:textId="77777777">
        <w:trPr>
          <w:cantSplit/>
          <w:jc w:val="center"/>
        </w:trPr>
        <w:tc>
          <w:tcPr>
            <w:tcW w:w="504" w:type="dxa"/>
            <w:tcMar>
              <w:top w:w="28" w:type="dxa"/>
              <w:left w:w="30" w:type="dxa"/>
              <w:bottom w:w="28" w:type="dxa"/>
              <w:right w:w="30" w:type="dxa"/>
            </w:tcMar>
          </w:tcPr>
          <w:p w14:paraId="1658655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3</w:t>
            </w:r>
          </w:p>
        </w:tc>
        <w:tc>
          <w:tcPr>
            <w:tcW w:w="1512" w:type="dxa"/>
            <w:tcMar>
              <w:top w:w="28" w:type="dxa"/>
              <w:left w:w="30" w:type="dxa"/>
              <w:bottom w:w="28" w:type="dxa"/>
              <w:right w:w="30" w:type="dxa"/>
            </w:tcMar>
          </w:tcPr>
          <w:p w14:paraId="5834446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Hanelt, A., Bohnsack, R., Marz, D., &amp; Antunes Marante, C.</w:t>
            </w:r>
          </w:p>
        </w:tc>
        <w:tc>
          <w:tcPr>
            <w:tcW w:w="605" w:type="dxa"/>
            <w:tcMar>
              <w:top w:w="28" w:type="dxa"/>
              <w:left w:w="30" w:type="dxa"/>
              <w:bottom w:w="28" w:type="dxa"/>
              <w:right w:w="30" w:type="dxa"/>
            </w:tcMar>
          </w:tcPr>
          <w:p w14:paraId="6831B534"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2021</w:t>
            </w:r>
          </w:p>
        </w:tc>
        <w:tc>
          <w:tcPr>
            <w:tcW w:w="1944" w:type="dxa"/>
            <w:tcMar>
              <w:top w:w="28" w:type="dxa"/>
              <w:left w:w="30" w:type="dxa"/>
              <w:bottom w:w="28" w:type="dxa"/>
              <w:right w:w="30" w:type="dxa"/>
            </w:tcMar>
          </w:tcPr>
          <w:p w14:paraId="5601812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A systematic review of the literature on digital transformation: Insights and implications for strategy and organizational change</w:t>
            </w:r>
          </w:p>
        </w:tc>
        <w:tc>
          <w:tcPr>
            <w:tcW w:w="1584" w:type="dxa"/>
            <w:tcMar>
              <w:top w:w="28" w:type="dxa"/>
              <w:left w:w="30" w:type="dxa"/>
              <w:bottom w:w="28" w:type="dxa"/>
              <w:right w:w="30" w:type="dxa"/>
            </w:tcMar>
          </w:tcPr>
          <w:p w14:paraId="12C4994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Management Studies</w:t>
            </w:r>
          </w:p>
        </w:tc>
        <w:tc>
          <w:tcPr>
            <w:tcW w:w="2016" w:type="dxa"/>
            <w:tcMar>
              <w:top w:w="28" w:type="dxa"/>
              <w:left w:w="30" w:type="dxa"/>
              <w:bottom w:w="28" w:type="dxa"/>
              <w:right w:w="30" w:type="dxa"/>
            </w:tcMar>
          </w:tcPr>
          <w:p w14:paraId="1B38DFA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clarify digital transformation as an ongoing strategic and organisational change process.</w:t>
            </w:r>
          </w:p>
        </w:tc>
        <w:tc>
          <w:tcPr>
            <w:tcW w:w="1512" w:type="dxa"/>
            <w:tcMar>
              <w:top w:w="28" w:type="dxa"/>
              <w:left w:w="30" w:type="dxa"/>
              <w:bottom w:w="28" w:type="dxa"/>
              <w:right w:w="30" w:type="dxa"/>
            </w:tcMar>
          </w:tcPr>
          <w:p w14:paraId="6FE9FA7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Systematic literature review</w:t>
            </w:r>
          </w:p>
        </w:tc>
        <w:tc>
          <w:tcPr>
            <w:tcW w:w="1800" w:type="dxa"/>
            <w:tcMar>
              <w:top w:w="28" w:type="dxa"/>
              <w:left w:w="30" w:type="dxa"/>
              <w:bottom w:w="28" w:type="dxa"/>
              <w:right w:w="30" w:type="dxa"/>
            </w:tcMar>
          </w:tcPr>
          <w:p w14:paraId="7E3A826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Digital transformation; strategy; organisational change; dynamic capabilities</w:t>
            </w:r>
          </w:p>
        </w:tc>
        <w:tc>
          <w:tcPr>
            <w:tcW w:w="1181" w:type="dxa"/>
            <w:tcMar>
              <w:top w:w="28" w:type="dxa"/>
              <w:left w:w="30" w:type="dxa"/>
              <w:bottom w:w="28" w:type="dxa"/>
              <w:right w:w="30" w:type="dxa"/>
            </w:tcMar>
          </w:tcPr>
          <w:p w14:paraId="25AA1EF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w:t>
            </w:r>
          </w:p>
        </w:tc>
        <w:tc>
          <w:tcPr>
            <w:tcW w:w="1325" w:type="dxa"/>
            <w:tcMar>
              <w:top w:w="28" w:type="dxa"/>
              <w:left w:w="30" w:type="dxa"/>
              <w:bottom w:w="28" w:type="dxa"/>
              <w:right w:w="30" w:type="dxa"/>
            </w:tcMar>
          </w:tcPr>
          <w:p w14:paraId="0A727FF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Wiley</w:t>
            </w:r>
          </w:p>
        </w:tc>
        <w:tc>
          <w:tcPr>
            <w:tcW w:w="1800" w:type="dxa"/>
            <w:tcMar>
              <w:top w:w="28" w:type="dxa"/>
              <w:left w:w="30" w:type="dxa"/>
              <w:bottom w:w="28" w:type="dxa"/>
              <w:right w:w="30" w:type="dxa"/>
            </w:tcMar>
          </w:tcPr>
          <w:p w14:paraId="65A4BE5C" w14:textId="77777777" w:rsidR="00436BC6" w:rsidRPr="00F239F5" w:rsidRDefault="00436BC6" w:rsidP="00D81527">
            <w:pPr>
              <w:spacing w:line="276" w:lineRule="auto"/>
              <w:rPr>
                <w:rFonts w:ascii="Arial" w:hAnsi="Arial" w:cs="Arial"/>
                <w:sz w:val="16"/>
                <w:szCs w:val="16"/>
              </w:rPr>
            </w:pPr>
            <w:hyperlink r:id="rId61" w:history="1">
              <w:r w:rsidRPr="00F239F5">
                <w:rPr>
                  <w:rFonts w:ascii="Arial" w:hAnsi="Arial" w:cs="Arial"/>
                  <w:color w:val="0000FF"/>
                  <w:sz w:val="16"/>
                  <w:szCs w:val="16"/>
                  <w:u w:val="single"/>
                </w:rPr>
                <w:t>https://doi.org/10.1111/joms.12639</w:t>
              </w:r>
            </w:hyperlink>
            <w:r w:rsidRPr="00F239F5">
              <w:rPr>
                <w:rFonts w:ascii="Arial" w:hAnsi="Arial" w:cs="Arial"/>
                <w:sz w:val="16"/>
                <w:szCs w:val="16"/>
              </w:rPr>
              <w:t xml:space="preserve"> </w:t>
            </w:r>
          </w:p>
        </w:tc>
      </w:tr>
      <w:tr w:rsidR="00E740B3" w:rsidRPr="00F239F5" w14:paraId="62F0B6EB" w14:textId="77777777">
        <w:trPr>
          <w:cantSplit/>
          <w:jc w:val="center"/>
        </w:trPr>
        <w:tc>
          <w:tcPr>
            <w:tcW w:w="504" w:type="dxa"/>
            <w:tcMar>
              <w:top w:w="28" w:type="dxa"/>
              <w:left w:w="30" w:type="dxa"/>
              <w:bottom w:w="28" w:type="dxa"/>
              <w:right w:w="30" w:type="dxa"/>
            </w:tcMar>
          </w:tcPr>
          <w:p w14:paraId="1DA8868F"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4</w:t>
            </w:r>
          </w:p>
        </w:tc>
        <w:tc>
          <w:tcPr>
            <w:tcW w:w="1512" w:type="dxa"/>
            <w:tcMar>
              <w:top w:w="28" w:type="dxa"/>
              <w:left w:w="30" w:type="dxa"/>
              <w:bottom w:w="28" w:type="dxa"/>
              <w:right w:w="30" w:type="dxa"/>
            </w:tcMar>
          </w:tcPr>
          <w:p w14:paraId="653EE03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Warner, K. S. R., &amp; Wäger, M.</w:t>
            </w:r>
          </w:p>
        </w:tc>
        <w:tc>
          <w:tcPr>
            <w:tcW w:w="605" w:type="dxa"/>
            <w:tcMar>
              <w:top w:w="28" w:type="dxa"/>
              <w:left w:w="30" w:type="dxa"/>
              <w:bottom w:w="28" w:type="dxa"/>
              <w:right w:w="30" w:type="dxa"/>
            </w:tcMar>
          </w:tcPr>
          <w:p w14:paraId="382C3D4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2019</w:t>
            </w:r>
          </w:p>
        </w:tc>
        <w:tc>
          <w:tcPr>
            <w:tcW w:w="1944" w:type="dxa"/>
            <w:tcMar>
              <w:top w:w="28" w:type="dxa"/>
              <w:left w:w="30" w:type="dxa"/>
              <w:bottom w:w="28" w:type="dxa"/>
              <w:right w:w="30" w:type="dxa"/>
            </w:tcMar>
          </w:tcPr>
          <w:p w14:paraId="143889F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Building dynamic capabilities for digital transformation: An ongoing process of strategic renewal</w:t>
            </w:r>
          </w:p>
        </w:tc>
        <w:tc>
          <w:tcPr>
            <w:tcW w:w="1584" w:type="dxa"/>
            <w:tcMar>
              <w:top w:w="28" w:type="dxa"/>
              <w:left w:w="30" w:type="dxa"/>
              <w:bottom w:w="28" w:type="dxa"/>
              <w:right w:w="30" w:type="dxa"/>
            </w:tcMar>
          </w:tcPr>
          <w:p w14:paraId="58119E2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Long Range Planning</w:t>
            </w:r>
          </w:p>
        </w:tc>
        <w:tc>
          <w:tcPr>
            <w:tcW w:w="2016" w:type="dxa"/>
            <w:tcMar>
              <w:top w:w="28" w:type="dxa"/>
              <w:left w:w="30" w:type="dxa"/>
              <w:bottom w:w="28" w:type="dxa"/>
              <w:right w:w="30" w:type="dxa"/>
            </w:tcMar>
          </w:tcPr>
          <w:p w14:paraId="36ECF45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explain how firms develop dynamic capabilities to respond to digital disruption.</w:t>
            </w:r>
          </w:p>
        </w:tc>
        <w:tc>
          <w:tcPr>
            <w:tcW w:w="1512" w:type="dxa"/>
            <w:tcMar>
              <w:top w:w="28" w:type="dxa"/>
              <w:left w:w="30" w:type="dxa"/>
              <w:bottom w:w="28" w:type="dxa"/>
              <w:right w:w="30" w:type="dxa"/>
            </w:tcMar>
          </w:tcPr>
          <w:p w14:paraId="3B6693F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Qualitative multiple-case study</w:t>
            </w:r>
          </w:p>
        </w:tc>
        <w:tc>
          <w:tcPr>
            <w:tcW w:w="1800" w:type="dxa"/>
            <w:tcMar>
              <w:top w:w="28" w:type="dxa"/>
              <w:left w:w="30" w:type="dxa"/>
              <w:bottom w:w="28" w:type="dxa"/>
              <w:right w:w="30" w:type="dxa"/>
            </w:tcMar>
          </w:tcPr>
          <w:p w14:paraId="6946FC7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Dynamic capabilities; digital transformation; strategic renewal</w:t>
            </w:r>
          </w:p>
        </w:tc>
        <w:tc>
          <w:tcPr>
            <w:tcW w:w="1181" w:type="dxa"/>
            <w:tcMar>
              <w:top w:w="28" w:type="dxa"/>
              <w:left w:w="30" w:type="dxa"/>
              <w:bottom w:w="28" w:type="dxa"/>
              <w:right w:w="30" w:type="dxa"/>
            </w:tcMar>
          </w:tcPr>
          <w:p w14:paraId="6351231F"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RQ3</w:t>
            </w:r>
          </w:p>
        </w:tc>
        <w:tc>
          <w:tcPr>
            <w:tcW w:w="1325" w:type="dxa"/>
            <w:tcMar>
              <w:top w:w="28" w:type="dxa"/>
              <w:left w:w="30" w:type="dxa"/>
              <w:bottom w:w="28" w:type="dxa"/>
              <w:right w:w="30" w:type="dxa"/>
            </w:tcMar>
          </w:tcPr>
          <w:p w14:paraId="3ABD42B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09B43F65" w14:textId="77777777" w:rsidR="00436BC6" w:rsidRPr="00F239F5" w:rsidRDefault="00436BC6" w:rsidP="00D81527">
            <w:pPr>
              <w:spacing w:line="276" w:lineRule="auto"/>
              <w:rPr>
                <w:rFonts w:ascii="Arial" w:hAnsi="Arial" w:cs="Arial"/>
                <w:sz w:val="16"/>
                <w:szCs w:val="16"/>
              </w:rPr>
            </w:pPr>
            <w:hyperlink r:id="rId62" w:history="1">
              <w:r w:rsidRPr="00F239F5">
                <w:rPr>
                  <w:rFonts w:ascii="Arial" w:hAnsi="Arial" w:cs="Arial"/>
                  <w:color w:val="0000FF"/>
                  <w:sz w:val="16"/>
                  <w:szCs w:val="16"/>
                  <w:u w:val="single"/>
                </w:rPr>
                <w:t>https://doi.org/10.1016/j.lrp.2018.12.001</w:t>
              </w:r>
            </w:hyperlink>
            <w:r w:rsidRPr="00F239F5">
              <w:rPr>
                <w:rFonts w:ascii="Arial" w:hAnsi="Arial" w:cs="Arial"/>
                <w:sz w:val="16"/>
                <w:szCs w:val="16"/>
              </w:rPr>
              <w:t xml:space="preserve"> </w:t>
            </w:r>
          </w:p>
        </w:tc>
      </w:tr>
      <w:tr w:rsidR="00E740B3" w:rsidRPr="00F239F5" w14:paraId="6528E4DF" w14:textId="77777777">
        <w:trPr>
          <w:cantSplit/>
          <w:jc w:val="center"/>
        </w:trPr>
        <w:tc>
          <w:tcPr>
            <w:tcW w:w="504" w:type="dxa"/>
            <w:tcMar>
              <w:top w:w="28" w:type="dxa"/>
              <w:left w:w="30" w:type="dxa"/>
              <w:bottom w:w="28" w:type="dxa"/>
              <w:right w:w="30" w:type="dxa"/>
            </w:tcMar>
          </w:tcPr>
          <w:p w14:paraId="47A63C2C"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5</w:t>
            </w:r>
          </w:p>
        </w:tc>
        <w:tc>
          <w:tcPr>
            <w:tcW w:w="1512" w:type="dxa"/>
            <w:tcMar>
              <w:top w:w="28" w:type="dxa"/>
              <w:left w:w="30" w:type="dxa"/>
              <w:bottom w:w="28" w:type="dxa"/>
              <w:right w:w="30" w:type="dxa"/>
            </w:tcMar>
          </w:tcPr>
          <w:p w14:paraId="4F5F45E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Kraus, S., Durst, S., Ferreira, J. J., Veiga, P., Kailer, N., &amp; Weinmann, A.</w:t>
            </w:r>
          </w:p>
        </w:tc>
        <w:tc>
          <w:tcPr>
            <w:tcW w:w="605" w:type="dxa"/>
            <w:tcMar>
              <w:top w:w="28" w:type="dxa"/>
              <w:left w:w="30" w:type="dxa"/>
              <w:bottom w:w="28" w:type="dxa"/>
              <w:right w:w="30" w:type="dxa"/>
            </w:tcMar>
          </w:tcPr>
          <w:p w14:paraId="150A0B5C"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2022</w:t>
            </w:r>
          </w:p>
        </w:tc>
        <w:tc>
          <w:tcPr>
            <w:tcW w:w="1944" w:type="dxa"/>
            <w:tcMar>
              <w:top w:w="28" w:type="dxa"/>
              <w:left w:w="30" w:type="dxa"/>
              <w:bottom w:w="28" w:type="dxa"/>
              <w:right w:w="30" w:type="dxa"/>
            </w:tcMar>
          </w:tcPr>
          <w:p w14:paraId="3D628AB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Digital transformation in business and management research: An overview of the current status quo</w:t>
            </w:r>
          </w:p>
        </w:tc>
        <w:tc>
          <w:tcPr>
            <w:tcW w:w="1584" w:type="dxa"/>
            <w:tcMar>
              <w:top w:w="28" w:type="dxa"/>
              <w:left w:w="30" w:type="dxa"/>
              <w:bottom w:w="28" w:type="dxa"/>
              <w:right w:w="30" w:type="dxa"/>
            </w:tcMar>
          </w:tcPr>
          <w:p w14:paraId="08711EA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International Journal of Information Management</w:t>
            </w:r>
          </w:p>
        </w:tc>
        <w:tc>
          <w:tcPr>
            <w:tcW w:w="2016" w:type="dxa"/>
            <w:tcMar>
              <w:top w:w="28" w:type="dxa"/>
              <w:left w:w="30" w:type="dxa"/>
              <w:bottom w:w="28" w:type="dxa"/>
              <w:right w:w="30" w:type="dxa"/>
            </w:tcMar>
          </w:tcPr>
          <w:p w14:paraId="76B088C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map the state of digital transformation research in business and management.</w:t>
            </w:r>
          </w:p>
        </w:tc>
        <w:tc>
          <w:tcPr>
            <w:tcW w:w="1512" w:type="dxa"/>
            <w:tcMar>
              <w:top w:w="28" w:type="dxa"/>
              <w:left w:w="30" w:type="dxa"/>
              <w:bottom w:w="28" w:type="dxa"/>
              <w:right w:w="30" w:type="dxa"/>
            </w:tcMar>
          </w:tcPr>
          <w:p w14:paraId="6D7D5F3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Systematic literature review</w:t>
            </w:r>
          </w:p>
        </w:tc>
        <w:tc>
          <w:tcPr>
            <w:tcW w:w="1800" w:type="dxa"/>
            <w:tcMar>
              <w:top w:w="28" w:type="dxa"/>
              <w:left w:w="30" w:type="dxa"/>
              <w:bottom w:w="28" w:type="dxa"/>
              <w:right w:w="30" w:type="dxa"/>
            </w:tcMar>
          </w:tcPr>
          <w:p w14:paraId="7DBB92A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Digital transformation; business models; performance; research agenda</w:t>
            </w:r>
          </w:p>
        </w:tc>
        <w:tc>
          <w:tcPr>
            <w:tcW w:w="1181" w:type="dxa"/>
            <w:tcMar>
              <w:top w:w="28" w:type="dxa"/>
              <w:left w:w="30" w:type="dxa"/>
              <w:bottom w:w="28" w:type="dxa"/>
              <w:right w:w="30" w:type="dxa"/>
            </w:tcMar>
          </w:tcPr>
          <w:p w14:paraId="1FF7103A"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RQ3</w:t>
            </w:r>
          </w:p>
        </w:tc>
        <w:tc>
          <w:tcPr>
            <w:tcW w:w="1325" w:type="dxa"/>
            <w:tcMar>
              <w:top w:w="28" w:type="dxa"/>
              <w:left w:w="30" w:type="dxa"/>
              <w:bottom w:w="28" w:type="dxa"/>
              <w:right w:w="30" w:type="dxa"/>
            </w:tcMar>
          </w:tcPr>
          <w:p w14:paraId="6436540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1341FA38" w14:textId="77777777" w:rsidR="00436BC6" w:rsidRPr="00F239F5" w:rsidRDefault="00436BC6" w:rsidP="00D81527">
            <w:pPr>
              <w:spacing w:line="276" w:lineRule="auto"/>
              <w:rPr>
                <w:rFonts w:ascii="Arial" w:hAnsi="Arial" w:cs="Arial"/>
                <w:sz w:val="16"/>
                <w:szCs w:val="16"/>
              </w:rPr>
            </w:pPr>
            <w:hyperlink r:id="rId63" w:history="1">
              <w:r w:rsidRPr="00F239F5">
                <w:rPr>
                  <w:rFonts w:ascii="Arial" w:hAnsi="Arial" w:cs="Arial"/>
                  <w:color w:val="0000FF"/>
                  <w:sz w:val="16"/>
                  <w:szCs w:val="16"/>
                  <w:u w:val="single"/>
                </w:rPr>
                <w:t>https://doi.org/10.1016/j.ijinfomgt.2021.102466</w:t>
              </w:r>
            </w:hyperlink>
            <w:r w:rsidRPr="00F239F5">
              <w:rPr>
                <w:rFonts w:ascii="Arial" w:hAnsi="Arial" w:cs="Arial"/>
                <w:sz w:val="16"/>
                <w:szCs w:val="16"/>
              </w:rPr>
              <w:t xml:space="preserve"> </w:t>
            </w:r>
          </w:p>
        </w:tc>
      </w:tr>
      <w:tr w:rsidR="00E740B3" w:rsidRPr="00F239F5" w14:paraId="1ADA49F2" w14:textId="77777777">
        <w:trPr>
          <w:cantSplit/>
          <w:jc w:val="center"/>
        </w:trPr>
        <w:tc>
          <w:tcPr>
            <w:tcW w:w="504" w:type="dxa"/>
            <w:tcMar>
              <w:top w:w="28" w:type="dxa"/>
              <w:left w:w="30" w:type="dxa"/>
              <w:bottom w:w="28" w:type="dxa"/>
              <w:right w:w="30" w:type="dxa"/>
            </w:tcMar>
          </w:tcPr>
          <w:p w14:paraId="6CE1377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6</w:t>
            </w:r>
          </w:p>
        </w:tc>
        <w:tc>
          <w:tcPr>
            <w:tcW w:w="1512" w:type="dxa"/>
            <w:tcMar>
              <w:top w:w="28" w:type="dxa"/>
              <w:left w:w="30" w:type="dxa"/>
              <w:bottom w:w="28" w:type="dxa"/>
              <w:right w:w="30" w:type="dxa"/>
            </w:tcMar>
          </w:tcPr>
          <w:p w14:paraId="171ADFF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Reinartz, W., Wiegand, N., &amp; Imschloss, M.</w:t>
            </w:r>
          </w:p>
        </w:tc>
        <w:tc>
          <w:tcPr>
            <w:tcW w:w="605" w:type="dxa"/>
            <w:tcMar>
              <w:top w:w="28" w:type="dxa"/>
              <w:left w:w="30" w:type="dxa"/>
              <w:bottom w:w="28" w:type="dxa"/>
              <w:right w:w="30" w:type="dxa"/>
            </w:tcMar>
          </w:tcPr>
          <w:p w14:paraId="7D0F2F64"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2019</w:t>
            </w:r>
          </w:p>
        </w:tc>
        <w:tc>
          <w:tcPr>
            <w:tcW w:w="1944" w:type="dxa"/>
            <w:tcMar>
              <w:top w:w="28" w:type="dxa"/>
              <w:left w:w="30" w:type="dxa"/>
              <w:bottom w:w="28" w:type="dxa"/>
              <w:right w:w="30" w:type="dxa"/>
            </w:tcMar>
          </w:tcPr>
          <w:p w14:paraId="4A9A0AA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The impact of digital transformation on the retailing value chain</w:t>
            </w:r>
          </w:p>
        </w:tc>
        <w:tc>
          <w:tcPr>
            <w:tcW w:w="1584" w:type="dxa"/>
            <w:tcMar>
              <w:top w:w="28" w:type="dxa"/>
              <w:left w:w="30" w:type="dxa"/>
              <w:bottom w:w="28" w:type="dxa"/>
              <w:right w:w="30" w:type="dxa"/>
            </w:tcMar>
          </w:tcPr>
          <w:p w14:paraId="1297CEA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International Journal of Research in Marketing</w:t>
            </w:r>
          </w:p>
        </w:tc>
        <w:tc>
          <w:tcPr>
            <w:tcW w:w="2016" w:type="dxa"/>
            <w:tcMar>
              <w:top w:w="28" w:type="dxa"/>
              <w:left w:w="30" w:type="dxa"/>
              <w:bottom w:w="28" w:type="dxa"/>
              <w:right w:w="30" w:type="dxa"/>
            </w:tcMar>
          </w:tcPr>
          <w:p w14:paraId="64DF038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examine how digital technologies reshape value creation across the retail value chain.</w:t>
            </w:r>
          </w:p>
        </w:tc>
        <w:tc>
          <w:tcPr>
            <w:tcW w:w="1512" w:type="dxa"/>
            <w:tcMar>
              <w:top w:w="28" w:type="dxa"/>
              <w:left w:w="30" w:type="dxa"/>
              <w:bottom w:w="28" w:type="dxa"/>
              <w:right w:w="30" w:type="dxa"/>
            </w:tcMar>
          </w:tcPr>
          <w:p w14:paraId="5A963FD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Conceptual review</w:t>
            </w:r>
          </w:p>
        </w:tc>
        <w:tc>
          <w:tcPr>
            <w:tcW w:w="1800" w:type="dxa"/>
            <w:tcMar>
              <w:top w:w="28" w:type="dxa"/>
              <w:left w:w="30" w:type="dxa"/>
              <w:bottom w:w="28" w:type="dxa"/>
              <w:right w:w="30" w:type="dxa"/>
            </w:tcMar>
          </w:tcPr>
          <w:p w14:paraId="511CA62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Retail digitalisation; retail value chain; analytics; customer interface</w:t>
            </w:r>
          </w:p>
        </w:tc>
        <w:tc>
          <w:tcPr>
            <w:tcW w:w="1181" w:type="dxa"/>
            <w:tcMar>
              <w:top w:w="28" w:type="dxa"/>
              <w:left w:w="30" w:type="dxa"/>
              <w:bottom w:w="28" w:type="dxa"/>
              <w:right w:w="30" w:type="dxa"/>
            </w:tcMar>
          </w:tcPr>
          <w:p w14:paraId="531EE7BB"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RQ3</w:t>
            </w:r>
          </w:p>
        </w:tc>
        <w:tc>
          <w:tcPr>
            <w:tcW w:w="1325" w:type="dxa"/>
            <w:tcMar>
              <w:top w:w="28" w:type="dxa"/>
              <w:left w:w="30" w:type="dxa"/>
              <w:bottom w:w="28" w:type="dxa"/>
              <w:right w:w="30" w:type="dxa"/>
            </w:tcMar>
          </w:tcPr>
          <w:p w14:paraId="63ACC84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768D03DE" w14:textId="77777777" w:rsidR="00436BC6" w:rsidRPr="00F239F5" w:rsidRDefault="00436BC6" w:rsidP="00D81527">
            <w:pPr>
              <w:spacing w:line="276" w:lineRule="auto"/>
              <w:rPr>
                <w:rFonts w:ascii="Arial" w:hAnsi="Arial" w:cs="Arial"/>
                <w:sz w:val="16"/>
                <w:szCs w:val="16"/>
              </w:rPr>
            </w:pPr>
            <w:hyperlink r:id="rId64" w:history="1">
              <w:r w:rsidRPr="00F239F5">
                <w:rPr>
                  <w:rFonts w:ascii="Arial" w:hAnsi="Arial" w:cs="Arial"/>
                  <w:color w:val="0000FF"/>
                  <w:sz w:val="16"/>
                  <w:szCs w:val="16"/>
                  <w:u w:val="single"/>
                </w:rPr>
                <w:t>https://doi.org/10.1016/j.ijresmar.2018.12.002</w:t>
              </w:r>
            </w:hyperlink>
            <w:r w:rsidRPr="00F239F5">
              <w:rPr>
                <w:rFonts w:ascii="Arial" w:hAnsi="Arial" w:cs="Arial"/>
                <w:sz w:val="16"/>
                <w:szCs w:val="16"/>
              </w:rPr>
              <w:t xml:space="preserve"> </w:t>
            </w:r>
          </w:p>
        </w:tc>
      </w:tr>
      <w:tr w:rsidR="00E740B3" w:rsidRPr="00F239F5" w14:paraId="4912DC84" w14:textId="77777777">
        <w:trPr>
          <w:cantSplit/>
          <w:jc w:val="center"/>
        </w:trPr>
        <w:tc>
          <w:tcPr>
            <w:tcW w:w="504" w:type="dxa"/>
            <w:tcMar>
              <w:top w:w="28" w:type="dxa"/>
              <w:left w:w="30" w:type="dxa"/>
              <w:bottom w:w="28" w:type="dxa"/>
              <w:right w:w="30" w:type="dxa"/>
            </w:tcMar>
          </w:tcPr>
          <w:p w14:paraId="43538AC7"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7</w:t>
            </w:r>
          </w:p>
        </w:tc>
        <w:tc>
          <w:tcPr>
            <w:tcW w:w="1512" w:type="dxa"/>
            <w:tcMar>
              <w:top w:w="28" w:type="dxa"/>
              <w:left w:w="30" w:type="dxa"/>
              <w:bottom w:w="28" w:type="dxa"/>
              <w:right w:w="30" w:type="dxa"/>
            </w:tcMar>
          </w:tcPr>
          <w:p w14:paraId="76FFC12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Shankar, V., Kalyanam, K., Setia, P., et al.</w:t>
            </w:r>
          </w:p>
        </w:tc>
        <w:tc>
          <w:tcPr>
            <w:tcW w:w="605" w:type="dxa"/>
            <w:tcMar>
              <w:top w:w="28" w:type="dxa"/>
              <w:left w:w="30" w:type="dxa"/>
              <w:bottom w:w="28" w:type="dxa"/>
              <w:right w:w="30" w:type="dxa"/>
            </w:tcMar>
          </w:tcPr>
          <w:p w14:paraId="4CA27665"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2021</w:t>
            </w:r>
          </w:p>
        </w:tc>
        <w:tc>
          <w:tcPr>
            <w:tcW w:w="1944" w:type="dxa"/>
            <w:tcMar>
              <w:top w:w="28" w:type="dxa"/>
              <w:left w:w="30" w:type="dxa"/>
              <w:bottom w:w="28" w:type="dxa"/>
              <w:right w:w="30" w:type="dxa"/>
            </w:tcMar>
          </w:tcPr>
          <w:p w14:paraId="0FA4F09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How technology is changing retail</w:t>
            </w:r>
          </w:p>
        </w:tc>
        <w:tc>
          <w:tcPr>
            <w:tcW w:w="1584" w:type="dxa"/>
            <w:tcMar>
              <w:top w:w="28" w:type="dxa"/>
              <w:left w:w="30" w:type="dxa"/>
              <w:bottom w:w="28" w:type="dxa"/>
              <w:right w:w="30" w:type="dxa"/>
            </w:tcMar>
          </w:tcPr>
          <w:p w14:paraId="45AD7F0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Retailing</w:t>
            </w:r>
          </w:p>
        </w:tc>
        <w:tc>
          <w:tcPr>
            <w:tcW w:w="2016" w:type="dxa"/>
            <w:tcMar>
              <w:top w:w="28" w:type="dxa"/>
              <w:left w:w="30" w:type="dxa"/>
              <w:bottom w:w="28" w:type="dxa"/>
              <w:right w:w="30" w:type="dxa"/>
            </w:tcMar>
          </w:tcPr>
          <w:p w14:paraId="2BF0258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review how retail technologies affect consumers, retailers, and competitive strategy.</w:t>
            </w:r>
          </w:p>
        </w:tc>
        <w:tc>
          <w:tcPr>
            <w:tcW w:w="1512" w:type="dxa"/>
            <w:tcMar>
              <w:top w:w="28" w:type="dxa"/>
              <w:left w:w="30" w:type="dxa"/>
              <w:bottom w:w="28" w:type="dxa"/>
              <w:right w:w="30" w:type="dxa"/>
            </w:tcMar>
          </w:tcPr>
          <w:p w14:paraId="36DBDBD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Conceptual review / research agenda</w:t>
            </w:r>
          </w:p>
        </w:tc>
        <w:tc>
          <w:tcPr>
            <w:tcW w:w="1800" w:type="dxa"/>
            <w:tcMar>
              <w:top w:w="28" w:type="dxa"/>
              <w:left w:w="30" w:type="dxa"/>
              <w:bottom w:w="28" w:type="dxa"/>
              <w:right w:w="30" w:type="dxa"/>
            </w:tcMar>
          </w:tcPr>
          <w:p w14:paraId="2B8EC63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Retail technology; AI; mobile; analytics; omnichannel retailing</w:t>
            </w:r>
          </w:p>
        </w:tc>
        <w:tc>
          <w:tcPr>
            <w:tcW w:w="1181" w:type="dxa"/>
            <w:tcMar>
              <w:top w:w="28" w:type="dxa"/>
              <w:left w:w="30" w:type="dxa"/>
              <w:bottom w:w="28" w:type="dxa"/>
              <w:right w:w="30" w:type="dxa"/>
            </w:tcMar>
          </w:tcPr>
          <w:p w14:paraId="1F56FB68"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 RQ3</w:t>
            </w:r>
          </w:p>
        </w:tc>
        <w:tc>
          <w:tcPr>
            <w:tcW w:w="1325" w:type="dxa"/>
            <w:tcMar>
              <w:top w:w="28" w:type="dxa"/>
              <w:left w:w="30" w:type="dxa"/>
              <w:bottom w:w="28" w:type="dxa"/>
              <w:right w:w="30" w:type="dxa"/>
            </w:tcMar>
          </w:tcPr>
          <w:p w14:paraId="66F78CE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41E6A9F4" w14:textId="77777777" w:rsidR="00436BC6" w:rsidRPr="00F239F5" w:rsidRDefault="00436BC6" w:rsidP="00D81527">
            <w:pPr>
              <w:spacing w:line="276" w:lineRule="auto"/>
              <w:rPr>
                <w:rFonts w:ascii="Arial" w:hAnsi="Arial" w:cs="Arial"/>
                <w:sz w:val="16"/>
                <w:szCs w:val="16"/>
              </w:rPr>
            </w:pPr>
            <w:hyperlink r:id="rId65" w:history="1">
              <w:r w:rsidRPr="00F239F5">
                <w:rPr>
                  <w:rFonts w:ascii="Arial" w:hAnsi="Arial" w:cs="Arial"/>
                  <w:color w:val="0000FF"/>
                  <w:sz w:val="16"/>
                  <w:szCs w:val="16"/>
                  <w:u w:val="single"/>
                </w:rPr>
                <w:t>https://doi.org/10.1016/j.jretai.2020.10.006</w:t>
              </w:r>
            </w:hyperlink>
            <w:r w:rsidRPr="00F239F5">
              <w:rPr>
                <w:rFonts w:ascii="Arial" w:hAnsi="Arial" w:cs="Arial"/>
                <w:sz w:val="16"/>
                <w:szCs w:val="16"/>
              </w:rPr>
              <w:t xml:space="preserve"> </w:t>
            </w:r>
          </w:p>
        </w:tc>
      </w:tr>
      <w:tr w:rsidR="00E740B3" w:rsidRPr="00F239F5" w14:paraId="3ABAF1C9" w14:textId="77777777">
        <w:trPr>
          <w:cantSplit/>
          <w:jc w:val="center"/>
        </w:trPr>
        <w:tc>
          <w:tcPr>
            <w:tcW w:w="504" w:type="dxa"/>
            <w:tcMar>
              <w:top w:w="28" w:type="dxa"/>
              <w:left w:w="30" w:type="dxa"/>
              <w:bottom w:w="28" w:type="dxa"/>
              <w:right w:w="30" w:type="dxa"/>
            </w:tcMar>
          </w:tcPr>
          <w:p w14:paraId="73A29CDA"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lastRenderedPageBreak/>
              <w:t>8</w:t>
            </w:r>
          </w:p>
        </w:tc>
        <w:tc>
          <w:tcPr>
            <w:tcW w:w="1512" w:type="dxa"/>
            <w:tcMar>
              <w:top w:w="28" w:type="dxa"/>
              <w:left w:w="30" w:type="dxa"/>
              <w:bottom w:w="28" w:type="dxa"/>
              <w:right w:w="30" w:type="dxa"/>
            </w:tcMar>
          </w:tcPr>
          <w:p w14:paraId="40683C6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Grewal, D., Noble, S. M., Roggeveen, A. L., &amp; Nordfält, J.</w:t>
            </w:r>
          </w:p>
        </w:tc>
        <w:tc>
          <w:tcPr>
            <w:tcW w:w="605" w:type="dxa"/>
            <w:tcMar>
              <w:top w:w="28" w:type="dxa"/>
              <w:left w:w="30" w:type="dxa"/>
              <w:bottom w:w="28" w:type="dxa"/>
              <w:right w:w="30" w:type="dxa"/>
            </w:tcMar>
          </w:tcPr>
          <w:p w14:paraId="79E2E45B"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2020</w:t>
            </w:r>
          </w:p>
        </w:tc>
        <w:tc>
          <w:tcPr>
            <w:tcW w:w="1944" w:type="dxa"/>
            <w:tcMar>
              <w:top w:w="28" w:type="dxa"/>
              <w:left w:w="30" w:type="dxa"/>
              <w:bottom w:w="28" w:type="dxa"/>
              <w:right w:w="30" w:type="dxa"/>
            </w:tcMar>
          </w:tcPr>
          <w:p w14:paraId="105F713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The future of in-store technology</w:t>
            </w:r>
          </w:p>
        </w:tc>
        <w:tc>
          <w:tcPr>
            <w:tcW w:w="1584" w:type="dxa"/>
            <w:tcMar>
              <w:top w:w="28" w:type="dxa"/>
              <w:left w:w="30" w:type="dxa"/>
              <w:bottom w:w="28" w:type="dxa"/>
              <w:right w:w="30" w:type="dxa"/>
            </w:tcMar>
          </w:tcPr>
          <w:p w14:paraId="388641A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the Academy of Marketing Science</w:t>
            </w:r>
          </w:p>
        </w:tc>
        <w:tc>
          <w:tcPr>
            <w:tcW w:w="2016" w:type="dxa"/>
            <w:tcMar>
              <w:top w:w="28" w:type="dxa"/>
              <w:left w:w="30" w:type="dxa"/>
              <w:bottom w:w="28" w:type="dxa"/>
              <w:right w:w="30" w:type="dxa"/>
            </w:tcMar>
          </w:tcPr>
          <w:p w14:paraId="1190E61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explore how in-store technologies influence customer experience and retail strategy.</w:t>
            </w:r>
          </w:p>
        </w:tc>
        <w:tc>
          <w:tcPr>
            <w:tcW w:w="1512" w:type="dxa"/>
            <w:tcMar>
              <w:top w:w="28" w:type="dxa"/>
              <w:left w:w="30" w:type="dxa"/>
              <w:bottom w:w="28" w:type="dxa"/>
              <w:right w:w="30" w:type="dxa"/>
            </w:tcMar>
          </w:tcPr>
          <w:p w14:paraId="7ED75B4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Conceptual review</w:t>
            </w:r>
          </w:p>
        </w:tc>
        <w:tc>
          <w:tcPr>
            <w:tcW w:w="1800" w:type="dxa"/>
            <w:tcMar>
              <w:top w:w="28" w:type="dxa"/>
              <w:left w:w="30" w:type="dxa"/>
              <w:bottom w:w="28" w:type="dxa"/>
              <w:right w:w="30" w:type="dxa"/>
            </w:tcMar>
          </w:tcPr>
          <w:p w14:paraId="26D51CE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Retail technology; customer experience; in-store innovation; AI</w:t>
            </w:r>
          </w:p>
        </w:tc>
        <w:tc>
          <w:tcPr>
            <w:tcW w:w="1181" w:type="dxa"/>
            <w:tcMar>
              <w:top w:w="28" w:type="dxa"/>
              <w:left w:w="30" w:type="dxa"/>
              <w:bottom w:w="28" w:type="dxa"/>
              <w:right w:w="30" w:type="dxa"/>
            </w:tcMar>
          </w:tcPr>
          <w:p w14:paraId="58C31559"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 RQ3</w:t>
            </w:r>
          </w:p>
        </w:tc>
        <w:tc>
          <w:tcPr>
            <w:tcW w:w="1325" w:type="dxa"/>
            <w:tcMar>
              <w:top w:w="28" w:type="dxa"/>
              <w:left w:w="30" w:type="dxa"/>
              <w:bottom w:w="28" w:type="dxa"/>
              <w:right w:w="30" w:type="dxa"/>
            </w:tcMar>
          </w:tcPr>
          <w:p w14:paraId="4F16D71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Springer Nature</w:t>
            </w:r>
          </w:p>
        </w:tc>
        <w:tc>
          <w:tcPr>
            <w:tcW w:w="1800" w:type="dxa"/>
            <w:tcMar>
              <w:top w:w="28" w:type="dxa"/>
              <w:left w:w="30" w:type="dxa"/>
              <w:bottom w:w="28" w:type="dxa"/>
              <w:right w:w="30" w:type="dxa"/>
            </w:tcMar>
          </w:tcPr>
          <w:p w14:paraId="3A466C71" w14:textId="77777777" w:rsidR="00436BC6" w:rsidRPr="00F239F5" w:rsidRDefault="00436BC6" w:rsidP="00D81527">
            <w:pPr>
              <w:spacing w:line="276" w:lineRule="auto"/>
              <w:rPr>
                <w:rFonts w:ascii="Arial" w:hAnsi="Arial" w:cs="Arial"/>
                <w:sz w:val="16"/>
                <w:szCs w:val="16"/>
              </w:rPr>
            </w:pPr>
            <w:hyperlink r:id="rId66" w:history="1">
              <w:r w:rsidRPr="00F239F5">
                <w:rPr>
                  <w:rFonts w:ascii="Arial" w:hAnsi="Arial" w:cs="Arial"/>
                  <w:color w:val="0000FF"/>
                  <w:sz w:val="16"/>
                  <w:szCs w:val="16"/>
                  <w:u w:val="single"/>
                </w:rPr>
                <w:t>https://doi.org/10.1007/s11747-019-00697-z</w:t>
              </w:r>
            </w:hyperlink>
            <w:r w:rsidRPr="00F239F5">
              <w:rPr>
                <w:rFonts w:ascii="Arial" w:hAnsi="Arial" w:cs="Arial"/>
                <w:sz w:val="16"/>
                <w:szCs w:val="16"/>
              </w:rPr>
              <w:t xml:space="preserve"> </w:t>
            </w:r>
          </w:p>
        </w:tc>
      </w:tr>
      <w:tr w:rsidR="00E740B3" w:rsidRPr="00F239F5" w14:paraId="34D03138" w14:textId="77777777">
        <w:trPr>
          <w:cantSplit/>
          <w:jc w:val="center"/>
        </w:trPr>
        <w:tc>
          <w:tcPr>
            <w:tcW w:w="504" w:type="dxa"/>
            <w:tcMar>
              <w:top w:w="28" w:type="dxa"/>
              <w:left w:w="30" w:type="dxa"/>
              <w:bottom w:w="28" w:type="dxa"/>
              <w:right w:w="30" w:type="dxa"/>
            </w:tcMar>
          </w:tcPr>
          <w:p w14:paraId="30DA717B"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9</w:t>
            </w:r>
          </w:p>
        </w:tc>
        <w:tc>
          <w:tcPr>
            <w:tcW w:w="1512" w:type="dxa"/>
            <w:tcMar>
              <w:top w:w="28" w:type="dxa"/>
              <w:left w:w="30" w:type="dxa"/>
              <w:bottom w:w="28" w:type="dxa"/>
              <w:right w:w="30" w:type="dxa"/>
            </w:tcMar>
          </w:tcPr>
          <w:p w14:paraId="47403DC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Lemon, K. N., &amp; Verhoef, P. C.</w:t>
            </w:r>
          </w:p>
        </w:tc>
        <w:tc>
          <w:tcPr>
            <w:tcW w:w="605" w:type="dxa"/>
            <w:tcMar>
              <w:top w:w="28" w:type="dxa"/>
              <w:left w:w="30" w:type="dxa"/>
              <w:bottom w:w="28" w:type="dxa"/>
              <w:right w:w="30" w:type="dxa"/>
            </w:tcMar>
          </w:tcPr>
          <w:p w14:paraId="068E905A"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2016</w:t>
            </w:r>
          </w:p>
        </w:tc>
        <w:tc>
          <w:tcPr>
            <w:tcW w:w="1944" w:type="dxa"/>
            <w:tcMar>
              <w:top w:w="28" w:type="dxa"/>
              <w:left w:w="30" w:type="dxa"/>
              <w:bottom w:w="28" w:type="dxa"/>
              <w:right w:w="30" w:type="dxa"/>
            </w:tcMar>
          </w:tcPr>
          <w:p w14:paraId="264481B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Understanding customer experience throughout the customer journey</w:t>
            </w:r>
          </w:p>
        </w:tc>
        <w:tc>
          <w:tcPr>
            <w:tcW w:w="1584" w:type="dxa"/>
            <w:tcMar>
              <w:top w:w="28" w:type="dxa"/>
              <w:left w:w="30" w:type="dxa"/>
              <w:bottom w:w="28" w:type="dxa"/>
              <w:right w:w="30" w:type="dxa"/>
            </w:tcMar>
          </w:tcPr>
          <w:p w14:paraId="2D3246F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Marketing</w:t>
            </w:r>
          </w:p>
        </w:tc>
        <w:tc>
          <w:tcPr>
            <w:tcW w:w="2016" w:type="dxa"/>
            <w:tcMar>
              <w:top w:w="28" w:type="dxa"/>
              <w:left w:w="30" w:type="dxa"/>
              <w:bottom w:w="28" w:type="dxa"/>
              <w:right w:w="30" w:type="dxa"/>
            </w:tcMar>
          </w:tcPr>
          <w:p w14:paraId="7CD85B1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conceptualise customer experience across pre-purchase, purchase, and post-purchase touchpoints.</w:t>
            </w:r>
          </w:p>
        </w:tc>
        <w:tc>
          <w:tcPr>
            <w:tcW w:w="1512" w:type="dxa"/>
            <w:tcMar>
              <w:top w:w="28" w:type="dxa"/>
              <w:left w:w="30" w:type="dxa"/>
              <w:bottom w:w="28" w:type="dxa"/>
              <w:right w:w="30" w:type="dxa"/>
            </w:tcMar>
          </w:tcPr>
          <w:p w14:paraId="132CB0B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Conceptual review</w:t>
            </w:r>
          </w:p>
        </w:tc>
        <w:tc>
          <w:tcPr>
            <w:tcW w:w="1800" w:type="dxa"/>
            <w:tcMar>
              <w:top w:w="28" w:type="dxa"/>
              <w:left w:w="30" w:type="dxa"/>
              <w:bottom w:w="28" w:type="dxa"/>
              <w:right w:w="30" w:type="dxa"/>
            </w:tcMar>
          </w:tcPr>
          <w:p w14:paraId="3484517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 journey; customer experience; touchpoints; loyalty</w:t>
            </w:r>
          </w:p>
        </w:tc>
        <w:tc>
          <w:tcPr>
            <w:tcW w:w="1181" w:type="dxa"/>
            <w:tcMar>
              <w:top w:w="28" w:type="dxa"/>
              <w:left w:w="30" w:type="dxa"/>
              <w:bottom w:w="28" w:type="dxa"/>
              <w:right w:w="30" w:type="dxa"/>
            </w:tcMar>
          </w:tcPr>
          <w:p w14:paraId="53354AA5"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3E7D79A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SAGE</w:t>
            </w:r>
          </w:p>
        </w:tc>
        <w:tc>
          <w:tcPr>
            <w:tcW w:w="1800" w:type="dxa"/>
            <w:tcMar>
              <w:top w:w="28" w:type="dxa"/>
              <w:left w:w="30" w:type="dxa"/>
              <w:bottom w:w="28" w:type="dxa"/>
              <w:right w:w="30" w:type="dxa"/>
            </w:tcMar>
          </w:tcPr>
          <w:p w14:paraId="6EB1C49A" w14:textId="77777777" w:rsidR="00436BC6" w:rsidRPr="00F239F5" w:rsidRDefault="00436BC6" w:rsidP="00D81527">
            <w:pPr>
              <w:spacing w:line="276" w:lineRule="auto"/>
              <w:rPr>
                <w:rFonts w:ascii="Arial" w:hAnsi="Arial" w:cs="Arial"/>
                <w:sz w:val="16"/>
                <w:szCs w:val="16"/>
              </w:rPr>
            </w:pPr>
            <w:hyperlink r:id="rId67" w:history="1">
              <w:r w:rsidRPr="00F239F5">
                <w:rPr>
                  <w:rFonts w:ascii="Arial" w:hAnsi="Arial" w:cs="Arial"/>
                  <w:color w:val="0000FF"/>
                  <w:sz w:val="16"/>
                  <w:szCs w:val="16"/>
                  <w:u w:val="single"/>
                </w:rPr>
                <w:t>https://doi.org/10.1509/jm.15.0420</w:t>
              </w:r>
            </w:hyperlink>
            <w:r w:rsidRPr="00F239F5">
              <w:rPr>
                <w:rFonts w:ascii="Arial" w:hAnsi="Arial" w:cs="Arial"/>
                <w:sz w:val="16"/>
                <w:szCs w:val="16"/>
              </w:rPr>
              <w:t xml:space="preserve"> </w:t>
            </w:r>
          </w:p>
        </w:tc>
      </w:tr>
      <w:tr w:rsidR="00E740B3" w:rsidRPr="00F239F5" w14:paraId="2B3C0125" w14:textId="77777777">
        <w:trPr>
          <w:cantSplit/>
          <w:jc w:val="center"/>
        </w:trPr>
        <w:tc>
          <w:tcPr>
            <w:tcW w:w="504" w:type="dxa"/>
            <w:tcMar>
              <w:top w:w="28" w:type="dxa"/>
              <w:left w:w="30" w:type="dxa"/>
              <w:bottom w:w="28" w:type="dxa"/>
              <w:right w:w="30" w:type="dxa"/>
            </w:tcMar>
          </w:tcPr>
          <w:p w14:paraId="31FD132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10</w:t>
            </w:r>
          </w:p>
        </w:tc>
        <w:tc>
          <w:tcPr>
            <w:tcW w:w="1512" w:type="dxa"/>
            <w:tcMar>
              <w:top w:w="28" w:type="dxa"/>
              <w:left w:w="30" w:type="dxa"/>
              <w:bottom w:w="28" w:type="dxa"/>
              <w:right w:w="30" w:type="dxa"/>
            </w:tcMar>
          </w:tcPr>
          <w:p w14:paraId="54D38E0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Becker, L., &amp; Jaakkola, E.</w:t>
            </w:r>
          </w:p>
        </w:tc>
        <w:tc>
          <w:tcPr>
            <w:tcW w:w="605" w:type="dxa"/>
            <w:tcMar>
              <w:top w:w="28" w:type="dxa"/>
              <w:left w:w="30" w:type="dxa"/>
              <w:bottom w:w="28" w:type="dxa"/>
              <w:right w:w="30" w:type="dxa"/>
            </w:tcMar>
          </w:tcPr>
          <w:p w14:paraId="52FCE03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2020</w:t>
            </w:r>
          </w:p>
        </w:tc>
        <w:tc>
          <w:tcPr>
            <w:tcW w:w="1944" w:type="dxa"/>
            <w:tcMar>
              <w:top w:w="28" w:type="dxa"/>
              <w:left w:w="30" w:type="dxa"/>
              <w:bottom w:w="28" w:type="dxa"/>
              <w:right w:w="30" w:type="dxa"/>
            </w:tcMar>
          </w:tcPr>
          <w:p w14:paraId="4A31610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 experience: Fundamental premises and implications for research</w:t>
            </w:r>
          </w:p>
        </w:tc>
        <w:tc>
          <w:tcPr>
            <w:tcW w:w="1584" w:type="dxa"/>
            <w:tcMar>
              <w:top w:w="28" w:type="dxa"/>
              <w:left w:w="30" w:type="dxa"/>
              <w:bottom w:w="28" w:type="dxa"/>
              <w:right w:w="30" w:type="dxa"/>
            </w:tcMar>
          </w:tcPr>
          <w:p w14:paraId="6363862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the Academy of Marketing Science</w:t>
            </w:r>
          </w:p>
        </w:tc>
        <w:tc>
          <w:tcPr>
            <w:tcW w:w="2016" w:type="dxa"/>
            <w:tcMar>
              <w:top w:w="28" w:type="dxa"/>
              <w:left w:w="30" w:type="dxa"/>
              <w:bottom w:w="28" w:type="dxa"/>
              <w:right w:w="30" w:type="dxa"/>
            </w:tcMar>
          </w:tcPr>
          <w:p w14:paraId="7C1F879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define the foundational assumptions and research implications of customer experience.</w:t>
            </w:r>
          </w:p>
        </w:tc>
        <w:tc>
          <w:tcPr>
            <w:tcW w:w="1512" w:type="dxa"/>
            <w:tcMar>
              <w:top w:w="28" w:type="dxa"/>
              <w:left w:w="30" w:type="dxa"/>
              <w:bottom w:w="28" w:type="dxa"/>
              <w:right w:w="30" w:type="dxa"/>
            </w:tcMar>
          </w:tcPr>
          <w:p w14:paraId="60A1E03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Conceptual review</w:t>
            </w:r>
          </w:p>
        </w:tc>
        <w:tc>
          <w:tcPr>
            <w:tcW w:w="1800" w:type="dxa"/>
            <w:tcMar>
              <w:top w:w="28" w:type="dxa"/>
              <w:left w:w="30" w:type="dxa"/>
              <w:bottom w:w="28" w:type="dxa"/>
              <w:right w:w="30" w:type="dxa"/>
            </w:tcMar>
          </w:tcPr>
          <w:p w14:paraId="3D23333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 experience; service experience; customer value; engagement</w:t>
            </w:r>
          </w:p>
        </w:tc>
        <w:tc>
          <w:tcPr>
            <w:tcW w:w="1181" w:type="dxa"/>
            <w:tcMar>
              <w:top w:w="28" w:type="dxa"/>
              <w:left w:w="30" w:type="dxa"/>
              <w:bottom w:w="28" w:type="dxa"/>
              <w:right w:w="30" w:type="dxa"/>
            </w:tcMar>
          </w:tcPr>
          <w:p w14:paraId="0A6F7B6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71DEC6E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Springer Nature</w:t>
            </w:r>
          </w:p>
        </w:tc>
        <w:tc>
          <w:tcPr>
            <w:tcW w:w="1800" w:type="dxa"/>
            <w:tcMar>
              <w:top w:w="28" w:type="dxa"/>
              <w:left w:w="30" w:type="dxa"/>
              <w:bottom w:w="28" w:type="dxa"/>
              <w:right w:w="30" w:type="dxa"/>
            </w:tcMar>
          </w:tcPr>
          <w:p w14:paraId="0A81A8F9" w14:textId="77777777" w:rsidR="00436BC6" w:rsidRPr="00F239F5" w:rsidRDefault="00436BC6" w:rsidP="00D81527">
            <w:pPr>
              <w:spacing w:line="276" w:lineRule="auto"/>
              <w:rPr>
                <w:rFonts w:ascii="Arial" w:hAnsi="Arial" w:cs="Arial"/>
                <w:sz w:val="16"/>
                <w:szCs w:val="16"/>
              </w:rPr>
            </w:pPr>
            <w:hyperlink r:id="rId68" w:history="1">
              <w:r w:rsidRPr="00F239F5">
                <w:rPr>
                  <w:rFonts w:ascii="Arial" w:hAnsi="Arial" w:cs="Arial"/>
                  <w:color w:val="0000FF"/>
                  <w:sz w:val="16"/>
                  <w:szCs w:val="16"/>
                  <w:u w:val="single"/>
                </w:rPr>
                <w:t>https://doi.org/10.1007/s11747-019-00718-x</w:t>
              </w:r>
            </w:hyperlink>
            <w:r w:rsidRPr="00F239F5">
              <w:rPr>
                <w:rFonts w:ascii="Arial" w:hAnsi="Arial" w:cs="Arial"/>
                <w:sz w:val="16"/>
                <w:szCs w:val="16"/>
              </w:rPr>
              <w:t xml:space="preserve"> </w:t>
            </w:r>
          </w:p>
        </w:tc>
      </w:tr>
      <w:tr w:rsidR="00E740B3" w:rsidRPr="00F239F5" w14:paraId="603F86D0" w14:textId="77777777">
        <w:trPr>
          <w:cantSplit/>
          <w:jc w:val="center"/>
        </w:trPr>
        <w:tc>
          <w:tcPr>
            <w:tcW w:w="504" w:type="dxa"/>
            <w:tcMar>
              <w:top w:w="28" w:type="dxa"/>
              <w:left w:w="30" w:type="dxa"/>
              <w:bottom w:w="28" w:type="dxa"/>
              <w:right w:w="30" w:type="dxa"/>
            </w:tcMar>
          </w:tcPr>
          <w:p w14:paraId="3804B41F"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11</w:t>
            </w:r>
          </w:p>
        </w:tc>
        <w:tc>
          <w:tcPr>
            <w:tcW w:w="1512" w:type="dxa"/>
            <w:tcMar>
              <w:top w:w="28" w:type="dxa"/>
              <w:left w:w="30" w:type="dxa"/>
              <w:bottom w:w="28" w:type="dxa"/>
              <w:right w:w="30" w:type="dxa"/>
            </w:tcMar>
          </w:tcPr>
          <w:p w14:paraId="277ECE4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Herhausen, D., Binder, J., Schoegel, M., &amp; Herrmann, A.</w:t>
            </w:r>
          </w:p>
        </w:tc>
        <w:tc>
          <w:tcPr>
            <w:tcW w:w="605" w:type="dxa"/>
            <w:tcMar>
              <w:top w:w="28" w:type="dxa"/>
              <w:left w:w="30" w:type="dxa"/>
              <w:bottom w:w="28" w:type="dxa"/>
              <w:right w:w="30" w:type="dxa"/>
            </w:tcMar>
          </w:tcPr>
          <w:p w14:paraId="46BC1212"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2015</w:t>
            </w:r>
          </w:p>
        </w:tc>
        <w:tc>
          <w:tcPr>
            <w:tcW w:w="1944" w:type="dxa"/>
            <w:tcMar>
              <w:top w:w="28" w:type="dxa"/>
              <w:left w:w="30" w:type="dxa"/>
              <w:bottom w:w="28" w:type="dxa"/>
              <w:right w:w="30" w:type="dxa"/>
            </w:tcMar>
          </w:tcPr>
          <w:p w14:paraId="380E10A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Integrating bricks with clicks: Retailer-level and channel-level outcomes of online–offline channel integration</w:t>
            </w:r>
          </w:p>
        </w:tc>
        <w:tc>
          <w:tcPr>
            <w:tcW w:w="1584" w:type="dxa"/>
            <w:tcMar>
              <w:top w:w="28" w:type="dxa"/>
              <w:left w:w="30" w:type="dxa"/>
              <w:bottom w:w="28" w:type="dxa"/>
              <w:right w:w="30" w:type="dxa"/>
            </w:tcMar>
          </w:tcPr>
          <w:p w14:paraId="0EA2E2B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Retailing</w:t>
            </w:r>
          </w:p>
        </w:tc>
        <w:tc>
          <w:tcPr>
            <w:tcW w:w="2016" w:type="dxa"/>
            <w:tcMar>
              <w:top w:w="28" w:type="dxa"/>
              <w:left w:w="30" w:type="dxa"/>
              <w:bottom w:w="28" w:type="dxa"/>
              <w:right w:w="30" w:type="dxa"/>
            </w:tcMar>
          </w:tcPr>
          <w:p w14:paraId="19E14C5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analyse performance effects of integrating online and offline retail channels.</w:t>
            </w:r>
          </w:p>
        </w:tc>
        <w:tc>
          <w:tcPr>
            <w:tcW w:w="1512" w:type="dxa"/>
            <w:tcMar>
              <w:top w:w="28" w:type="dxa"/>
              <w:left w:w="30" w:type="dxa"/>
              <w:bottom w:w="28" w:type="dxa"/>
              <w:right w:w="30" w:type="dxa"/>
            </w:tcMar>
          </w:tcPr>
          <w:p w14:paraId="733AA41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Empirical quantitative study</w:t>
            </w:r>
          </w:p>
        </w:tc>
        <w:tc>
          <w:tcPr>
            <w:tcW w:w="1800" w:type="dxa"/>
            <w:tcMar>
              <w:top w:w="28" w:type="dxa"/>
              <w:left w:w="30" w:type="dxa"/>
              <w:bottom w:w="28" w:type="dxa"/>
              <w:right w:w="30" w:type="dxa"/>
            </w:tcMar>
          </w:tcPr>
          <w:p w14:paraId="2BB5AAD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Channel integration; online–offline retail; omnichannel performance</w:t>
            </w:r>
          </w:p>
        </w:tc>
        <w:tc>
          <w:tcPr>
            <w:tcW w:w="1181" w:type="dxa"/>
            <w:tcMar>
              <w:top w:w="28" w:type="dxa"/>
              <w:left w:w="30" w:type="dxa"/>
              <w:bottom w:w="28" w:type="dxa"/>
              <w:right w:w="30" w:type="dxa"/>
            </w:tcMar>
          </w:tcPr>
          <w:p w14:paraId="73680BF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RQ3</w:t>
            </w:r>
          </w:p>
        </w:tc>
        <w:tc>
          <w:tcPr>
            <w:tcW w:w="1325" w:type="dxa"/>
            <w:tcMar>
              <w:top w:w="28" w:type="dxa"/>
              <w:left w:w="30" w:type="dxa"/>
              <w:bottom w:w="28" w:type="dxa"/>
              <w:right w:w="30" w:type="dxa"/>
            </w:tcMar>
          </w:tcPr>
          <w:p w14:paraId="79A0DBD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2B1F0640" w14:textId="77777777" w:rsidR="00436BC6" w:rsidRPr="00F239F5" w:rsidRDefault="00436BC6" w:rsidP="00D81527">
            <w:pPr>
              <w:spacing w:line="276" w:lineRule="auto"/>
              <w:rPr>
                <w:rFonts w:ascii="Arial" w:hAnsi="Arial" w:cs="Arial"/>
                <w:sz w:val="16"/>
                <w:szCs w:val="16"/>
              </w:rPr>
            </w:pPr>
            <w:hyperlink r:id="rId69" w:history="1">
              <w:r w:rsidRPr="00F239F5">
                <w:rPr>
                  <w:rFonts w:ascii="Arial" w:hAnsi="Arial" w:cs="Arial"/>
                  <w:color w:val="0000FF"/>
                  <w:sz w:val="16"/>
                  <w:szCs w:val="16"/>
                  <w:u w:val="single"/>
                </w:rPr>
                <w:t>https://doi.org/10.1016/j.jretai.2014.12.009</w:t>
              </w:r>
            </w:hyperlink>
            <w:r w:rsidRPr="00F239F5">
              <w:rPr>
                <w:rFonts w:ascii="Arial" w:hAnsi="Arial" w:cs="Arial"/>
                <w:sz w:val="16"/>
                <w:szCs w:val="16"/>
              </w:rPr>
              <w:t xml:space="preserve"> </w:t>
            </w:r>
          </w:p>
        </w:tc>
      </w:tr>
      <w:tr w:rsidR="00E740B3" w:rsidRPr="00F239F5" w14:paraId="58AD2CE1" w14:textId="77777777">
        <w:trPr>
          <w:cantSplit/>
          <w:jc w:val="center"/>
        </w:trPr>
        <w:tc>
          <w:tcPr>
            <w:tcW w:w="504" w:type="dxa"/>
            <w:tcMar>
              <w:top w:w="28" w:type="dxa"/>
              <w:left w:w="30" w:type="dxa"/>
              <w:bottom w:w="28" w:type="dxa"/>
              <w:right w:w="30" w:type="dxa"/>
            </w:tcMar>
          </w:tcPr>
          <w:p w14:paraId="0023B0EF"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12</w:t>
            </w:r>
          </w:p>
        </w:tc>
        <w:tc>
          <w:tcPr>
            <w:tcW w:w="1512" w:type="dxa"/>
            <w:tcMar>
              <w:top w:w="28" w:type="dxa"/>
              <w:left w:w="30" w:type="dxa"/>
              <w:bottom w:w="28" w:type="dxa"/>
              <w:right w:w="30" w:type="dxa"/>
            </w:tcMar>
          </w:tcPr>
          <w:p w14:paraId="74476C5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Cao, L., &amp; Li, L.</w:t>
            </w:r>
          </w:p>
        </w:tc>
        <w:tc>
          <w:tcPr>
            <w:tcW w:w="605" w:type="dxa"/>
            <w:tcMar>
              <w:top w:w="28" w:type="dxa"/>
              <w:left w:w="30" w:type="dxa"/>
              <w:bottom w:w="28" w:type="dxa"/>
              <w:right w:w="30" w:type="dxa"/>
            </w:tcMar>
          </w:tcPr>
          <w:p w14:paraId="7314CD5A"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2015</w:t>
            </w:r>
          </w:p>
        </w:tc>
        <w:tc>
          <w:tcPr>
            <w:tcW w:w="1944" w:type="dxa"/>
            <w:tcMar>
              <w:top w:w="28" w:type="dxa"/>
              <w:left w:w="30" w:type="dxa"/>
              <w:bottom w:w="28" w:type="dxa"/>
              <w:right w:w="30" w:type="dxa"/>
            </w:tcMar>
          </w:tcPr>
          <w:p w14:paraId="0016EC5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The impact of cross-channel integration on retailers' sales growth</w:t>
            </w:r>
          </w:p>
        </w:tc>
        <w:tc>
          <w:tcPr>
            <w:tcW w:w="1584" w:type="dxa"/>
            <w:tcMar>
              <w:top w:w="28" w:type="dxa"/>
              <w:left w:w="30" w:type="dxa"/>
              <w:bottom w:w="28" w:type="dxa"/>
              <w:right w:w="30" w:type="dxa"/>
            </w:tcMar>
          </w:tcPr>
          <w:p w14:paraId="0A745AD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Retailing</w:t>
            </w:r>
          </w:p>
        </w:tc>
        <w:tc>
          <w:tcPr>
            <w:tcW w:w="2016" w:type="dxa"/>
            <w:tcMar>
              <w:top w:w="28" w:type="dxa"/>
              <w:left w:w="30" w:type="dxa"/>
              <w:bottom w:w="28" w:type="dxa"/>
              <w:right w:w="30" w:type="dxa"/>
            </w:tcMar>
          </w:tcPr>
          <w:p w14:paraId="2CCE5A5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assess whether cross-channel integration contributes to retail sales growth.</w:t>
            </w:r>
          </w:p>
        </w:tc>
        <w:tc>
          <w:tcPr>
            <w:tcW w:w="1512" w:type="dxa"/>
            <w:tcMar>
              <w:top w:w="28" w:type="dxa"/>
              <w:left w:w="30" w:type="dxa"/>
              <w:bottom w:w="28" w:type="dxa"/>
              <w:right w:w="30" w:type="dxa"/>
            </w:tcMar>
          </w:tcPr>
          <w:p w14:paraId="036C16B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Empirical quantitative study</w:t>
            </w:r>
          </w:p>
        </w:tc>
        <w:tc>
          <w:tcPr>
            <w:tcW w:w="1800" w:type="dxa"/>
            <w:tcMar>
              <w:top w:w="28" w:type="dxa"/>
              <w:left w:w="30" w:type="dxa"/>
              <w:bottom w:w="28" w:type="dxa"/>
              <w:right w:w="30" w:type="dxa"/>
            </w:tcMar>
          </w:tcPr>
          <w:p w14:paraId="64AF1AD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Cross-channel integration; sales growth; omnichannel strategy</w:t>
            </w:r>
          </w:p>
        </w:tc>
        <w:tc>
          <w:tcPr>
            <w:tcW w:w="1181" w:type="dxa"/>
            <w:tcMar>
              <w:top w:w="28" w:type="dxa"/>
              <w:left w:w="30" w:type="dxa"/>
              <w:bottom w:w="28" w:type="dxa"/>
              <w:right w:w="30" w:type="dxa"/>
            </w:tcMar>
          </w:tcPr>
          <w:p w14:paraId="2CA610E3"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RQ3</w:t>
            </w:r>
          </w:p>
        </w:tc>
        <w:tc>
          <w:tcPr>
            <w:tcW w:w="1325" w:type="dxa"/>
            <w:tcMar>
              <w:top w:w="28" w:type="dxa"/>
              <w:left w:w="30" w:type="dxa"/>
              <w:bottom w:w="28" w:type="dxa"/>
              <w:right w:w="30" w:type="dxa"/>
            </w:tcMar>
          </w:tcPr>
          <w:p w14:paraId="79E2995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0520DC39" w14:textId="77777777" w:rsidR="00436BC6" w:rsidRPr="00F239F5" w:rsidRDefault="00436BC6" w:rsidP="00D81527">
            <w:pPr>
              <w:spacing w:line="276" w:lineRule="auto"/>
              <w:rPr>
                <w:rFonts w:ascii="Arial" w:hAnsi="Arial" w:cs="Arial"/>
                <w:sz w:val="16"/>
                <w:szCs w:val="16"/>
              </w:rPr>
            </w:pPr>
            <w:hyperlink r:id="rId70" w:history="1">
              <w:r w:rsidRPr="00F239F5">
                <w:rPr>
                  <w:rFonts w:ascii="Arial" w:hAnsi="Arial" w:cs="Arial"/>
                  <w:color w:val="0000FF"/>
                  <w:sz w:val="16"/>
                  <w:szCs w:val="16"/>
                  <w:u w:val="single"/>
                </w:rPr>
                <w:t>https://doi.org/10.1016/j.jretai.2014.12.005</w:t>
              </w:r>
            </w:hyperlink>
            <w:r w:rsidRPr="00F239F5">
              <w:rPr>
                <w:rFonts w:ascii="Arial" w:hAnsi="Arial" w:cs="Arial"/>
                <w:sz w:val="16"/>
                <w:szCs w:val="16"/>
              </w:rPr>
              <w:t xml:space="preserve"> </w:t>
            </w:r>
          </w:p>
        </w:tc>
      </w:tr>
      <w:tr w:rsidR="00E740B3" w:rsidRPr="00F239F5" w14:paraId="50A4D1B9" w14:textId="77777777">
        <w:trPr>
          <w:cantSplit/>
          <w:jc w:val="center"/>
        </w:trPr>
        <w:tc>
          <w:tcPr>
            <w:tcW w:w="504" w:type="dxa"/>
            <w:tcMar>
              <w:top w:w="28" w:type="dxa"/>
              <w:left w:w="30" w:type="dxa"/>
              <w:bottom w:w="28" w:type="dxa"/>
              <w:right w:w="30" w:type="dxa"/>
            </w:tcMar>
          </w:tcPr>
          <w:p w14:paraId="069F9A18"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13</w:t>
            </w:r>
          </w:p>
        </w:tc>
        <w:tc>
          <w:tcPr>
            <w:tcW w:w="1512" w:type="dxa"/>
            <w:tcMar>
              <w:top w:w="28" w:type="dxa"/>
              <w:left w:w="30" w:type="dxa"/>
              <w:bottom w:w="28" w:type="dxa"/>
              <w:right w:w="30" w:type="dxa"/>
            </w:tcMar>
          </w:tcPr>
          <w:p w14:paraId="33E742D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Ailawadi, K. L., &amp; Farris, P. W.</w:t>
            </w:r>
          </w:p>
        </w:tc>
        <w:tc>
          <w:tcPr>
            <w:tcW w:w="605" w:type="dxa"/>
            <w:tcMar>
              <w:top w:w="28" w:type="dxa"/>
              <w:left w:w="30" w:type="dxa"/>
              <w:bottom w:w="28" w:type="dxa"/>
              <w:right w:w="30" w:type="dxa"/>
            </w:tcMar>
          </w:tcPr>
          <w:p w14:paraId="49FC0DD1"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2017</w:t>
            </w:r>
          </w:p>
        </w:tc>
        <w:tc>
          <w:tcPr>
            <w:tcW w:w="1944" w:type="dxa"/>
            <w:tcMar>
              <w:top w:w="28" w:type="dxa"/>
              <w:left w:w="30" w:type="dxa"/>
              <w:bottom w:w="28" w:type="dxa"/>
              <w:right w:w="30" w:type="dxa"/>
            </w:tcMar>
          </w:tcPr>
          <w:p w14:paraId="65AAF15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Managing multi- and omni-channel distribution: Metrics and research directions</w:t>
            </w:r>
          </w:p>
        </w:tc>
        <w:tc>
          <w:tcPr>
            <w:tcW w:w="1584" w:type="dxa"/>
            <w:tcMar>
              <w:top w:w="28" w:type="dxa"/>
              <w:left w:w="30" w:type="dxa"/>
              <w:bottom w:w="28" w:type="dxa"/>
              <w:right w:w="30" w:type="dxa"/>
            </w:tcMar>
          </w:tcPr>
          <w:p w14:paraId="69F9EF2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Retailing</w:t>
            </w:r>
          </w:p>
        </w:tc>
        <w:tc>
          <w:tcPr>
            <w:tcW w:w="2016" w:type="dxa"/>
            <w:tcMar>
              <w:top w:w="28" w:type="dxa"/>
              <w:left w:w="30" w:type="dxa"/>
              <w:bottom w:w="28" w:type="dxa"/>
              <w:right w:w="30" w:type="dxa"/>
            </w:tcMar>
          </w:tcPr>
          <w:p w14:paraId="34585C6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propose metrics and research directions for managing multi- and omni-channel distribution.</w:t>
            </w:r>
          </w:p>
        </w:tc>
        <w:tc>
          <w:tcPr>
            <w:tcW w:w="1512" w:type="dxa"/>
            <w:tcMar>
              <w:top w:w="28" w:type="dxa"/>
              <w:left w:w="30" w:type="dxa"/>
              <w:bottom w:w="28" w:type="dxa"/>
              <w:right w:w="30" w:type="dxa"/>
            </w:tcMar>
          </w:tcPr>
          <w:p w14:paraId="3CDD757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Conceptual review / research agenda</w:t>
            </w:r>
          </w:p>
        </w:tc>
        <w:tc>
          <w:tcPr>
            <w:tcW w:w="1800" w:type="dxa"/>
            <w:tcMar>
              <w:top w:w="28" w:type="dxa"/>
              <w:left w:w="30" w:type="dxa"/>
              <w:bottom w:w="28" w:type="dxa"/>
              <w:right w:w="30" w:type="dxa"/>
            </w:tcMar>
          </w:tcPr>
          <w:p w14:paraId="16F144B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Omnichannel distribution; retail metrics; customer management</w:t>
            </w:r>
          </w:p>
        </w:tc>
        <w:tc>
          <w:tcPr>
            <w:tcW w:w="1181" w:type="dxa"/>
            <w:tcMar>
              <w:top w:w="28" w:type="dxa"/>
              <w:left w:w="30" w:type="dxa"/>
              <w:bottom w:w="28" w:type="dxa"/>
              <w:right w:w="30" w:type="dxa"/>
            </w:tcMar>
          </w:tcPr>
          <w:p w14:paraId="40E596B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RQ3</w:t>
            </w:r>
          </w:p>
        </w:tc>
        <w:tc>
          <w:tcPr>
            <w:tcW w:w="1325" w:type="dxa"/>
            <w:tcMar>
              <w:top w:w="28" w:type="dxa"/>
              <w:left w:w="30" w:type="dxa"/>
              <w:bottom w:w="28" w:type="dxa"/>
              <w:right w:w="30" w:type="dxa"/>
            </w:tcMar>
          </w:tcPr>
          <w:p w14:paraId="42D4B95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75D6E890" w14:textId="77777777" w:rsidR="00436BC6" w:rsidRPr="00F239F5" w:rsidRDefault="00436BC6" w:rsidP="00D81527">
            <w:pPr>
              <w:spacing w:line="276" w:lineRule="auto"/>
              <w:rPr>
                <w:rFonts w:ascii="Arial" w:hAnsi="Arial" w:cs="Arial"/>
                <w:sz w:val="16"/>
                <w:szCs w:val="16"/>
              </w:rPr>
            </w:pPr>
            <w:hyperlink r:id="rId71" w:history="1">
              <w:r w:rsidRPr="00F239F5">
                <w:rPr>
                  <w:rFonts w:ascii="Arial" w:hAnsi="Arial" w:cs="Arial"/>
                  <w:color w:val="0000FF"/>
                  <w:sz w:val="16"/>
                  <w:szCs w:val="16"/>
                  <w:u w:val="single"/>
                </w:rPr>
                <w:t>https://doi.org/10.1016/j.jretai.2016.12.003</w:t>
              </w:r>
            </w:hyperlink>
            <w:r w:rsidRPr="00F239F5">
              <w:rPr>
                <w:rFonts w:ascii="Arial" w:hAnsi="Arial" w:cs="Arial"/>
                <w:sz w:val="16"/>
                <w:szCs w:val="16"/>
              </w:rPr>
              <w:t xml:space="preserve"> </w:t>
            </w:r>
          </w:p>
        </w:tc>
      </w:tr>
      <w:tr w:rsidR="00E740B3" w:rsidRPr="00F239F5" w14:paraId="6BC05584" w14:textId="77777777">
        <w:trPr>
          <w:cantSplit/>
          <w:jc w:val="center"/>
        </w:trPr>
        <w:tc>
          <w:tcPr>
            <w:tcW w:w="504" w:type="dxa"/>
            <w:tcMar>
              <w:top w:w="28" w:type="dxa"/>
              <w:left w:w="30" w:type="dxa"/>
              <w:bottom w:w="28" w:type="dxa"/>
              <w:right w:w="30" w:type="dxa"/>
            </w:tcMar>
          </w:tcPr>
          <w:p w14:paraId="5E0E9852"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14</w:t>
            </w:r>
          </w:p>
        </w:tc>
        <w:tc>
          <w:tcPr>
            <w:tcW w:w="1512" w:type="dxa"/>
            <w:tcMar>
              <w:top w:w="28" w:type="dxa"/>
              <w:left w:w="30" w:type="dxa"/>
              <w:bottom w:w="28" w:type="dxa"/>
              <w:right w:w="30" w:type="dxa"/>
            </w:tcMar>
          </w:tcPr>
          <w:p w14:paraId="70F6742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Hossain, M. A., Akter, S., &amp; Yanamandram, V.</w:t>
            </w:r>
          </w:p>
        </w:tc>
        <w:tc>
          <w:tcPr>
            <w:tcW w:w="605" w:type="dxa"/>
            <w:tcMar>
              <w:top w:w="28" w:type="dxa"/>
              <w:left w:w="30" w:type="dxa"/>
              <w:bottom w:w="28" w:type="dxa"/>
              <w:right w:w="30" w:type="dxa"/>
            </w:tcMar>
          </w:tcPr>
          <w:p w14:paraId="39D1F6DF"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2023</w:t>
            </w:r>
          </w:p>
        </w:tc>
        <w:tc>
          <w:tcPr>
            <w:tcW w:w="1944" w:type="dxa"/>
            <w:tcMar>
              <w:top w:w="28" w:type="dxa"/>
              <w:left w:w="30" w:type="dxa"/>
              <w:bottom w:w="28" w:type="dxa"/>
              <w:right w:w="30" w:type="dxa"/>
            </w:tcMar>
          </w:tcPr>
          <w:p w14:paraId="46F89D9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Why doesn’t our value creation payoff: Unpacking customer analytics-driven value creation capability</w:t>
            </w:r>
          </w:p>
        </w:tc>
        <w:tc>
          <w:tcPr>
            <w:tcW w:w="1584" w:type="dxa"/>
            <w:tcMar>
              <w:top w:w="28" w:type="dxa"/>
              <w:left w:w="30" w:type="dxa"/>
              <w:bottom w:w="28" w:type="dxa"/>
              <w:right w:w="30" w:type="dxa"/>
            </w:tcMar>
          </w:tcPr>
          <w:p w14:paraId="4AC31FE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Business Research</w:t>
            </w:r>
          </w:p>
        </w:tc>
        <w:tc>
          <w:tcPr>
            <w:tcW w:w="2016" w:type="dxa"/>
            <w:tcMar>
              <w:top w:w="28" w:type="dxa"/>
              <w:left w:w="30" w:type="dxa"/>
              <w:bottom w:w="28" w:type="dxa"/>
              <w:right w:w="30" w:type="dxa"/>
            </w:tcMar>
          </w:tcPr>
          <w:p w14:paraId="3AAC67B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explain why customer analytics capabilities may or may not generate value.</w:t>
            </w:r>
          </w:p>
        </w:tc>
        <w:tc>
          <w:tcPr>
            <w:tcW w:w="1512" w:type="dxa"/>
            <w:tcMar>
              <w:top w:w="28" w:type="dxa"/>
              <w:left w:w="30" w:type="dxa"/>
              <w:bottom w:w="28" w:type="dxa"/>
              <w:right w:w="30" w:type="dxa"/>
            </w:tcMar>
          </w:tcPr>
          <w:p w14:paraId="0312CBA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Quantitative empirical study / capability model</w:t>
            </w:r>
          </w:p>
        </w:tc>
        <w:tc>
          <w:tcPr>
            <w:tcW w:w="1800" w:type="dxa"/>
            <w:tcMar>
              <w:top w:w="28" w:type="dxa"/>
              <w:left w:w="30" w:type="dxa"/>
              <w:bottom w:w="28" w:type="dxa"/>
              <w:right w:w="30" w:type="dxa"/>
            </w:tcMar>
          </w:tcPr>
          <w:p w14:paraId="031C14D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 analytics; value creation; capability; customer value</w:t>
            </w:r>
          </w:p>
        </w:tc>
        <w:tc>
          <w:tcPr>
            <w:tcW w:w="1181" w:type="dxa"/>
            <w:tcMar>
              <w:top w:w="28" w:type="dxa"/>
              <w:left w:w="30" w:type="dxa"/>
              <w:bottom w:w="28" w:type="dxa"/>
              <w:right w:w="30" w:type="dxa"/>
            </w:tcMar>
          </w:tcPr>
          <w:p w14:paraId="6758856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 RQ3</w:t>
            </w:r>
          </w:p>
        </w:tc>
        <w:tc>
          <w:tcPr>
            <w:tcW w:w="1325" w:type="dxa"/>
            <w:tcMar>
              <w:top w:w="28" w:type="dxa"/>
              <w:left w:w="30" w:type="dxa"/>
              <w:bottom w:w="28" w:type="dxa"/>
              <w:right w:w="30" w:type="dxa"/>
            </w:tcMar>
          </w:tcPr>
          <w:p w14:paraId="4A019BB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3ABFD0F7" w14:textId="77777777" w:rsidR="00436BC6" w:rsidRPr="00F239F5" w:rsidRDefault="00436BC6" w:rsidP="00D81527">
            <w:pPr>
              <w:spacing w:line="276" w:lineRule="auto"/>
              <w:rPr>
                <w:rFonts w:ascii="Arial" w:hAnsi="Arial" w:cs="Arial"/>
                <w:sz w:val="16"/>
                <w:szCs w:val="16"/>
              </w:rPr>
            </w:pPr>
            <w:hyperlink r:id="rId72" w:history="1">
              <w:r w:rsidRPr="00F239F5">
                <w:rPr>
                  <w:rFonts w:ascii="Arial" w:hAnsi="Arial" w:cs="Arial"/>
                  <w:color w:val="0000FF"/>
                  <w:sz w:val="16"/>
                  <w:szCs w:val="16"/>
                  <w:u w:val="single"/>
                </w:rPr>
                <w:t>https://doi.org/10.1016/j.jbusres.2021.03.063</w:t>
              </w:r>
            </w:hyperlink>
            <w:r w:rsidRPr="00F239F5">
              <w:rPr>
                <w:rFonts w:ascii="Arial" w:hAnsi="Arial" w:cs="Arial"/>
                <w:sz w:val="16"/>
                <w:szCs w:val="16"/>
              </w:rPr>
              <w:t xml:space="preserve"> </w:t>
            </w:r>
          </w:p>
        </w:tc>
      </w:tr>
      <w:tr w:rsidR="00E740B3" w:rsidRPr="00F239F5" w14:paraId="1AA607C5" w14:textId="77777777">
        <w:trPr>
          <w:cantSplit/>
          <w:jc w:val="center"/>
        </w:trPr>
        <w:tc>
          <w:tcPr>
            <w:tcW w:w="504" w:type="dxa"/>
            <w:tcMar>
              <w:top w:w="28" w:type="dxa"/>
              <w:left w:w="30" w:type="dxa"/>
              <w:bottom w:w="28" w:type="dxa"/>
              <w:right w:w="30" w:type="dxa"/>
            </w:tcMar>
          </w:tcPr>
          <w:p w14:paraId="4C9D9539"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15</w:t>
            </w:r>
          </w:p>
        </w:tc>
        <w:tc>
          <w:tcPr>
            <w:tcW w:w="1512" w:type="dxa"/>
            <w:tcMar>
              <w:top w:w="28" w:type="dxa"/>
              <w:left w:w="30" w:type="dxa"/>
              <w:bottom w:w="28" w:type="dxa"/>
              <w:right w:w="30" w:type="dxa"/>
            </w:tcMar>
          </w:tcPr>
          <w:p w14:paraId="547297A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Erevelles, S., Fukawa, N., &amp; Swayne, L.</w:t>
            </w:r>
          </w:p>
        </w:tc>
        <w:tc>
          <w:tcPr>
            <w:tcW w:w="605" w:type="dxa"/>
            <w:tcMar>
              <w:top w:w="28" w:type="dxa"/>
              <w:left w:w="30" w:type="dxa"/>
              <w:bottom w:w="28" w:type="dxa"/>
              <w:right w:w="30" w:type="dxa"/>
            </w:tcMar>
          </w:tcPr>
          <w:p w14:paraId="4B31BE3C"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2016</w:t>
            </w:r>
          </w:p>
        </w:tc>
        <w:tc>
          <w:tcPr>
            <w:tcW w:w="1944" w:type="dxa"/>
            <w:tcMar>
              <w:top w:w="28" w:type="dxa"/>
              <w:left w:w="30" w:type="dxa"/>
              <w:bottom w:w="28" w:type="dxa"/>
              <w:right w:w="30" w:type="dxa"/>
            </w:tcMar>
          </w:tcPr>
          <w:p w14:paraId="4E5BDD5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Big Data consumer analytics and the transformation of marketing</w:t>
            </w:r>
          </w:p>
        </w:tc>
        <w:tc>
          <w:tcPr>
            <w:tcW w:w="1584" w:type="dxa"/>
            <w:tcMar>
              <w:top w:w="28" w:type="dxa"/>
              <w:left w:w="30" w:type="dxa"/>
              <w:bottom w:w="28" w:type="dxa"/>
              <w:right w:w="30" w:type="dxa"/>
            </w:tcMar>
          </w:tcPr>
          <w:p w14:paraId="3547086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Business Research</w:t>
            </w:r>
          </w:p>
        </w:tc>
        <w:tc>
          <w:tcPr>
            <w:tcW w:w="2016" w:type="dxa"/>
            <w:tcMar>
              <w:top w:w="28" w:type="dxa"/>
              <w:left w:w="30" w:type="dxa"/>
              <w:bottom w:w="28" w:type="dxa"/>
              <w:right w:w="30" w:type="dxa"/>
            </w:tcMar>
          </w:tcPr>
          <w:p w14:paraId="011A414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show how big data analytics transforms marketing decision-making and customer insight.</w:t>
            </w:r>
          </w:p>
        </w:tc>
        <w:tc>
          <w:tcPr>
            <w:tcW w:w="1512" w:type="dxa"/>
            <w:tcMar>
              <w:top w:w="28" w:type="dxa"/>
              <w:left w:w="30" w:type="dxa"/>
              <w:bottom w:w="28" w:type="dxa"/>
              <w:right w:w="30" w:type="dxa"/>
            </w:tcMar>
          </w:tcPr>
          <w:p w14:paraId="6747A6F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Conceptual review</w:t>
            </w:r>
          </w:p>
        </w:tc>
        <w:tc>
          <w:tcPr>
            <w:tcW w:w="1800" w:type="dxa"/>
            <w:tcMar>
              <w:top w:w="28" w:type="dxa"/>
              <w:left w:w="30" w:type="dxa"/>
              <w:bottom w:w="28" w:type="dxa"/>
              <w:right w:w="30" w:type="dxa"/>
            </w:tcMar>
          </w:tcPr>
          <w:p w14:paraId="42DD784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Big data; consumer analytics; marketing transformation; personalisation</w:t>
            </w:r>
          </w:p>
        </w:tc>
        <w:tc>
          <w:tcPr>
            <w:tcW w:w="1181" w:type="dxa"/>
            <w:tcMar>
              <w:top w:w="28" w:type="dxa"/>
              <w:left w:w="30" w:type="dxa"/>
              <w:bottom w:w="28" w:type="dxa"/>
              <w:right w:w="30" w:type="dxa"/>
            </w:tcMar>
          </w:tcPr>
          <w:p w14:paraId="455CD8BF"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RQ3</w:t>
            </w:r>
          </w:p>
        </w:tc>
        <w:tc>
          <w:tcPr>
            <w:tcW w:w="1325" w:type="dxa"/>
            <w:tcMar>
              <w:top w:w="28" w:type="dxa"/>
              <w:left w:w="30" w:type="dxa"/>
              <w:bottom w:w="28" w:type="dxa"/>
              <w:right w:w="30" w:type="dxa"/>
            </w:tcMar>
          </w:tcPr>
          <w:p w14:paraId="15F3E8C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49353E5B" w14:textId="77777777" w:rsidR="00436BC6" w:rsidRPr="00F239F5" w:rsidRDefault="00436BC6" w:rsidP="00D81527">
            <w:pPr>
              <w:spacing w:line="276" w:lineRule="auto"/>
              <w:rPr>
                <w:rFonts w:ascii="Arial" w:hAnsi="Arial" w:cs="Arial"/>
                <w:sz w:val="16"/>
                <w:szCs w:val="16"/>
              </w:rPr>
            </w:pPr>
            <w:hyperlink r:id="rId73" w:history="1">
              <w:r w:rsidRPr="00F239F5">
                <w:rPr>
                  <w:rFonts w:ascii="Arial" w:hAnsi="Arial" w:cs="Arial"/>
                  <w:color w:val="0000FF"/>
                  <w:sz w:val="16"/>
                  <w:szCs w:val="16"/>
                  <w:u w:val="single"/>
                </w:rPr>
                <w:t>https://doi.org/10.1016/j.jbusres.2015.07.001</w:t>
              </w:r>
            </w:hyperlink>
            <w:r w:rsidRPr="00F239F5">
              <w:rPr>
                <w:rFonts w:ascii="Arial" w:hAnsi="Arial" w:cs="Arial"/>
                <w:sz w:val="16"/>
                <w:szCs w:val="16"/>
              </w:rPr>
              <w:t xml:space="preserve"> </w:t>
            </w:r>
          </w:p>
        </w:tc>
      </w:tr>
      <w:tr w:rsidR="00E740B3" w:rsidRPr="00F239F5" w14:paraId="5FCE5923" w14:textId="77777777">
        <w:trPr>
          <w:cantSplit/>
          <w:jc w:val="center"/>
        </w:trPr>
        <w:tc>
          <w:tcPr>
            <w:tcW w:w="504" w:type="dxa"/>
            <w:tcMar>
              <w:top w:w="28" w:type="dxa"/>
              <w:left w:w="30" w:type="dxa"/>
              <w:bottom w:w="28" w:type="dxa"/>
              <w:right w:w="30" w:type="dxa"/>
            </w:tcMar>
          </w:tcPr>
          <w:p w14:paraId="6E84DAD1"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16</w:t>
            </w:r>
          </w:p>
        </w:tc>
        <w:tc>
          <w:tcPr>
            <w:tcW w:w="1512" w:type="dxa"/>
            <w:tcMar>
              <w:top w:w="28" w:type="dxa"/>
              <w:left w:w="30" w:type="dxa"/>
              <w:bottom w:w="28" w:type="dxa"/>
              <w:right w:w="30" w:type="dxa"/>
            </w:tcMar>
          </w:tcPr>
          <w:p w14:paraId="79CB845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Akter, S., Wamba, S. F., Gunasekaran, A., Dubey, R., &amp; Childe, S. J.</w:t>
            </w:r>
          </w:p>
        </w:tc>
        <w:tc>
          <w:tcPr>
            <w:tcW w:w="605" w:type="dxa"/>
            <w:tcMar>
              <w:top w:w="28" w:type="dxa"/>
              <w:left w:w="30" w:type="dxa"/>
              <w:bottom w:w="28" w:type="dxa"/>
              <w:right w:w="30" w:type="dxa"/>
            </w:tcMar>
          </w:tcPr>
          <w:p w14:paraId="0FA1576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2016</w:t>
            </w:r>
          </w:p>
        </w:tc>
        <w:tc>
          <w:tcPr>
            <w:tcW w:w="1944" w:type="dxa"/>
            <w:tcMar>
              <w:top w:w="28" w:type="dxa"/>
              <w:left w:w="30" w:type="dxa"/>
              <w:bottom w:w="28" w:type="dxa"/>
              <w:right w:w="30" w:type="dxa"/>
            </w:tcMar>
          </w:tcPr>
          <w:p w14:paraId="3BA3A54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How to improve firm performance using big data analytics capability and business strategy alignment?</w:t>
            </w:r>
          </w:p>
        </w:tc>
        <w:tc>
          <w:tcPr>
            <w:tcW w:w="1584" w:type="dxa"/>
            <w:tcMar>
              <w:top w:w="28" w:type="dxa"/>
              <w:left w:w="30" w:type="dxa"/>
              <w:bottom w:w="28" w:type="dxa"/>
              <w:right w:w="30" w:type="dxa"/>
            </w:tcMar>
          </w:tcPr>
          <w:p w14:paraId="10083C8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International Journal of Production Economics</w:t>
            </w:r>
          </w:p>
        </w:tc>
        <w:tc>
          <w:tcPr>
            <w:tcW w:w="2016" w:type="dxa"/>
            <w:tcMar>
              <w:top w:w="28" w:type="dxa"/>
              <w:left w:w="30" w:type="dxa"/>
              <w:bottom w:w="28" w:type="dxa"/>
              <w:right w:w="30" w:type="dxa"/>
            </w:tcMar>
          </w:tcPr>
          <w:p w14:paraId="2706050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test how big data analytics capability and strategy alignment influence firm performance.</w:t>
            </w:r>
          </w:p>
        </w:tc>
        <w:tc>
          <w:tcPr>
            <w:tcW w:w="1512" w:type="dxa"/>
            <w:tcMar>
              <w:top w:w="28" w:type="dxa"/>
              <w:left w:w="30" w:type="dxa"/>
              <w:bottom w:w="28" w:type="dxa"/>
              <w:right w:w="30" w:type="dxa"/>
            </w:tcMar>
          </w:tcPr>
          <w:p w14:paraId="2CFC4B3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Quantitative survey / SEM</w:t>
            </w:r>
          </w:p>
        </w:tc>
        <w:tc>
          <w:tcPr>
            <w:tcW w:w="1800" w:type="dxa"/>
            <w:tcMar>
              <w:top w:w="28" w:type="dxa"/>
              <w:left w:w="30" w:type="dxa"/>
              <w:bottom w:w="28" w:type="dxa"/>
              <w:right w:w="30" w:type="dxa"/>
            </w:tcMar>
          </w:tcPr>
          <w:p w14:paraId="65DE5D1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Big data analytics capability; strategy alignment; performance</w:t>
            </w:r>
          </w:p>
        </w:tc>
        <w:tc>
          <w:tcPr>
            <w:tcW w:w="1181" w:type="dxa"/>
            <w:tcMar>
              <w:top w:w="28" w:type="dxa"/>
              <w:left w:w="30" w:type="dxa"/>
              <w:bottom w:w="28" w:type="dxa"/>
              <w:right w:w="30" w:type="dxa"/>
            </w:tcMar>
          </w:tcPr>
          <w:p w14:paraId="1EA6FD1A"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RQ3</w:t>
            </w:r>
          </w:p>
        </w:tc>
        <w:tc>
          <w:tcPr>
            <w:tcW w:w="1325" w:type="dxa"/>
            <w:tcMar>
              <w:top w:w="28" w:type="dxa"/>
              <w:left w:w="30" w:type="dxa"/>
              <w:bottom w:w="28" w:type="dxa"/>
              <w:right w:w="30" w:type="dxa"/>
            </w:tcMar>
          </w:tcPr>
          <w:p w14:paraId="0748809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03794EBD" w14:textId="77777777" w:rsidR="00436BC6" w:rsidRPr="00F239F5" w:rsidRDefault="00436BC6" w:rsidP="00D81527">
            <w:pPr>
              <w:spacing w:line="276" w:lineRule="auto"/>
              <w:rPr>
                <w:rFonts w:ascii="Arial" w:hAnsi="Arial" w:cs="Arial"/>
                <w:sz w:val="16"/>
                <w:szCs w:val="16"/>
              </w:rPr>
            </w:pPr>
            <w:hyperlink r:id="rId74" w:history="1">
              <w:r w:rsidRPr="00F239F5">
                <w:rPr>
                  <w:rFonts w:ascii="Arial" w:hAnsi="Arial" w:cs="Arial"/>
                  <w:color w:val="0000FF"/>
                  <w:sz w:val="16"/>
                  <w:szCs w:val="16"/>
                  <w:u w:val="single"/>
                </w:rPr>
                <w:t>https://doi.org/10.1016/j.ijpe.2016.08.018</w:t>
              </w:r>
            </w:hyperlink>
            <w:r w:rsidRPr="00F239F5">
              <w:rPr>
                <w:rFonts w:ascii="Arial" w:hAnsi="Arial" w:cs="Arial"/>
                <w:sz w:val="16"/>
                <w:szCs w:val="16"/>
              </w:rPr>
              <w:t xml:space="preserve"> </w:t>
            </w:r>
          </w:p>
        </w:tc>
      </w:tr>
      <w:tr w:rsidR="00E740B3" w:rsidRPr="00F239F5" w14:paraId="1CAB8F96" w14:textId="77777777">
        <w:trPr>
          <w:cantSplit/>
          <w:jc w:val="center"/>
        </w:trPr>
        <w:tc>
          <w:tcPr>
            <w:tcW w:w="504" w:type="dxa"/>
            <w:tcMar>
              <w:top w:w="28" w:type="dxa"/>
              <w:left w:w="30" w:type="dxa"/>
              <w:bottom w:w="28" w:type="dxa"/>
              <w:right w:w="30" w:type="dxa"/>
            </w:tcMar>
          </w:tcPr>
          <w:p w14:paraId="0A3E819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lastRenderedPageBreak/>
              <w:t>17</w:t>
            </w:r>
          </w:p>
        </w:tc>
        <w:tc>
          <w:tcPr>
            <w:tcW w:w="1512" w:type="dxa"/>
            <w:tcMar>
              <w:top w:w="28" w:type="dxa"/>
              <w:left w:w="30" w:type="dxa"/>
              <w:bottom w:w="28" w:type="dxa"/>
              <w:right w:w="30" w:type="dxa"/>
            </w:tcMar>
          </w:tcPr>
          <w:p w14:paraId="1AFD2FB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Mikalef, P., Krogstie, J., Pappas, I. O., &amp; Pavlou, P.</w:t>
            </w:r>
          </w:p>
        </w:tc>
        <w:tc>
          <w:tcPr>
            <w:tcW w:w="605" w:type="dxa"/>
            <w:tcMar>
              <w:top w:w="28" w:type="dxa"/>
              <w:left w:w="30" w:type="dxa"/>
              <w:bottom w:w="28" w:type="dxa"/>
              <w:right w:w="30" w:type="dxa"/>
            </w:tcMar>
          </w:tcPr>
          <w:p w14:paraId="7E1CD82B"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2020</w:t>
            </w:r>
          </w:p>
        </w:tc>
        <w:tc>
          <w:tcPr>
            <w:tcW w:w="1944" w:type="dxa"/>
            <w:tcMar>
              <w:top w:w="28" w:type="dxa"/>
              <w:left w:w="30" w:type="dxa"/>
              <w:bottom w:w="28" w:type="dxa"/>
              <w:right w:w="30" w:type="dxa"/>
            </w:tcMar>
          </w:tcPr>
          <w:p w14:paraId="339DF58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Exploring the relationship between big data analytics capability and competitive performance: The mediating roles of dynamic and operational capabilities</w:t>
            </w:r>
          </w:p>
        </w:tc>
        <w:tc>
          <w:tcPr>
            <w:tcW w:w="1584" w:type="dxa"/>
            <w:tcMar>
              <w:top w:w="28" w:type="dxa"/>
              <w:left w:w="30" w:type="dxa"/>
              <w:bottom w:w="28" w:type="dxa"/>
              <w:right w:w="30" w:type="dxa"/>
            </w:tcMar>
          </w:tcPr>
          <w:p w14:paraId="4DE0813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Information &amp; Management</w:t>
            </w:r>
          </w:p>
        </w:tc>
        <w:tc>
          <w:tcPr>
            <w:tcW w:w="2016" w:type="dxa"/>
            <w:tcMar>
              <w:top w:w="28" w:type="dxa"/>
              <w:left w:w="30" w:type="dxa"/>
              <w:bottom w:w="28" w:type="dxa"/>
              <w:right w:w="30" w:type="dxa"/>
            </w:tcMar>
          </w:tcPr>
          <w:p w14:paraId="38CA515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assess how big data analytics capability supports competitive performance through capabilities.</w:t>
            </w:r>
          </w:p>
        </w:tc>
        <w:tc>
          <w:tcPr>
            <w:tcW w:w="1512" w:type="dxa"/>
            <w:tcMar>
              <w:top w:w="28" w:type="dxa"/>
              <w:left w:w="30" w:type="dxa"/>
              <w:bottom w:w="28" w:type="dxa"/>
              <w:right w:w="30" w:type="dxa"/>
            </w:tcMar>
          </w:tcPr>
          <w:p w14:paraId="449FEE3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Quantitative survey / SEM</w:t>
            </w:r>
          </w:p>
        </w:tc>
        <w:tc>
          <w:tcPr>
            <w:tcW w:w="1800" w:type="dxa"/>
            <w:tcMar>
              <w:top w:w="28" w:type="dxa"/>
              <w:left w:w="30" w:type="dxa"/>
              <w:bottom w:w="28" w:type="dxa"/>
              <w:right w:w="30" w:type="dxa"/>
            </w:tcMar>
          </w:tcPr>
          <w:p w14:paraId="4683A6B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Big data analytics; dynamic capabilities; competitive performance</w:t>
            </w:r>
          </w:p>
        </w:tc>
        <w:tc>
          <w:tcPr>
            <w:tcW w:w="1181" w:type="dxa"/>
            <w:tcMar>
              <w:top w:w="28" w:type="dxa"/>
              <w:left w:w="30" w:type="dxa"/>
              <w:bottom w:w="28" w:type="dxa"/>
              <w:right w:w="30" w:type="dxa"/>
            </w:tcMar>
          </w:tcPr>
          <w:p w14:paraId="439FFE1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RQ3</w:t>
            </w:r>
          </w:p>
        </w:tc>
        <w:tc>
          <w:tcPr>
            <w:tcW w:w="1325" w:type="dxa"/>
            <w:tcMar>
              <w:top w:w="28" w:type="dxa"/>
              <w:left w:w="30" w:type="dxa"/>
              <w:bottom w:w="28" w:type="dxa"/>
              <w:right w:w="30" w:type="dxa"/>
            </w:tcMar>
          </w:tcPr>
          <w:p w14:paraId="6BE4A8D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3E2E98E0" w14:textId="77777777" w:rsidR="00436BC6" w:rsidRPr="00F239F5" w:rsidRDefault="00436BC6" w:rsidP="00D81527">
            <w:pPr>
              <w:spacing w:line="276" w:lineRule="auto"/>
              <w:rPr>
                <w:rFonts w:ascii="Arial" w:hAnsi="Arial" w:cs="Arial"/>
                <w:sz w:val="16"/>
                <w:szCs w:val="16"/>
              </w:rPr>
            </w:pPr>
            <w:hyperlink r:id="rId75" w:history="1">
              <w:r w:rsidRPr="00F239F5">
                <w:rPr>
                  <w:rFonts w:ascii="Arial" w:hAnsi="Arial" w:cs="Arial"/>
                  <w:color w:val="0000FF"/>
                  <w:sz w:val="16"/>
                  <w:szCs w:val="16"/>
                  <w:u w:val="single"/>
                </w:rPr>
                <w:t>https://doi.org/10.1016/j.im.2019.05.004</w:t>
              </w:r>
            </w:hyperlink>
            <w:r w:rsidRPr="00F239F5">
              <w:rPr>
                <w:rFonts w:ascii="Arial" w:hAnsi="Arial" w:cs="Arial"/>
                <w:sz w:val="16"/>
                <w:szCs w:val="16"/>
              </w:rPr>
              <w:t xml:space="preserve"> </w:t>
            </w:r>
          </w:p>
        </w:tc>
      </w:tr>
      <w:tr w:rsidR="00E740B3" w:rsidRPr="00F239F5" w14:paraId="70AA34CC" w14:textId="77777777">
        <w:trPr>
          <w:cantSplit/>
          <w:jc w:val="center"/>
        </w:trPr>
        <w:tc>
          <w:tcPr>
            <w:tcW w:w="504" w:type="dxa"/>
            <w:tcMar>
              <w:top w:w="28" w:type="dxa"/>
              <w:left w:w="30" w:type="dxa"/>
              <w:bottom w:w="28" w:type="dxa"/>
              <w:right w:w="30" w:type="dxa"/>
            </w:tcMar>
          </w:tcPr>
          <w:p w14:paraId="7CB02888"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18</w:t>
            </w:r>
          </w:p>
        </w:tc>
        <w:tc>
          <w:tcPr>
            <w:tcW w:w="1512" w:type="dxa"/>
            <w:tcMar>
              <w:top w:w="28" w:type="dxa"/>
              <w:left w:w="30" w:type="dxa"/>
              <w:bottom w:w="28" w:type="dxa"/>
              <w:right w:w="30" w:type="dxa"/>
            </w:tcMar>
          </w:tcPr>
          <w:p w14:paraId="0D0FEEB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Pansari, A., &amp; Kumar, V.</w:t>
            </w:r>
          </w:p>
        </w:tc>
        <w:tc>
          <w:tcPr>
            <w:tcW w:w="605" w:type="dxa"/>
            <w:tcMar>
              <w:top w:w="28" w:type="dxa"/>
              <w:left w:w="30" w:type="dxa"/>
              <w:bottom w:w="28" w:type="dxa"/>
              <w:right w:w="30" w:type="dxa"/>
            </w:tcMar>
          </w:tcPr>
          <w:p w14:paraId="37454EA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2017</w:t>
            </w:r>
          </w:p>
        </w:tc>
        <w:tc>
          <w:tcPr>
            <w:tcW w:w="1944" w:type="dxa"/>
            <w:tcMar>
              <w:top w:w="28" w:type="dxa"/>
              <w:left w:w="30" w:type="dxa"/>
              <w:bottom w:w="28" w:type="dxa"/>
              <w:right w:w="30" w:type="dxa"/>
            </w:tcMar>
          </w:tcPr>
          <w:p w14:paraId="78E624C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 engagement: The construct, antecedents, and consequences</w:t>
            </w:r>
          </w:p>
        </w:tc>
        <w:tc>
          <w:tcPr>
            <w:tcW w:w="1584" w:type="dxa"/>
            <w:tcMar>
              <w:top w:w="28" w:type="dxa"/>
              <w:left w:w="30" w:type="dxa"/>
              <w:bottom w:w="28" w:type="dxa"/>
              <w:right w:w="30" w:type="dxa"/>
            </w:tcMar>
          </w:tcPr>
          <w:p w14:paraId="301E635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the Academy of Marketing Science</w:t>
            </w:r>
          </w:p>
        </w:tc>
        <w:tc>
          <w:tcPr>
            <w:tcW w:w="2016" w:type="dxa"/>
            <w:tcMar>
              <w:top w:w="28" w:type="dxa"/>
              <w:left w:w="30" w:type="dxa"/>
              <w:bottom w:w="28" w:type="dxa"/>
              <w:right w:w="30" w:type="dxa"/>
            </w:tcMar>
          </w:tcPr>
          <w:p w14:paraId="18D5506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define customer engagement and explain its antecedents and outcomes.</w:t>
            </w:r>
          </w:p>
        </w:tc>
        <w:tc>
          <w:tcPr>
            <w:tcW w:w="1512" w:type="dxa"/>
            <w:tcMar>
              <w:top w:w="28" w:type="dxa"/>
              <w:left w:w="30" w:type="dxa"/>
              <w:bottom w:w="28" w:type="dxa"/>
              <w:right w:w="30" w:type="dxa"/>
            </w:tcMar>
          </w:tcPr>
          <w:p w14:paraId="4A7B474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Conceptual review / framework development</w:t>
            </w:r>
          </w:p>
        </w:tc>
        <w:tc>
          <w:tcPr>
            <w:tcW w:w="1800" w:type="dxa"/>
            <w:tcMar>
              <w:top w:w="28" w:type="dxa"/>
              <w:left w:w="30" w:type="dxa"/>
              <w:bottom w:w="28" w:type="dxa"/>
              <w:right w:w="30" w:type="dxa"/>
            </w:tcMar>
          </w:tcPr>
          <w:p w14:paraId="766B4FC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 engagement; satisfaction; loyalty; value</w:t>
            </w:r>
          </w:p>
        </w:tc>
        <w:tc>
          <w:tcPr>
            <w:tcW w:w="1181" w:type="dxa"/>
            <w:tcMar>
              <w:top w:w="28" w:type="dxa"/>
              <w:left w:w="30" w:type="dxa"/>
              <w:bottom w:w="28" w:type="dxa"/>
              <w:right w:w="30" w:type="dxa"/>
            </w:tcMar>
          </w:tcPr>
          <w:p w14:paraId="0DE07A5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77C1DE3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Springer Nature</w:t>
            </w:r>
          </w:p>
        </w:tc>
        <w:tc>
          <w:tcPr>
            <w:tcW w:w="1800" w:type="dxa"/>
            <w:tcMar>
              <w:top w:w="28" w:type="dxa"/>
              <w:left w:w="30" w:type="dxa"/>
              <w:bottom w:w="28" w:type="dxa"/>
              <w:right w:w="30" w:type="dxa"/>
            </w:tcMar>
          </w:tcPr>
          <w:p w14:paraId="63773E9F" w14:textId="77777777" w:rsidR="00436BC6" w:rsidRPr="00F239F5" w:rsidRDefault="00436BC6" w:rsidP="00D81527">
            <w:pPr>
              <w:spacing w:line="276" w:lineRule="auto"/>
              <w:rPr>
                <w:rFonts w:ascii="Arial" w:hAnsi="Arial" w:cs="Arial"/>
                <w:sz w:val="16"/>
                <w:szCs w:val="16"/>
              </w:rPr>
            </w:pPr>
            <w:hyperlink r:id="rId76" w:history="1">
              <w:r w:rsidRPr="00F239F5">
                <w:rPr>
                  <w:rFonts w:ascii="Arial" w:hAnsi="Arial" w:cs="Arial"/>
                  <w:color w:val="0000FF"/>
                  <w:sz w:val="16"/>
                  <w:szCs w:val="16"/>
                  <w:u w:val="single"/>
                </w:rPr>
                <w:t>https://doi.org/10.1007/s11747-016-0485-6</w:t>
              </w:r>
            </w:hyperlink>
            <w:r w:rsidRPr="00F239F5">
              <w:rPr>
                <w:rFonts w:ascii="Arial" w:hAnsi="Arial" w:cs="Arial"/>
                <w:sz w:val="16"/>
                <w:szCs w:val="16"/>
              </w:rPr>
              <w:t xml:space="preserve"> </w:t>
            </w:r>
          </w:p>
        </w:tc>
      </w:tr>
      <w:tr w:rsidR="00E740B3" w:rsidRPr="00F239F5" w14:paraId="770186ED" w14:textId="77777777">
        <w:trPr>
          <w:cantSplit/>
          <w:jc w:val="center"/>
        </w:trPr>
        <w:tc>
          <w:tcPr>
            <w:tcW w:w="504" w:type="dxa"/>
            <w:tcMar>
              <w:top w:w="28" w:type="dxa"/>
              <w:left w:w="30" w:type="dxa"/>
              <w:bottom w:w="28" w:type="dxa"/>
              <w:right w:w="30" w:type="dxa"/>
            </w:tcMar>
          </w:tcPr>
          <w:p w14:paraId="4CB86A8C"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19</w:t>
            </w:r>
          </w:p>
        </w:tc>
        <w:tc>
          <w:tcPr>
            <w:tcW w:w="1512" w:type="dxa"/>
            <w:tcMar>
              <w:top w:w="28" w:type="dxa"/>
              <w:left w:w="30" w:type="dxa"/>
              <w:bottom w:w="28" w:type="dxa"/>
              <w:right w:w="30" w:type="dxa"/>
            </w:tcMar>
          </w:tcPr>
          <w:p w14:paraId="59DC613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Kumar, V., Rajan, B., Gupta, S., &amp; Pozza, I. D.</w:t>
            </w:r>
          </w:p>
        </w:tc>
        <w:tc>
          <w:tcPr>
            <w:tcW w:w="605" w:type="dxa"/>
            <w:tcMar>
              <w:top w:w="28" w:type="dxa"/>
              <w:left w:w="30" w:type="dxa"/>
              <w:bottom w:w="28" w:type="dxa"/>
              <w:right w:w="30" w:type="dxa"/>
            </w:tcMar>
          </w:tcPr>
          <w:p w14:paraId="76895097"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2019</w:t>
            </w:r>
          </w:p>
        </w:tc>
        <w:tc>
          <w:tcPr>
            <w:tcW w:w="1944" w:type="dxa"/>
            <w:tcMar>
              <w:top w:w="28" w:type="dxa"/>
              <w:left w:w="30" w:type="dxa"/>
              <w:bottom w:w="28" w:type="dxa"/>
              <w:right w:w="30" w:type="dxa"/>
            </w:tcMar>
          </w:tcPr>
          <w:p w14:paraId="0CE5AF1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 engagement in service</w:t>
            </w:r>
          </w:p>
        </w:tc>
        <w:tc>
          <w:tcPr>
            <w:tcW w:w="1584" w:type="dxa"/>
            <w:tcMar>
              <w:top w:w="28" w:type="dxa"/>
              <w:left w:w="30" w:type="dxa"/>
              <w:bottom w:w="28" w:type="dxa"/>
              <w:right w:w="30" w:type="dxa"/>
            </w:tcMar>
          </w:tcPr>
          <w:p w14:paraId="627BA18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the Academy of Marketing Science</w:t>
            </w:r>
          </w:p>
        </w:tc>
        <w:tc>
          <w:tcPr>
            <w:tcW w:w="2016" w:type="dxa"/>
            <w:tcMar>
              <w:top w:w="28" w:type="dxa"/>
              <w:left w:w="30" w:type="dxa"/>
              <w:bottom w:w="28" w:type="dxa"/>
              <w:right w:w="30" w:type="dxa"/>
            </w:tcMar>
          </w:tcPr>
          <w:p w14:paraId="3BF1C35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conceptualise engagement value and its implications for loyalty and firm performance in services.</w:t>
            </w:r>
          </w:p>
        </w:tc>
        <w:tc>
          <w:tcPr>
            <w:tcW w:w="1512" w:type="dxa"/>
            <w:tcMar>
              <w:top w:w="28" w:type="dxa"/>
              <w:left w:w="30" w:type="dxa"/>
              <w:bottom w:w="28" w:type="dxa"/>
              <w:right w:w="30" w:type="dxa"/>
            </w:tcMar>
          </w:tcPr>
          <w:p w14:paraId="44E0AD8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Conceptual review / research agenda</w:t>
            </w:r>
          </w:p>
        </w:tc>
        <w:tc>
          <w:tcPr>
            <w:tcW w:w="1800" w:type="dxa"/>
            <w:tcMar>
              <w:top w:w="28" w:type="dxa"/>
              <w:left w:w="30" w:type="dxa"/>
              <w:bottom w:w="28" w:type="dxa"/>
              <w:right w:w="30" w:type="dxa"/>
            </w:tcMar>
          </w:tcPr>
          <w:p w14:paraId="7A6D558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 engagement; service; engagement value; loyalty</w:t>
            </w:r>
          </w:p>
        </w:tc>
        <w:tc>
          <w:tcPr>
            <w:tcW w:w="1181" w:type="dxa"/>
            <w:tcMar>
              <w:top w:w="28" w:type="dxa"/>
              <w:left w:w="30" w:type="dxa"/>
              <w:bottom w:w="28" w:type="dxa"/>
              <w:right w:w="30" w:type="dxa"/>
            </w:tcMar>
          </w:tcPr>
          <w:p w14:paraId="4F77EFB1"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473341A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Springer Nature</w:t>
            </w:r>
          </w:p>
        </w:tc>
        <w:tc>
          <w:tcPr>
            <w:tcW w:w="1800" w:type="dxa"/>
            <w:tcMar>
              <w:top w:w="28" w:type="dxa"/>
              <w:left w:w="30" w:type="dxa"/>
              <w:bottom w:w="28" w:type="dxa"/>
              <w:right w:w="30" w:type="dxa"/>
            </w:tcMar>
          </w:tcPr>
          <w:p w14:paraId="146B64AA" w14:textId="77777777" w:rsidR="00436BC6" w:rsidRPr="00F239F5" w:rsidRDefault="00436BC6" w:rsidP="00D81527">
            <w:pPr>
              <w:spacing w:line="276" w:lineRule="auto"/>
              <w:rPr>
                <w:rFonts w:ascii="Arial" w:hAnsi="Arial" w:cs="Arial"/>
                <w:sz w:val="16"/>
                <w:szCs w:val="16"/>
              </w:rPr>
            </w:pPr>
            <w:hyperlink r:id="rId77" w:history="1">
              <w:r w:rsidRPr="00F239F5">
                <w:rPr>
                  <w:rFonts w:ascii="Arial" w:hAnsi="Arial" w:cs="Arial"/>
                  <w:color w:val="0000FF"/>
                  <w:sz w:val="16"/>
                  <w:szCs w:val="16"/>
                  <w:u w:val="single"/>
                </w:rPr>
                <w:t>https://doi.org/10.1007/s11747-017-0565-2</w:t>
              </w:r>
            </w:hyperlink>
            <w:r w:rsidRPr="00F239F5">
              <w:rPr>
                <w:rFonts w:ascii="Arial" w:hAnsi="Arial" w:cs="Arial"/>
                <w:sz w:val="16"/>
                <w:szCs w:val="16"/>
              </w:rPr>
              <w:t xml:space="preserve"> </w:t>
            </w:r>
          </w:p>
        </w:tc>
      </w:tr>
      <w:tr w:rsidR="00E740B3" w:rsidRPr="00F239F5" w14:paraId="72900E2E" w14:textId="77777777">
        <w:trPr>
          <w:cantSplit/>
          <w:jc w:val="center"/>
        </w:trPr>
        <w:tc>
          <w:tcPr>
            <w:tcW w:w="504" w:type="dxa"/>
            <w:tcMar>
              <w:top w:w="28" w:type="dxa"/>
              <w:left w:w="30" w:type="dxa"/>
              <w:bottom w:w="28" w:type="dxa"/>
              <w:right w:w="30" w:type="dxa"/>
            </w:tcMar>
          </w:tcPr>
          <w:p w14:paraId="10A222A5"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w:t>
            </w:r>
          </w:p>
        </w:tc>
        <w:tc>
          <w:tcPr>
            <w:tcW w:w="1512" w:type="dxa"/>
            <w:tcMar>
              <w:top w:w="28" w:type="dxa"/>
              <w:left w:w="30" w:type="dxa"/>
              <w:bottom w:w="28" w:type="dxa"/>
              <w:right w:w="30" w:type="dxa"/>
            </w:tcMar>
          </w:tcPr>
          <w:p w14:paraId="3717C0D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Steinhoff, L., Arli, D., Weaven, S., &amp; Kozlenkova, I. V.</w:t>
            </w:r>
          </w:p>
        </w:tc>
        <w:tc>
          <w:tcPr>
            <w:tcW w:w="605" w:type="dxa"/>
            <w:tcMar>
              <w:top w:w="28" w:type="dxa"/>
              <w:left w:w="30" w:type="dxa"/>
              <w:bottom w:w="28" w:type="dxa"/>
              <w:right w:w="30" w:type="dxa"/>
            </w:tcMar>
          </w:tcPr>
          <w:p w14:paraId="254D30E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2019</w:t>
            </w:r>
          </w:p>
        </w:tc>
        <w:tc>
          <w:tcPr>
            <w:tcW w:w="1944" w:type="dxa"/>
            <w:tcMar>
              <w:top w:w="28" w:type="dxa"/>
              <w:left w:w="30" w:type="dxa"/>
              <w:bottom w:w="28" w:type="dxa"/>
              <w:right w:w="30" w:type="dxa"/>
            </w:tcMar>
          </w:tcPr>
          <w:p w14:paraId="1D5AB88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Online relationship marketing</w:t>
            </w:r>
          </w:p>
        </w:tc>
        <w:tc>
          <w:tcPr>
            <w:tcW w:w="1584" w:type="dxa"/>
            <w:tcMar>
              <w:top w:w="28" w:type="dxa"/>
              <w:left w:w="30" w:type="dxa"/>
              <w:bottom w:w="28" w:type="dxa"/>
              <w:right w:w="30" w:type="dxa"/>
            </w:tcMar>
          </w:tcPr>
          <w:p w14:paraId="3C6526D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the Academy of Marketing Science</w:t>
            </w:r>
          </w:p>
        </w:tc>
        <w:tc>
          <w:tcPr>
            <w:tcW w:w="2016" w:type="dxa"/>
            <w:tcMar>
              <w:top w:w="28" w:type="dxa"/>
              <w:left w:w="30" w:type="dxa"/>
              <w:bottom w:w="28" w:type="dxa"/>
              <w:right w:w="30" w:type="dxa"/>
            </w:tcMar>
          </w:tcPr>
          <w:p w14:paraId="0F90219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review online relationship marketing and identify how digital channels develop customer relationships.</w:t>
            </w:r>
          </w:p>
        </w:tc>
        <w:tc>
          <w:tcPr>
            <w:tcW w:w="1512" w:type="dxa"/>
            <w:tcMar>
              <w:top w:w="28" w:type="dxa"/>
              <w:left w:w="30" w:type="dxa"/>
              <w:bottom w:w="28" w:type="dxa"/>
              <w:right w:w="30" w:type="dxa"/>
            </w:tcMar>
          </w:tcPr>
          <w:p w14:paraId="2765274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Systematic review / conceptual framework</w:t>
            </w:r>
          </w:p>
        </w:tc>
        <w:tc>
          <w:tcPr>
            <w:tcW w:w="1800" w:type="dxa"/>
            <w:tcMar>
              <w:top w:w="28" w:type="dxa"/>
              <w:left w:w="30" w:type="dxa"/>
              <w:bottom w:w="28" w:type="dxa"/>
              <w:right w:w="30" w:type="dxa"/>
            </w:tcMar>
          </w:tcPr>
          <w:p w14:paraId="6EA1641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Online relationship marketing; trust; commitment; loyalty</w:t>
            </w:r>
          </w:p>
        </w:tc>
        <w:tc>
          <w:tcPr>
            <w:tcW w:w="1181" w:type="dxa"/>
            <w:tcMar>
              <w:top w:w="28" w:type="dxa"/>
              <w:left w:w="30" w:type="dxa"/>
              <w:bottom w:w="28" w:type="dxa"/>
              <w:right w:w="30" w:type="dxa"/>
            </w:tcMar>
          </w:tcPr>
          <w:p w14:paraId="408A1CF3"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0D85788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Springer Nature</w:t>
            </w:r>
          </w:p>
        </w:tc>
        <w:tc>
          <w:tcPr>
            <w:tcW w:w="1800" w:type="dxa"/>
            <w:tcMar>
              <w:top w:w="28" w:type="dxa"/>
              <w:left w:w="30" w:type="dxa"/>
              <w:bottom w:w="28" w:type="dxa"/>
              <w:right w:w="30" w:type="dxa"/>
            </w:tcMar>
          </w:tcPr>
          <w:p w14:paraId="546CF216" w14:textId="77777777" w:rsidR="00436BC6" w:rsidRPr="00F239F5" w:rsidRDefault="00436BC6" w:rsidP="00D81527">
            <w:pPr>
              <w:spacing w:line="276" w:lineRule="auto"/>
              <w:rPr>
                <w:rFonts w:ascii="Arial" w:hAnsi="Arial" w:cs="Arial"/>
                <w:sz w:val="16"/>
                <w:szCs w:val="16"/>
              </w:rPr>
            </w:pPr>
            <w:hyperlink r:id="rId78" w:history="1">
              <w:r w:rsidRPr="00F239F5">
                <w:rPr>
                  <w:rFonts w:ascii="Arial" w:hAnsi="Arial" w:cs="Arial"/>
                  <w:color w:val="0000FF"/>
                  <w:sz w:val="16"/>
                  <w:szCs w:val="16"/>
                  <w:u w:val="single"/>
                </w:rPr>
                <w:t>https://doi.org/10.1007/s11747-018-0621-6</w:t>
              </w:r>
            </w:hyperlink>
            <w:r w:rsidRPr="00F239F5">
              <w:rPr>
                <w:rFonts w:ascii="Arial" w:hAnsi="Arial" w:cs="Arial"/>
                <w:sz w:val="16"/>
                <w:szCs w:val="16"/>
              </w:rPr>
              <w:t xml:space="preserve"> </w:t>
            </w:r>
          </w:p>
        </w:tc>
      </w:tr>
      <w:tr w:rsidR="00E740B3" w:rsidRPr="00F239F5" w14:paraId="51941839" w14:textId="77777777">
        <w:trPr>
          <w:cantSplit/>
          <w:jc w:val="center"/>
        </w:trPr>
        <w:tc>
          <w:tcPr>
            <w:tcW w:w="504" w:type="dxa"/>
            <w:tcMar>
              <w:top w:w="28" w:type="dxa"/>
              <w:left w:w="30" w:type="dxa"/>
              <w:bottom w:w="28" w:type="dxa"/>
              <w:right w:w="30" w:type="dxa"/>
            </w:tcMar>
          </w:tcPr>
          <w:p w14:paraId="1B7CF2E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21</w:t>
            </w:r>
          </w:p>
        </w:tc>
        <w:tc>
          <w:tcPr>
            <w:tcW w:w="1512" w:type="dxa"/>
            <w:tcMar>
              <w:top w:w="28" w:type="dxa"/>
              <w:left w:w="30" w:type="dxa"/>
              <w:bottom w:w="28" w:type="dxa"/>
              <w:right w:w="30" w:type="dxa"/>
            </w:tcMar>
          </w:tcPr>
          <w:p w14:paraId="237F228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Rather, R. A., Tehseen, S., Itoo, M. H., &amp; Shah, S. A.</w:t>
            </w:r>
          </w:p>
        </w:tc>
        <w:tc>
          <w:tcPr>
            <w:tcW w:w="605" w:type="dxa"/>
            <w:tcMar>
              <w:top w:w="28" w:type="dxa"/>
              <w:left w:w="30" w:type="dxa"/>
              <w:bottom w:w="28" w:type="dxa"/>
              <w:right w:w="30" w:type="dxa"/>
            </w:tcMar>
          </w:tcPr>
          <w:p w14:paraId="5F5C0E4C"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2019</w:t>
            </w:r>
          </w:p>
        </w:tc>
        <w:tc>
          <w:tcPr>
            <w:tcW w:w="1944" w:type="dxa"/>
            <w:tcMar>
              <w:top w:w="28" w:type="dxa"/>
              <w:left w:w="30" w:type="dxa"/>
              <w:bottom w:w="28" w:type="dxa"/>
              <w:right w:w="30" w:type="dxa"/>
            </w:tcMar>
          </w:tcPr>
          <w:p w14:paraId="699D6C7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 brand identification, affective commitment, customer satisfaction, and brand trust as antecedents of customer behavioral intention of loyalty</w:t>
            </w:r>
          </w:p>
        </w:tc>
        <w:tc>
          <w:tcPr>
            <w:tcW w:w="1584" w:type="dxa"/>
            <w:tcMar>
              <w:top w:w="28" w:type="dxa"/>
              <w:left w:w="30" w:type="dxa"/>
              <w:bottom w:w="28" w:type="dxa"/>
              <w:right w:w="30" w:type="dxa"/>
            </w:tcMar>
          </w:tcPr>
          <w:p w14:paraId="5757494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Global Scholars of Marketing Science</w:t>
            </w:r>
          </w:p>
        </w:tc>
        <w:tc>
          <w:tcPr>
            <w:tcW w:w="2016" w:type="dxa"/>
            <w:tcMar>
              <w:top w:w="28" w:type="dxa"/>
              <w:left w:w="30" w:type="dxa"/>
              <w:bottom w:w="28" w:type="dxa"/>
              <w:right w:w="30" w:type="dxa"/>
            </w:tcMar>
          </w:tcPr>
          <w:p w14:paraId="4AA220A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examine how identification, commitment, satisfaction, and trust influence loyalty intentions.</w:t>
            </w:r>
          </w:p>
        </w:tc>
        <w:tc>
          <w:tcPr>
            <w:tcW w:w="1512" w:type="dxa"/>
            <w:tcMar>
              <w:top w:w="28" w:type="dxa"/>
              <w:left w:w="30" w:type="dxa"/>
              <w:bottom w:w="28" w:type="dxa"/>
              <w:right w:w="30" w:type="dxa"/>
            </w:tcMar>
          </w:tcPr>
          <w:p w14:paraId="48CB589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Quantitative survey / SEM</w:t>
            </w:r>
          </w:p>
        </w:tc>
        <w:tc>
          <w:tcPr>
            <w:tcW w:w="1800" w:type="dxa"/>
            <w:tcMar>
              <w:top w:w="28" w:type="dxa"/>
              <w:left w:w="30" w:type="dxa"/>
              <w:bottom w:w="28" w:type="dxa"/>
              <w:right w:w="30" w:type="dxa"/>
            </w:tcMar>
          </w:tcPr>
          <w:p w14:paraId="3C11B1D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 satisfaction; brand trust; affective commitment; loyalty</w:t>
            </w:r>
          </w:p>
        </w:tc>
        <w:tc>
          <w:tcPr>
            <w:tcW w:w="1181" w:type="dxa"/>
            <w:tcMar>
              <w:top w:w="28" w:type="dxa"/>
              <w:left w:w="30" w:type="dxa"/>
              <w:bottom w:w="28" w:type="dxa"/>
              <w:right w:w="30" w:type="dxa"/>
            </w:tcMar>
          </w:tcPr>
          <w:p w14:paraId="0DDFF539"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63CF521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Taylor &amp; Francis</w:t>
            </w:r>
          </w:p>
        </w:tc>
        <w:tc>
          <w:tcPr>
            <w:tcW w:w="1800" w:type="dxa"/>
            <w:tcMar>
              <w:top w:w="28" w:type="dxa"/>
              <w:left w:w="30" w:type="dxa"/>
              <w:bottom w:w="28" w:type="dxa"/>
              <w:right w:w="30" w:type="dxa"/>
            </w:tcMar>
          </w:tcPr>
          <w:p w14:paraId="238C1F28" w14:textId="77777777" w:rsidR="00436BC6" w:rsidRPr="00F239F5" w:rsidRDefault="00436BC6" w:rsidP="00D81527">
            <w:pPr>
              <w:spacing w:line="276" w:lineRule="auto"/>
              <w:rPr>
                <w:rFonts w:ascii="Arial" w:hAnsi="Arial" w:cs="Arial"/>
                <w:sz w:val="16"/>
                <w:szCs w:val="16"/>
              </w:rPr>
            </w:pPr>
            <w:hyperlink r:id="rId79" w:history="1">
              <w:r w:rsidRPr="00F239F5">
                <w:rPr>
                  <w:rFonts w:ascii="Arial" w:hAnsi="Arial" w:cs="Arial"/>
                  <w:color w:val="0000FF"/>
                  <w:sz w:val="16"/>
                  <w:szCs w:val="16"/>
                  <w:u w:val="single"/>
                </w:rPr>
                <w:t>https://doi.org/10.1080/21639159.2019.1577694</w:t>
              </w:r>
            </w:hyperlink>
            <w:r w:rsidRPr="00F239F5">
              <w:rPr>
                <w:rFonts w:ascii="Arial" w:hAnsi="Arial" w:cs="Arial"/>
                <w:sz w:val="16"/>
                <w:szCs w:val="16"/>
              </w:rPr>
              <w:t xml:space="preserve"> </w:t>
            </w:r>
          </w:p>
        </w:tc>
      </w:tr>
      <w:tr w:rsidR="00E740B3" w:rsidRPr="00F239F5" w14:paraId="1F65F901" w14:textId="77777777">
        <w:trPr>
          <w:cantSplit/>
          <w:jc w:val="center"/>
        </w:trPr>
        <w:tc>
          <w:tcPr>
            <w:tcW w:w="504" w:type="dxa"/>
            <w:tcMar>
              <w:top w:w="28" w:type="dxa"/>
              <w:left w:w="30" w:type="dxa"/>
              <w:bottom w:w="28" w:type="dxa"/>
              <w:right w:w="30" w:type="dxa"/>
            </w:tcMar>
          </w:tcPr>
          <w:p w14:paraId="3972229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22</w:t>
            </w:r>
          </w:p>
        </w:tc>
        <w:tc>
          <w:tcPr>
            <w:tcW w:w="1512" w:type="dxa"/>
            <w:tcMar>
              <w:top w:w="28" w:type="dxa"/>
              <w:left w:w="30" w:type="dxa"/>
              <w:bottom w:w="28" w:type="dxa"/>
              <w:right w:w="30" w:type="dxa"/>
            </w:tcMar>
          </w:tcPr>
          <w:p w14:paraId="6AA6CE0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Islam, J. U., Rahman, Z., &amp; Hollebeek, L. D.</w:t>
            </w:r>
          </w:p>
        </w:tc>
        <w:tc>
          <w:tcPr>
            <w:tcW w:w="605" w:type="dxa"/>
            <w:tcMar>
              <w:top w:w="28" w:type="dxa"/>
              <w:left w:w="30" w:type="dxa"/>
              <w:bottom w:w="28" w:type="dxa"/>
              <w:right w:w="30" w:type="dxa"/>
            </w:tcMar>
          </w:tcPr>
          <w:p w14:paraId="1C3BD3F1"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2017</w:t>
            </w:r>
          </w:p>
        </w:tc>
        <w:tc>
          <w:tcPr>
            <w:tcW w:w="1944" w:type="dxa"/>
            <w:tcMar>
              <w:top w:w="28" w:type="dxa"/>
              <w:left w:w="30" w:type="dxa"/>
              <w:bottom w:w="28" w:type="dxa"/>
              <w:right w:w="30" w:type="dxa"/>
            </w:tcMar>
          </w:tcPr>
          <w:p w14:paraId="3E3E8AC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The impact of online brand community characteristics on customer engagement and brand loyalty</w:t>
            </w:r>
          </w:p>
        </w:tc>
        <w:tc>
          <w:tcPr>
            <w:tcW w:w="1584" w:type="dxa"/>
            <w:tcMar>
              <w:top w:w="28" w:type="dxa"/>
              <w:left w:w="30" w:type="dxa"/>
              <w:bottom w:w="28" w:type="dxa"/>
              <w:right w:w="30" w:type="dxa"/>
            </w:tcMar>
          </w:tcPr>
          <w:p w14:paraId="005E15E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Telematics and Informatics</w:t>
            </w:r>
          </w:p>
        </w:tc>
        <w:tc>
          <w:tcPr>
            <w:tcW w:w="2016" w:type="dxa"/>
            <w:tcMar>
              <w:top w:w="28" w:type="dxa"/>
              <w:left w:w="30" w:type="dxa"/>
              <w:bottom w:w="28" w:type="dxa"/>
              <w:right w:w="30" w:type="dxa"/>
            </w:tcMar>
          </w:tcPr>
          <w:p w14:paraId="347A5E0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examine how online brand community features drive customer engagement and loyalty.</w:t>
            </w:r>
          </w:p>
        </w:tc>
        <w:tc>
          <w:tcPr>
            <w:tcW w:w="1512" w:type="dxa"/>
            <w:tcMar>
              <w:top w:w="28" w:type="dxa"/>
              <w:left w:w="30" w:type="dxa"/>
              <w:bottom w:w="28" w:type="dxa"/>
              <w:right w:w="30" w:type="dxa"/>
            </w:tcMar>
          </w:tcPr>
          <w:p w14:paraId="55765E6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Quantitative survey / SEM</w:t>
            </w:r>
          </w:p>
        </w:tc>
        <w:tc>
          <w:tcPr>
            <w:tcW w:w="1800" w:type="dxa"/>
            <w:tcMar>
              <w:top w:w="28" w:type="dxa"/>
              <w:left w:w="30" w:type="dxa"/>
              <w:bottom w:w="28" w:type="dxa"/>
              <w:right w:w="30" w:type="dxa"/>
            </w:tcMar>
          </w:tcPr>
          <w:p w14:paraId="39117E0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Online communities; customer engagement; brand loyalty</w:t>
            </w:r>
          </w:p>
        </w:tc>
        <w:tc>
          <w:tcPr>
            <w:tcW w:w="1181" w:type="dxa"/>
            <w:tcMar>
              <w:top w:w="28" w:type="dxa"/>
              <w:left w:w="30" w:type="dxa"/>
              <w:bottom w:w="28" w:type="dxa"/>
              <w:right w:w="30" w:type="dxa"/>
            </w:tcMar>
          </w:tcPr>
          <w:p w14:paraId="6F1D7543"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5828828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252534C4" w14:textId="77777777" w:rsidR="00436BC6" w:rsidRPr="00F239F5" w:rsidRDefault="00436BC6" w:rsidP="00D81527">
            <w:pPr>
              <w:spacing w:line="276" w:lineRule="auto"/>
              <w:rPr>
                <w:rFonts w:ascii="Arial" w:hAnsi="Arial" w:cs="Arial"/>
                <w:sz w:val="16"/>
                <w:szCs w:val="16"/>
              </w:rPr>
            </w:pPr>
            <w:hyperlink r:id="rId80" w:history="1">
              <w:r w:rsidRPr="00F239F5">
                <w:rPr>
                  <w:rFonts w:ascii="Arial" w:hAnsi="Arial" w:cs="Arial"/>
                  <w:color w:val="0000FF"/>
                  <w:sz w:val="16"/>
                  <w:szCs w:val="16"/>
                  <w:u w:val="single"/>
                </w:rPr>
                <w:t>https://doi.org/10.1016/j.tele.2017.01.004</w:t>
              </w:r>
            </w:hyperlink>
            <w:r w:rsidRPr="00F239F5">
              <w:rPr>
                <w:rFonts w:ascii="Arial" w:hAnsi="Arial" w:cs="Arial"/>
                <w:sz w:val="16"/>
                <w:szCs w:val="16"/>
              </w:rPr>
              <w:t xml:space="preserve"> </w:t>
            </w:r>
          </w:p>
        </w:tc>
      </w:tr>
      <w:tr w:rsidR="00E740B3" w:rsidRPr="00F239F5" w14:paraId="6E1A16FA" w14:textId="77777777">
        <w:trPr>
          <w:cantSplit/>
          <w:jc w:val="center"/>
        </w:trPr>
        <w:tc>
          <w:tcPr>
            <w:tcW w:w="504" w:type="dxa"/>
            <w:tcMar>
              <w:top w:w="28" w:type="dxa"/>
              <w:left w:w="30" w:type="dxa"/>
              <w:bottom w:w="28" w:type="dxa"/>
              <w:right w:w="30" w:type="dxa"/>
            </w:tcMar>
          </w:tcPr>
          <w:p w14:paraId="260E5EE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23</w:t>
            </w:r>
          </w:p>
        </w:tc>
        <w:tc>
          <w:tcPr>
            <w:tcW w:w="1512" w:type="dxa"/>
            <w:tcMar>
              <w:top w:w="28" w:type="dxa"/>
              <w:left w:w="30" w:type="dxa"/>
              <w:bottom w:w="28" w:type="dxa"/>
              <w:right w:w="30" w:type="dxa"/>
            </w:tcMar>
          </w:tcPr>
          <w:p w14:paraId="105A841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Rasool, A., Shah, F. A., &amp; Islam, J. U.</w:t>
            </w:r>
          </w:p>
        </w:tc>
        <w:tc>
          <w:tcPr>
            <w:tcW w:w="605" w:type="dxa"/>
            <w:tcMar>
              <w:top w:w="28" w:type="dxa"/>
              <w:left w:w="30" w:type="dxa"/>
              <w:bottom w:w="28" w:type="dxa"/>
              <w:right w:w="30" w:type="dxa"/>
            </w:tcMar>
          </w:tcPr>
          <w:p w14:paraId="7B8AB348"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2020</w:t>
            </w:r>
          </w:p>
        </w:tc>
        <w:tc>
          <w:tcPr>
            <w:tcW w:w="1944" w:type="dxa"/>
            <w:tcMar>
              <w:top w:w="28" w:type="dxa"/>
              <w:left w:w="30" w:type="dxa"/>
              <w:bottom w:w="28" w:type="dxa"/>
              <w:right w:w="30" w:type="dxa"/>
            </w:tcMar>
          </w:tcPr>
          <w:p w14:paraId="130CC93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 engagement in the digital age: A review and research agenda</w:t>
            </w:r>
          </w:p>
        </w:tc>
        <w:tc>
          <w:tcPr>
            <w:tcW w:w="1584" w:type="dxa"/>
            <w:tcMar>
              <w:top w:w="28" w:type="dxa"/>
              <w:left w:w="30" w:type="dxa"/>
              <w:bottom w:w="28" w:type="dxa"/>
              <w:right w:w="30" w:type="dxa"/>
            </w:tcMar>
          </w:tcPr>
          <w:p w14:paraId="6C8F365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Current Opinion in Psychology</w:t>
            </w:r>
          </w:p>
        </w:tc>
        <w:tc>
          <w:tcPr>
            <w:tcW w:w="2016" w:type="dxa"/>
            <w:tcMar>
              <w:top w:w="28" w:type="dxa"/>
              <w:left w:w="30" w:type="dxa"/>
              <w:bottom w:w="28" w:type="dxa"/>
              <w:right w:w="30" w:type="dxa"/>
            </w:tcMar>
          </w:tcPr>
          <w:p w14:paraId="4D2483C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review digital customer engagement research and identify emerging themes.</w:t>
            </w:r>
          </w:p>
        </w:tc>
        <w:tc>
          <w:tcPr>
            <w:tcW w:w="1512" w:type="dxa"/>
            <w:tcMar>
              <w:top w:w="28" w:type="dxa"/>
              <w:left w:w="30" w:type="dxa"/>
              <w:bottom w:w="28" w:type="dxa"/>
              <w:right w:w="30" w:type="dxa"/>
            </w:tcMar>
          </w:tcPr>
          <w:p w14:paraId="0CDFE03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Literature review / research agenda</w:t>
            </w:r>
          </w:p>
        </w:tc>
        <w:tc>
          <w:tcPr>
            <w:tcW w:w="1800" w:type="dxa"/>
            <w:tcMar>
              <w:top w:w="28" w:type="dxa"/>
              <w:left w:w="30" w:type="dxa"/>
              <w:bottom w:w="28" w:type="dxa"/>
              <w:right w:w="30" w:type="dxa"/>
            </w:tcMar>
          </w:tcPr>
          <w:p w14:paraId="03A9EBB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Digital customer engagement; online behaviour; loyalty; social media</w:t>
            </w:r>
          </w:p>
        </w:tc>
        <w:tc>
          <w:tcPr>
            <w:tcW w:w="1181" w:type="dxa"/>
            <w:tcMar>
              <w:top w:w="28" w:type="dxa"/>
              <w:left w:w="30" w:type="dxa"/>
              <w:bottom w:w="28" w:type="dxa"/>
              <w:right w:w="30" w:type="dxa"/>
            </w:tcMar>
          </w:tcPr>
          <w:p w14:paraId="28C55CE5"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36898F9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56574C61" w14:textId="77777777" w:rsidR="00436BC6" w:rsidRPr="00F239F5" w:rsidRDefault="00436BC6" w:rsidP="00D81527">
            <w:pPr>
              <w:spacing w:line="276" w:lineRule="auto"/>
              <w:rPr>
                <w:rFonts w:ascii="Arial" w:hAnsi="Arial" w:cs="Arial"/>
                <w:sz w:val="16"/>
                <w:szCs w:val="16"/>
              </w:rPr>
            </w:pPr>
            <w:hyperlink r:id="rId81" w:history="1">
              <w:r w:rsidRPr="00F239F5">
                <w:rPr>
                  <w:rFonts w:ascii="Arial" w:hAnsi="Arial" w:cs="Arial"/>
                  <w:color w:val="0000FF"/>
                  <w:sz w:val="16"/>
                  <w:szCs w:val="16"/>
                  <w:u w:val="single"/>
                </w:rPr>
                <w:t>https://doi.org/10.1016/j.copsyc.2020.05.003</w:t>
              </w:r>
            </w:hyperlink>
            <w:r w:rsidRPr="00F239F5">
              <w:rPr>
                <w:rFonts w:ascii="Arial" w:hAnsi="Arial" w:cs="Arial"/>
                <w:sz w:val="16"/>
                <w:szCs w:val="16"/>
              </w:rPr>
              <w:t xml:space="preserve"> </w:t>
            </w:r>
          </w:p>
        </w:tc>
      </w:tr>
      <w:tr w:rsidR="00E740B3" w:rsidRPr="00F239F5" w14:paraId="387F0220" w14:textId="77777777">
        <w:trPr>
          <w:cantSplit/>
          <w:jc w:val="center"/>
        </w:trPr>
        <w:tc>
          <w:tcPr>
            <w:tcW w:w="504" w:type="dxa"/>
            <w:tcMar>
              <w:top w:w="28" w:type="dxa"/>
              <w:left w:w="30" w:type="dxa"/>
              <w:bottom w:w="28" w:type="dxa"/>
              <w:right w:w="30" w:type="dxa"/>
            </w:tcMar>
          </w:tcPr>
          <w:p w14:paraId="79F06AA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24</w:t>
            </w:r>
          </w:p>
        </w:tc>
        <w:tc>
          <w:tcPr>
            <w:tcW w:w="1512" w:type="dxa"/>
            <w:tcMar>
              <w:top w:w="28" w:type="dxa"/>
              <w:left w:w="30" w:type="dxa"/>
              <w:bottom w:w="28" w:type="dxa"/>
              <w:right w:w="30" w:type="dxa"/>
            </w:tcMar>
          </w:tcPr>
          <w:p w14:paraId="17398AC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Davis, F. D.</w:t>
            </w:r>
          </w:p>
        </w:tc>
        <w:tc>
          <w:tcPr>
            <w:tcW w:w="605" w:type="dxa"/>
            <w:tcMar>
              <w:top w:w="28" w:type="dxa"/>
              <w:left w:w="30" w:type="dxa"/>
              <w:bottom w:w="28" w:type="dxa"/>
              <w:right w:w="30" w:type="dxa"/>
            </w:tcMar>
          </w:tcPr>
          <w:p w14:paraId="158DA79F"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1989</w:t>
            </w:r>
          </w:p>
        </w:tc>
        <w:tc>
          <w:tcPr>
            <w:tcW w:w="1944" w:type="dxa"/>
            <w:tcMar>
              <w:top w:w="28" w:type="dxa"/>
              <w:left w:w="30" w:type="dxa"/>
              <w:bottom w:w="28" w:type="dxa"/>
              <w:right w:w="30" w:type="dxa"/>
            </w:tcMar>
          </w:tcPr>
          <w:p w14:paraId="7664427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Perceived usefulness, perceived ease of use, and user acceptance of information technology</w:t>
            </w:r>
          </w:p>
        </w:tc>
        <w:tc>
          <w:tcPr>
            <w:tcW w:w="1584" w:type="dxa"/>
            <w:tcMar>
              <w:top w:w="28" w:type="dxa"/>
              <w:left w:w="30" w:type="dxa"/>
              <w:bottom w:w="28" w:type="dxa"/>
              <w:right w:w="30" w:type="dxa"/>
            </w:tcMar>
          </w:tcPr>
          <w:p w14:paraId="7F57E3C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MIS Quarterly</w:t>
            </w:r>
          </w:p>
        </w:tc>
        <w:tc>
          <w:tcPr>
            <w:tcW w:w="2016" w:type="dxa"/>
            <w:tcMar>
              <w:top w:w="28" w:type="dxa"/>
              <w:left w:w="30" w:type="dxa"/>
              <w:bottom w:w="28" w:type="dxa"/>
              <w:right w:w="30" w:type="dxa"/>
            </w:tcMar>
          </w:tcPr>
          <w:p w14:paraId="69C9CA1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introduce and validate the Technology Acceptance Model for user acceptance of information systems.</w:t>
            </w:r>
          </w:p>
        </w:tc>
        <w:tc>
          <w:tcPr>
            <w:tcW w:w="1512" w:type="dxa"/>
            <w:tcMar>
              <w:top w:w="28" w:type="dxa"/>
              <w:left w:w="30" w:type="dxa"/>
              <w:bottom w:w="28" w:type="dxa"/>
              <w:right w:w="30" w:type="dxa"/>
            </w:tcMar>
          </w:tcPr>
          <w:p w14:paraId="7D5BBAB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Quantitative scale validation / survey</w:t>
            </w:r>
          </w:p>
        </w:tc>
        <w:tc>
          <w:tcPr>
            <w:tcW w:w="1800" w:type="dxa"/>
            <w:tcMar>
              <w:top w:w="28" w:type="dxa"/>
              <w:left w:w="30" w:type="dxa"/>
              <w:bottom w:w="28" w:type="dxa"/>
              <w:right w:w="30" w:type="dxa"/>
            </w:tcMar>
          </w:tcPr>
          <w:p w14:paraId="4317B65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TAM; perceived usefulness; ease of use; technology acceptance</w:t>
            </w:r>
          </w:p>
        </w:tc>
        <w:tc>
          <w:tcPr>
            <w:tcW w:w="1181" w:type="dxa"/>
            <w:tcMar>
              <w:top w:w="28" w:type="dxa"/>
              <w:left w:w="30" w:type="dxa"/>
              <w:bottom w:w="28" w:type="dxa"/>
              <w:right w:w="30" w:type="dxa"/>
            </w:tcMar>
          </w:tcPr>
          <w:p w14:paraId="7FBAB46A"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w:t>
            </w:r>
          </w:p>
        </w:tc>
        <w:tc>
          <w:tcPr>
            <w:tcW w:w="1325" w:type="dxa"/>
            <w:tcMar>
              <w:top w:w="28" w:type="dxa"/>
              <w:left w:w="30" w:type="dxa"/>
              <w:bottom w:w="28" w:type="dxa"/>
              <w:right w:w="30" w:type="dxa"/>
            </w:tcMar>
          </w:tcPr>
          <w:p w14:paraId="38A8490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MIS Quarterly / AIS</w:t>
            </w:r>
          </w:p>
        </w:tc>
        <w:tc>
          <w:tcPr>
            <w:tcW w:w="1800" w:type="dxa"/>
            <w:tcMar>
              <w:top w:w="28" w:type="dxa"/>
              <w:left w:w="30" w:type="dxa"/>
              <w:bottom w:w="28" w:type="dxa"/>
              <w:right w:w="30" w:type="dxa"/>
            </w:tcMar>
          </w:tcPr>
          <w:p w14:paraId="2B06A1EE" w14:textId="77777777" w:rsidR="00436BC6" w:rsidRPr="00F239F5" w:rsidRDefault="00436BC6" w:rsidP="00D81527">
            <w:pPr>
              <w:spacing w:line="276" w:lineRule="auto"/>
              <w:rPr>
                <w:rFonts w:ascii="Arial" w:hAnsi="Arial" w:cs="Arial"/>
                <w:sz w:val="16"/>
                <w:szCs w:val="16"/>
              </w:rPr>
            </w:pPr>
            <w:hyperlink r:id="rId82" w:history="1">
              <w:r w:rsidRPr="00F239F5">
                <w:rPr>
                  <w:rFonts w:ascii="Arial" w:hAnsi="Arial" w:cs="Arial"/>
                  <w:color w:val="0000FF"/>
                  <w:sz w:val="16"/>
                  <w:szCs w:val="16"/>
                  <w:u w:val="single"/>
                </w:rPr>
                <w:t>https://doi.org/10.2307/249008</w:t>
              </w:r>
            </w:hyperlink>
            <w:r w:rsidRPr="00F239F5">
              <w:rPr>
                <w:rFonts w:ascii="Arial" w:hAnsi="Arial" w:cs="Arial"/>
                <w:sz w:val="16"/>
                <w:szCs w:val="16"/>
              </w:rPr>
              <w:t xml:space="preserve"> </w:t>
            </w:r>
          </w:p>
        </w:tc>
      </w:tr>
      <w:tr w:rsidR="00E740B3" w:rsidRPr="00F239F5" w14:paraId="5607DD33" w14:textId="77777777">
        <w:trPr>
          <w:cantSplit/>
          <w:jc w:val="center"/>
        </w:trPr>
        <w:tc>
          <w:tcPr>
            <w:tcW w:w="504" w:type="dxa"/>
            <w:tcMar>
              <w:top w:w="28" w:type="dxa"/>
              <w:left w:w="30" w:type="dxa"/>
              <w:bottom w:w="28" w:type="dxa"/>
              <w:right w:w="30" w:type="dxa"/>
            </w:tcMar>
          </w:tcPr>
          <w:p w14:paraId="7B815738"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lastRenderedPageBreak/>
              <w:t>25</w:t>
            </w:r>
          </w:p>
        </w:tc>
        <w:tc>
          <w:tcPr>
            <w:tcW w:w="1512" w:type="dxa"/>
            <w:tcMar>
              <w:top w:w="28" w:type="dxa"/>
              <w:left w:w="30" w:type="dxa"/>
              <w:bottom w:w="28" w:type="dxa"/>
              <w:right w:w="30" w:type="dxa"/>
            </w:tcMar>
          </w:tcPr>
          <w:p w14:paraId="2BFBF82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Venkatesh, V., Thong, J. Y. L., &amp; Xu, X.</w:t>
            </w:r>
          </w:p>
        </w:tc>
        <w:tc>
          <w:tcPr>
            <w:tcW w:w="605" w:type="dxa"/>
            <w:tcMar>
              <w:top w:w="28" w:type="dxa"/>
              <w:left w:w="30" w:type="dxa"/>
              <w:bottom w:w="28" w:type="dxa"/>
              <w:right w:w="30" w:type="dxa"/>
            </w:tcMar>
          </w:tcPr>
          <w:p w14:paraId="7C6ADC55"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2012</w:t>
            </w:r>
          </w:p>
        </w:tc>
        <w:tc>
          <w:tcPr>
            <w:tcW w:w="1944" w:type="dxa"/>
            <w:tcMar>
              <w:top w:w="28" w:type="dxa"/>
              <w:left w:w="30" w:type="dxa"/>
              <w:bottom w:w="28" w:type="dxa"/>
              <w:right w:w="30" w:type="dxa"/>
            </w:tcMar>
          </w:tcPr>
          <w:p w14:paraId="2A939A9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Consumer acceptance and use of information technology: Extending the unified theory of acceptance and use of technology</w:t>
            </w:r>
          </w:p>
        </w:tc>
        <w:tc>
          <w:tcPr>
            <w:tcW w:w="1584" w:type="dxa"/>
            <w:tcMar>
              <w:top w:w="28" w:type="dxa"/>
              <w:left w:w="30" w:type="dxa"/>
              <w:bottom w:w="28" w:type="dxa"/>
              <w:right w:w="30" w:type="dxa"/>
            </w:tcMar>
          </w:tcPr>
          <w:p w14:paraId="7B9F956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MIS Quarterly</w:t>
            </w:r>
          </w:p>
        </w:tc>
        <w:tc>
          <w:tcPr>
            <w:tcW w:w="2016" w:type="dxa"/>
            <w:tcMar>
              <w:top w:w="28" w:type="dxa"/>
              <w:left w:w="30" w:type="dxa"/>
              <w:bottom w:w="28" w:type="dxa"/>
              <w:right w:w="30" w:type="dxa"/>
            </w:tcMar>
          </w:tcPr>
          <w:p w14:paraId="3433BA3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extend UTAUT for consumer technology contexts through UTAUT2.</w:t>
            </w:r>
          </w:p>
        </w:tc>
        <w:tc>
          <w:tcPr>
            <w:tcW w:w="1512" w:type="dxa"/>
            <w:tcMar>
              <w:top w:w="28" w:type="dxa"/>
              <w:left w:w="30" w:type="dxa"/>
              <w:bottom w:w="28" w:type="dxa"/>
              <w:right w:w="30" w:type="dxa"/>
            </w:tcMar>
          </w:tcPr>
          <w:p w14:paraId="3F7B4DC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Quantitative survey / model testing</w:t>
            </w:r>
          </w:p>
        </w:tc>
        <w:tc>
          <w:tcPr>
            <w:tcW w:w="1800" w:type="dxa"/>
            <w:tcMar>
              <w:top w:w="28" w:type="dxa"/>
              <w:left w:w="30" w:type="dxa"/>
              <w:bottom w:w="28" w:type="dxa"/>
              <w:right w:w="30" w:type="dxa"/>
            </w:tcMar>
          </w:tcPr>
          <w:p w14:paraId="7864CDC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UTAUT2; technology acceptance; habit; price value; behavioural intention</w:t>
            </w:r>
          </w:p>
        </w:tc>
        <w:tc>
          <w:tcPr>
            <w:tcW w:w="1181" w:type="dxa"/>
            <w:tcMar>
              <w:top w:w="28" w:type="dxa"/>
              <w:left w:w="30" w:type="dxa"/>
              <w:bottom w:w="28" w:type="dxa"/>
              <w:right w:w="30" w:type="dxa"/>
            </w:tcMar>
          </w:tcPr>
          <w:p w14:paraId="4E36FB0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w:t>
            </w:r>
          </w:p>
        </w:tc>
        <w:tc>
          <w:tcPr>
            <w:tcW w:w="1325" w:type="dxa"/>
            <w:tcMar>
              <w:top w:w="28" w:type="dxa"/>
              <w:left w:w="30" w:type="dxa"/>
              <w:bottom w:w="28" w:type="dxa"/>
              <w:right w:w="30" w:type="dxa"/>
            </w:tcMar>
          </w:tcPr>
          <w:p w14:paraId="2E48E3C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MIS Quarterly / AIS</w:t>
            </w:r>
          </w:p>
        </w:tc>
        <w:tc>
          <w:tcPr>
            <w:tcW w:w="1800" w:type="dxa"/>
            <w:tcMar>
              <w:top w:w="28" w:type="dxa"/>
              <w:left w:w="30" w:type="dxa"/>
              <w:bottom w:w="28" w:type="dxa"/>
              <w:right w:w="30" w:type="dxa"/>
            </w:tcMar>
          </w:tcPr>
          <w:p w14:paraId="3D5737E3" w14:textId="77777777" w:rsidR="00436BC6" w:rsidRPr="00F239F5" w:rsidRDefault="00436BC6" w:rsidP="00D81527">
            <w:pPr>
              <w:spacing w:line="276" w:lineRule="auto"/>
              <w:rPr>
                <w:rFonts w:ascii="Arial" w:hAnsi="Arial" w:cs="Arial"/>
                <w:sz w:val="16"/>
                <w:szCs w:val="16"/>
              </w:rPr>
            </w:pPr>
            <w:hyperlink r:id="rId83" w:history="1">
              <w:r w:rsidRPr="00F239F5">
                <w:rPr>
                  <w:rFonts w:ascii="Arial" w:hAnsi="Arial" w:cs="Arial"/>
                  <w:color w:val="0000FF"/>
                  <w:sz w:val="16"/>
                  <w:szCs w:val="16"/>
                  <w:u w:val="single"/>
                </w:rPr>
                <w:t>https://doi.org/10.2307/41410412</w:t>
              </w:r>
            </w:hyperlink>
            <w:r w:rsidRPr="00F239F5">
              <w:rPr>
                <w:rFonts w:ascii="Arial" w:hAnsi="Arial" w:cs="Arial"/>
                <w:sz w:val="16"/>
                <w:szCs w:val="16"/>
              </w:rPr>
              <w:t xml:space="preserve">  </w:t>
            </w:r>
          </w:p>
        </w:tc>
      </w:tr>
      <w:tr w:rsidR="00E740B3" w:rsidRPr="00F239F5" w14:paraId="0451D0B7" w14:textId="77777777">
        <w:trPr>
          <w:cantSplit/>
          <w:jc w:val="center"/>
        </w:trPr>
        <w:tc>
          <w:tcPr>
            <w:tcW w:w="504" w:type="dxa"/>
            <w:tcMar>
              <w:top w:w="28" w:type="dxa"/>
              <w:left w:w="30" w:type="dxa"/>
              <w:bottom w:w="28" w:type="dxa"/>
              <w:right w:w="30" w:type="dxa"/>
            </w:tcMar>
          </w:tcPr>
          <w:p w14:paraId="06BDD049"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26</w:t>
            </w:r>
          </w:p>
        </w:tc>
        <w:tc>
          <w:tcPr>
            <w:tcW w:w="1512" w:type="dxa"/>
            <w:tcMar>
              <w:top w:w="28" w:type="dxa"/>
              <w:left w:w="30" w:type="dxa"/>
              <w:bottom w:w="28" w:type="dxa"/>
              <w:right w:w="30" w:type="dxa"/>
            </w:tcMar>
          </w:tcPr>
          <w:p w14:paraId="3AEC436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Marikyan, D., Papagiannidis, S., &amp; Alamanos, E.</w:t>
            </w:r>
          </w:p>
        </w:tc>
        <w:tc>
          <w:tcPr>
            <w:tcW w:w="605" w:type="dxa"/>
            <w:tcMar>
              <w:top w:w="28" w:type="dxa"/>
              <w:left w:w="30" w:type="dxa"/>
              <w:bottom w:w="28" w:type="dxa"/>
              <w:right w:w="30" w:type="dxa"/>
            </w:tcMar>
          </w:tcPr>
          <w:p w14:paraId="14E3B4AC"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2020</w:t>
            </w:r>
          </w:p>
        </w:tc>
        <w:tc>
          <w:tcPr>
            <w:tcW w:w="1944" w:type="dxa"/>
            <w:tcMar>
              <w:top w:w="28" w:type="dxa"/>
              <w:left w:w="30" w:type="dxa"/>
              <w:bottom w:w="28" w:type="dxa"/>
              <w:right w:w="30" w:type="dxa"/>
            </w:tcMar>
          </w:tcPr>
          <w:p w14:paraId="7E96D89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Cognitive dissonance in technology adoption: A study of smart home users</w:t>
            </w:r>
          </w:p>
        </w:tc>
        <w:tc>
          <w:tcPr>
            <w:tcW w:w="1584" w:type="dxa"/>
            <w:tcMar>
              <w:top w:w="28" w:type="dxa"/>
              <w:left w:w="30" w:type="dxa"/>
              <w:bottom w:w="28" w:type="dxa"/>
              <w:right w:w="30" w:type="dxa"/>
            </w:tcMar>
          </w:tcPr>
          <w:p w14:paraId="7BFF015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Information Systems Frontiers</w:t>
            </w:r>
          </w:p>
        </w:tc>
        <w:tc>
          <w:tcPr>
            <w:tcW w:w="2016" w:type="dxa"/>
            <w:tcMar>
              <w:top w:w="28" w:type="dxa"/>
              <w:left w:w="30" w:type="dxa"/>
              <w:bottom w:w="28" w:type="dxa"/>
              <w:right w:w="30" w:type="dxa"/>
            </w:tcMar>
          </w:tcPr>
          <w:p w14:paraId="00E3A90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explore post-adoption dissonance and continuance in consumer technology use.</w:t>
            </w:r>
          </w:p>
        </w:tc>
        <w:tc>
          <w:tcPr>
            <w:tcW w:w="1512" w:type="dxa"/>
            <w:tcMar>
              <w:top w:w="28" w:type="dxa"/>
              <w:left w:w="30" w:type="dxa"/>
              <w:bottom w:w="28" w:type="dxa"/>
              <w:right w:w="30" w:type="dxa"/>
            </w:tcMar>
          </w:tcPr>
          <w:p w14:paraId="38D8F29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Quantitative empirical study</w:t>
            </w:r>
          </w:p>
        </w:tc>
        <w:tc>
          <w:tcPr>
            <w:tcW w:w="1800" w:type="dxa"/>
            <w:tcMar>
              <w:top w:w="28" w:type="dxa"/>
              <w:left w:w="30" w:type="dxa"/>
              <w:bottom w:w="28" w:type="dxa"/>
              <w:right w:w="30" w:type="dxa"/>
            </w:tcMar>
          </w:tcPr>
          <w:p w14:paraId="75E09F9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Technology adoption; cognitive dissonance; continuance; satisfaction</w:t>
            </w:r>
          </w:p>
        </w:tc>
        <w:tc>
          <w:tcPr>
            <w:tcW w:w="1181" w:type="dxa"/>
            <w:tcMar>
              <w:top w:w="28" w:type="dxa"/>
              <w:left w:w="30" w:type="dxa"/>
              <w:bottom w:w="28" w:type="dxa"/>
              <w:right w:w="30" w:type="dxa"/>
            </w:tcMar>
          </w:tcPr>
          <w:p w14:paraId="45585E3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w:t>
            </w:r>
          </w:p>
        </w:tc>
        <w:tc>
          <w:tcPr>
            <w:tcW w:w="1325" w:type="dxa"/>
            <w:tcMar>
              <w:top w:w="28" w:type="dxa"/>
              <w:left w:w="30" w:type="dxa"/>
              <w:bottom w:w="28" w:type="dxa"/>
              <w:right w:w="30" w:type="dxa"/>
            </w:tcMar>
          </w:tcPr>
          <w:p w14:paraId="6A24557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Springer Nature</w:t>
            </w:r>
          </w:p>
        </w:tc>
        <w:tc>
          <w:tcPr>
            <w:tcW w:w="1800" w:type="dxa"/>
            <w:tcMar>
              <w:top w:w="28" w:type="dxa"/>
              <w:left w:w="30" w:type="dxa"/>
              <w:bottom w:w="28" w:type="dxa"/>
              <w:right w:w="30" w:type="dxa"/>
            </w:tcMar>
          </w:tcPr>
          <w:p w14:paraId="0EEF1052" w14:textId="77777777" w:rsidR="00436BC6" w:rsidRPr="00F239F5" w:rsidRDefault="00436BC6" w:rsidP="00D81527">
            <w:pPr>
              <w:spacing w:line="276" w:lineRule="auto"/>
              <w:rPr>
                <w:rFonts w:ascii="Arial" w:hAnsi="Arial" w:cs="Arial"/>
                <w:sz w:val="16"/>
                <w:szCs w:val="16"/>
              </w:rPr>
            </w:pPr>
            <w:hyperlink r:id="rId84" w:history="1">
              <w:r w:rsidRPr="00F239F5">
                <w:rPr>
                  <w:rFonts w:ascii="Arial" w:hAnsi="Arial" w:cs="Arial"/>
                  <w:color w:val="0000FF"/>
                  <w:sz w:val="16"/>
                  <w:szCs w:val="16"/>
                  <w:u w:val="single"/>
                </w:rPr>
                <w:t>https://doi.org/10.1007/s10796-020-10042-3</w:t>
              </w:r>
            </w:hyperlink>
            <w:r w:rsidRPr="00F239F5">
              <w:rPr>
                <w:rFonts w:ascii="Arial" w:hAnsi="Arial" w:cs="Arial"/>
                <w:sz w:val="16"/>
                <w:szCs w:val="16"/>
              </w:rPr>
              <w:t xml:space="preserve"> </w:t>
            </w:r>
          </w:p>
        </w:tc>
      </w:tr>
      <w:tr w:rsidR="00E740B3" w:rsidRPr="00F239F5" w14:paraId="0321205B" w14:textId="77777777">
        <w:trPr>
          <w:cantSplit/>
          <w:jc w:val="center"/>
        </w:trPr>
        <w:tc>
          <w:tcPr>
            <w:tcW w:w="504" w:type="dxa"/>
            <w:tcMar>
              <w:top w:w="28" w:type="dxa"/>
              <w:left w:w="30" w:type="dxa"/>
              <w:bottom w:w="28" w:type="dxa"/>
              <w:right w:w="30" w:type="dxa"/>
            </w:tcMar>
          </w:tcPr>
          <w:p w14:paraId="51C0B56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27</w:t>
            </w:r>
          </w:p>
        </w:tc>
        <w:tc>
          <w:tcPr>
            <w:tcW w:w="1512" w:type="dxa"/>
            <w:tcMar>
              <w:top w:w="28" w:type="dxa"/>
              <w:left w:w="30" w:type="dxa"/>
              <w:bottom w:w="28" w:type="dxa"/>
              <w:right w:w="30" w:type="dxa"/>
            </w:tcMar>
          </w:tcPr>
          <w:p w14:paraId="68FCF23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Pantano, E., Pizzi, G., Scarpi, D., &amp; Dennis, C.</w:t>
            </w:r>
          </w:p>
        </w:tc>
        <w:tc>
          <w:tcPr>
            <w:tcW w:w="605" w:type="dxa"/>
            <w:tcMar>
              <w:top w:w="28" w:type="dxa"/>
              <w:left w:w="30" w:type="dxa"/>
              <w:bottom w:w="28" w:type="dxa"/>
              <w:right w:w="30" w:type="dxa"/>
            </w:tcMar>
          </w:tcPr>
          <w:p w14:paraId="4AE5C741"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2020</w:t>
            </w:r>
          </w:p>
        </w:tc>
        <w:tc>
          <w:tcPr>
            <w:tcW w:w="1944" w:type="dxa"/>
            <w:tcMar>
              <w:top w:w="28" w:type="dxa"/>
              <w:left w:w="30" w:type="dxa"/>
              <w:bottom w:w="28" w:type="dxa"/>
              <w:right w:w="30" w:type="dxa"/>
            </w:tcMar>
          </w:tcPr>
          <w:p w14:paraId="6C19F22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Competing during a pandemic? Retailers' ups and downs during the COVID-19 outbreak</w:t>
            </w:r>
          </w:p>
        </w:tc>
        <w:tc>
          <w:tcPr>
            <w:tcW w:w="1584" w:type="dxa"/>
            <w:tcMar>
              <w:top w:w="28" w:type="dxa"/>
              <w:left w:w="30" w:type="dxa"/>
              <w:bottom w:w="28" w:type="dxa"/>
              <w:right w:w="30" w:type="dxa"/>
            </w:tcMar>
          </w:tcPr>
          <w:p w14:paraId="3A6CF2A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Business Research</w:t>
            </w:r>
          </w:p>
        </w:tc>
        <w:tc>
          <w:tcPr>
            <w:tcW w:w="2016" w:type="dxa"/>
            <w:tcMar>
              <w:top w:w="28" w:type="dxa"/>
              <w:left w:w="30" w:type="dxa"/>
              <w:bottom w:w="28" w:type="dxa"/>
              <w:right w:w="30" w:type="dxa"/>
            </w:tcMar>
          </w:tcPr>
          <w:p w14:paraId="00A5DAF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analyse how retailers' digital and operational responses affected competitiveness during COVID-19 disruption.</w:t>
            </w:r>
          </w:p>
        </w:tc>
        <w:tc>
          <w:tcPr>
            <w:tcW w:w="1512" w:type="dxa"/>
            <w:tcMar>
              <w:top w:w="28" w:type="dxa"/>
              <w:left w:w="30" w:type="dxa"/>
              <w:bottom w:w="28" w:type="dxa"/>
              <w:right w:w="30" w:type="dxa"/>
            </w:tcMar>
          </w:tcPr>
          <w:p w14:paraId="75CF127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Conceptual / commentary informed by retail evidence</w:t>
            </w:r>
          </w:p>
        </w:tc>
        <w:tc>
          <w:tcPr>
            <w:tcW w:w="1800" w:type="dxa"/>
            <w:tcMar>
              <w:top w:w="28" w:type="dxa"/>
              <w:left w:w="30" w:type="dxa"/>
              <w:bottom w:w="28" w:type="dxa"/>
              <w:right w:w="30" w:type="dxa"/>
            </w:tcMar>
          </w:tcPr>
          <w:p w14:paraId="240386E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Retail disruption; digital response; online retail; customer expectations</w:t>
            </w:r>
          </w:p>
        </w:tc>
        <w:tc>
          <w:tcPr>
            <w:tcW w:w="1181" w:type="dxa"/>
            <w:tcMar>
              <w:top w:w="28" w:type="dxa"/>
              <w:left w:w="30" w:type="dxa"/>
              <w:bottom w:w="28" w:type="dxa"/>
              <w:right w:w="30" w:type="dxa"/>
            </w:tcMar>
          </w:tcPr>
          <w:p w14:paraId="365AB85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RQ3</w:t>
            </w:r>
          </w:p>
        </w:tc>
        <w:tc>
          <w:tcPr>
            <w:tcW w:w="1325" w:type="dxa"/>
            <w:tcMar>
              <w:top w:w="28" w:type="dxa"/>
              <w:left w:w="30" w:type="dxa"/>
              <w:bottom w:w="28" w:type="dxa"/>
              <w:right w:w="30" w:type="dxa"/>
            </w:tcMar>
          </w:tcPr>
          <w:p w14:paraId="515F91F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5A6F83D3" w14:textId="77777777" w:rsidR="00436BC6" w:rsidRPr="00F239F5" w:rsidRDefault="00436BC6" w:rsidP="00D81527">
            <w:pPr>
              <w:spacing w:line="276" w:lineRule="auto"/>
              <w:rPr>
                <w:rFonts w:ascii="Arial" w:hAnsi="Arial" w:cs="Arial"/>
                <w:sz w:val="16"/>
                <w:szCs w:val="16"/>
              </w:rPr>
            </w:pPr>
            <w:hyperlink r:id="rId85" w:history="1">
              <w:r w:rsidRPr="00F239F5">
                <w:rPr>
                  <w:rFonts w:ascii="Arial" w:hAnsi="Arial" w:cs="Arial"/>
                  <w:color w:val="0000FF"/>
                  <w:sz w:val="16"/>
                  <w:szCs w:val="16"/>
                  <w:u w:val="single"/>
                </w:rPr>
                <w:t>https://doi.org/10.1016/j.jbusres.2020.05.036</w:t>
              </w:r>
            </w:hyperlink>
            <w:r w:rsidRPr="00F239F5">
              <w:rPr>
                <w:rFonts w:ascii="Arial" w:hAnsi="Arial" w:cs="Arial"/>
                <w:sz w:val="16"/>
                <w:szCs w:val="16"/>
              </w:rPr>
              <w:t xml:space="preserve"> </w:t>
            </w:r>
          </w:p>
        </w:tc>
      </w:tr>
      <w:tr w:rsidR="00E740B3" w:rsidRPr="00F239F5" w14:paraId="09B7788B" w14:textId="77777777">
        <w:trPr>
          <w:cantSplit/>
          <w:jc w:val="center"/>
        </w:trPr>
        <w:tc>
          <w:tcPr>
            <w:tcW w:w="504" w:type="dxa"/>
            <w:tcMar>
              <w:top w:w="28" w:type="dxa"/>
              <w:left w:w="30" w:type="dxa"/>
              <w:bottom w:w="28" w:type="dxa"/>
              <w:right w:w="30" w:type="dxa"/>
            </w:tcMar>
          </w:tcPr>
          <w:p w14:paraId="28E2E959"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28</w:t>
            </w:r>
          </w:p>
        </w:tc>
        <w:tc>
          <w:tcPr>
            <w:tcW w:w="1512" w:type="dxa"/>
            <w:tcMar>
              <w:top w:w="28" w:type="dxa"/>
              <w:left w:w="30" w:type="dxa"/>
              <w:bottom w:w="28" w:type="dxa"/>
              <w:right w:w="30" w:type="dxa"/>
            </w:tcMar>
          </w:tcPr>
          <w:p w14:paraId="241ECE3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Vakulenko, Y., Shams, P., Hellström, D., &amp; Hjort, K.</w:t>
            </w:r>
          </w:p>
        </w:tc>
        <w:tc>
          <w:tcPr>
            <w:tcW w:w="605" w:type="dxa"/>
            <w:tcMar>
              <w:top w:w="28" w:type="dxa"/>
              <w:left w:w="30" w:type="dxa"/>
              <w:bottom w:w="28" w:type="dxa"/>
              <w:right w:w="30" w:type="dxa"/>
            </w:tcMar>
          </w:tcPr>
          <w:p w14:paraId="4CD98DB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2019</w:t>
            </w:r>
          </w:p>
        </w:tc>
        <w:tc>
          <w:tcPr>
            <w:tcW w:w="1944" w:type="dxa"/>
            <w:tcMar>
              <w:top w:w="28" w:type="dxa"/>
              <w:left w:w="30" w:type="dxa"/>
              <w:bottom w:w="28" w:type="dxa"/>
              <w:right w:w="30" w:type="dxa"/>
            </w:tcMar>
          </w:tcPr>
          <w:p w14:paraId="511D68E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Service innovation in e-commerce last mile delivery: Mapping the e-customer journey</w:t>
            </w:r>
          </w:p>
        </w:tc>
        <w:tc>
          <w:tcPr>
            <w:tcW w:w="1584" w:type="dxa"/>
            <w:tcMar>
              <w:top w:w="28" w:type="dxa"/>
              <w:left w:w="30" w:type="dxa"/>
              <w:bottom w:w="28" w:type="dxa"/>
              <w:right w:w="30" w:type="dxa"/>
            </w:tcMar>
          </w:tcPr>
          <w:p w14:paraId="704D9F0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Business Research</w:t>
            </w:r>
          </w:p>
        </w:tc>
        <w:tc>
          <w:tcPr>
            <w:tcW w:w="2016" w:type="dxa"/>
            <w:tcMar>
              <w:top w:w="28" w:type="dxa"/>
              <w:left w:w="30" w:type="dxa"/>
              <w:bottom w:w="28" w:type="dxa"/>
              <w:right w:w="30" w:type="dxa"/>
            </w:tcMar>
          </w:tcPr>
          <w:p w14:paraId="6CDAFC8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map e-commerce last-mile delivery within the customer journey and service innovation context.</w:t>
            </w:r>
          </w:p>
        </w:tc>
        <w:tc>
          <w:tcPr>
            <w:tcW w:w="1512" w:type="dxa"/>
            <w:tcMar>
              <w:top w:w="28" w:type="dxa"/>
              <w:left w:w="30" w:type="dxa"/>
              <w:bottom w:w="28" w:type="dxa"/>
              <w:right w:w="30" w:type="dxa"/>
            </w:tcMar>
          </w:tcPr>
          <w:p w14:paraId="281796C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Qualitative customer journey mapping</w:t>
            </w:r>
          </w:p>
        </w:tc>
        <w:tc>
          <w:tcPr>
            <w:tcW w:w="1800" w:type="dxa"/>
            <w:tcMar>
              <w:top w:w="28" w:type="dxa"/>
              <w:left w:w="30" w:type="dxa"/>
              <w:bottom w:w="28" w:type="dxa"/>
              <w:right w:w="30" w:type="dxa"/>
            </w:tcMar>
          </w:tcPr>
          <w:p w14:paraId="2C00E76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E-commerce; last-mile delivery; service innovation; customer journey</w:t>
            </w:r>
          </w:p>
        </w:tc>
        <w:tc>
          <w:tcPr>
            <w:tcW w:w="1181" w:type="dxa"/>
            <w:tcMar>
              <w:top w:w="28" w:type="dxa"/>
              <w:left w:w="30" w:type="dxa"/>
              <w:bottom w:w="28" w:type="dxa"/>
              <w:right w:w="30" w:type="dxa"/>
            </w:tcMar>
          </w:tcPr>
          <w:p w14:paraId="39BA2559"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 RQ3</w:t>
            </w:r>
          </w:p>
        </w:tc>
        <w:tc>
          <w:tcPr>
            <w:tcW w:w="1325" w:type="dxa"/>
            <w:tcMar>
              <w:top w:w="28" w:type="dxa"/>
              <w:left w:w="30" w:type="dxa"/>
              <w:bottom w:w="28" w:type="dxa"/>
              <w:right w:w="30" w:type="dxa"/>
            </w:tcMar>
          </w:tcPr>
          <w:p w14:paraId="3537936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 (ScienceDirect)</w:t>
            </w:r>
          </w:p>
        </w:tc>
        <w:tc>
          <w:tcPr>
            <w:tcW w:w="1800" w:type="dxa"/>
            <w:tcMar>
              <w:top w:w="28" w:type="dxa"/>
              <w:left w:w="30" w:type="dxa"/>
              <w:bottom w:w="28" w:type="dxa"/>
              <w:right w:w="30" w:type="dxa"/>
            </w:tcMar>
          </w:tcPr>
          <w:p w14:paraId="301DFE74" w14:textId="77777777" w:rsidR="00436BC6" w:rsidRPr="00F239F5" w:rsidRDefault="00436BC6" w:rsidP="00D81527">
            <w:pPr>
              <w:spacing w:line="276" w:lineRule="auto"/>
              <w:rPr>
                <w:rFonts w:ascii="Arial" w:hAnsi="Arial" w:cs="Arial"/>
                <w:sz w:val="16"/>
                <w:szCs w:val="16"/>
              </w:rPr>
            </w:pPr>
            <w:hyperlink r:id="rId86" w:history="1">
              <w:r w:rsidRPr="00F239F5">
                <w:rPr>
                  <w:rFonts w:ascii="Arial" w:hAnsi="Arial" w:cs="Arial"/>
                  <w:color w:val="0000FF"/>
                  <w:sz w:val="16"/>
                  <w:szCs w:val="16"/>
                  <w:u w:val="single"/>
                </w:rPr>
                <w:t>https://doi.org/10.1016/j.jbusres.2019.01.016</w:t>
              </w:r>
            </w:hyperlink>
            <w:r w:rsidRPr="00F239F5">
              <w:rPr>
                <w:rFonts w:ascii="Arial" w:hAnsi="Arial" w:cs="Arial"/>
                <w:sz w:val="16"/>
                <w:szCs w:val="16"/>
              </w:rPr>
              <w:t xml:space="preserve"> </w:t>
            </w:r>
          </w:p>
        </w:tc>
      </w:tr>
      <w:tr w:rsidR="00E740B3" w:rsidRPr="00F239F5" w14:paraId="64D56A28" w14:textId="77777777">
        <w:trPr>
          <w:cantSplit/>
          <w:jc w:val="center"/>
        </w:trPr>
        <w:tc>
          <w:tcPr>
            <w:tcW w:w="504" w:type="dxa"/>
            <w:tcMar>
              <w:top w:w="28" w:type="dxa"/>
              <w:left w:w="30" w:type="dxa"/>
              <w:bottom w:w="28" w:type="dxa"/>
              <w:right w:w="30" w:type="dxa"/>
            </w:tcMar>
          </w:tcPr>
          <w:p w14:paraId="5E981C2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29</w:t>
            </w:r>
          </w:p>
        </w:tc>
        <w:tc>
          <w:tcPr>
            <w:tcW w:w="1512" w:type="dxa"/>
            <w:tcMar>
              <w:top w:w="28" w:type="dxa"/>
              <w:left w:w="30" w:type="dxa"/>
              <w:bottom w:w="28" w:type="dxa"/>
              <w:right w:w="30" w:type="dxa"/>
            </w:tcMar>
          </w:tcPr>
          <w:p w14:paraId="0C7CCBB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Hofacker, C. F., Golgeci, I., Pillai, K. G., &amp; Gligor, D. M.</w:t>
            </w:r>
          </w:p>
        </w:tc>
        <w:tc>
          <w:tcPr>
            <w:tcW w:w="605" w:type="dxa"/>
            <w:tcMar>
              <w:top w:w="28" w:type="dxa"/>
              <w:left w:w="30" w:type="dxa"/>
              <w:bottom w:w="28" w:type="dxa"/>
              <w:right w:w="30" w:type="dxa"/>
            </w:tcMar>
          </w:tcPr>
          <w:p w14:paraId="2AA063F5"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2020</w:t>
            </w:r>
          </w:p>
        </w:tc>
        <w:tc>
          <w:tcPr>
            <w:tcW w:w="1944" w:type="dxa"/>
            <w:tcMar>
              <w:top w:w="28" w:type="dxa"/>
              <w:left w:w="30" w:type="dxa"/>
              <w:bottom w:w="28" w:type="dxa"/>
              <w:right w:w="30" w:type="dxa"/>
            </w:tcMar>
          </w:tcPr>
          <w:p w14:paraId="6627691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Digital marketing and business-to-business relationships: A close look at the interface and a roadmap for the future</w:t>
            </w:r>
          </w:p>
        </w:tc>
        <w:tc>
          <w:tcPr>
            <w:tcW w:w="1584" w:type="dxa"/>
            <w:tcMar>
              <w:top w:w="28" w:type="dxa"/>
              <w:left w:w="30" w:type="dxa"/>
              <w:bottom w:w="28" w:type="dxa"/>
              <w:right w:w="30" w:type="dxa"/>
            </w:tcMar>
          </w:tcPr>
          <w:p w14:paraId="10F8B02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European Journal of Marketing</w:t>
            </w:r>
          </w:p>
        </w:tc>
        <w:tc>
          <w:tcPr>
            <w:tcW w:w="2016" w:type="dxa"/>
            <w:tcMar>
              <w:top w:w="28" w:type="dxa"/>
              <w:left w:w="30" w:type="dxa"/>
              <w:bottom w:w="28" w:type="dxa"/>
              <w:right w:w="30" w:type="dxa"/>
            </w:tcMar>
          </w:tcPr>
          <w:p w14:paraId="2F8B164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review how digital marketing affects relationship development and provide future research directions.</w:t>
            </w:r>
          </w:p>
        </w:tc>
        <w:tc>
          <w:tcPr>
            <w:tcW w:w="1512" w:type="dxa"/>
            <w:tcMar>
              <w:top w:w="28" w:type="dxa"/>
              <w:left w:w="30" w:type="dxa"/>
              <w:bottom w:w="28" w:type="dxa"/>
              <w:right w:w="30" w:type="dxa"/>
            </w:tcMar>
          </w:tcPr>
          <w:p w14:paraId="05E32FB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Conceptual review / research agenda</w:t>
            </w:r>
          </w:p>
        </w:tc>
        <w:tc>
          <w:tcPr>
            <w:tcW w:w="1800" w:type="dxa"/>
            <w:tcMar>
              <w:top w:w="28" w:type="dxa"/>
              <w:left w:w="30" w:type="dxa"/>
              <w:bottom w:w="28" w:type="dxa"/>
              <w:right w:w="30" w:type="dxa"/>
            </w:tcMar>
          </w:tcPr>
          <w:p w14:paraId="77A930C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Digital marketing; relationship marketing; customer relationships; data</w:t>
            </w:r>
          </w:p>
        </w:tc>
        <w:tc>
          <w:tcPr>
            <w:tcW w:w="1181" w:type="dxa"/>
            <w:tcMar>
              <w:top w:w="28" w:type="dxa"/>
              <w:left w:w="30" w:type="dxa"/>
              <w:bottom w:w="28" w:type="dxa"/>
              <w:right w:w="30" w:type="dxa"/>
            </w:tcMar>
          </w:tcPr>
          <w:p w14:paraId="30C03055"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580B0D0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Emerald</w:t>
            </w:r>
          </w:p>
        </w:tc>
        <w:tc>
          <w:tcPr>
            <w:tcW w:w="1800" w:type="dxa"/>
            <w:tcMar>
              <w:top w:w="28" w:type="dxa"/>
              <w:left w:w="30" w:type="dxa"/>
              <w:bottom w:w="28" w:type="dxa"/>
              <w:right w:w="30" w:type="dxa"/>
            </w:tcMar>
          </w:tcPr>
          <w:p w14:paraId="3AFF07A7" w14:textId="77777777" w:rsidR="00436BC6" w:rsidRPr="00F239F5" w:rsidRDefault="00436BC6" w:rsidP="00D81527">
            <w:pPr>
              <w:spacing w:line="276" w:lineRule="auto"/>
              <w:rPr>
                <w:rFonts w:ascii="Arial" w:hAnsi="Arial" w:cs="Arial"/>
                <w:sz w:val="16"/>
                <w:szCs w:val="16"/>
              </w:rPr>
            </w:pPr>
            <w:hyperlink r:id="rId87" w:history="1">
              <w:r w:rsidRPr="00F239F5">
                <w:rPr>
                  <w:rFonts w:ascii="Arial" w:hAnsi="Arial" w:cs="Arial"/>
                  <w:color w:val="0000FF"/>
                  <w:sz w:val="16"/>
                  <w:szCs w:val="16"/>
                  <w:u w:val="single"/>
                </w:rPr>
                <w:t>https://doi.org/10.1108/EJM-04-2020-0247</w:t>
              </w:r>
            </w:hyperlink>
            <w:r w:rsidRPr="00F239F5">
              <w:rPr>
                <w:rFonts w:ascii="Arial" w:hAnsi="Arial" w:cs="Arial"/>
                <w:sz w:val="16"/>
                <w:szCs w:val="16"/>
              </w:rPr>
              <w:t xml:space="preserve"> </w:t>
            </w:r>
          </w:p>
        </w:tc>
      </w:tr>
      <w:tr w:rsidR="00E740B3" w:rsidRPr="00F239F5" w14:paraId="5D1D6263" w14:textId="77777777">
        <w:trPr>
          <w:cantSplit/>
          <w:jc w:val="center"/>
        </w:trPr>
        <w:tc>
          <w:tcPr>
            <w:tcW w:w="504" w:type="dxa"/>
            <w:tcMar>
              <w:top w:w="28" w:type="dxa"/>
              <w:left w:w="30" w:type="dxa"/>
              <w:bottom w:w="28" w:type="dxa"/>
              <w:right w:w="30" w:type="dxa"/>
            </w:tcMar>
          </w:tcPr>
          <w:p w14:paraId="6A566E39"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30</w:t>
            </w:r>
          </w:p>
        </w:tc>
        <w:tc>
          <w:tcPr>
            <w:tcW w:w="1512" w:type="dxa"/>
            <w:tcMar>
              <w:top w:w="28" w:type="dxa"/>
              <w:left w:w="30" w:type="dxa"/>
              <w:bottom w:w="28" w:type="dxa"/>
              <w:right w:w="30" w:type="dxa"/>
            </w:tcMar>
          </w:tcPr>
          <w:p w14:paraId="10CF7DE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Both, A., &amp; Steinmann, S.</w:t>
            </w:r>
          </w:p>
        </w:tc>
        <w:tc>
          <w:tcPr>
            <w:tcW w:w="605" w:type="dxa"/>
            <w:tcMar>
              <w:top w:w="28" w:type="dxa"/>
              <w:left w:w="30" w:type="dxa"/>
              <w:bottom w:w="28" w:type="dxa"/>
              <w:right w:w="30" w:type="dxa"/>
            </w:tcMar>
          </w:tcPr>
          <w:p w14:paraId="031E417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2023</w:t>
            </w:r>
          </w:p>
        </w:tc>
        <w:tc>
          <w:tcPr>
            <w:tcW w:w="1944" w:type="dxa"/>
            <w:tcMar>
              <w:top w:w="28" w:type="dxa"/>
              <w:left w:w="30" w:type="dxa"/>
              <w:bottom w:w="28" w:type="dxa"/>
              <w:right w:w="30" w:type="dxa"/>
            </w:tcMar>
          </w:tcPr>
          <w:p w14:paraId="3AC33D3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 experiences in omnichannel retail environments: A thematic literature review</w:t>
            </w:r>
          </w:p>
        </w:tc>
        <w:tc>
          <w:tcPr>
            <w:tcW w:w="1584" w:type="dxa"/>
            <w:tcMar>
              <w:top w:w="28" w:type="dxa"/>
              <w:left w:w="30" w:type="dxa"/>
              <w:bottom w:w="28" w:type="dxa"/>
              <w:right w:w="30" w:type="dxa"/>
            </w:tcMar>
          </w:tcPr>
          <w:p w14:paraId="6F0F400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The International Review of Retail, Distribution and Consumer Research</w:t>
            </w:r>
          </w:p>
        </w:tc>
        <w:tc>
          <w:tcPr>
            <w:tcW w:w="2016" w:type="dxa"/>
            <w:tcMar>
              <w:top w:w="28" w:type="dxa"/>
              <w:left w:w="30" w:type="dxa"/>
              <w:bottom w:w="28" w:type="dxa"/>
              <w:right w:w="30" w:type="dxa"/>
            </w:tcMar>
          </w:tcPr>
          <w:p w14:paraId="3718BC2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synthesise how customer experience is conceptualised and investigated across omnichannel retail environments.</w:t>
            </w:r>
          </w:p>
        </w:tc>
        <w:tc>
          <w:tcPr>
            <w:tcW w:w="1512" w:type="dxa"/>
            <w:tcMar>
              <w:top w:w="28" w:type="dxa"/>
              <w:left w:w="30" w:type="dxa"/>
              <w:bottom w:w="28" w:type="dxa"/>
              <w:right w:w="30" w:type="dxa"/>
            </w:tcMar>
          </w:tcPr>
          <w:p w14:paraId="4AF76CE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Thematic literature review of 64 academic papers</w:t>
            </w:r>
          </w:p>
        </w:tc>
        <w:tc>
          <w:tcPr>
            <w:tcW w:w="1800" w:type="dxa"/>
            <w:tcMar>
              <w:top w:w="28" w:type="dxa"/>
              <w:left w:w="30" w:type="dxa"/>
              <w:bottom w:w="28" w:type="dxa"/>
              <w:right w:w="30" w:type="dxa"/>
            </w:tcMar>
          </w:tcPr>
          <w:p w14:paraId="1119A50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Omnichannel customer experience; customer journey; touchpoints; channel integration</w:t>
            </w:r>
          </w:p>
        </w:tc>
        <w:tc>
          <w:tcPr>
            <w:tcW w:w="1181" w:type="dxa"/>
            <w:tcMar>
              <w:top w:w="28" w:type="dxa"/>
              <w:left w:w="30" w:type="dxa"/>
              <w:bottom w:w="28" w:type="dxa"/>
              <w:right w:w="30" w:type="dxa"/>
            </w:tcMar>
          </w:tcPr>
          <w:p w14:paraId="1FDBA4A1"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 RQ3</w:t>
            </w:r>
          </w:p>
        </w:tc>
        <w:tc>
          <w:tcPr>
            <w:tcW w:w="1325" w:type="dxa"/>
            <w:tcMar>
              <w:top w:w="28" w:type="dxa"/>
              <w:left w:w="30" w:type="dxa"/>
              <w:bottom w:w="28" w:type="dxa"/>
              <w:right w:w="30" w:type="dxa"/>
            </w:tcMar>
          </w:tcPr>
          <w:p w14:paraId="48476DB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Taylor &amp; Francis</w:t>
            </w:r>
          </w:p>
        </w:tc>
        <w:tc>
          <w:tcPr>
            <w:tcW w:w="1800" w:type="dxa"/>
            <w:tcMar>
              <w:top w:w="28" w:type="dxa"/>
              <w:left w:w="30" w:type="dxa"/>
              <w:bottom w:w="28" w:type="dxa"/>
              <w:right w:w="30" w:type="dxa"/>
            </w:tcMar>
          </w:tcPr>
          <w:p w14:paraId="77499671" w14:textId="77777777" w:rsidR="00436BC6" w:rsidRPr="00F239F5" w:rsidRDefault="00436BC6" w:rsidP="00D81527">
            <w:pPr>
              <w:spacing w:line="276" w:lineRule="auto"/>
              <w:rPr>
                <w:rFonts w:ascii="Arial" w:hAnsi="Arial" w:cs="Arial"/>
                <w:sz w:val="16"/>
                <w:szCs w:val="16"/>
              </w:rPr>
            </w:pPr>
            <w:hyperlink r:id="rId88" w:history="1">
              <w:r w:rsidRPr="00F239F5">
                <w:rPr>
                  <w:rFonts w:ascii="Arial" w:hAnsi="Arial" w:cs="Arial"/>
                  <w:color w:val="0000FF"/>
                  <w:sz w:val="16"/>
                  <w:szCs w:val="16"/>
                  <w:u w:val="single"/>
                </w:rPr>
                <w:t>https://doi.org/10.1080/09593969.2023.2256491</w:t>
              </w:r>
            </w:hyperlink>
            <w:r w:rsidRPr="00F239F5">
              <w:rPr>
                <w:rFonts w:ascii="Arial" w:hAnsi="Arial" w:cs="Arial"/>
                <w:sz w:val="16"/>
                <w:szCs w:val="16"/>
              </w:rPr>
              <w:t xml:space="preserve"> </w:t>
            </w:r>
          </w:p>
        </w:tc>
      </w:tr>
      <w:tr w:rsidR="00E740B3" w:rsidRPr="00F239F5" w14:paraId="3C982C53" w14:textId="77777777">
        <w:trPr>
          <w:cantSplit/>
          <w:jc w:val="center"/>
        </w:trPr>
        <w:tc>
          <w:tcPr>
            <w:tcW w:w="504" w:type="dxa"/>
            <w:tcMar>
              <w:top w:w="28" w:type="dxa"/>
              <w:left w:w="30" w:type="dxa"/>
              <w:bottom w:w="28" w:type="dxa"/>
              <w:right w:w="30" w:type="dxa"/>
            </w:tcMar>
          </w:tcPr>
          <w:p w14:paraId="4B545B3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31</w:t>
            </w:r>
          </w:p>
        </w:tc>
        <w:tc>
          <w:tcPr>
            <w:tcW w:w="1512" w:type="dxa"/>
            <w:tcMar>
              <w:top w:w="28" w:type="dxa"/>
              <w:left w:w="30" w:type="dxa"/>
              <w:bottom w:w="28" w:type="dxa"/>
              <w:right w:w="30" w:type="dxa"/>
            </w:tcMar>
          </w:tcPr>
          <w:p w14:paraId="7E3B178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Mansurali, A. et al.</w:t>
            </w:r>
          </w:p>
        </w:tc>
        <w:tc>
          <w:tcPr>
            <w:tcW w:w="605" w:type="dxa"/>
            <w:tcMar>
              <w:top w:w="28" w:type="dxa"/>
              <w:left w:w="30" w:type="dxa"/>
              <w:bottom w:w="28" w:type="dxa"/>
              <w:right w:w="30" w:type="dxa"/>
            </w:tcMar>
          </w:tcPr>
          <w:p w14:paraId="3C018C4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2024</w:t>
            </w:r>
          </w:p>
        </w:tc>
        <w:tc>
          <w:tcPr>
            <w:tcW w:w="1944" w:type="dxa"/>
            <w:tcMar>
              <w:top w:w="28" w:type="dxa"/>
              <w:left w:w="30" w:type="dxa"/>
              <w:bottom w:w="28" w:type="dxa"/>
              <w:right w:w="30" w:type="dxa"/>
            </w:tcMar>
          </w:tcPr>
          <w:p w14:paraId="226E4BB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Omnichannel marketing: A systematic review and research agenda</w:t>
            </w:r>
          </w:p>
        </w:tc>
        <w:tc>
          <w:tcPr>
            <w:tcW w:w="1584" w:type="dxa"/>
            <w:tcMar>
              <w:top w:w="28" w:type="dxa"/>
              <w:left w:w="30" w:type="dxa"/>
              <w:bottom w:w="28" w:type="dxa"/>
              <w:right w:w="30" w:type="dxa"/>
            </w:tcMar>
          </w:tcPr>
          <w:p w14:paraId="7C5C7F5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The International Review of Retail, Distribution and Consumer Research</w:t>
            </w:r>
          </w:p>
        </w:tc>
        <w:tc>
          <w:tcPr>
            <w:tcW w:w="2016" w:type="dxa"/>
            <w:tcMar>
              <w:top w:w="28" w:type="dxa"/>
              <w:left w:w="30" w:type="dxa"/>
              <w:bottom w:w="28" w:type="dxa"/>
              <w:right w:w="30" w:type="dxa"/>
            </w:tcMar>
          </w:tcPr>
          <w:p w14:paraId="038E9CE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consolidate omnichannel marketing research, identify customer-centred mechanisms and propose a future research framework.</w:t>
            </w:r>
          </w:p>
        </w:tc>
        <w:tc>
          <w:tcPr>
            <w:tcW w:w="1512" w:type="dxa"/>
            <w:tcMar>
              <w:top w:w="28" w:type="dxa"/>
              <w:left w:w="30" w:type="dxa"/>
              <w:bottom w:w="28" w:type="dxa"/>
              <w:right w:w="30" w:type="dxa"/>
            </w:tcMar>
          </w:tcPr>
          <w:p w14:paraId="1126117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Systematic literature review</w:t>
            </w:r>
          </w:p>
        </w:tc>
        <w:tc>
          <w:tcPr>
            <w:tcW w:w="1800" w:type="dxa"/>
            <w:tcMar>
              <w:top w:w="28" w:type="dxa"/>
              <w:left w:w="30" w:type="dxa"/>
              <w:bottom w:w="28" w:type="dxa"/>
              <w:right w:w="30" w:type="dxa"/>
            </w:tcMar>
          </w:tcPr>
          <w:p w14:paraId="7C793AB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Omnichannel marketing; channel integration; customer centricity; performance</w:t>
            </w:r>
          </w:p>
        </w:tc>
        <w:tc>
          <w:tcPr>
            <w:tcW w:w="1181" w:type="dxa"/>
            <w:tcMar>
              <w:top w:w="28" w:type="dxa"/>
              <w:left w:w="30" w:type="dxa"/>
              <w:bottom w:w="28" w:type="dxa"/>
              <w:right w:w="30" w:type="dxa"/>
            </w:tcMar>
          </w:tcPr>
          <w:p w14:paraId="51CDECDF"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 RQ3</w:t>
            </w:r>
          </w:p>
        </w:tc>
        <w:tc>
          <w:tcPr>
            <w:tcW w:w="1325" w:type="dxa"/>
            <w:tcMar>
              <w:top w:w="28" w:type="dxa"/>
              <w:left w:w="30" w:type="dxa"/>
              <w:bottom w:w="28" w:type="dxa"/>
              <w:right w:w="30" w:type="dxa"/>
            </w:tcMar>
          </w:tcPr>
          <w:p w14:paraId="64050CF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Taylor &amp; Francis</w:t>
            </w:r>
          </w:p>
        </w:tc>
        <w:tc>
          <w:tcPr>
            <w:tcW w:w="1800" w:type="dxa"/>
            <w:tcMar>
              <w:top w:w="28" w:type="dxa"/>
              <w:left w:w="30" w:type="dxa"/>
              <w:bottom w:w="28" w:type="dxa"/>
              <w:right w:w="30" w:type="dxa"/>
            </w:tcMar>
          </w:tcPr>
          <w:p w14:paraId="30D027EB" w14:textId="77777777" w:rsidR="00436BC6" w:rsidRPr="00F239F5" w:rsidRDefault="00436BC6" w:rsidP="00D81527">
            <w:pPr>
              <w:spacing w:line="276" w:lineRule="auto"/>
              <w:rPr>
                <w:rFonts w:ascii="Arial" w:hAnsi="Arial" w:cs="Arial"/>
                <w:sz w:val="16"/>
                <w:szCs w:val="16"/>
              </w:rPr>
            </w:pPr>
            <w:hyperlink r:id="rId89" w:history="1">
              <w:r w:rsidRPr="00F239F5">
                <w:rPr>
                  <w:rFonts w:ascii="Arial" w:hAnsi="Arial" w:cs="Arial"/>
                  <w:color w:val="0000FF"/>
                  <w:sz w:val="16"/>
                  <w:szCs w:val="16"/>
                  <w:u w:val="single"/>
                </w:rPr>
                <w:t>https://doi.org/10.1080/09593969.2024.2321917</w:t>
              </w:r>
            </w:hyperlink>
            <w:r w:rsidRPr="00F239F5">
              <w:rPr>
                <w:rFonts w:ascii="Arial" w:hAnsi="Arial" w:cs="Arial"/>
                <w:sz w:val="16"/>
                <w:szCs w:val="16"/>
              </w:rPr>
              <w:t xml:space="preserve"> </w:t>
            </w:r>
          </w:p>
        </w:tc>
      </w:tr>
      <w:tr w:rsidR="00E740B3" w:rsidRPr="00F239F5" w14:paraId="67CA5A56" w14:textId="77777777">
        <w:trPr>
          <w:cantSplit/>
          <w:jc w:val="center"/>
        </w:trPr>
        <w:tc>
          <w:tcPr>
            <w:tcW w:w="504" w:type="dxa"/>
            <w:tcMar>
              <w:top w:w="28" w:type="dxa"/>
              <w:left w:w="30" w:type="dxa"/>
              <w:bottom w:w="28" w:type="dxa"/>
              <w:right w:w="30" w:type="dxa"/>
            </w:tcMar>
          </w:tcPr>
          <w:p w14:paraId="34E950B5"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lastRenderedPageBreak/>
              <w:t>32</w:t>
            </w:r>
          </w:p>
        </w:tc>
        <w:tc>
          <w:tcPr>
            <w:tcW w:w="1512" w:type="dxa"/>
            <w:tcMar>
              <w:top w:w="28" w:type="dxa"/>
              <w:left w:w="30" w:type="dxa"/>
              <w:bottom w:w="28" w:type="dxa"/>
              <w:right w:w="30" w:type="dxa"/>
            </w:tcMar>
          </w:tcPr>
          <w:p w14:paraId="75CA007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Balbín Buckley, J. A. et al.</w:t>
            </w:r>
          </w:p>
        </w:tc>
        <w:tc>
          <w:tcPr>
            <w:tcW w:w="605" w:type="dxa"/>
            <w:tcMar>
              <w:top w:w="28" w:type="dxa"/>
              <w:left w:w="30" w:type="dxa"/>
              <w:bottom w:w="28" w:type="dxa"/>
              <w:right w:w="30" w:type="dxa"/>
            </w:tcMar>
          </w:tcPr>
          <w:p w14:paraId="61802DAB"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2024</w:t>
            </w:r>
          </w:p>
        </w:tc>
        <w:tc>
          <w:tcPr>
            <w:tcW w:w="1944" w:type="dxa"/>
            <w:tcMar>
              <w:top w:w="28" w:type="dxa"/>
              <w:left w:w="30" w:type="dxa"/>
              <w:bottom w:w="28" w:type="dxa"/>
              <w:right w:w="30" w:type="dxa"/>
            </w:tcMar>
          </w:tcPr>
          <w:p w14:paraId="0D64D68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Effects of channel integration on the omnichannel customer experience</w:t>
            </w:r>
          </w:p>
        </w:tc>
        <w:tc>
          <w:tcPr>
            <w:tcW w:w="1584" w:type="dxa"/>
            <w:tcMar>
              <w:top w:w="28" w:type="dxa"/>
              <w:left w:w="30" w:type="dxa"/>
              <w:bottom w:w="28" w:type="dxa"/>
              <w:right w:w="30" w:type="dxa"/>
            </w:tcMar>
          </w:tcPr>
          <w:p w14:paraId="7087F2D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Cogent Business &amp; Management</w:t>
            </w:r>
          </w:p>
        </w:tc>
        <w:tc>
          <w:tcPr>
            <w:tcW w:w="2016" w:type="dxa"/>
            <w:tcMar>
              <w:top w:w="28" w:type="dxa"/>
              <w:left w:w="30" w:type="dxa"/>
              <w:bottom w:w="28" w:type="dxa"/>
              <w:right w:w="30" w:type="dxa"/>
            </w:tcMar>
          </w:tcPr>
          <w:p w14:paraId="2A7BA8C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test how pricing, product, transaction-information and fulfilment integration affect cognitive and affective customer experience.</w:t>
            </w:r>
          </w:p>
        </w:tc>
        <w:tc>
          <w:tcPr>
            <w:tcW w:w="1512" w:type="dxa"/>
            <w:tcMar>
              <w:top w:w="28" w:type="dxa"/>
              <w:left w:w="30" w:type="dxa"/>
              <w:bottom w:w="28" w:type="dxa"/>
              <w:right w:w="30" w:type="dxa"/>
            </w:tcMar>
          </w:tcPr>
          <w:p w14:paraId="6506943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Quantitative survey of 516 omnichannel retail buyers; multivariate analysis</w:t>
            </w:r>
          </w:p>
        </w:tc>
        <w:tc>
          <w:tcPr>
            <w:tcW w:w="1800" w:type="dxa"/>
            <w:tcMar>
              <w:top w:w="28" w:type="dxa"/>
              <w:left w:w="30" w:type="dxa"/>
              <w:bottom w:w="28" w:type="dxa"/>
              <w:right w:w="30" w:type="dxa"/>
            </w:tcMar>
          </w:tcPr>
          <w:p w14:paraId="4870C51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Channel integration; fulfilment; cognitive experience; affective experience</w:t>
            </w:r>
          </w:p>
        </w:tc>
        <w:tc>
          <w:tcPr>
            <w:tcW w:w="1181" w:type="dxa"/>
            <w:tcMar>
              <w:top w:w="28" w:type="dxa"/>
              <w:left w:w="30" w:type="dxa"/>
              <w:bottom w:w="28" w:type="dxa"/>
              <w:right w:w="30" w:type="dxa"/>
            </w:tcMar>
          </w:tcPr>
          <w:p w14:paraId="2946E02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w:t>
            </w:r>
          </w:p>
        </w:tc>
        <w:tc>
          <w:tcPr>
            <w:tcW w:w="1325" w:type="dxa"/>
            <w:tcMar>
              <w:top w:w="28" w:type="dxa"/>
              <w:left w:w="30" w:type="dxa"/>
              <w:bottom w:w="28" w:type="dxa"/>
              <w:right w:w="30" w:type="dxa"/>
            </w:tcMar>
          </w:tcPr>
          <w:p w14:paraId="1F11D9E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Taylor &amp; Francis</w:t>
            </w:r>
          </w:p>
        </w:tc>
        <w:tc>
          <w:tcPr>
            <w:tcW w:w="1800" w:type="dxa"/>
            <w:tcMar>
              <w:top w:w="28" w:type="dxa"/>
              <w:left w:w="30" w:type="dxa"/>
              <w:bottom w:w="28" w:type="dxa"/>
              <w:right w:w="30" w:type="dxa"/>
            </w:tcMar>
          </w:tcPr>
          <w:p w14:paraId="0AE0A944" w14:textId="77777777" w:rsidR="00436BC6" w:rsidRPr="00F239F5" w:rsidRDefault="00436BC6" w:rsidP="00D81527">
            <w:pPr>
              <w:spacing w:line="276" w:lineRule="auto"/>
              <w:rPr>
                <w:rFonts w:ascii="Arial" w:hAnsi="Arial" w:cs="Arial"/>
                <w:sz w:val="16"/>
                <w:szCs w:val="16"/>
              </w:rPr>
            </w:pPr>
            <w:hyperlink r:id="rId90" w:history="1">
              <w:r w:rsidRPr="00F239F5">
                <w:rPr>
                  <w:rFonts w:ascii="Arial" w:hAnsi="Arial" w:cs="Arial"/>
                  <w:color w:val="0000FF"/>
                  <w:sz w:val="16"/>
                  <w:szCs w:val="16"/>
                  <w:u w:val="single"/>
                </w:rPr>
                <w:t>https://doi.org/10.1080/23311975.2024.2364841</w:t>
              </w:r>
            </w:hyperlink>
            <w:r w:rsidRPr="00F239F5">
              <w:rPr>
                <w:rFonts w:ascii="Arial" w:hAnsi="Arial" w:cs="Arial"/>
                <w:sz w:val="16"/>
                <w:szCs w:val="16"/>
              </w:rPr>
              <w:t xml:space="preserve">  </w:t>
            </w:r>
          </w:p>
        </w:tc>
      </w:tr>
      <w:tr w:rsidR="00E740B3" w:rsidRPr="00F239F5" w14:paraId="7F8E39F0" w14:textId="77777777">
        <w:trPr>
          <w:cantSplit/>
          <w:jc w:val="center"/>
        </w:trPr>
        <w:tc>
          <w:tcPr>
            <w:tcW w:w="504" w:type="dxa"/>
            <w:tcMar>
              <w:top w:w="28" w:type="dxa"/>
              <w:left w:w="30" w:type="dxa"/>
              <w:bottom w:w="28" w:type="dxa"/>
              <w:right w:w="30" w:type="dxa"/>
            </w:tcMar>
          </w:tcPr>
          <w:p w14:paraId="58F87DC4"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33</w:t>
            </w:r>
          </w:p>
        </w:tc>
        <w:tc>
          <w:tcPr>
            <w:tcW w:w="1512" w:type="dxa"/>
            <w:tcMar>
              <w:top w:w="28" w:type="dxa"/>
              <w:left w:w="30" w:type="dxa"/>
              <w:bottom w:w="28" w:type="dxa"/>
              <w:right w:w="30" w:type="dxa"/>
            </w:tcMar>
          </w:tcPr>
          <w:p w14:paraId="4FFDB0F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Xuan, Q. T. et al.</w:t>
            </w:r>
          </w:p>
        </w:tc>
        <w:tc>
          <w:tcPr>
            <w:tcW w:w="605" w:type="dxa"/>
            <w:tcMar>
              <w:top w:w="28" w:type="dxa"/>
              <w:left w:w="30" w:type="dxa"/>
              <w:bottom w:w="28" w:type="dxa"/>
              <w:right w:w="30" w:type="dxa"/>
            </w:tcMar>
          </w:tcPr>
          <w:p w14:paraId="527A57E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2023</w:t>
            </w:r>
          </w:p>
        </w:tc>
        <w:tc>
          <w:tcPr>
            <w:tcW w:w="1944" w:type="dxa"/>
            <w:tcMar>
              <w:top w:w="28" w:type="dxa"/>
              <w:left w:w="30" w:type="dxa"/>
              <w:bottom w:w="28" w:type="dxa"/>
              <w:right w:w="30" w:type="dxa"/>
            </w:tcMar>
          </w:tcPr>
          <w:p w14:paraId="3A8C36C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The impacts of omnichannel retailing properties on customer experience and brand loyalty</w:t>
            </w:r>
          </w:p>
        </w:tc>
        <w:tc>
          <w:tcPr>
            <w:tcW w:w="1584" w:type="dxa"/>
            <w:tcMar>
              <w:top w:w="28" w:type="dxa"/>
              <w:left w:w="30" w:type="dxa"/>
              <w:bottom w:w="28" w:type="dxa"/>
              <w:right w:w="30" w:type="dxa"/>
            </w:tcMar>
          </w:tcPr>
          <w:p w14:paraId="301D562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Cogent Business &amp; Management</w:t>
            </w:r>
          </w:p>
        </w:tc>
        <w:tc>
          <w:tcPr>
            <w:tcW w:w="2016" w:type="dxa"/>
            <w:tcMar>
              <w:top w:w="28" w:type="dxa"/>
              <w:left w:w="30" w:type="dxa"/>
              <w:bottom w:w="28" w:type="dxa"/>
              <w:right w:w="30" w:type="dxa"/>
            </w:tcMar>
          </w:tcPr>
          <w:p w14:paraId="707F711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examine how integration quality, perceived fluency and assurance quality shape customer experience and brand loyalty.</w:t>
            </w:r>
          </w:p>
        </w:tc>
        <w:tc>
          <w:tcPr>
            <w:tcW w:w="1512" w:type="dxa"/>
            <w:tcMar>
              <w:top w:w="28" w:type="dxa"/>
              <w:left w:w="30" w:type="dxa"/>
              <w:bottom w:w="28" w:type="dxa"/>
              <w:right w:w="30" w:type="dxa"/>
            </w:tcMar>
          </w:tcPr>
          <w:p w14:paraId="64230F9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Quantitative empirical study; structural model</w:t>
            </w:r>
          </w:p>
        </w:tc>
        <w:tc>
          <w:tcPr>
            <w:tcW w:w="1800" w:type="dxa"/>
            <w:tcMar>
              <w:top w:w="28" w:type="dxa"/>
              <w:left w:w="30" w:type="dxa"/>
              <w:bottom w:w="28" w:type="dxa"/>
              <w:right w:w="30" w:type="dxa"/>
            </w:tcMar>
          </w:tcPr>
          <w:p w14:paraId="30192A2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Integration quality; perceived fluency; assurance; brand loyalty</w:t>
            </w:r>
          </w:p>
        </w:tc>
        <w:tc>
          <w:tcPr>
            <w:tcW w:w="1181" w:type="dxa"/>
            <w:tcMar>
              <w:top w:w="28" w:type="dxa"/>
              <w:left w:w="30" w:type="dxa"/>
              <w:bottom w:w="28" w:type="dxa"/>
              <w:right w:w="30" w:type="dxa"/>
            </w:tcMar>
          </w:tcPr>
          <w:p w14:paraId="507228E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4697010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Taylor &amp; Francis</w:t>
            </w:r>
          </w:p>
        </w:tc>
        <w:tc>
          <w:tcPr>
            <w:tcW w:w="1800" w:type="dxa"/>
            <w:tcMar>
              <w:top w:w="28" w:type="dxa"/>
              <w:left w:w="30" w:type="dxa"/>
              <w:bottom w:w="28" w:type="dxa"/>
              <w:right w:w="30" w:type="dxa"/>
            </w:tcMar>
          </w:tcPr>
          <w:p w14:paraId="2A0E3EDC" w14:textId="77777777" w:rsidR="00436BC6" w:rsidRPr="00F239F5" w:rsidRDefault="00436BC6" w:rsidP="00D81527">
            <w:pPr>
              <w:spacing w:line="276" w:lineRule="auto"/>
              <w:rPr>
                <w:rFonts w:ascii="Arial" w:hAnsi="Arial" w:cs="Arial"/>
                <w:sz w:val="16"/>
                <w:szCs w:val="16"/>
              </w:rPr>
            </w:pPr>
            <w:hyperlink r:id="rId91" w:history="1">
              <w:r w:rsidRPr="00F239F5">
                <w:rPr>
                  <w:rFonts w:ascii="Arial" w:hAnsi="Arial" w:cs="Arial"/>
                  <w:color w:val="0000FF"/>
                  <w:sz w:val="16"/>
                  <w:szCs w:val="16"/>
                  <w:u w:val="single"/>
                </w:rPr>
                <w:t>https://doi.org/10.1080/23311975.2023.2244765</w:t>
              </w:r>
            </w:hyperlink>
            <w:r w:rsidRPr="00F239F5">
              <w:rPr>
                <w:rFonts w:ascii="Arial" w:hAnsi="Arial" w:cs="Arial"/>
                <w:sz w:val="16"/>
                <w:szCs w:val="16"/>
              </w:rPr>
              <w:t xml:space="preserve"> </w:t>
            </w:r>
          </w:p>
        </w:tc>
      </w:tr>
      <w:tr w:rsidR="00E740B3" w:rsidRPr="00F239F5" w14:paraId="7865B039" w14:textId="77777777">
        <w:trPr>
          <w:cantSplit/>
          <w:jc w:val="center"/>
        </w:trPr>
        <w:tc>
          <w:tcPr>
            <w:tcW w:w="504" w:type="dxa"/>
            <w:tcMar>
              <w:top w:w="28" w:type="dxa"/>
              <w:left w:w="30" w:type="dxa"/>
              <w:bottom w:w="28" w:type="dxa"/>
              <w:right w:w="30" w:type="dxa"/>
            </w:tcMar>
          </w:tcPr>
          <w:p w14:paraId="0E5198F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34</w:t>
            </w:r>
          </w:p>
        </w:tc>
        <w:tc>
          <w:tcPr>
            <w:tcW w:w="1512" w:type="dxa"/>
            <w:tcMar>
              <w:top w:w="28" w:type="dxa"/>
              <w:left w:w="30" w:type="dxa"/>
              <w:bottom w:w="28" w:type="dxa"/>
              <w:right w:w="30" w:type="dxa"/>
            </w:tcMar>
          </w:tcPr>
          <w:p w14:paraId="6B66CB7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Mukhopadhyay, S. et al.</w:t>
            </w:r>
          </w:p>
        </w:tc>
        <w:tc>
          <w:tcPr>
            <w:tcW w:w="605" w:type="dxa"/>
            <w:tcMar>
              <w:top w:w="28" w:type="dxa"/>
              <w:left w:w="30" w:type="dxa"/>
              <w:bottom w:w="28" w:type="dxa"/>
              <w:right w:w="30" w:type="dxa"/>
            </w:tcMar>
          </w:tcPr>
          <w:p w14:paraId="619999B5"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2024</w:t>
            </w:r>
          </w:p>
        </w:tc>
        <w:tc>
          <w:tcPr>
            <w:tcW w:w="1944" w:type="dxa"/>
            <w:tcMar>
              <w:top w:w="28" w:type="dxa"/>
              <w:left w:w="30" w:type="dxa"/>
              <w:bottom w:w="28" w:type="dxa"/>
              <w:right w:w="30" w:type="dxa"/>
            </w:tcMar>
          </w:tcPr>
          <w:p w14:paraId="5CAA952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Consumer patronage in omnichannel retailing and the role of integration quality</w:t>
            </w:r>
          </w:p>
        </w:tc>
        <w:tc>
          <w:tcPr>
            <w:tcW w:w="1584" w:type="dxa"/>
            <w:tcMar>
              <w:top w:w="28" w:type="dxa"/>
              <w:left w:w="30" w:type="dxa"/>
              <w:bottom w:w="28" w:type="dxa"/>
              <w:right w:w="30" w:type="dxa"/>
            </w:tcMar>
          </w:tcPr>
          <w:p w14:paraId="172A238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Strategic Marketing</w:t>
            </w:r>
          </w:p>
        </w:tc>
        <w:tc>
          <w:tcPr>
            <w:tcW w:w="2016" w:type="dxa"/>
            <w:tcMar>
              <w:top w:w="28" w:type="dxa"/>
              <w:left w:w="30" w:type="dxa"/>
              <w:bottom w:w="28" w:type="dxa"/>
              <w:right w:w="30" w:type="dxa"/>
            </w:tcMar>
          </w:tcPr>
          <w:p w14:paraId="46A1209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assess the effect of omnichannel integration quality on purchase intention and loyalty through consumer experience.</w:t>
            </w:r>
          </w:p>
        </w:tc>
        <w:tc>
          <w:tcPr>
            <w:tcW w:w="1512" w:type="dxa"/>
            <w:tcMar>
              <w:top w:w="28" w:type="dxa"/>
              <w:left w:w="30" w:type="dxa"/>
              <w:bottom w:w="28" w:type="dxa"/>
              <w:right w:w="30" w:type="dxa"/>
            </w:tcMar>
          </w:tcPr>
          <w:p w14:paraId="2E6C566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Quantitative cross-cultural survey; mediation and moderation analysis</w:t>
            </w:r>
          </w:p>
        </w:tc>
        <w:tc>
          <w:tcPr>
            <w:tcW w:w="1800" w:type="dxa"/>
            <w:tcMar>
              <w:top w:w="28" w:type="dxa"/>
              <w:left w:w="30" w:type="dxa"/>
              <w:bottom w:w="28" w:type="dxa"/>
              <w:right w:w="30" w:type="dxa"/>
            </w:tcMar>
          </w:tcPr>
          <w:p w14:paraId="0D3BE94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Integration quality; consumer experience; purchase intention; loyalty; culture</w:t>
            </w:r>
          </w:p>
        </w:tc>
        <w:tc>
          <w:tcPr>
            <w:tcW w:w="1181" w:type="dxa"/>
            <w:tcMar>
              <w:top w:w="28" w:type="dxa"/>
              <w:left w:w="30" w:type="dxa"/>
              <w:bottom w:w="28" w:type="dxa"/>
              <w:right w:w="30" w:type="dxa"/>
            </w:tcMar>
          </w:tcPr>
          <w:p w14:paraId="4E70977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507082A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Taylor &amp; Francis</w:t>
            </w:r>
          </w:p>
        </w:tc>
        <w:tc>
          <w:tcPr>
            <w:tcW w:w="1800" w:type="dxa"/>
            <w:tcMar>
              <w:top w:w="28" w:type="dxa"/>
              <w:left w:w="30" w:type="dxa"/>
              <w:bottom w:w="28" w:type="dxa"/>
              <w:right w:w="30" w:type="dxa"/>
            </w:tcMar>
          </w:tcPr>
          <w:p w14:paraId="0752391D" w14:textId="77777777" w:rsidR="00436BC6" w:rsidRPr="00F239F5" w:rsidRDefault="00436BC6" w:rsidP="00D81527">
            <w:pPr>
              <w:spacing w:line="276" w:lineRule="auto"/>
              <w:rPr>
                <w:rFonts w:ascii="Arial" w:hAnsi="Arial" w:cs="Arial"/>
                <w:sz w:val="16"/>
                <w:szCs w:val="16"/>
              </w:rPr>
            </w:pPr>
            <w:hyperlink r:id="rId92" w:history="1">
              <w:r w:rsidRPr="00F239F5">
                <w:rPr>
                  <w:rFonts w:ascii="Arial" w:hAnsi="Arial" w:cs="Arial"/>
                  <w:color w:val="0000FF"/>
                  <w:sz w:val="16"/>
                  <w:szCs w:val="16"/>
                  <w:u w:val="single"/>
                </w:rPr>
                <w:t>https://doi.org/10.1080/0965254X.2023.2229331</w:t>
              </w:r>
            </w:hyperlink>
            <w:r w:rsidRPr="00F239F5">
              <w:rPr>
                <w:rFonts w:ascii="Arial" w:hAnsi="Arial" w:cs="Arial"/>
                <w:sz w:val="16"/>
                <w:szCs w:val="16"/>
              </w:rPr>
              <w:t xml:space="preserve"> </w:t>
            </w:r>
          </w:p>
        </w:tc>
      </w:tr>
      <w:tr w:rsidR="00E740B3" w:rsidRPr="00F239F5" w14:paraId="66E3C3B1" w14:textId="77777777">
        <w:trPr>
          <w:cantSplit/>
          <w:jc w:val="center"/>
        </w:trPr>
        <w:tc>
          <w:tcPr>
            <w:tcW w:w="504" w:type="dxa"/>
            <w:tcMar>
              <w:top w:w="28" w:type="dxa"/>
              <w:left w:w="30" w:type="dxa"/>
              <w:bottom w:w="28" w:type="dxa"/>
              <w:right w:w="30" w:type="dxa"/>
            </w:tcMar>
          </w:tcPr>
          <w:p w14:paraId="70267EBA"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35</w:t>
            </w:r>
          </w:p>
        </w:tc>
        <w:tc>
          <w:tcPr>
            <w:tcW w:w="1512" w:type="dxa"/>
            <w:tcMar>
              <w:top w:w="28" w:type="dxa"/>
              <w:left w:w="30" w:type="dxa"/>
              <w:bottom w:w="28" w:type="dxa"/>
              <w:right w:w="30" w:type="dxa"/>
            </w:tcMar>
          </w:tcPr>
          <w:p w14:paraId="0FD8A7E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Wallström, S. et al.</w:t>
            </w:r>
          </w:p>
        </w:tc>
        <w:tc>
          <w:tcPr>
            <w:tcW w:w="605" w:type="dxa"/>
            <w:tcMar>
              <w:top w:w="28" w:type="dxa"/>
              <w:left w:w="30" w:type="dxa"/>
              <w:bottom w:w="28" w:type="dxa"/>
              <w:right w:w="30" w:type="dxa"/>
            </w:tcMar>
          </w:tcPr>
          <w:p w14:paraId="05ACEB0F"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2024</w:t>
            </w:r>
          </w:p>
        </w:tc>
        <w:tc>
          <w:tcPr>
            <w:tcW w:w="1944" w:type="dxa"/>
            <w:tcMar>
              <w:top w:w="28" w:type="dxa"/>
              <w:left w:w="30" w:type="dxa"/>
              <w:bottom w:w="28" w:type="dxa"/>
              <w:right w:w="30" w:type="dxa"/>
            </w:tcMar>
          </w:tcPr>
          <w:p w14:paraId="55C2582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Retailers' view on customer loyalty – a social resource perspective</w:t>
            </w:r>
          </w:p>
        </w:tc>
        <w:tc>
          <w:tcPr>
            <w:tcW w:w="1584" w:type="dxa"/>
            <w:tcMar>
              <w:top w:w="28" w:type="dxa"/>
              <w:left w:w="30" w:type="dxa"/>
              <w:bottom w:w="28" w:type="dxa"/>
              <w:right w:w="30" w:type="dxa"/>
            </w:tcMar>
          </w:tcPr>
          <w:p w14:paraId="1BBC580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The International Review of Retail, Distribution and Consumer Research</w:t>
            </w:r>
          </w:p>
        </w:tc>
        <w:tc>
          <w:tcPr>
            <w:tcW w:w="2016" w:type="dxa"/>
            <w:tcMar>
              <w:top w:w="28" w:type="dxa"/>
              <w:left w:w="30" w:type="dxa"/>
              <w:bottom w:w="28" w:type="dxa"/>
              <w:right w:w="30" w:type="dxa"/>
            </w:tcMar>
          </w:tcPr>
          <w:p w14:paraId="238A2DE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explore how retail managers understand loyalty and the tensions surrounding loyalty-building strategies.</w:t>
            </w:r>
          </w:p>
        </w:tc>
        <w:tc>
          <w:tcPr>
            <w:tcW w:w="1512" w:type="dxa"/>
            <w:tcMar>
              <w:top w:w="28" w:type="dxa"/>
              <w:left w:w="30" w:type="dxa"/>
              <w:bottom w:w="28" w:type="dxa"/>
              <w:right w:w="30" w:type="dxa"/>
            </w:tcMar>
          </w:tcPr>
          <w:p w14:paraId="070EFE1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Qualitative interviews with eight retail managers</w:t>
            </w:r>
          </w:p>
        </w:tc>
        <w:tc>
          <w:tcPr>
            <w:tcW w:w="1800" w:type="dxa"/>
            <w:tcMar>
              <w:top w:w="28" w:type="dxa"/>
              <w:left w:w="30" w:type="dxa"/>
              <w:bottom w:w="28" w:type="dxa"/>
              <w:right w:w="30" w:type="dxa"/>
            </w:tcMar>
          </w:tcPr>
          <w:p w14:paraId="65355FD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 loyalty; social exchange; loyalty programmes; retail strategy</w:t>
            </w:r>
          </w:p>
        </w:tc>
        <w:tc>
          <w:tcPr>
            <w:tcW w:w="1181" w:type="dxa"/>
            <w:tcMar>
              <w:top w:w="28" w:type="dxa"/>
              <w:left w:w="30" w:type="dxa"/>
              <w:bottom w:w="28" w:type="dxa"/>
              <w:right w:w="30" w:type="dxa"/>
            </w:tcMar>
          </w:tcPr>
          <w:p w14:paraId="4BA98AA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4238E53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Taylor &amp; Francis</w:t>
            </w:r>
          </w:p>
        </w:tc>
        <w:tc>
          <w:tcPr>
            <w:tcW w:w="1800" w:type="dxa"/>
            <w:tcMar>
              <w:top w:w="28" w:type="dxa"/>
              <w:left w:w="30" w:type="dxa"/>
              <w:bottom w:w="28" w:type="dxa"/>
              <w:right w:w="30" w:type="dxa"/>
            </w:tcMar>
          </w:tcPr>
          <w:p w14:paraId="1BBE1978" w14:textId="77777777" w:rsidR="00436BC6" w:rsidRPr="00F239F5" w:rsidRDefault="00436BC6" w:rsidP="00D81527">
            <w:pPr>
              <w:spacing w:line="276" w:lineRule="auto"/>
              <w:rPr>
                <w:rFonts w:ascii="Arial" w:hAnsi="Arial" w:cs="Arial"/>
                <w:sz w:val="16"/>
                <w:szCs w:val="16"/>
              </w:rPr>
            </w:pPr>
            <w:hyperlink r:id="rId93" w:history="1">
              <w:r w:rsidRPr="00F239F5">
                <w:rPr>
                  <w:rFonts w:ascii="Arial" w:hAnsi="Arial" w:cs="Arial"/>
                  <w:color w:val="0000FF"/>
                  <w:sz w:val="16"/>
                  <w:szCs w:val="16"/>
                  <w:u w:val="single"/>
                </w:rPr>
                <w:t>https://doi.org/10.1080/09593969.2023.2287998</w:t>
              </w:r>
            </w:hyperlink>
            <w:r w:rsidRPr="00F239F5">
              <w:rPr>
                <w:rFonts w:ascii="Arial" w:hAnsi="Arial" w:cs="Arial"/>
                <w:sz w:val="16"/>
                <w:szCs w:val="16"/>
              </w:rPr>
              <w:t xml:space="preserve"> </w:t>
            </w:r>
          </w:p>
        </w:tc>
      </w:tr>
      <w:tr w:rsidR="00E740B3" w:rsidRPr="00F239F5" w14:paraId="42BCA853" w14:textId="77777777">
        <w:trPr>
          <w:cantSplit/>
          <w:jc w:val="center"/>
        </w:trPr>
        <w:tc>
          <w:tcPr>
            <w:tcW w:w="504" w:type="dxa"/>
            <w:tcMar>
              <w:top w:w="28" w:type="dxa"/>
              <w:left w:w="30" w:type="dxa"/>
              <w:bottom w:w="28" w:type="dxa"/>
              <w:right w:w="30" w:type="dxa"/>
            </w:tcMar>
          </w:tcPr>
          <w:p w14:paraId="4AD758DB"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36</w:t>
            </w:r>
          </w:p>
        </w:tc>
        <w:tc>
          <w:tcPr>
            <w:tcW w:w="1512" w:type="dxa"/>
            <w:tcMar>
              <w:top w:w="28" w:type="dxa"/>
              <w:left w:w="30" w:type="dxa"/>
              <w:bottom w:w="28" w:type="dxa"/>
              <w:right w:w="30" w:type="dxa"/>
            </w:tcMar>
          </w:tcPr>
          <w:p w14:paraId="4278B78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Massi, M. et al.</w:t>
            </w:r>
          </w:p>
        </w:tc>
        <w:tc>
          <w:tcPr>
            <w:tcW w:w="605" w:type="dxa"/>
            <w:tcMar>
              <w:top w:w="28" w:type="dxa"/>
              <w:left w:w="30" w:type="dxa"/>
              <w:bottom w:w="28" w:type="dxa"/>
              <w:right w:w="30" w:type="dxa"/>
            </w:tcMar>
          </w:tcPr>
          <w:p w14:paraId="2C268EF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2023</w:t>
            </w:r>
          </w:p>
        </w:tc>
        <w:tc>
          <w:tcPr>
            <w:tcW w:w="1944" w:type="dxa"/>
            <w:tcMar>
              <w:top w:w="28" w:type="dxa"/>
              <w:left w:w="30" w:type="dxa"/>
              <w:bottom w:w="28" w:type="dxa"/>
              <w:right w:w="30" w:type="dxa"/>
            </w:tcMar>
          </w:tcPr>
          <w:p w14:paraId="5E466A8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Providing consumers with a seamless brand experience through omnichannel brand touchpoints</w:t>
            </w:r>
          </w:p>
        </w:tc>
        <w:tc>
          <w:tcPr>
            <w:tcW w:w="1584" w:type="dxa"/>
            <w:tcMar>
              <w:top w:w="28" w:type="dxa"/>
              <w:left w:w="30" w:type="dxa"/>
              <w:bottom w:w="28" w:type="dxa"/>
              <w:right w:w="30" w:type="dxa"/>
            </w:tcMar>
          </w:tcPr>
          <w:p w14:paraId="4E72632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Psychology &amp; Marketing</w:t>
            </w:r>
          </w:p>
        </w:tc>
        <w:tc>
          <w:tcPr>
            <w:tcW w:w="2016" w:type="dxa"/>
            <w:tcMar>
              <w:top w:w="28" w:type="dxa"/>
              <w:left w:w="30" w:type="dxa"/>
              <w:bottom w:w="28" w:type="dxa"/>
              <w:right w:w="30" w:type="dxa"/>
            </w:tcMar>
          </w:tcPr>
          <w:p w14:paraId="15520D3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explain how integrated touchpoints and brand narrative contribute to seamless brand experience.</w:t>
            </w:r>
          </w:p>
        </w:tc>
        <w:tc>
          <w:tcPr>
            <w:tcW w:w="1512" w:type="dxa"/>
            <w:tcMar>
              <w:top w:w="28" w:type="dxa"/>
              <w:left w:w="30" w:type="dxa"/>
              <w:bottom w:w="28" w:type="dxa"/>
              <w:right w:w="30" w:type="dxa"/>
            </w:tcMar>
          </w:tcPr>
          <w:p w14:paraId="07D2704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Empirical consumer study</w:t>
            </w:r>
          </w:p>
        </w:tc>
        <w:tc>
          <w:tcPr>
            <w:tcW w:w="1800" w:type="dxa"/>
            <w:tcMar>
              <w:top w:w="28" w:type="dxa"/>
              <w:left w:w="30" w:type="dxa"/>
              <w:bottom w:w="28" w:type="dxa"/>
              <w:right w:w="30" w:type="dxa"/>
            </w:tcMar>
          </w:tcPr>
          <w:p w14:paraId="2F29C6C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Seamless experience; brand touchpoints; omnichannel branding; engagement</w:t>
            </w:r>
          </w:p>
        </w:tc>
        <w:tc>
          <w:tcPr>
            <w:tcW w:w="1181" w:type="dxa"/>
            <w:tcMar>
              <w:top w:w="28" w:type="dxa"/>
              <w:left w:w="30" w:type="dxa"/>
              <w:bottom w:w="28" w:type="dxa"/>
              <w:right w:w="30" w:type="dxa"/>
            </w:tcMar>
          </w:tcPr>
          <w:p w14:paraId="70BAC31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 RQ3</w:t>
            </w:r>
          </w:p>
        </w:tc>
        <w:tc>
          <w:tcPr>
            <w:tcW w:w="1325" w:type="dxa"/>
            <w:tcMar>
              <w:top w:w="28" w:type="dxa"/>
              <w:left w:w="30" w:type="dxa"/>
              <w:bottom w:w="28" w:type="dxa"/>
              <w:right w:w="30" w:type="dxa"/>
            </w:tcMar>
          </w:tcPr>
          <w:p w14:paraId="47DB0F3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Wiley</w:t>
            </w:r>
          </w:p>
        </w:tc>
        <w:tc>
          <w:tcPr>
            <w:tcW w:w="1800" w:type="dxa"/>
            <w:tcMar>
              <w:top w:w="28" w:type="dxa"/>
              <w:left w:w="30" w:type="dxa"/>
              <w:bottom w:w="28" w:type="dxa"/>
              <w:right w:w="30" w:type="dxa"/>
            </w:tcMar>
          </w:tcPr>
          <w:p w14:paraId="39E2895E" w14:textId="77777777" w:rsidR="00436BC6" w:rsidRPr="00F239F5" w:rsidRDefault="00436BC6" w:rsidP="00D81527">
            <w:pPr>
              <w:spacing w:line="276" w:lineRule="auto"/>
              <w:rPr>
                <w:rFonts w:ascii="Arial" w:hAnsi="Arial" w:cs="Arial"/>
                <w:sz w:val="16"/>
                <w:szCs w:val="16"/>
              </w:rPr>
            </w:pPr>
            <w:hyperlink r:id="rId94" w:history="1">
              <w:r w:rsidRPr="00F239F5">
                <w:rPr>
                  <w:rFonts w:ascii="Arial" w:hAnsi="Arial" w:cs="Arial"/>
                  <w:color w:val="0000FF"/>
                  <w:sz w:val="16"/>
                  <w:szCs w:val="16"/>
                  <w:u w:val="single"/>
                </w:rPr>
                <w:t>https://doi.org/10.1002/mar.21815</w:t>
              </w:r>
            </w:hyperlink>
            <w:r w:rsidRPr="00F239F5">
              <w:rPr>
                <w:rFonts w:ascii="Arial" w:hAnsi="Arial" w:cs="Arial"/>
                <w:sz w:val="16"/>
                <w:szCs w:val="16"/>
              </w:rPr>
              <w:t xml:space="preserve"> </w:t>
            </w:r>
          </w:p>
        </w:tc>
      </w:tr>
      <w:tr w:rsidR="00E740B3" w:rsidRPr="00F239F5" w14:paraId="4536DDA8" w14:textId="77777777">
        <w:trPr>
          <w:cantSplit/>
          <w:jc w:val="center"/>
        </w:trPr>
        <w:tc>
          <w:tcPr>
            <w:tcW w:w="504" w:type="dxa"/>
            <w:tcMar>
              <w:top w:w="28" w:type="dxa"/>
              <w:left w:w="30" w:type="dxa"/>
              <w:bottom w:w="28" w:type="dxa"/>
              <w:right w:w="30" w:type="dxa"/>
            </w:tcMar>
          </w:tcPr>
          <w:p w14:paraId="5A92557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37</w:t>
            </w:r>
          </w:p>
        </w:tc>
        <w:tc>
          <w:tcPr>
            <w:tcW w:w="1512" w:type="dxa"/>
            <w:tcMar>
              <w:top w:w="28" w:type="dxa"/>
              <w:left w:w="30" w:type="dxa"/>
              <w:bottom w:w="28" w:type="dxa"/>
              <w:right w:w="30" w:type="dxa"/>
            </w:tcMar>
          </w:tcPr>
          <w:p w14:paraId="3AE488F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Halibas, A. S. et al.</w:t>
            </w:r>
          </w:p>
        </w:tc>
        <w:tc>
          <w:tcPr>
            <w:tcW w:w="605" w:type="dxa"/>
            <w:tcMar>
              <w:top w:w="28" w:type="dxa"/>
              <w:left w:w="30" w:type="dxa"/>
              <w:bottom w:w="28" w:type="dxa"/>
              <w:right w:w="30" w:type="dxa"/>
            </w:tcMar>
          </w:tcPr>
          <w:p w14:paraId="6C687A4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2023</w:t>
            </w:r>
          </w:p>
        </w:tc>
        <w:tc>
          <w:tcPr>
            <w:tcW w:w="1944" w:type="dxa"/>
            <w:tcMar>
              <w:top w:w="28" w:type="dxa"/>
              <w:left w:w="30" w:type="dxa"/>
              <w:bottom w:w="28" w:type="dxa"/>
              <w:right w:w="30" w:type="dxa"/>
            </w:tcMar>
          </w:tcPr>
          <w:p w14:paraId="7F27AEE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Developing trends in showrooming, webrooming, and omnichannel retailing: A systematic review</w:t>
            </w:r>
          </w:p>
        </w:tc>
        <w:tc>
          <w:tcPr>
            <w:tcW w:w="1584" w:type="dxa"/>
            <w:tcMar>
              <w:top w:w="28" w:type="dxa"/>
              <w:left w:w="30" w:type="dxa"/>
              <w:bottom w:w="28" w:type="dxa"/>
              <w:right w:w="30" w:type="dxa"/>
            </w:tcMar>
          </w:tcPr>
          <w:p w14:paraId="306D243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Consumer Behaviour</w:t>
            </w:r>
          </w:p>
        </w:tc>
        <w:tc>
          <w:tcPr>
            <w:tcW w:w="2016" w:type="dxa"/>
            <w:tcMar>
              <w:top w:w="28" w:type="dxa"/>
              <w:left w:w="30" w:type="dxa"/>
              <w:bottom w:w="28" w:type="dxa"/>
              <w:right w:w="30" w:type="dxa"/>
            </w:tcMar>
          </w:tcPr>
          <w:p w14:paraId="66122AA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map the development of showrooming and webrooming research and identify implications for omnichannel retailers.</w:t>
            </w:r>
          </w:p>
        </w:tc>
        <w:tc>
          <w:tcPr>
            <w:tcW w:w="1512" w:type="dxa"/>
            <w:tcMar>
              <w:top w:w="28" w:type="dxa"/>
              <w:left w:w="30" w:type="dxa"/>
              <w:bottom w:w="28" w:type="dxa"/>
              <w:right w:w="30" w:type="dxa"/>
            </w:tcMar>
          </w:tcPr>
          <w:p w14:paraId="61FBA4C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Systematic literature review</w:t>
            </w:r>
          </w:p>
        </w:tc>
        <w:tc>
          <w:tcPr>
            <w:tcW w:w="1800" w:type="dxa"/>
            <w:tcMar>
              <w:top w:w="28" w:type="dxa"/>
              <w:left w:w="30" w:type="dxa"/>
              <w:bottom w:w="28" w:type="dxa"/>
              <w:right w:w="30" w:type="dxa"/>
            </w:tcMar>
          </w:tcPr>
          <w:p w14:paraId="0DEE660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Showrooming; webrooming; channel choice; omnichannel retail</w:t>
            </w:r>
          </w:p>
        </w:tc>
        <w:tc>
          <w:tcPr>
            <w:tcW w:w="1181" w:type="dxa"/>
            <w:tcMar>
              <w:top w:w="28" w:type="dxa"/>
              <w:left w:w="30" w:type="dxa"/>
              <w:bottom w:w="28" w:type="dxa"/>
              <w:right w:w="30" w:type="dxa"/>
            </w:tcMar>
          </w:tcPr>
          <w:p w14:paraId="0DCBEED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RQ3</w:t>
            </w:r>
          </w:p>
        </w:tc>
        <w:tc>
          <w:tcPr>
            <w:tcW w:w="1325" w:type="dxa"/>
            <w:tcMar>
              <w:top w:w="28" w:type="dxa"/>
              <w:left w:w="30" w:type="dxa"/>
              <w:bottom w:w="28" w:type="dxa"/>
              <w:right w:w="30" w:type="dxa"/>
            </w:tcMar>
          </w:tcPr>
          <w:p w14:paraId="639548C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Wiley</w:t>
            </w:r>
          </w:p>
        </w:tc>
        <w:tc>
          <w:tcPr>
            <w:tcW w:w="1800" w:type="dxa"/>
            <w:tcMar>
              <w:top w:w="28" w:type="dxa"/>
              <w:left w:w="30" w:type="dxa"/>
              <w:bottom w:w="28" w:type="dxa"/>
              <w:right w:w="30" w:type="dxa"/>
            </w:tcMar>
          </w:tcPr>
          <w:p w14:paraId="7114C783" w14:textId="77777777" w:rsidR="00436BC6" w:rsidRPr="00F239F5" w:rsidRDefault="00436BC6" w:rsidP="00D81527">
            <w:pPr>
              <w:spacing w:line="276" w:lineRule="auto"/>
              <w:rPr>
                <w:rFonts w:ascii="Arial" w:hAnsi="Arial" w:cs="Arial"/>
                <w:sz w:val="16"/>
                <w:szCs w:val="16"/>
              </w:rPr>
            </w:pPr>
            <w:hyperlink r:id="rId95" w:history="1">
              <w:r w:rsidRPr="00F239F5">
                <w:rPr>
                  <w:rFonts w:ascii="Arial" w:hAnsi="Arial" w:cs="Arial"/>
                  <w:color w:val="0000FF"/>
                  <w:sz w:val="16"/>
                  <w:szCs w:val="16"/>
                  <w:u w:val="single"/>
                </w:rPr>
                <w:t>https://doi.org/10.1002/cb.2186</w:t>
              </w:r>
            </w:hyperlink>
            <w:r w:rsidRPr="00F239F5">
              <w:rPr>
                <w:rFonts w:ascii="Arial" w:hAnsi="Arial" w:cs="Arial"/>
                <w:sz w:val="16"/>
                <w:szCs w:val="16"/>
              </w:rPr>
              <w:t xml:space="preserve"> </w:t>
            </w:r>
          </w:p>
        </w:tc>
      </w:tr>
      <w:tr w:rsidR="00E740B3" w:rsidRPr="00F239F5" w14:paraId="35F88BB2" w14:textId="77777777">
        <w:trPr>
          <w:cantSplit/>
          <w:jc w:val="center"/>
        </w:trPr>
        <w:tc>
          <w:tcPr>
            <w:tcW w:w="504" w:type="dxa"/>
            <w:tcMar>
              <w:top w:w="28" w:type="dxa"/>
              <w:left w:w="30" w:type="dxa"/>
              <w:bottom w:w="28" w:type="dxa"/>
              <w:right w:w="30" w:type="dxa"/>
            </w:tcMar>
          </w:tcPr>
          <w:p w14:paraId="64E2539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38</w:t>
            </w:r>
          </w:p>
        </w:tc>
        <w:tc>
          <w:tcPr>
            <w:tcW w:w="1512" w:type="dxa"/>
            <w:tcMar>
              <w:top w:w="28" w:type="dxa"/>
              <w:left w:w="30" w:type="dxa"/>
              <w:bottom w:w="28" w:type="dxa"/>
              <w:right w:w="30" w:type="dxa"/>
            </w:tcMar>
          </w:tcPr>
          <w:p w14:paraId="59AEA93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Artusi, F. et al.</w:t>
            </w:r>
          </w:p>
        </w:tc>
        <w:tc>
          <w:tcPr>
            <w:tcW w:w="605" w:type="dxa"/>
            <w:tcMar>
              <w:top w:w="28" w:type="dxa"/>
              <w:left w:w="30" w:type="dxa"/>
              <w:bottom w:w="28" w:type="dxa"/>
              <w:right w:w="30" w:type="dxa"/>
            </w:tcMar>
          </w:tcPr>
          <w:p w14:paraId="1C9E948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2025</w:t>
            </w:r>
          </w:p>
        </w:tc>
        <w:tc>
          <w:tcPr>
            <w:tcW w:w="1944" w:type="dxa"/>
            <w:tcMar>
              <w:top w:w="28" w:type="dxa"/>
              <w:left w:w="30" w:type="dxa"/>
              <w:bottom w:w="28" w:type="dxa"/>
              <w:right w:w="30" w:type="dxa"/>
            </w:tcMar>
          </w:tcPr>
          <w:p w14:paraId="0AB3AD1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Technology-aided customer experience innovation in retailing</w:t>
            </w:r>
          </w:p>
        </w:tc>
        <w:tc>
          <w:tcPr>
            <w:tcW w:w="1584" w:type="dxa"/>
            <w:tcMar>
              <w:top w:w="28" w:type="dxa"/>
              <w:left w:w="30" w:type="dxa"/>
              <w:bottom w:w="28" w:type="dxa"/>
              <w:right w:w="30" w:type="dxa"/>
            </w:tcMar>
          </w:tcPr>
          <w:p w14:paraId="2A044D3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Creativity and Innovation Management</w:t>
            </w:r>
          </w:p>
        </w:tc>
        <w:tc>
          <w:tcPr>
            <w:tcW w:w="2016" w:type="dxa"/>
            <w:tcMar>
              <w:top w:w="28" w:type="dxa"/>
              <w:left w:w="30" w:type="dxa"/>
              <w:bottom w:w="28" w:type="dxa"/>
              <w:right w:w="30" w:type="dxa"/>
            </w:tcMar>
          </w:tcPr>
          <w:p w14:paraId="0212BBC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investigate how retailers use emerging digital technologies to design timely and memorable customer experiences.</w:t>
            </w:r>
          </w:p>
        </w:tc>
        <w:tc>
          <w:tcPr>
            <w:tcW w:w="1512" w:type="dxa"/>
            <w:tcMar>
              <w:top w:w="28" w:type="dxa"/>
              <w:left w:w="30" w:type="dxa"/>
              <w:bottom w:w="28" w:type="dxa"/>
              <w:right w:w="30" w:type="dxa"/>
            </w:tcMar>
          </w:tcPr>
          <w:p w14:paraId="23BA8CB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Conceptual and empirical innovation study</w:t>
            </w:r>
          </w:p>
        </w:tc>
        <w:tc>
          <w:tcPr>
            <w:tcW w:w="1800" w:type="dxa"/>
            <w:tcMar>
              <w:top w:w="28" w:type="dxa"/>
              <w:left w:w="30" w:type="dxa"/>
              <w:bottom w:w="28" w:type="dxa"/>
              <w:right w:w="30" w:type="dxa"/>
            </w:tcMar>
          </w:tcPr>
          <w:p w14:paraId="46B651D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Customer-experience innovation; retail technology; digital capabilities; value creation</w:t>
            </w:r>
          </w:p>
        </w:tc>
        <w:tc>
          <w:tcPr>
            <w:tcW w:w="1181" w:type="dxa"/>
            <w:tcMar>
              <w:top w:w="28" w:type="dxa"/>
              <w:left w:w="30" w:type="dxa"/>
              <w:bottom w:w="28" w:type="dxa"/>
              <w:right w:w="30" w:type="dxa"/>
            </w:tcMar>
          </w:tcPr>
          <w:p w14:paraId="5B6F209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 RQ3</w:t>
            </w:r>
          </w:p>
        </w:tc>
        <w:tc>
          <w:tcPr>
            <w:tcW w:w="1325" w:type="dxa"/>
            <w:tcMar>
              <w:top w:w="28" w:type="dxa"/>
              <w:left w:w="30" w:type="dxa"/>
              <w:bottom w:w="28" w:type="dxa"/>
              <w:right w:w="30" w:type="dxa"/>
            </w:tcMar>
          </w:tcPr>
          <w:p w14:paraId="514124A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Wiley</w:t>
            </w:r>
          </w:p>
        </w:tc>
        <w:tc>
          <w:tcPr>
            <w:tcW w:w="1800" w:type="dxa"/>
            <w:tcMar>
              <w:top w:w="28" w:type="dxa"/>
              <w:left w:w="30" w:type="dxa"/>
              <w:bottom w:w="28" w:type="dxa"/>
              <w:right w:w="30" w:type="dxa"/>
            </w:tcMar>
          </w:tcPr>
          <w:p w14:paraId="4B27190B" w14:textId="77777777" w:rsidR="00436BC6" w:rsidRPr="00F239F5" w:rsidRDefault="00436BC6" w:rsidP="00D81527">
            <w:pPr>
              <w:spacing w:line="276" w:lineRule="auto"/>
              <w:rPr>
                <w:rFonts w:ascii="Arial" w:hAnsi="Arial" w:cs="Arial"/>
                <w:sz w:val="16"/>
                <w:szCs w:val="16"/>
              </w:rPr>
            </w:pPr>
            <w:hyperlink r:id="rId96" w:history="1">
              <w:r w:rsidRPr="00F239F5">
                <w:rPr>
                  <w:rFonts w:ascii="Arial" w:hAnsi="Arial" w:cs="Arial"/>
                  <w:color w:val="0000FF"/>
                  <w:sz w:val="16"/>
                  <w:szCs w:val="16"/>
                  <w:u w:val="single"/>
                </w:rPr>
                <w:t>https://doi.org/10.1111/caim.12646</w:t>
              </w:r>
            </w:hyperlink>
            <w:r w:rsidRPr="00F239F5">
              <w:rPr>
                <w:rFonts w:ascii="Arial" w:hAnsi="Arial" w:cs="Arial"/>
                <w:sz w:val="16"/>
                <w:szCs w:val="16"/>
              </w:rPr>
              <w:t xml:space="preserve"> </w:t>
            </w:r>
          </w:p>
        </w:tc>
      </w:tr>
      <w:tr w:rsidR="00E740B3" w:rsidRPr="00F239F5" w14:paraId="15D2B666" w14:textId="77777777">
        <w:trPr>
          <w:cantSplit/>
          <w:jc w:val="center"/>
        </w:trPr>
        <w:tc>
          <w:tcPr>
            <w:tcW w:w="504" w:type="dxa"/>
            <w:tcMar>
              <w:top w:w="28" w:type="dxa"/>
              <w:left w:w="30" w:type="dxa"/>
              <w:bottom w:w="28" w:type="dxa"/>
              <w:right w:w="30" w:type="dxa"/>
            </w:tcMar>
          </w:tcPr>
          <w:p w14:paraId="1B13F732"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lastRenderedPageBreak/>
              <w:t>39</w:t>
            </w:r>
          </w:p>
        </w:tc>
        <w:tc>
          <w:tcPr>
            <w:tcW w:w="1512" w:type="dxa"/>
            <w:tcMar>
              <w:top w:w="28" w:type="dxa"/>
              <w:left w:w="30" w:type="dxa"/>
              <w:bottom w:w="28" w:type="dxa"/>
              <w:right w:w="30" w:type="dxa"/>
            </w:tcMar>
          </w:tcPr>
          <w:p w14:paraId="67FEF03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Paul, J. et al.</w:t>
            </w:r>
          </w:p>
        </w:tc>
        <w:tc>
          <w:tcPr>
            <w:tcW w:w="605" w:type="dxa"/>
            <w:tcMar>
              <w:top w:w="28" w:type="dxa"/>
              <w:left w:w="30" w:type="dxa"/>
              <w:bottom w:w="28" w:type="dxa"/>
              <w:right w:w="30" w:type="dxa"/>
            </w:tcMar>
          </w:tcPr>
          <w:p w14:paraId="3A531B0B"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2024</w:t>
            </w:r>
          </w:p>
        </w:tc>
        <w:tc>
          <w:tcPr>
            <w:tcW w:w="1944" w:type="dxa"/>
            <w:tcMar>
              <w:top w:w="28" w:type="dxa"/>
              <w:left w:w="30" w:type="dxa"/>
              <w:bottom w:w="28" w:type="dxa"/>
              <w:right w:w="30" w:type="dxa"/>
            </w:tcMar>
          </w:tcPr>
          <w:p w14:paraId="2141486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Digital transformation: A multidisciplinary perspective and future research agenda</w:t>
            </w:r>
          </w:p>
        </w:tc>
        <w:tc>
          <w:tcPr>
            <w:tcW w:w="1584" w:type="dxa"/>
            <w:tcMar>
              <w:top w:w="28" w:type="dxa"/>
              <w:left w:w="30" w:type="dxa"/>
              <w:bottom w:w="28" w:type="dxa"/>
              <w:right w:w="30" w:type="dxa"/>
            </w:tcMar>
          </w:tcPr>
          <w:p w14:paraId="6083048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International Journal of Consumer Studies</w:t>
            </w:r>
          </w:p>
        </w:tc>
        <w:tc>
          <w:tcPr>
            <w:tcW w:w="2016" w:type="dxa"/>
            <w:tcMar>
              <w:top w:w="28" w:type="dxa"/>
              <w:left w:w="30" w:type="dxa"/>
              <w:bottom w:w="28" w:type="dxa"/>
              <w:right w:w="30" w:type="dxa"/>
            </w:tcMar>
          </w:tcPr>
          <w:p w14:paraId="1D51DE4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integrate multidisciplinary digital-transformation research and identify implications for consumers, firms and retail services.</w:t>
            </w:r>
          </w:p>
        </w:tc>
        <w:tc>
          <w:tcPr>
            <w:tcW w:w="1512" w:type="dxa"/>
            <w:tcMar>
              <w:top w:w="28" w:type="dxa"/>
              <w:left w:w="30" w:type="dxa"/>
              <w:bottom w:w="28" w:type="dxa"/>
              <w:right w:w="30" w:type="dxa"/>
            </w:tcMar>
          </w:tcPr>
          <w:p w14:paraId="68CA045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Systematic/integrative literature review</w:t>
            </w:r>
          </w:p>
        </w:tc>
        <w:tc>
          <w:tcPr>
            <w:tcW w:w="1800" w:type="dxa"/>
            <w:tcMar>
              <w:top w:w="28" w:type="dxa"/>
              <w:left w:w="30" w:type="dxa"/>
              <w:bottom w:w="28" w:type="dxa"/>
              <w:right w:w="30" w:type="dxa"/>
            </w:tcMar>
          </w:tcPr>
          <w:p w14:paraId="29156BA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Digital transformation; consumer behaviour; retail services; research agenda</w:t>
            </w:r>
          </w:p>
        </w:tc>
        <w:tc>
          <w:tcPr>
            <w:tcW w:w="1181" w:type="dxa"/>
            <w:tcMar>
              <w:top w:w="28" w:type="dxa"/>
              <w:left w:w="30" w:type="dxa"/>
              <w:bottom w:w="28" w:type="dxa"/>
              <w:right w:w="30" w:type="dxa"/>
            </w:tcMar>
          </w:tcPr>
          <w:p w14:paraId="35D09F2B"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 RQ3</w:t>
            </w:r>
          </w:p>
        </w:tc>
        <w:tc>
          <w:tcPr>
            <w:tcW w:w="1325" w:type="dxa"/>
            <w:tcMar>
              <w:top w:w="28" w:type="dxa"/>
              <w:left w:w="30" w:type="dxa"/>
              <w:bottom w:w="28" w:type="dxa"/>
              <w:right w:w="30" w:type="dxa"/>
            </w:tcMar>
          </w:tcPr>
          <w:p w14:paraId="1F770DD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Wiley</w:t>
            </w:r>
          </w:p>
        </w:tc>
        <w:tc>
          <w:tcPr>
            <w:tcW w:w="1800" w:type="dxa"/>
            <w:tcMar>
              <w:top w:w="28" w:type="dxa"/>
              <w:left w:w="30" w:type="dxa"/>
              <w:bottom w:w="28" w:type="dxa"/>
              <w:right w:w="30" w:type="dxa"/>
            </w:tcMar>
          </w:tcPr>
          <w:p w14:paraId="355B9793" w14:textId="77777777" w:rsidR="00436BC6" w:rsidRPr="00F239F5" w:rsidRDefault="00436BC6" w:rsidP="00D81527">
            <w:pPr>
              <w:spacing w:line="276" w:lineRule="auto"/>
              <w:rPr>
                <w:rFonts w:ascii="Arial" w:hAnsi="Arial" w:cs="Arial"/>
                <w:sz w:val="16"/>
                <w:szCs w:val="16"/>
              </w:rPr>
            </w:pPr>
            <w:hyperlink r:id="rId97" w:history="1">
              <w:r w:rsidRPr="00F239F5">
                <w:rPr>
                  <w:rFonts w:ascii="Arial" w:hAnsi="Arial" w:cs="Arial"/>
                  <w:color w:val="0000FF"/>
                  <w:sz w:val="16"/>
                  <w:szCs w:val="16"/>
                  <w:u w:val="single"/>
                </w:rPr>
                <w:t>https://doi.org/10.1111/ijcs.13015</w:t>
              </w:r>
            </w:hyperlink>
            <w:r w:rsidRPr="00F239F5">
              <w:rPr>
                <w:rFonts w:ascii="Arial" w:hAnsi="Arial" w:cs="Arial"/>
                <w:sz w:val="16"/>
                <w:szCs w:val="16"/>
              </w:rPr>
              <w:t xml:space="preserve"> </w:t>
            </w:r>
          </w:p>
        </w:tc>
      </w:tr>
      <w:tr w:rsidR="00E740B3" w:rsidRPr="00F239F5" w14:paraId="75601BB0" w14:textId="77777777">
        <w:trPr>
          <w:cantSplit/>
          <w:jc w:val="center"/>
        </w:trPr>
        <w:tc>
          <w:tcPr>
            <w:tcW w:w="504" w:type="dxa"/>
            <w:tcMar>
              <w:top w:w="28" w:type="dxa"/>
              <w:left w:w="30" w:type="dxa"/>
              <w:bottom w:w="28" w:type="dxa"/>
              <w:right w:w="30" w:type="dxa"/>
            </w:tcMar>
          </w:tcPr>
          <w:p w14:paraId="4FAC3248"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40</w:t>
            </w:r>
          </w:p>
        </w:tc>
        <w:tc>
          <w:tcPr>
            <w:tcW w:w="1512" w:type="dxa"/>
            <w:tcMar>
              <w:top w:w="28" w:type="dxa"/>
              <w:left w:w="30" w:type="dxa"/>
              <w:bottom w:w="28" w:type="dxa"/>
              <w:right w:w="30" w:type="dxa"/>
            </w:tcMar>
          </w:tcPr>
          <w:p w14:paraId="1C11DC1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Suraña-Sánchez, C. et al.</w:t>
            </w:r>
          </w:p>
        </w:tc>
        <w:tc>
          <w:tcPr>
            <w:tcW w:w="605" w:type="dxa"/>
            <w:tcMar>
              <w:top w:w="28" w:type="dxa"/>
              <w:left w:w="30" w:type="dxa"/>
              <w:bottom w:w="28" w:type="dxa"/>
              <w:right w:w="30" w:type="dxa"/>
            </w:tcMar>
          </w:tcPr>
          <w:p w14:paraId="7434E8F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2024</w:t>
            </w:r>
          </w:p>
        </w:tc>
        <w:tc>
          <w:tcPr>
            <w:tcW w:w="1944" w:type="dxa"/>
            <w:tcMar>
              <w:top w:w="28" w:type="dxa"/>
              <w:left w:w="30" w:type="dxa"/>
              <w:bottom w:w="28" w:type="dxa"/>
              <w:right w:w="30" w:type="dxa"/>
            </w:tcMar>
          </w:tcPr>
          <w:p w14:paraId="2CDB508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Impact of artificial intelligence on customer engagement: A systematic review</w:t>
            </w:r>
          </w:p>
        </w:tc>
        <w:tc>
          <w:tcPr>
            <w:tcW w:w="1584" w:type="dxa"/>
            <w:tcMar>
              <w:top w:w="28" w:type="dxa"/>
              <w:left w:w="30" w:type="dxa"/>
              <w:bottom w:w="28" w:type="dxa"/>
              <w:right w:w="30" w:type="dxa"/>
            </w:tcMar>
          </w:tcPr>
          <w:p w14:paraId="74AD5FC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International Journal of Consumer Studies</w:t>
            </w:r>
          </w:p>
        </w:tc>
        <w:tc>
          <w:tcPr>
            <w:tcW w:w="2016" w:type="dxa"/>
            <w:tcMar>
              <w:top w:w="28" w:type="dxa"/>
              <w:left w:w="30" w:type="dxa"/>
              <w:bottom w:w="28" w:type="dxa"/>
              <w:right w:w="30" w:type="dxa"/>
            </w:tcMar>
          </w:tcPr>
          <w:p w14:paraId="3A401E2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synthesise evidence on how artificial intelligence shapes customer experience, engagement and loyalty.</w:t>
            </w:r>
          </w:p>
        </w:tc>
        <w:tc>
          <w:tcPr>
            <w:tcW w:w="1512" w:type="dxa"/>
            <w:tcMar>
              <w:top w:w="28" w:type="dxa"/>
              <w:left w:w="30" w:type="dxa"/>
              <w:bottom w:w="28" w:type="dxa"/>
              <w:right w:w="30" w:type="dxa"/>
            </w:tcMar>
          </w:tcPr>
          <w:p w14:paraId="48D07A6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Systematic literature review / bibliometric synthesis</w:t>
            </w:r>
          </w:p>
        </w:tc>
        <w:tc>
          <w:tcPr>
            <w:tcW w:w="1800" w:type="dxa"/>
            <w:tcMar>
              <w:top w:w="28" w:type="dxa"/>
              <w:left w:w="30" w:type="dxa"/>
              <w:bottom w:w="28" w:type="dxa"/>
              <w:right w:w="30" w:type="dxa"/>
            </w:tcMar>
          </w:tcPr>
          <w:p w14:paraId="00F3C36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Artificial intelligence; customer engagement; customer experience; loyalty</w:t>
            </w:r>
          </w:p>
        </w:tc>
        <w:tc>
          <w:tcPr>
            <w:tcW w:w="1181" w:type="dxa"/>
            <w:tcMar>
              <w:top w:w="28" w:type="dxa"/>
              <w:left w:w="30" w:type="dxa"/>
              <w:bottom w:w="28" w:type="dxa"/>
              <w:right w:w="30" w:type="dxa"/>
            </w:tcMar>
          </w:tcPr>
          <w:p w14:paraId="229B993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 RQ3</w:t>
            </w:r>
          </w:p>
        </w:tc>
        <w:tc>
          <w:tcPr>
            <w:tcW w:w="1325" w:type="dxa"/>
            <w:tcMar>
              <w:top w:w="28" w:type="dxa"/>
              <w:left w:w="30" w:type="dxa"/>
              <w:bottom w:w="28" w:type="dxa"/>
              <w:right w:w="30" w:type="dxa"/>
            </w:tcMar>
          </w:tcPr>
          <w:p w14:paraId="46527EB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Wiley</w:t>
            </w:r>
          </w:p>
        </w:tc>
        <w:tc>
          <w:tcPr>
            <w:tcW w:w="1800" w:type="dxa"/>
            <w:tcMar>
              <w:top w:w="28" w:type="dxa"/>
              <w:left w:w="30" w:type="dxa"/>
              <w:bottom w:w="28" w:type="dxa"/>
              <w:right w:w="30" w:type="dxa"/>
            </w:tcMar>
          </w:tcPr>
          <w:p w14:paraId="65D34738" w14:textId="77777777" w:rsidR="00436BC6" w:rsidRPr="00F239F5" w:rsidRDefault="00436BC6" w:rsidP="00D81527">
            <w:pPr>
              <w:spacing w:line="276" w:lineRule="auto"/>
              <w:rPr>
                <w:rFonts w:ascii="Arial" w:hAnsi="Arial" w:cs="Arial"/>
                <w:sz w:val="16"/>
                <w:szCs w:val="16"/>
              </w:rPr>
            </w:pPr>
            <w:hyperlink r:id="rId98" w:history="1">
              <w:r w:rsidRPr="00F239F5">
                <w:rPr>
                  <w:rFonts w:ascii="Arial" w:hAnsi="Arial" w:cs="Arial"/>
                  <w:color w:val="0000FF"/>
                  <w:sz w:val="16"/>
                  <w:szCs w:val="16"/>
                  <w:u w:val="single"/>
                </w:rPr>
                <w:t>https://doi.org/10.1111/ijcs.13027</w:t>
              </w:r>
            </w:hyperlink>
            <w:r w:rsidRPr="00F239F5">
              <w:rPr>
                <w:rFonts w:ascii="Arial" w:hAnsi="Arial" w:cs="Arial"/>
                <w:sz w:val="16"/>
                <w:szCs w:val="16"/>
              </w:rPr>
              <w:t xml:space="preserve"> </w:t>
            </w:r>
          </w:p>
        </w:tc>
      </w:tr>
      <w:tr w:rsidR="00E740B3" w:rsidRPr="00F239F5" w14:paraId="1661F206" w14:textId="77777777">
        <w:trPr>
          <w:cantSplit/>
          <w:jc w:val="center"/>
        </w:trPr>
        <w:tc>
          <w:tcPr>
            <w:tcW w:w="504" w:type="dxa"/>
            <w:tcMar>
              <w:top w:w="28" w:type="dxa"/>
              <w:left w:w="30" w:type="dxa"/>
              <w:bottom w:w="28" w:type="dxa"/>
              <w:right w:w="30" w:type="dxa"/>
            </w:tcMar>
          </w:tcPr>
          <w:p w14:paraId="031321C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41</w:t>
            </w:r>
          </w:p>
        </w:tc>
        <w:tc>
          <w:tcPr>
            <w:tcW w:w="1512" w:type="dxa"/>
            <w:tcMar>
              <w:top w:w="28" w:type="dxa"/>
              <w:left w:w="30" w:type="dxa"/>
              <w:bottom w:w="28" w:type="dxa"/>
              <w:right w:w="30" w:type="dxa"/>
            </w:tcMar>
          </w:tcPr>
          <w:p w14:paraId="1004A0D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Ozuem, W. et al.</w:t>
            </w:r>
          </w:p>
        </w:tc>
        <w:tc>
          <w:tcPr>
            <w:tcW w:w="605" w:type="dxa"/>
            <w:tcMar>
              <w:top w:w="28" w:type="dxa"/>
              <w:left w:w="30" w:type="dxa"/>
              <w:bottom w:w="28" w:type="dxa"/>
              <w:right w:w="30" w:type="dxa"/>
            </w:tcMar>
          </w:tcPr>
          <w:p w14:paraId="1C9B637A"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2024</w:t>
            </w:r>
          </w:p>
        </w:tc>
        <w:tc>
          <w:tcPr>
            <w:tcW w:w="1944" w:type="dxa"/>
            <w:tcMar>
              <w:top w:w="28" w:type="dxa"/>
              <w:left w:w="30" w:type="dxa"/>
              <w:bottom w:w="28" w:type="dxa"/>
              <w:right w:w="30" w:type="dxa"/>
            </w:tcMar>
          </w:tcPr>
          <w:p w14:paraId="1044041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Exploring the relationship between chatbots, service failure recovery and customer loyalty</w:t>
            </w:r>
          </w:p>
        </w:tc>
        <w:tc>
          <w:tcPr>
            <w:tcW w:w="1584" w:type="dxa"/>
            <w:tcMar>
              <w:top w:w="28" w:type="dxa"/>
              <w:left w:w="30" w:type="dxa"/>
              <w:bottom w:w="28" w:type="dxa"/>
              <w:right w:w="30" w:type="dxa"/>
            </w:tcMar>
          </w:tcPr>
          <w:p w14:paraId="1C5E4FE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Psychology &amp; Marketing</w:t>
            </w:r>
          </w:p>
        </w:tc>
        <w:tc>
          <w:tcPr>
            <w:tcW w:w="2016" w:type="dxa"/>
            <w:tcMar>
              <w:top w:w="28" w:type="dxa"/>
              <w:left w:w="30" w:type="dxa"/>
              <w:bottom w:w="28" w:type="dxa"/>
              <w:right w:w="30" w:type="dxa"/>
            </w:tcMar>
          </w:tcPr>
          <w:p w14:paraId="692C57C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understand whether humanlike chatbot-led service recovery strengthens or weakens customer loyalty.</w:t>
            </w:r>
          </w:p>
        </w:tc>
        <w:tc>
          <w:tcPr>
            <w:tcW w:w="1512" w:type="dxa"/>
            <w:tcMar>
              <w:top w:w="28" w:type="dxa"/>
              <w:left w:w="30" w:type="dxa"/>
              <w:bottom w:w="28" w:type="dxa"/>
              <w:right w:w="30" w:type="dxa"/>
            </w:tcMar>
          </w:tcPr>
          <w:p w14:paraId="6530B86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Qualitative phenomenological-hermeneutic study</w:t>
            </w:r>
          </w:p>
        </w:tc>
        <w:tc>
          <w:tcPr>
            <w:tcW w:w="1800" w:type="dxa"/>
            <w:tcMar>
              <w:top w:w="28" w:type="dxa"/>
              <w:left w:w="30" w:type="dxa"/>
              <w:bottom w:w="28" w:type="dxa"/>
              <w:right w:w="30" w:type="dxa"/>
            </w:tcMar>
          </w:tcPr>
          <w:p w14:paraId="191FF17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Chatbots; service failure; recovery; anthropomorphism; loyalty</w:t>
            </w:r>
          </w:p>
        </w:tc>
        <w:tc>
          <w:tcPr>
            <w:tcW w:w="1181" w:type="dxa"/>
            <w:tcMar>
              <w:top w:w="28" w:type="dxa"/>
              <w:left w:w="30" w:type="dxa"/>
              <w:bottom w:w="28" w:type="dxa"/>
              <w:right w:w="30" w:type="dxa"/>
            </w:tcMar>
          </w:tcPr>
          <w:p w14:paraId="797FEB4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3B70E1D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Wiley</w:t>
            </w:r>
          </w:p>
        </w:tc>
        <w:tc>
          <w:tcPr>
            <w:tcW w:w="1800" w:type="dxa"/>
            <w:tcMar>
              <w:top w:w="28" w:type="dxa"/>
              <w:left w:w="30" w:type="dxa"/>
              <w:bottom w:w="28" w:type="dxa"/>
              <w:right w:w="30" w:type="dxa"/>
            </w:tcMar>
          </w:tcPr>
          <w:p w14:paraId="74951560" w14:textId="77777777" w:rsidR="00436BC6" w:rsidRPr="00F239F5" w:rsidRDefault="00436BC6" w:rsidP="00D81527">
            <w:pPr>
              <w:spacing w:line="276" w:lineRule="auto"/>
              <w:rPr>
                <w:rFonts w:ascii="Arial" w:hAnsi="Arial" w:cs="Arial"/>
                <w:sz w:val="16"/>
                <w:szCs w:val="16"/>
              </w:rPr>
            </w:pPr>
            <w:hyperlink r:id="rId99" w:history="1">
              <w:r w:rsidRPr="00F239F5">
                <w:rPr>
                  <w:rFonts w:ascii="Arial" w:hAnsi="Arial" w:cs="Arial"/>
                  <w:color w:val="0000FF"/>
                  <w:sz w:val="16"/>
                  <w:szCs w:val="16"/>
                  <w:u w:val="single"/>
                </w:rPr>
                <w:t>https://doi.org/10.1002/mar.22051</w:t>
              </w:r>
            </w:hyperlink>
            <w:r w:rsidRPr="00F239F5">
              <w:rPr>
                <w:rFonts w:ascii="Arial" w:hAnsi="Arial" w:cs="Arial"/>
                <w:sz w:val="16"/>
                <w:szCs w:val="16"/>
              </w:rPr>
              <w:t xml:space="preserve"> </w:t>
            </w:r>
          </w:p>
        </w:tc>
      </w:tr>
      <w:tr w:rsidR="00E740B3" w:rsidRPr="00F239F5" w14:paraId="3F611CE9" w14:textId="77777777">
        <w:trPr>
          <w:cantSplit/>
          <w:jc w:val="center"/>
        </w:trPr>
        <w:tc>
          <w:tcPr>
            <w:tcW w:w="504" w:type="dxa"/>
            <w:tcMar>
              <w:top w:w="28" w:type="dxa"/>
              <w:left w:w="30" w:type="dxa"/>
              <w:bottom w:w="28" w:type="dxa"/>
              <w:right w:w="30" w:type="dxa"/>
            </w:tcMar>
          </w:tcPr>
          <w:p w14:paraId="468E8441"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42</w:t>
            </w:r>
          </w:p>
        </w:tc>
        <w:tc>
          <w:tcPr>
            <w:tcW w:w="1512" w:type="dxa"/>
            <w:tcMar>
              <w:top w:w="28" w:type="dxa"/>
              <w:left w:w="30" w:type="dxa"/>
              <w:bottom w:w="28" w:type="dxa"/>
              <w:right w:w="30" w:type="dxa"/>
            </w:tcMar>
          </w:tcPr>
          <w:p w14:paraId="647494A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Li, C.-Y.</w:t>
            </w:r>
          </w:p>
        </w:tc>
        <w:tc>
          <w:tcPr>
            <w:tcW w:w="605" w:type="dxa"/>
            <w:tcMar>
              <w:top w:w="28" w:type="dxa"/>
              <w:left w:w="30" w:type="dxa"/>
              <w:bottom w:w="28" w:type="dxa"/>
              <w:right w:w="30" w:type="dxa"/>
            </w:tcMar>
          </w:tcPr>
          <w:p w14:paraId="677842E7"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2025</w:t>
            </w:r>
          </w:p>
        </w:tc>
        <w:tc>
          <w:tcPr>
            <w:tcW w:w="1944" w:type="dxa"/>
            <w:tcMar>
              <w:top w:w="28" w:type="dxa"/>
              <w:left w:w="30" w:type="dxa"/>
              <w:bottom w:w="28" w:type="dxa"/>
              <w:right w:w="30" w:type="dxa"/>
            </w:tcMar>
          </w:tcPr>
          <w:p w14:paraId="0BAB8F8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A dedication-constraint model of omnichannel shopping journey</w:t>
            </w:r>
          </w:p>
        </w:tc>
        <w:tc>
          <w:tcPr>
            <w:tcW w:w="1584" w:type="dxa"/>
            <w:tcMar>
              <w:top w:w="28" w:type="dxa"/>
              <w:left w:w="30" w:type="dxa"/>
              <w:bottom w:w="28" w:type="dxa"/>
              <w:right w:w="30" w:type="dxa"/>
            </w:tcMar>
          </w:tcPr>
          <w:p w14:paraId="4FAD1DC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Electronic Markets</w:t>
            </w:r>
          </w:p>
        </w:tc>
        <w:tc>
          <w:tcPr>
            <w:tcW w:w="2016" w:type="dxa"/>
            <w:tcMar>
              <w:top w:w="28" w:type="dxa"/>
              <w:left w:w="30" w:type="dxa"/>
              <w:bottom w:w="28" w:type="dxa"/>
              <w:right w:w="30" w:type="dxa"/>
            </w:tcMar>
          </w:tcPr>
          <w:p w14:paraId="3F5D4EC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explain omnichannel stickiness and repurchase intention through synergy, engagement, seamlessness, transaction costs and attachment.</w:t>
            </w:r>
          </w:p>
        </w:tc>
        <w:tc>
          <w:tcPr>
            <w:tcW w:w="1512" w:type="dxa"/>
            <w:tcMar>
              <w:top w:w="28" w:type="dxa"/>
              <w:left w:w="30" w:type="dxa"/>
              <w:bottom w:w="28" w:type="dxa"/>
              <w:right w:w="30" w:type="dxa"/>
            </w:tcMar>
          </w:tcPr>
          <w:p w14:paraId="79A464E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Quantitative model testing based on the dedication-constraint framework</w:t>
            </w:r>
          </w:p>
        </w:tc>
        <w:tc>
          <w:tcPr>
            <w:tcW w:w="1800" w:type="dxa"/>
            <w:tcMar>
              <w:top w:w="28" w:type="dxa"/>
              <w:left w:w="30" w:type="dxa"/>
              <w:bottom w:w="28" w:type="dxa"/>
              <w:right w:w="30" w:type="dxa"/>
            </w:tcMar>
          </w:tcPr>
          <w:p w14:paraId="32BF399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Omnichannel synergy; engagement; stickiness; repurchase intention</w:t>
            </w:r>
          </w:p>
        </w:tc>
        <w:tc>
          <w:tcPr>
            <w:tcW w:w="1181" w:type="dxa"/>
            <w:tcMar>
              <w:top w:w="28" w:type="dxa"/>
              <w:left w:w="30" w:type="dxa"/>
              <w:bottom w:w="28" w:type="dxa"/>
              <w:right w:w="30" w:type="dxa"/>
            </w:tcMar>
          </w:tcPr>
          <w:p w14:paraId="6D107F7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2CF6C18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Springer Nature</w:t>
            </w:r>
          </w:p>
        </w:tc>
        <w:tc>
          <w:tcPr>
            <w:tcW w:w="1800" w:type="dxa"/>
            <w:tcMar>
              <w:top w:w="28" w:type="dxa"/>
              <w:left w:w="30" w:type="dxa"/>
              <w:bottom w:w="28" w:type="dxa"/>
              <w:right w:w="30" w:type="dxa"/>
            </w:tcMar>
          </w:tcPr>
          <w:p w14:paraId="116A8AF2" w14:textId="77777777" w:rsidR="00436BC6" w:rsidRPr="00F239F5" w:rsidRDefault="00436BC6" w:rsidP="00D81527">
            <w:pPr>
              <w:spacing w:line="276" w:lineRule="auto"/>
              <w:rPr>
                <w:rFonts w:ascii="Arial" w:hAnsi="Arial" w:cs="Arial"/>
                <w:sz w:val="16"/>
                <w:szCs w:val="16"/>
              </w:rPr>
            </w:pPr>
            <w:hyperlink r:id="rId100" w:history="1">
              <w:r w:rsidRPr="00F239F5">
                <w:rPr>
                  <w:rFonts w:ascii="Arial" w:hAnsi="Arial" w:cs="Arial"/>
                  <w:color w:val="0000FF"/>
                  <w:sz w:val="16"/>
                  <w:szCs w:val="16"/>
                  <w:u w:val="single"/>
                </w:rPr>
                <w:t>https://doi.org/10.1007/s12525-025-00774-y</w:t>
              </w:r>
            </w:hyperlink>
            <w:r w:rsidRPr="00F239F5">
              <w:rPr>
                <w:rFonts w:ascii="Arial" w:hAnsi="Arial" w:cs="Arial"/>
                <w:sz w:val="16"/>
                <w:szCs w:val="16"/>
              </w:rPr>
              <w:t xml:space="preserve"> </w:t>
            </w:r>
          </w:p>
        </w:tc>
      </w:tr>
      <w:tr w:rsidR="00E740B3" w:rsidRPr="00F239F5" w14:paraId="788629BC" w14:textId="77777777">
        <w:trPr>
          <w:cantSplit/>
          <w:jc w:val="center"/>
        </w:trPr>
        <w:tc>
          <w:tcPr>
            <w:tcW w:w="504" w:type="dxa"/>
            <w:tcMar>
              <w:top w:w="28" w:type="dxa"/>
              <w:left w:w="30" w:type="dxa"/>
              <w:bottom w:w="28" w:type="dxa"/>
              <w:right w:w="30" w:type="dxa"/>
            </w:tcMar>
          </w:tcPr>
          <w:p w14:paraId="0B9EFCE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43</w:t>
            </w:r>
          </w:p>
        </w:tc>
        <w:tc>
          <w:tcPr>
            <w:tcW w:w="1512" w:type="dxa"/>
            <w:tcMar>
              <w:top w:w="28" w:type="dxa"/>
              <w:left w:w="30" w:type="dxa"/>
              <w:bottom w:w="28" w:type="dxa"/>
              <w:right w:w="30" w:type="dxa"/>
            </w:tcMar>
          </w:tcPr>
          <w:p w14:paraId="6D59C14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Fang, Y.-H. et al.</w:t>
            </w:r>
          </w:p>
        </w:tc>
        <w:tc>
          <w:tcPr>
            <w:tcW w:w="605" w:type="dxa"/>
            <w:tcMar>
              <w:top w:w="28" w:type="dxa"/>
              <w:left w:w="30" w:type="dxa"/>
              <w:bottom w:w="28" w:type="dxa"/>
              <w:right w:w="30" w:type="dxa"/>
            </w:tcMar>
          </w:tcPr>
          <w:p w14:paraId="27579416"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2025</w:t>
            </w:r>
          </w:p>
        </w:tc>
        <w:tc>
          <w:tcPr>
            <w:tcW w:w="1944" w:type="dxa"/>
            <w:tcMar>
              <w:top w:w="28" w:type="dxa"/>
              <w:left w:w="30" w:type="dxa"/>
              <w:bottom w:w="28" w:type="dxa"/>
              <w:right w:w="30" w:type="dxa"/>
            </w:tcMar>
          </w:tcPr>
          <w:p w14:paraId="65D8CFC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Avoiding customer cross-channel behavior in omnichannel retailing</w:t>
            </w:r>
          </w:p>
        </w:tc>
        <w:tc>
          <w:tcPr>
            <w:tcW w:w="1584" w:type="dxa"/>
            <w:tcMar>
              <w:top w:w="28" w:type="dxa"/>
              <w:left w:w="30" w:type="dxa"/>
              <w:bottom w:w="28" w:type="dxa"/>
              <w:right w:w="30" w:type="dxa"/>
            </w:tcMar>
          </w:tcPr>
          <w:p w14:paraId="49A70F0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Electronic Markets</w:t>
            </w:r>
          </w:p>
        </w:tc>
        <w:tc>
          <w:tcPr>
            <w:tcW w:w="2016" w:type="dxa"/>
            <w:tcMar>
              <w:top w:w="28" w:type="dxa"/>
              <w:left w:w="30" w:type="dxa"/>
              <w:bottom w:w="28" w:type="dxa"/>
              <w:right w:w="30" w:type="dxa"/>
            </w:tcMar>
          </w:tcPr>
          <w:p w14:paraId="28F9742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investigate how omnichannel retailers can reduce cross-channel switching and encourage vendor lock-in.</w:t>
            </w:r>
          </w:p>
        </w:tc>
        <w:tc>
          <w:tcPr>
            <w:tcW w:w="1512" w:type="dxa"/>
            <w:tcMar>
              <w:top w:w="28" w:type="dxa"/>
              <w:left w:w="30" w:type="dxa"/>
              <w:bottom w:w="28" w:type="dxa"/>
              <w:right w:w="30" w:type="dxa"/>
            </w:tcMar>
          </w:tcPr>
          <w:p w14:paraId="04EA2E3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Quantitative empirical study grounded in uncertainty-reduction theory</w:t>
            </w:r>
          </w:p>
        </w:tc>
        <w:tc>
          <w:tcPr>
            <w:tcW w:w="1800" w:type="dxa"/>
            <w:tcMar>
              <w:top w:w="28" w:type="dxa"/>
              <w:left w:w="30" w:type="dxa"/>
              <w:bottom w:w="28" w:type="dxa"/>
              <w:right w:w="30" w:type="dxa"/>
            </w:tcMar>
          </w:tcPr>
          <w:p w14:paraId="26FB242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Cross-channel behaviour; switching; uncertainty; vendor lock-in</w:t>
            </w:r>
          </w:p>
        </w:tc>
        <w:tc>
          <w:tcPr>
            <w:tcW w:w="1181" w:type="dxa"/>
            <w:tcMar>
              <w:top w:w="28" w:type="dxa"/>
              <w:left w:w="30" w:type="dxa"/>
              <w:bottom w:w="28" w:type="dxa"/>
              <w:right w:w="30" w:type="dxa"/>
            </w:tcMar>
          </w:tcPr>
          <w:p w14:paraId="0BA7E7C2"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4372B84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Springer Nature</w:t>
            </w:r>
          </w:p>
        </w:tc>
        <w:tc>
          <w:tcPr>
            <w:tcW w:w="1800" w:type="dxa"/>
            <w:tcMar>
              <w:top w:w="28" w:type="dxa"/>
              <w:left w:w="30" w:type="dxa"/>
              <w:bottom w:w="28" w:type="dxa"/>
              <w:right w:w="30" w:type="dxa"/>
            </w:tcMar>
          </w:tcPr>
          <w:p w14:paraId="231505A4" w14:textId="77777777" w:rsidR="00436BC6" w:rsidRPr="00F239F5" w:rsidRDefault="00436BC6" w:rsidP="00D81527">
            <w:pPr>
              <w:spacing w:line="276" w:lineRule="auto"/>
              <w:rPr>
                <w:rFonts w:ascii="Arial" w:hAnsi="Arial" w:cs="Arial"/>
                <w:sz w:val="16"/>
                <w:szCs w:val="16"/>
              </w:rPr>
            </w:pPr>
            <w:hyperlink r:id="rId101" w:history="1">
              <w:r w:rsidRPr="00F239F5">
                <w:rPr>
                  <w:rFonts w:ascii="Arial" w:hAnsi="Arial" w:cs="Arial"/>
                  <w:color w:val="0000FF"/>
                  <w:sz w:val="16"/>
                  <w:szCs w:val="16"/>
                  <w:u w:val="single"/>
                </w:rPr>
                <w:t>https://doi.org/10.1007/s12525-025-00794-8</w:t>
              </w:r>
            </w:hyperlink>
            <w:r w:rsidRPr="00F239F5">
              <w:rPr>
                <w:rFonts w:ascii="Arial" w:hAnsi="Arial" w:cs="Arial"/>
                <w:sz w:val="16"/>
                <w:szCs w:val="16"/>
              </w:rPr>
              <w:t xml:space="preserve"> </w:t>
            </w:r>
          </w:p>
        </w:tc>
      </w:tr>
      <w:tr w:rsidR="00E740B3" w:rsidRPr="00F239F5" w14:paraId="4862D7A2" w14:textId="77777777">
        <w:trPr>
          <w:cantSplit/>
          <w:jc w:val="center"/>
        </w:trPr>
        <w:tc>
          <w:tcPr>
            <w:tcW w:w="504" w:type="dxa"/>
            <w:tcMar>
              <w:top w:w="28" w:type="dxa"/>
              <w:left w:w="30" w:type="dxa"/>
              <w:bottom w:w="28" w:type="dxa"/>
              <w:right w:w="30" w:type="dxa"/>
            </w:tcMar>
          </w:tcPr>
          <w:p w14:paraId="4DFC043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44</w:t>
            </w:r>
          </w:p>
        </w:tc>
        <w:tc>
          <w:tcPr>
            <w:tcW w:w="1512" w:type="dxa"/>
            <w:tcMar>
              <w:top w:w="28" w:type="dxa"/>
              <w:left w:w="30" w:type="dxa"/>
              <w:bottom w:w="28" w:type="dxa"/>
              <w:right w:w="30" w:type="dxa"/>
            </w:tcMar>
          </w:tcPr>
          <w:p w14:paraId="583B643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Pascucci, F. et al.</w:t>
            </w:r>
          </w:p>
        </w:tc>
        <w:tc>
          <w:tcPr>
            <w:tcW w:w="605" w:type="dxa"/>
            <w:tcMar>
              <w:top w:w="28" w:type="dxa"/>
              <w:left w:w="30" w:type="dxa"/>
              <w:bottom w:w="28" w:type="dxa"/>
              <w:right w:w="30" w:type="dxa"/>
            </w:tcMar>
          </w:tcPr>
          <w:p w14:paraId="79805377"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2023</w:t>
            </w:r>
          </w:p>
        </w:tc>
        <w:tc>
          <w:tcPr>
            <w:tcW w:w="1944" w:type="dxa"/>
            <w:tcMar>
              <w:top w:w="28" w:type="dxa"/>
              <w:left w:w="30" w:type="dxa"/>
              <w:bottom w:w="28" w:type="dxa"/>
              <w:right w:w="30" w:type="dxa"/>
            </w:tcMar>
          </w:tcPr>
          <w:p w14:paraId="4B0EF2F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How digital technologies reshape marketing: Evidence from a qualitative investigation</w:t>
            </w:r>
          </w:p>
        </w:tc>
        <w:tc>
          <w:tcPr>
            <w:tcW w:w="1584" w:type="dxa"/>
            <w:tcMar>
              <w:top w:w="28" w:type="dxa"/>
              <w:left w:w="30" w:type="dxa"/>
              <w:bottom w:w="28" w:type="dxa"/>
              <w:right w:w="30" w:type="dxa"/>
            </w:tcMar>
          </w:tcPr>
          <w:p w14:paraId="178CD05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Italian Journal of Marketing</w:t>
            </w:r>
          </w:p>
        </w:tc>
        <w:tc>
          <w:tcPr>
            <w:tcW w:w="2016" w:type="dxa"/>
            <w:tcMar>
              <w:top w:w="28" w:type="dxa"/>
              <w:left w:w="30" w:type="dxa"/>
              <w:bottom w:w="28" w:type="dxa"/>
              <w:right w:w="30" w:type="dxa"/>
            </w:tcMar>
          </w:tcPr>
          <w:p w14:paraId="102274A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analyse how digital technologies reshape marketing roles, tools, organisational processes and value creation.</w:t>
            </w:r>
          </w:p>
        </w:tc>
        <w:tc>
          <w:tcPr>
            <w:tcW w:w="1512" w:type="dxa"/>
            <w:tcMar>
              <w:top w:w="28" w:type="dxa"/>
              <w:left w:w="30" w:type="dxa"/>
              <w:bottom w:w="28" w:type="dxa"/>
              <w:right w:w="30" w:type="dxa"/>
            </w:tcMar>
          </w:tcPr>
          <w:p w14:paraId="14E2D21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Qualitative in-depth interviews with managers across Italian industries</w:t>
            </w:r>
          </w:p>
        </w:tc>
        <w:tc>
          <w:tcPr>
            <w:tcW w:w="1800" w:type="dxa"/>
            <w:tcMar>
              <w:top w:w="28" w:type="dxa"/>
              <w:left w:w="30" w:type="dxa"/>
              <w:bottom w:w="28" w:type="dxa"/>
              <w:right w:w="30" w:type="dxa"/>
            </w:tcMar>
          </w:tcPr>
          <w:p w14:paraId="5CA35E0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Digital marketing; analytics; channel management; value co-creation</w:t>
            </w:r>
          </w:p>
        </w:tc>
        <w:tc>
          <w:tcPr>
            <w:tcW w:w="1181" w:type="dxa"/>
            <w:tcMar>
              <w:top w:w="28" w:type="dxa"/>
              <w:left w:w="30" w:type="dxa"/>
              <w:bottom w:w="28" w:type="dxa"/>
              <w:right w:w="30" w:type="dxa"/>
            </w:tcMar>
          </w:tcPr>
          <w:p w14:paraId="025B14E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RQ3</w:t>
            </w:r>
          </w:p>
        </w:tc>
        <w:tc>
          <w:tcPr>
            <w:tcW w:w="1325" w:type="dxa"/>
            <w:tcMar>
              <w:top w:w="28" w:type="dxa"/>
              <w:left w:w="30" w:type="dxa"/>
              <w:bottom w:w="28" w:type="dxa"/>
              <w:right w:w="30" w:type="dxa"/>
            </w:tcMar>
          </w:tcPr>
          <w:p w14:paraId="7B3E8E8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Springer Nature</w:t>
            </w:r>
          </w:p>
        </w:tc>
        <w:tc>
          <w:tcPr>
            <w:tcW w:w="1800" w:type="dxa"/>
            <w:tcMar>
              <w:top w:w="28" w:type="dxa"/>
              <w:left w:w="30" w:type="dxa"/>
              <w:bottom w:w="28" w:type="dxa"/>
              <w:right w:w="30" w:type="dxa"/>
            </w:tcMar>
          </w:tcPr>
          <w:p w14:paraId="29EEC75C" w14:textId="77777777" w:rsidR="00436BC6" w:rsidRPr="00F239F5" w:rsidRDefault="00436BC6" w:rsidP="00D81527">
            <w:pPr>
              <w:spacing w:line="276" w:lineRule="auto"/>
              <w:rPr>
                <w:rFonts w:ascii="Arial" w:hAnsi="Arial" w:cs="Arial"/>
                <w:sz w:val="16"/>
                <w:szCs w:val="16"/>
              </w:rPr>
            </w:pPr>
            <w:hyperlink r:id="rId102" w:history="1">
              <w:r w:rsidRPr="00F239F5">
                <w:rPr>
                  <w:rFonts w:ascii="Arial" w:hAnsi="Arial" w:cs="Arial"/>
                  <w:color w:val="0000FF"/>
                  <w:sz w:val="16"/>
                  <w:szCs w:val="16"/>
                  <w:u w:val="single"/>
                </w:rPr>
                <w:t>https://doi.org/10.1007/s43039-023-00063-6</w:t>
              </w:r>
            </w:hyperlink>
            <w:r w:rsidRPr="00F239F5">
              <w:rPr>
                <w:rFonts w:ascii="Arial" w:hAnsi="Arial" w:cs="Arial"/>
                <w:sz w:val="16"/>
                <w:szCs w:val="16"/>
              </w:rPr>
              <w:t xml:space="preserve"> </w:t>
            </w:r>
          </w:p>
        </w:tc>
      </w:tr>
      <w:tr w:rsidR="00E740B3" w:rsidRPr="00F239F5" w14:paraId="77B0A8D3" w14:textId="77777777">
        <w:trPr>
          <w:cantSplit/>
          <w:jc w:val="center"/>
        </w:trPr>
        <w:tc>
          <w:tcPr>
            <w:tcW w:w="504" w:type="dxa"/>
            <w:tcMar>
              <w:top w:w="28" w:type="dxa"/>
              <w:left w:w="30" w:type="dxa"/>
              <w:bottom w:w="28" w:type="dxa"/>
              <w:right w:w="30" w:type="dxa"/>
            </w:tcMar>
          </w:tcPr>
          <w:p w14:paraId="12F73912"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45</w:t>
            </w:r>
          </w:p>
        </w:tc>
        <w:tc>
          <w:tcPr>
            <w:tcW w:w="1512" w:type="dxa"/>
            <w:tcMar>
              <w:top w:w="28" w:type="dxa"/>
              <w:left w:w="30" w:type="dxa"/>
              <w:bottom w:w="28" w:type="dxa"/>
              <w:right w:w="30" w:type="dxa"/>
            </w:tcMar>
          </w:tcPr>
          <w:p w14:paraId="31552B8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Kuikka, A., Hallikainen, H., Tuominen, S., &amp; Laukkanen, T.</w:t>
            </w:r>
          </w:p>
        </w:tc>
        <w:tc>
          <w:tcPr>
            <w:tcW w:w="605" w:type="dxa"/>
            <w:tcMar>
              <w:top w:w="28" w:type="dxa"/>
              <w:left w:w="30" w:type="dxa"/>
              <w:bottom w:w="28" w:type="dxa"/>
              <w:right w:w="30" w:type="dxa"/>
            </w:tcMar>
          </w:tcPr>
          <w:p w14:paraId="2B729DA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2025</w:t>
            </w:r>
          </w:p>
        </w:tc>
        <w:tc>
          <w:tcPr>
            <w:tcW w:w="1944" w:type="dxa"/>
            <w:tcMar>
              <w:top w:w="28" w:type="dxa"/>
              <w:left w:w="30" w:type="dxa"/>
              <w:bottom w:w="28" w:type="dxa"/>
              <w:right w:w="30" w:type="dxa"/>
            </w:tcMar>
          </w:tcPr>
          <w:p w14:paraId="6717B6F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What drives customer loyalty in a pandemic? Semantic analysis of grocery retailers</w:t>
            </w:r>
          </w:p>
        </w:tc>
        <w:tc>
          <w:tcPr>
            <w:tcW w:w="1584" w:type="dxa"/>
            <w:tcMar>
              <w:top w:w="28" w:type="dxa"/>
              <w:left w:w="30" w:type="dxa"/>
              <w:bottom w:w="28" w:type="dxa"/>
              <w:right w:w="30" w:type="dxa"/>
            </w:tcMar>
          </w:tcPr>
          <w:p w14:paraId="13D2CF4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Electronic Commerce Research</w:t>
            </w:r>
          </w:p>
        </w:tc>
        <w:tc>
          <w:tcPr>
            <w:tcW w:w="2016" w:type="dxa"/>
            <w:tcMar>
              <w:top w:w="28" w:type="dxa"/>
              <w:left w:w="30" w:type="dxa"/>
              <w:bottom w:w="28" w:type="dxa"/>
              <w:right w:w="30" w:type="dxa"/>
            </w:tcMar>
          </w:tcPr>
          <w:p w14:paraId="19670E2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examine cognitive, affective and social drivers of loyalty using longitudinal online reviews of UK grocery retailers.</w:t>
            </w:r>
          </w:p>
        </w:tc>
        <w:tc>
          <w:tcPr>
            <w:tcW w:w="1512" w:type="dxa"/>
            <w:tcMar>
              <w:top w:w="28" w:type="dxa"/>
              <w:left w:w="30" w:type="dxa"/>
              <w:bottom w:w="28" w:type="dxa"/>
              <w:right w:w="30" w:type="dxa"/>
            </w:tcMar>
          </w:tcPr>
          <w:p w14:paraId="2196672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Semantic analysis of 45,603 Trustpilot reviews from 2016–2023</w:t>
            </w:r>
          </w:p>
        </w:tc>
        <w:tc>
          <w:tcPr>
            <w:tcW w:w="1800" w:type="dxa"/>
            <w:tcMar>
              <w:top w:w="28" w:type="dxa"/>
              <w:left w:w="30" w:type="dxa"/>
              <w:bottom w:w="28" w:type="dxa"/>
              <w:right w:w="30" w:type="dxa"/>
            </w:tcMar>
          </w:tcPr>
          <w:p w14:paraId="21FF0D9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Online grocery; customer loyalty; semantic analysis; cognitive, affective and social experience</w:t>
            </w:r>
          </w:p>
        </w:tc>
        <w:tc>
          <w:tcPr>
            <w:tcW w:w="1181" w:type="dxa"/>
            <w:tcMar>
              <w:top w:w="28" w:type="dxa"/>
              <w:left w:w="30" w:type="dxa"/>
              <w:bottom w:w="28" w:type="dxa"/>
              <w:right w:w="30" w:type="dxa"/>
            </w:tcMar>
          </w:tcPr>
          <w:p w14:paraId="50BA3BD1"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13959D7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Springer Nature</w:t>
            </w:r>
          </w:p>
        </w:tc>
        <w:tc>
          <w:tcPr>
            <w:tcW w:w="1800" w:type="dxa"/>
            <w:tcMar>
              <w:top w:w="28" w:type="dxa"/>
              <w:left w:w="30" w:type="dxa"/>
              <w:bottom w:w="28" w:type="dxa"/>
              <w:right w:w="30" w:type="dxa"/>
            </w:tcMar>
          </w:tcPr>
          <w:p w14:paraId="6DC69E37" w14:textId="77777777" w:rsidR="00436BC6" w:rsidRPr="00F239F5" w:rsidRDefault="00436BC6" w:rsidP="00D81527">
            <w:pPr>
              <w:spacing w:line="276" w:lineRule="auto"/>
              <w:rPr>
                <w:rFonts w:ascii="Arial" w:hAnsi="Arial" w:cs="Arial"/>
                <w:sz w:val="16"/>
                <w:szCs w:val="16"/>
              </w:rPr>
            </w:pPr>
            <w:hyperlink r:id="rId103" w:history="1">
              <w:r w:rsidRPr="00F239F5">
                <w:rPr>
                  <w:rFonts w:ascii="Arial" w:hAnsi="Arial" w:cs="Arial"/>
                  <w:color w:val="0000FF"/>
                  <w:sz w:val="16"/>
                  <w:szCs w:val="16"/>
                  <w:u w:val="single"/>
                </w:rPr>
                <w:t>https://doi.org/10.1007/s10660-024-09857-y</w:t>
              </w:r>
            </w:hyperlink>
            <w:r w:rsidRPr="00F239F5">
              <w:rPr>
                <w:rFonts w:ascii="Arial" w:hAnsi="Arial" w:cs="Arial"/>
                <w:sz w:val="16"/>
                <w:szCs w:val="16"/>
              </w:rPr>
              <w:t xml:space="preserve"> </w:t>
            </w:r>
          </w:p>
        </w:tc>
      </w:tr>
      <w:tr w:rsidR="00E740B3" w:rsidRPr="00F239F5" w14:paraId="3C994D3E" w14:textId="77777777">
        <w:trPr>
          <w:cantSplit/>
          <w:jc w:val="center"/>
        </w:trPr>
        <w:tc>
          <w:tcPr>
            <w:tcW w:w="504" w:type="dxa"/>
            <w:tcMar>
              <w:top w:w="28" w:type="dxa"/>
              <w:left w:w="30" w:type="dxa"/>
              <w:bottom w:w="28" w:type="dxa"/>
              <w:right w:w="30" w:type="dxa"/>
            </w:tcMar>
          </w:tcPr>
          <w:p w14:paraId="4F49A8C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lastRenderedPageBreak/>
              <w:t>46</w:t>
            </w:r>
          </w:p>
        </w:tc>
        <w:tc>
          <w:tcPr>
            <w:tcW w:w="1512" w:type="dxa"/>
            <w:tcMar>
              <w:top w:w="28" w:type="dxa"/>
              <w:left w:w="30" w:type="dxa"/>
              <w:bottom w:w="28" w:type="dxa"/>
              <w:right w:w="30" w:type="dxa"/>
            </w:tcMar>
          </w:tcPr>
          <w:p w14:paraId="57DDADF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Singh, R.</w:t>
            </w:r>
          </w:p>
        </w:tc>
        <w:tc>
          <w:tcPr>
            <w:tcW w:w="605" w:type="dxa"/>
            <w:tcMar>
              <w:top w:w="28" w:type="dxa"/>
              <w:left w:w="30" w:type="dxa"/>
              <w:bottom w:w="28" w:type="dxa"/>
              <w:right w:w="30" w:type="dxa"/>
            </w:tcMar>
          </w:tcPr>
          <w:p w14:paraId="6E66DED9"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2019</w:t>
            </w:r>
          </w:p>
        </w:tc>
        <w:tc>
          <w:tcPr>
            <w:tcW w:w="1944" w:type="dxa"/>
            <w:tcMar>
              <w:top w:w="28" w:type="dxa"/>
              <w:left w:w="30" w:type="dxa"/>
              <w:bottom w:w="28" w:type="dxa"/>
              <w:right w:w="30" w:type="dxa"/>
            </w:tcMar>
          </w:tcPr>
          <w:p w14:paraId="7B80250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Why do online grocery shoppers switch or stay? An exploratory analysis of consumers' response to online grocery shopping experience</w:t>
            </w:r>
          </w:p>
        </w:tc>
        <w:tc>
          <w:tcPr>
            <w:tcW w:w="1584" w:type="dxa"/>
            <w:tcMar>
              <w:top w:w="28" w:type="dxa"/>
              <w:left w:w="30" w:type="dxa"/>
              <w:bottom w:w="28" w:type="dxa"/>
              <w:right w:w="30" w:type="dxa"/>
            </w:tcMar>
          </w:tcPr>
          <w:p w14:paraId="7E19D45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International Journal of Retail &amp; Distribution Management</w:t>
            </w:r>
          </w:p>
        </w:tc>
        <w:tc>
          <w:tcPr>
            <w:tcW w:w="2016" w:type="dxa"/>
            <w:tcMar>
              <w:top w:w="28" w:type="dxa"/>
              <w:left w:w="30" w:type="dxa"/>
              <w:bottom w:w="28" w:type="dxa"/>
              <w:right w:w="30" w:type="dxa"/>
            </w:tcMar>
          </w:tcPr>
          <w:p w14:paraId="3FF4C4A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identify the experience factors that encourage online grocery customers to remain loyal or switch retailers.</w:t>
            </w:r>
          </w:p>
        </w:tc>
        <w:tc>
          <w:tcPr>
            <w:tcW w:w="1512" w:type="dxa"/>
            <w:tcMar>
              <w:top w:w="28" w:type="dxa"/>
              <w:left w:w="30" w:type="dxa"/>
              <w:bottom w:w="28" w:type="dxa"/>
              <w:right w:w="30" w:type="dxa"/>
            </w:tcMar>
          </w:tcPr>
          <w:p w14:paraId="2C285464"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Exploratory qualitative analysis of online grocery experiences</w:t>
            </w:r>
          </w:p>
        </w:tc>
        <w:tc>
          <w:tcPr>
            <w:tcW w:w="1800" w:type="dxa"/>
            <w:tcMar>
              <w:top w:w="28" w:type="dxa"/>
              <w:left w:w="30" w:type="dxa"/>
              <w:bottom w:w="28" w:type="dxa"/>
              <w:right w:w="30" w:type="dxa"/>
            </w:tcMar>
          </w:tcPr>
          <w:p w14:paraId="223A5C7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Online grocery; switching; retention; service experience</w:t>
            </w:r>
          </w:p>
        </w:tc>
        <w:tc>
          <w:tcPr>
            <w:tcW w:w="1181" w:type="dxa"/>
            <w:tcMar>
              <w:top w:w="28" w:type="dxa"/>
              <w:left w:w="30" w:type="dxa"/>
              <w:bottom w:w="28" w:type="dxa"/>
              <w:right w:w="30" w:type="dxa"/>
            </w:tcMar>
          </w:tcPr>
          <w:p w14:paraId="33FB1149"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41D2EA3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Emerald</w:t>
            </w:r>
          </w:p>
        </w:tc>
        <w:tc>
          <w:tcPr>
            <w:tcW w:w="1800" w:type="dxa"/>
            <w:tcMar>
              <w:top w:w="28" w:type="dxa"/>
              <w:left w:w="30" w:type="dxa"/>
              <w:bottom w:w="28" w:type="dxa"/>
              <w:right w:w="30" w:type="dxa"/>
            </w:tcMar>
          </w:tcPr>
          <w:p w14:paraId="53714CBA" w14:textId="77777777" w:rsidR="00436BC6" w:rsidRPr="00F239F5" w:rsidRDefault="00436BC6" w:rsidP="00D81527">
            <w:pPr>
              <w:spacing w:line="276" w:lineRule="auto"/>
              <w:rPr>
                <w:rFonts w:ascii="Arial" w:hAnsi="Arial" w:cs="Arial"/>
                <w:sz w:val="16"/>
                <w:szCs w:val="16"/>
              </w:rPr>
            </w:pPr>
            <w:hyperlink r:id="rId104" w:history="1">
              <w:r w:rsidRPr="00F239F5">
                <w:rPr>
                  <w:rFonts w:ascii="Arial" w:hAnsi="Arial" w:cs="Arial"/>
                  <w:color w:val="0000FF"/>
                  <w:sz w:val="16"/>
                  <w:szCs w:val="16"/>
                  <w:u w:val="single"/>
                </w:rPr>
                <w:t>https://doi.org/10.1108/IJRDM-10-2018-0224</w:t>
              </w:r>
            </w:hyperlink>
            <w:r w:rsidRPr="00F239F5">
              <w:rPr>
                <w:rFonts w:ascii="Arial" w:hAnsi="Arial" w:cs="Arial"/>
                <w:sz w:val="16"/>
                <w:szCs w:val="16"/>
              </w:rPr>
              <w:t xml:space="preserve"> </w:t>
            </w:r>
          </w:p>
        </w:tc>
      </w:tr>
      <w:tr w:rsidR="00E740B3" w:rsidRPr="00F239F5" w14:paraId="2102537C" w14:textId="77777777">
        <w:trPr>
          <w:cantSplit/>
          <w:jc w:val="center"/>
        </w:trPr>
        <w:tc>
          <w:tcPr>
            <w:tcW w:w="504" w:type="dxa"/>
            <w:tcMar>
              <w:top w:w="28" w:type="dxa"/>
              <w:left w:w="30" w:type="dxa"/>
              <w:bottom w:w="28" w:type="dxa"/>
              <w:right w:w="30" w:type="dxa"/>
            </w:tcMar>
          </w:tcPr>
          <w:p w14:paraId="60351CE9"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47</w:t>
            </w:r>
          </w:p>
        </w:tc>
        <w:tc>
          <w:tcPr>
            <w:tcW w:w="1512" w:type="dxa"/>
            <w:tcMar>
              <w:top w:w="28" w:type="dxa"/>
              <w:left w:w="30" w:type="dxa"/>
              <w:bottom w:w="28" w:type="dxa"/>
              <w:right w:w="30" w:type="dxa"/>
            </w:tcMar>
          </w:tcPr>
          <w:p w14:paraId="70A30B3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Singh, R., &amp; Söderlund, M.</w:t>
            </w:r>
          </w:p>
        </w:tc>
        <w:tc>
          <w:tcPr>
            <w:tcW w:w="605" w:type="dxa"/>
            <w:tcMar>
              <w:top w:w="28" w:type="dxa"/>
              <w:left w:w="30" w:type="dxa"/>
              <w:bottom w:w="28" w:type="dxa"/>
              <w:right w:w="30" w:type="dxa"/>
            </w:tcMar>
          </w:tcPr>
          <w:p w14:paraId="39F2C88D"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2020</w:t>
            </w:r>
          </w:p>
        </w:tc>
        <w:tc>
          <w:tcPr>
            <w:tcW w:w="1944" w:type="dxa"/>
            <w:tcMar>
              <w:top w:w="28" w:type="dxa"/>
              <w:left w:w="30" w:type="dxa"/>
              <w:bottom w:w="28" w:type="dxa"/>
              <w:right w:w="30" w:type="dxa"/>
            </w:tcMar>
          </w:tcPr>
          <w:p w14:paraId="3204954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Extending the experience construct: An examination of online grocery shopping</w:t>
            </w:r>
          </w:p>
        </w:tc>
        <w:tc>
          <w:tcPr>
            <w:tcW w:w="1584" w:type="dxa"/>
            <w:tcMar>
              <w:top w:w="28" w:type="dxa"/>
              <w:left w:w="30" w:type="dxa"/>
              <w:bottom w:w="28" w:type="dxa"/>
              <w:right w:w="30" w:type="dxa"/>
            </w:tcMar>
          </w:tcPr>
          <w:p w14:paraId="74DF864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European Journal of Marketing</w:t>
            </w:r>
          </w:p>
        </w:tc>
        <w:tc>
          <w:tcPr>
            <w:tcW w:w="2016" w:type="dxa"/>
            <w:tcMar>
              <w:top w:w="28" w:type="dxa"/>
              <w:left w:w="30" w:type="dxa"/>
              <w:bottom w:w="28" w:type="dxa"/>
              <w:right w:w="30" w:type="dxa"/>
            </w:tcMar>
          </w:tcPr>
          <w:p w14:paraId="3E2F488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extend customer-experience theory in the specific context of online grocery shopping.</w:t>
            </w:r>
          </w:p>
        </w:tc>
        <w:tc>
          <w:tcPr>
            <w:tcW w:w="1512" w:type="dxa"/>
            <w:tcMar>
              <w:top w:w="28" w:type="dxa"/>
              <w:left w:w="30" w:type="dxa"/>
              <w:bottom w:w="28" w:type="dxa"/>
              <w:right w:w="30" w:type="dxa"/>
            </w:tcMar>
          </w:tcPr>
          <w:p w14:paraId="36FF45AE"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Empirical scale development and testing</w:t>
            </w:r>
          </w:p>
        </w:tc>
        <w:tc>
          <w:tcPr>
            <w:tcW w:w="1800" w:type="dxa"/>
            <w:tcMar>
              <w:top w:w="28" w:type="dxa"/>
              <w:left w:w="30" w:type="dxa"/>
              <w:bottom w:w="28" w:type="dxa"/>
              <w:right w:w="30" w:type="dxa"/>
            </w:tcMar>
          </w:tcPr>
          <w:p w14:paraId="7A20F2B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Online grocery experience; satisfaction; emotions; behavioural intentions</w:t>
            </w:r>
          </w:p>
        </w:tc>
        <w:tc>
          <w:tcPr>
            <w:tcW w:w="1181" w:type="dxa"/>
            <w:tcMar>
              <w:top w:w="28" w:type="dxa"/>
              <w:left w:w="30" w:type="dxa"/>
              <w:bottom w:w="28" w:type="dxa"/>
              <w:right w:w="30" w:type="dxa"/>
            </w:tcMar>
          </w:tcPr>
          <w:p w14:paraId="5D0CFDEC"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567628A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Emerald</w:t>
            </w:r>
          </w:p>
        </w:tc>
        <w:tc>
          <w:tcPr>
            <w:tcW w:w="1800" w:type="dxa"/>
            <w:tcMar>
              <w:top w:w="28" w:type="dxa"/>
              <w:left w:w="30" w:type="dxa"/>
              <w:bottom w:w="28" w:type="dxa"/>
              <w:right w:w="30" w:type="dxa"/>
            </w:tcMar>
          </w:tcPr>
          <w:p w14:paraId="0E02EB1C" w14:textId="77777777" w:rsidR="00436BC6" w:rsidRPr="00F239F5" w:rsidRDefault="00436BC6" w:rsidP="00D81527">
            <w:pPr>
              <w:spacing w:line="276" w:lineRule="auto"/>
              <w:rPr>
                <w:rFonts w:ascii="Arial" w:hAnsi="Arial" w:cs="Arial"/>
                <w:sz w:val="16"/>
                <w:szCs w:val="16"/>
              </w:rPr>
            </w:pPr>
            <w:hyperlink r:id="rId105" w:history="1">
              <w:r w:rsidRPr="00F239F5">
                <w:rPr>
                  <w:rFonts w:ascii="Arial" w:hAnsi="Arial" w:cs="Arial"/>
                  <w:color w:val="0000FF"/>
                  <w:sz w:val="16"/>
                  <w:szCs w:val="16"/>
                  <w:u w:val="single"/>
                </w:rPr>
                <w:t>https://doi.org/10.1108/EJM-06-2019-0536</w:t>
              </w:r>
            </w:hyperlink>
            <w:r w:rsidRPr="00F239F5">
              <w:rPr>
                <w:rFonts w:ascii="Arial" w:hAnsi="Arial" w:cs="Arial"/>
                <w:sz w:val="16"/>
                <w:szCs w:val="16"/>
              </w:rPr>
              <w:t xml:space="preserve"> </w:t>
            </w:r>
          </w:p>
        </w:tc>
      </w:tr>
      <w:tr w:rsidR="00E740B3" w:rsidRPr="00F239F5" w14:paraId="77A5DB57" w14:textId="77777777">
        <w:trPr>
          <w:cantSplit/>
          <w:jc w:val="center"/>
        </w:trPr>
        <w:tc>
          <w:tcPr>
            <w:tcW w:w="504" w:type="dxa"/>
            <w:tcMar>
              <w:top w:w="28" w:type="dxa"/>
              <w:left w:w="30" w:type="dxa"/>
              <w:bottom w:w="28" w:type="dxa"/>
              <w:right w:w="30" w:type="dxa"/>
            </w:tcMar>
          </w:tcPr>
          <w:p w14:paraId="71498C5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48</w:t>
            </w:r>
          </w:p>
        </w:tc>
        <w:tc>
          <w:tcPr>
            <w:tcW w:w="1512" w:type="dxa"/>
            <w:tcMar>
              <w:top w:w="28" w:type="dxa"/>
              <w:left w:w="30" w:type="dxa"/>
              <w:bottom w:w="28" w:type="dxa"/>
              <w:right w:w="30" w:type="dxa"/>
            </w:tcMar>
          </w:tcPr>
          <w:p w14:paraId="2D9AE79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Suh, T., &amp; Lee, S. B.</w:t>
            </w:r>
          </w:p>
        </w:tc>
        <w:tc>
          <w:tcPr>
            <w:tcW w:w="605" w:type="dxa"/>
            <w:tcMar>
              <w:top w:w="28" w:type="dxa"/>
              <w:left w:w="30" w:type="dxa"/>
              <w:bottom w:w="28" w:type="dxa"/>
              <w:right w:w="30" w:type="dxa"/>
            </w:tcMar>
          </w:tcPr>
          <w:p w14:paraId="2AB24B11"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2023</w:t>
            </w:r>
          </w:p>
        </w:tc>
        <w:tc>
          <w:tcPr>
            <w:tcW w:w="1944" w:type="dxa"/>
            <w:tcMar>
              <w:top w:w="28" w:type="dxa"/>
              <w:left w:w="30" w:type="dxa"/>
              <w:bottom w:w="28" w:type="dxa"/>
              <w:right w:w="30" w:type="dxa"/>
            </w:tcMar>
          </w:tcPr>
          <w:p w14:paraId="14F6972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Configuring managerial factors to enhance omnichannel experience and customer engagement behaviors for a solid loyalty loop</w:t>
            </w:r>
          </w:p>
        </w:tc>
        <w:tc>
          <w:tcPr>
            <w:tcW w:w="1584" w:type="dxa"/>
            <w:tcMar>
              <w:top w:w="28" w:type="dxa"/>
              <w:left w:w="30" w:type="dxa"/>
              <w:bottom w:w="28" w:type="dxa"/>
              <w:right w:w="30" w:type="dxa"/>
            </w:tcMar>
          </w:tcPr>
          <w:p w14:paraId="5311940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Electronic Commerce Research</w:t>
            </w:r>
          </w:p>
        </w:tc>
        <w:tc>
          <w:tcPr>
            <w:tcW w:w="2016" w:type="dxa"/>
            <w:tcMar>
              <w:top w:w="28" w:type="dxa"/>
              <w:left w:w="30" w:type="dxa"/>
              <w:bottom w:w="28" w:type="dxa"/>
              <w:right w:w="30" w:type="dxa"/>
            </w:tcMar>
          </w:tcPr>
          <w:p w14:paraId="64698B3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identify configurations of managerial factors that strengthen omnichannel experience, engagement and loyalty.</w:t>
            </w:r>
          </w:p>
        </w:tc>
        <w:tc>
          <w:tcPr>
            <w:tcW w:w="1512" w:type="dxa"/>
            <w:tcMar>
              <w:top w:w="28" w:type="dxa"/>
              <w:left w:w="30" w:type="dxa"/>
              <w:bottom w:w="28" w:type="dxa"/>
              <w:right w:w="30" w:type="dxa"/>
            </w:tcMar>
          </w:tcPr>
          <w:p w14:paraId="400F9F2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Configurational empirical analysis</w:t>
            </w:r>
          </w:p>
        </w:tc>
        <w:tc>
          <w:tcPr>
            <w:tcW w:w="1800" w:type="dxa"/>
            <w:tcMar>
              <w:top w:w="28" w:type="dxa"/>
              <w:left w:w="30" w:type="dxa"/>
              <w:bottom w:w="28" w:type="dxa"/>
              <w:right w:w="30" w:type="dxa"/>
            </w:tcMar>
          </w:tcPr>
          <w:p w14:paraId="3259FFB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Omnichannel experience; customer engagement; loyalty loop; managerial factors</w:t>
            </w:r>
          </w:p>
        </w:tc>
        <w:tc>
          <w:tcPr>
            <w:tcW w:w="1181" w:type="dxa"/>
            <w:tcMar>
              <w:top w:w="28" w:type="dxa"/>
              <w:left w:w="30" w:type="dxa"/>
              <w:bottom w:w="28" w:type="dxa"/>
              <w:right w:w="30" w:type="dxa"/>
            </w:tcMar>
          </w:tcPr>
          <w:p w14:paraId="41B35004"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RQ2, RQ3</w:t>
            </w:r>
          </w:p>
        </w:tc>
        <w:tc>
          <w:tcPr>
            <w:tcW w:w="1325" w:type="dxa"/>
            <w:tcMar>
              <w:top w:w="28" w:type="dxa"/>
              <w:left w:w="30" w:type="dxa"/>
              <w:bottom w:w="28" w:type="dxa"/>
              <w:right w:w="30" w:type="dxa"/>
            </w:tcMar>
          </w:tcPr>
          <w:p w14:paraId="1711891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Springer Nature</w:t>
            </w:r>
          </w:p>
        </w:tc>
        <w:tc>
          <w:tcPr>
            <w:tcW w:w="1800" w:type="dxa"/>
            <w:tcMar>
              <w:top w:w="28" w:type="dxa"/>
              <w:left w:w="30" w:type="dxa"/>
              <w:bottom w:w="28" w:type="dxa"/>
              <w:right w:w="30" w:type="dxa"/>
            </w:tcMar>
          </w:tcPr>
          <w:p w14:paraId="16C3FBF6" w14:textId="77777777" w:rsidR="00436BC6" w:rsidRPr="00F239F5" w:rsidRDefault="00436BC6" w:rsidP="00D81527">
            <w:pPr>
              <w:spacing w:line="276" w:lineRule="auto"/>
              <w:rPr>
                <w:rFonts w:ascii="Arial" w:hAnsi="Arial" w:cs="Arial"/>
                <w:sz w:val="16"/>
                <w:szCs w:val="16"/>
              </w:rPr>
            </w:pPr>
            <w:hyperlink r:id="rId106" w:history="1">
              <w:r w:rsidRPr="00F239F5">
                <w:rPr>
                  <w:rFonts w:ascii="Arial" w:hAnsi="Arial" w:cs="Arial"/>
                  <w:color w:val="0000FF"/>
                  <w:sz w:val="16"/>
                  <w:szCs w:val="16"/>
                  <w:u w:val="single"/>
                </w:rPr>
                <w:t>https://doi.org/10.1007/s10660-022-09661-6</w:t>
              </w:r>
            </w:hyperlink>
            <w:r w:rsidRPr="00F239F5">
              <w:rPr>
                <w:rFonts w:ascii="Arial" w:hAnsi="Arial" w:cs="Arial"/>
                <w:sz w:val="16"/>
                <w:szCs w:val="16"/>
              </w:rPr>
              <w:t xml:space="preserve"> </w:t>
            </w:r>
          </w:p>
        </w:tc>
      </w:tr>
      <w:tr w:rsidR="00E740B3" w:rsidRPr="00F239F5" w14:paraId="3A397BAD" w14:textId="77777777">
        <w:trPr>
          <w:cantSplit/>
          <w:jc w:val="center"/>
        </w:trPr>
        <w:tc>
          <w:tcPr>
            <w:tcW w:w="504" w:type="dxa"/>
            <w:tcMar>
              <w:top w:w="28" w:type="dxa"/>
              <w:left w:w="30" w:type="dxa"/>
              <w:bottom w:w="28" w:type="dxa"/>
              <w:right w:w="30" w:type="dxa"/>
            </w:tcMar>
          </w:tcPr>
          <w:p w14:paraId="30DC83AE"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49</w:t>
            </w:r>
          </w:p>
        </w:tc>
        <w:tc>
          <w:tcPr>
            <w:tcW w:w="1512" w:type="dxa"/>
            <w:tcMar>
              <w:top w:w="28" w:type="dxa"/>
              <w:left w:w="30" w:type="dxa"/>
              <w:bottom w:w="28" w:type="dxa"/>
              <w:right w:w="30" w:type="dxa"/>
            </w:tcMar>
          </w:tcPr>
          <w:p w14:paraId="16B4736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Ozuem, W. et al.</w:t>
            </w:r>
          </w:p>
        </w:tc>
        <w:tc>
          <w:tcPr>
            <w:tcW w:w="605" w:type="dxa"/>
            <w:tcMar>
              <w:top w:w="28" w:type="dxa"/>
              <w:left w:w="30" w:type="dxa"/>
              <w:bottom w:w="28" w:type="dxa"/>
              <w:right w:w="30" w:type="dxa"/>
            </w:tcMar>
          </w:tcPr>
          <w:p w14:paraId="23BC951B"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2023</w:t>
            </w:r>
          </w:p>
        </w:tc>
        <w:tc>
          <w:tcPr>
            <w:tcW w:w="1944" w:type="dxa"/>
            <w:tcMar>
              <w:top w:w="28" w:type="dxa"/>
              <w:left w:w="30" w:type="dxa"/>
              <w:bottom w:w="28" w:type="dxa"/>
              <w:right w:w="30" w:type="dxa"/>
            </w:tcMar>
          </w:tcPr>
          <w:p w14:paraId="14B1005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Engraving customer experiences through digital technologies</w:t>
            </w:r>
          </w:p>
        </w:tc>
        <w:tc>
          <w:tcPr>
            <w:tcW w:w="1584" w:type="dxa"/>
            <w:tcMar>
              <w:top w:w="28" w:type="dxa"/>
              <w:left w:w="30" w:type="dxa"/>
              <w:bottom w:w="28" w:type="dxa"/>
              <w:right w:w="30" w:type="dxa"/>
            </w:tcMar>
          </w:tcPr>
          <w:p w14:paraId="65676AD7"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Journal of Services Marketing</w:t>
            </w:r>
          </w:p>
        </w:tc>
        <w:tc>
          <w:tcPr>
            <w:tcW w:w="2016" w:type="dxa"/>
            <w:tcMar>
              <w:top w:w="28" w:type="dxa"/>
              <w:left w:w="30" w:type="dxa"/>
              <w:bottom w:w="28" w:type="dxa"/>
              <w:right w:w="30" w:type="dxa"/>
            </w:tcMar>
          </w:tcPr>
          <w:p w14:paraId="4B7A9465"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explore forms of digital experience and translate them into service-design implications.</w:t>
            </w:r>
          </w:p>
        </w:tc>
        <w:tc>
          <w:tcPr>
            <w:tcW w:w="1512" w:type="dxa"/>
            <w:tcMar>
              <w:top w:w="28" w:type="dxa"/>
              <w:left w:w="30" w:type="dxa"/>
              <w:bottom w:w="28" w:type="dxa"/>
              <w:right w:w="30" w:type="dxa"/>
            </w:tcMar>
          </w:tcPr>
          <w:p w14:paraId="389BBBD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Qualitative exploratory study</w:t>
            </w:r>
          </w:p>
        </w:tc>
        <w:tc>
          <w:tcPr>
            <w:tcW w:w="1800" w:type="dxa"/>
            <w:tcMar>
              <w:top w:w="28" w:type="dxa"/>
              <w:left w:w="30" w:type="dxa"/>
              <w:bottom w:w="28" w:type="dxa"/>
              <w:right w:w="30" w:type="dxa"/>
            </w:tcMar>
          </w:tcPr>
          <w:p w14:paraId="4980DB3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Digital experience; service design; technology-enabled interactions; customer value</w:t>
            </w:r>
          </w:p>
        </w:tc>
        <w:tc>
          <w:tcPr>
            <w:tcW w:w="1181" w:type="dxa"/>
            <w:tcMar>
              <w:top w:w="28" w:type="dxa"/>
              <w:left w:w="30" w:type="dxa"/>
              <w:bottom w:w="28" w:type="dxa"/>
              <w:right w:w="30" w:type="dxa"/>
            </w:tcMar>
          </w:tcPr>
          <w:p w14:paraId="6F67108A"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RQ2, RQ3</w:t>
            </w:r>
          </w:p>
        </w:tc>
        <w:tc>
          <w:tcPr>
            <w:tcW w:w="1325" w:type="dxa"/>
            <w:tcMar>
              <w:top w:w="28" w:type="dxa"/>
              <w:left w:w="30" w:type="dxa"/>
              <w:bottom w:w="28" w:type="dxa"/>
              <w:right w:w="30" w:type="dxa"/>
            </w:tcMar>
          </w:tcPr>
          <w:p w14:paraId="5FF2817B"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Emerald</w:t>
            </w:r>
          </w:p>
        </w:tc>
        <w:tc>
          <w:tcPr>
            <w:tcW w:w="1800" w:type="dxa"/>
            <w:tcMar>
              <w:top w:w="28" w:type="dxa"/>
              <w:left w:w="30" w:type="dxa"/>
              <w:bottom w:w="28" w:type="dxa"/>
              <w:right w:w="30" w:type="dxa"/>
            </w:tcMar>
          </w:tcPr>
          <w:p w14:paraId="755E358E" w14:textId="77777777" w:rsidR="00436BC6" w:rsidRPr="00F239F5" w:rsidRDefault="00436BC6" w:rsidP="00D81527">
            <w:pPr>
              <w:spacing w:line="276" w:lineRule="auto"/>
              <w:rPr>
                <w:rFonts w:ascii="Arial" w:hAnsi="Arial" w:cs="Arial"/>
                <w:sz w:val="16"/>
                <w:szCs w:val="16"/>
              </w:rPr>
            </w:pPr>
            <w:hyperlink r:id="rId107" w:history="1">
              <w:r w:rsidRPr="00F239F5">
                <w:rPr>
                  <w:rFonts w:ascii="Arial" w:hAnsi="Arial" w:cs="Arial"/>
                  <w:color w:val="0000FF"/>
                  <w:sz w:val="16"/>
                  <w:szCs w:val="16"/>
                  <w:u w:val="single"/>
                </w:rPr>
                <w:t>https://doi.org/10.1108/JSM-05-2022-0164</w:t>
              </w:r>
            </w:hyperlink>
            <w:r w:rsidRPr="00F239F5">
              <w:rPr>
                <w:rFonts w:ascii="Arial" w:hAnsi="Arial" w:cs="Arial"/>
                <w:sz w:val="16"/>
                <w:szCs w:val="16"/>
              </w:rPr>
              <w:t xml:space="preserve"> </w:t>
            </w:r>
          </w:p>
        </w:tc>
      </w:tr>
      <w:tr w:rsidR="00E740B3" w:rsidRPr="00F239F5" w14:paraId="7781769B" w14:textId="77777777">
        <w:trPr>
          <w:cantSplit/>
          <w:jc w:val="center"/>
        </w:trPr>
        <w:tc>
          <w:tcPr>
            <w:tcW w:w="504" w:type="dxa"/>
            <w:tcMar>
              <w:top w:w="28" w:type="dxa"/>
              <w:left w:w="30" w:type="dxa"/>
              <w:bottom w:w="28" w:type="dxa"/>
              <w:right w:w="30" w:type="dxa"/>
            </w:tcMar>
          </w:tcPr>
          <w:p w14:paraId="4A4A75B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50</w:t>
            </w:r>
          </w:p>
        </w:tc>
        <w:tc>
          <w:tcPr>
            <w:tcW w:w="1512" w:type="dxa"/>
            <w:tcMar>
              <w:top w:w="28" w:type="dxa"/>
              <w:left w:w="30" w:type="dxa"/>
              <w:bottom w:w="28" w:type="dxa"/>
              <w:right w:w="30" w:type="dxa"/>
            </w:tcMar>
          </w:tcPr>
          <w:p w14:paraId="2591B29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Lorente-Martínez et al.</w:t>
            </w:r>
          </w:p>
        </w:tc>
        <w:tc>
          <w:tcPr>
            <w:tcW w:w="605" w:type="dxa"/>
            <w:tcMar>
              <w:top w:w="28" w:type="dxa"/>
              <w:left w:w="30" w:type="dxa"/>
              <w:bottom w:w="28" w:type="dxa"/>
              <w:right w:w="30" w:type="dxa"/>
            </w:tcMar>
          </w:tcPr>
          <w:p w14:paraId="617DE40F"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2021</w:t>
            </w:r>
          </w:p>
        </w:tc>
        <w:tc>
          <w:tcPr>
            <w:tcW w:w="1944" w:type="dxa"/>
            <w:tcMar>
              <w:top w:w="28" w:type="dxa"/>
              <w:left w:w="30" w:type="dxa"/>
              <w:bottom w:w="28" w:type="dxa"/>
              <w:right w:w="30" w:type="dxa"/>
            </w:tcMar>
          </w:tcPr>
          <w:p w14:paraId="35A3080A"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Are retailers leveraging in-store analytics? An exploratory study</w:t>
            </w:r>
          </w:p>
        </w:tc>
        <w:tc>
          <w:tcPr>
            <w:tcW w:w="1584" w:type="dxa"/>
            <w:tcMar>
              <w:top w:w="28" w:type="dxa"/>
              <w:left w:w="30" w:type="dxa"/>
              <w:bottom w:w="28" w:type="dxa"/>
              <w:right w:w="30" w:type="dxa"/>
            </w:tcMar>
          </w:tcPr>
          <w:p w14:paraId="4A78336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International Journal of Retail &amp; Distribution Management</w:t>
            </w:r>
          </w:p>
        </w:tc>
        <w:tc>
          <w:tcPr>
            <w:tcW w:w="2016" w:type="dxa"/>
            <w:tcMar>
              <w:top w:w="28" w:type="dxa"/>
              <w:left w:w="30" w:type="dxa"/>
              <w:bottom w:w="28" w:type="dxa"/>
              <w:right w:w="30" w:type="dxa"/>
            </w:tcMar>
          </w:tcPr>
          <w:p w14:paraId="005828F2"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To assess retailers' adoption of in-store analytics and identify organisational and managerial barriers.</w:t>
            </w:r>
          </w:p>
        </w:tc>
        <w:tc>
          <w:tcPr>
            <w:tcW w:w="1512" w:type="dxa"/>
            <w:tcMar>
              <w:top w:w="28" w:type="dxa"/>
              <w:left w:w="30" w:type="dxa"/>
              <w:bottom w:w="28" w:type="dxa"/>
              <w:right w:w="30" w:type="dxa"/>
            </w:tcMar>
          </w:tcPr>
          <w:p w14:paraId="5127866F"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Exploratory study of retail analytics adoption</w:t>
            </w:r>
          </w:p>
        </w:tc>
        <w:tc>
          <w:tcPr>
            <w:tcW w:w="1800" w:type="dxa"/>
            <w:tcMar>
              <w:top w:w="28" w:type="dxa"/>
              <w:left w:w="30" w:type="dxa"/>
              <w:bottom w:w="28" w:type="dxa"/>
              <w:right w:w="30" w:type="dxa"/>
            </w:tcMar>
          </w:tcPr>
          <w:p w14:paraId="745D24D8"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In-store analytics; retail digitalisation; data capability; adoption barriers</w:t>
            </w:r>
          </w:p>
        </w:tc>
        <w:tc>
          <w:tcPr>
            <w:tcW w:w="1181" w:type="dxa"/>
            <w:tcMar>
              <w:top w:w="28" w:type="dxa"/>
              <w:left w:w="30" w:type="dxa"/>
              <w:bottom w:w="28" w:type="dxa"/>
              <w:right w:w="30" w:type="dxa"/>
            </w:tcMar>
          </w:tcPr>
          <w:p w14:paraId="345B568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sz w:val="16"/>
                <w:szCs w:val="16"/>
              </w:rPr>
              <w:t>RQ1, RQ3</w:t>
            </w:r>
          </w:p>
        </w:tc>
        <w:tc>
          <w:tcPr>
            <w:tcW w:w="1325" w:type="dxa"/>
            <w:tcMar>
              <w:top w:w="28" w:type="dxa"/>
              <w:left w:w="30" w:type="dxa"/>
              <w:bottom w:w="28" w:type="dxa"/>
              <w:right w:w="30" w:type="dxa"/>
            </w:tcMar>
          </w:tcPr>
          <w:p w14:paraId="2F1232D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Emerald</w:t>
            </w:r>
          </w:p>
        </w:tc>
        <w:tc>
          <w:tcPr>
            <w:tcW w:w="1800" w:type="dxa"/>
            <w:tcMar>
              <w:top w:w="28" w:type="dxa"/>
              <w:left w:w="30" w:type="dxa"/>
              <w:bottom w:w="28" w:type="dxa"/>
              <w:right w:w="30" w:type="dxa"/>
            </w:tcMar>
          </w:tcPr>
          <w:p w14:paraId="6835EAE6" w14:textId="77777777" w:rsidR="00436BC6" w:rsidRPr="00F239F5" w:rsidRDefault="00436BC6" w:rsidP="00D81527">
            <w:pPr>
              <w:spacing w:line="276" w:lineRule="auto"/>
              <w:rPr>
                <w:rFonts w:ascii="Arial" w:hAnsi="Arial" w:cs="Arial"/>
                <w:sz w:val="16"/>
                <w:szCs w:val="16"/>
              </w:rPr>
            </w:pPr>
            <w:hyperlink r:id="rId108" w:history="1">
              <w:r w:rsidRPr="00F239F5">
                <w:rPr>
                  <w:rFonts w:ascii="Arial" w:hAnsi="Arial" w:cs="Arial"/>
                  <w:color w:val="0000FF"/>
                  <w:sz w:val="16"/>
                  <w:szCs w:val="16"/>
                  <w:u w:val="single"/>
                </w:rPr>
                <w:t>https://doi.org/10.1108/IJRDM-04-2020-0151</w:t>
              </w:r>
            </w:hyperlink>
            <w:r w:rsidRPr="00F239F5">
              <w:rPr>
                <w:rFonts w:ascii="Arial" w:hAnsi="Arial" w:cs="Arial"/>
                <w:sz w:val="16"/>
                <w:szCs w:val="16"/>
              </w:rPr>
              <w:t xml:space="preserve"> </w:t>
            </w:r>
          </w:p>
        </w:tc>
      </w:tr>
    </w:tbl>
    <w:p w14:paraId="3CB01E95" w14:textId="77777777" w:rsidR="00436BC6" w:rsidRPr="00F239F5" w:rsidRDefault="00000000" w:rsidP="00D81527">
      <w:pPr>
        <w:spacing w:after="200" w:line="276" w:lineRule="auto"/>
        <w:rPr>
          <w:rFonts w:ascii="Arial" w:hAnsi="Arial" w:cs="Arial"/>
          <w:sz w:val="16"/>
          <w:szCs w:val="16"/>
        </w:rPr>
      </w:pPr>
      <w:r w:rsidRPr="00F239F5">
        <w:rPr>
          <w:rFonts w:ascii="Arial" w:hAnsi="Arial" w:cs="Arial"/>
          <w:sz w:val="16"/>
          <w:szCs w:val="16"/>
        </w:rPr>
        <w:br w:type="page"/>
      </w:r>
    </w:p>
    <w:p w14:paraId="4B9200C9" w14:textId="77777777" w:rsidR="00436BC6" w:rsidRPr="00F239F5" w:rsidRDefault="00000000" w:rsidP="00D81527">
      <w:pPr>
        <w:spacing w:after="120" w:line="276" w:lineRule="auto"/>
        <w:rPr>
          <w:rFonts w:ascii="Arial" w:hAnsi="Arial" w:cs="Arial"/>
          <w:sz w:val="16"/>
          <w:szCs w:val="16"/>
        </w:rPr>
      </w:pPr>
      <w:r w:rsidRPr="00F239F5">
        <w:rPr>
          <w:rFonts w:ascii="Arial" w:hAnsi="Arial" w:cs="Arial"/>
          <w:b/>
          <w:sz w:val="16"/>
          <w:szCs w:val="16"/>
        </w:rPr>
        <w:lastRenderedPageBreak/>
        <w:t>Notes</w:t>
      </w:r>
    </w:p>
    <w:tbl>
      <w:tblPr>
        <w:tblStyle w:val="TableGrid"/>
        <w:tblW w:w="0" w:type="auto"/>
        <w:jc w:val="center"/>
        <w:tblLayout w:type="fixed"/>
        <w:tblLook w:val="04A0" w:firstRow="1" w:lastRow="0" w:firstColumn="1" w:lastColumn="0" w:noHBand="0" w:noVBand="1"/>
      </w:tblPr>
      <w:tblGrid>
        <w:gridCol w:w="3240"/>
        <w:gridCol w:w="12456"/>
      </w:tblGrid>
      <w:tr w:rsidR="00E740B3" w:rsidRPr="00F239F5" w14:paraId="38B92B89" w14:textId="77777777">
        <w:trPr>
          <w:cantSplit/>
          <w:jc w:val="center"/>
        </w:trPr>
        <w:tc>
          <w:tcPr>
            <w:tcW w:w="15696" w:type="dxa"/>
            <w:gridSpan w:val="2"/>
            <w:shd w:val="clear" w:color="auto" w:fill="D9E1F2"/>
            <w:tcMar>
              <w:top w:w="55" w:type="dxa"/>
              <w:left w:w="65" w:type="dxa"/>
              <w:bottom w:w="55" w:type="dxa"/>
              <w:right w:w="65" w:type="dxa"/>
            </w:tcMar>
          </w:tcPr>
          <w:p w14:paraId="3B3503E0" w14:textId="77777777" w:rsidR="00436BC6" w:rsidRPr="00F239F5" w:rsidRDefault="00000000" w:rsidP="00D81527">
            <w:pPr>
              <w:spacing w:line="276" w:lineRule="auto"/>
              <w:jc w:val="center"/>
              <w:rPr>
                <w:rFonts w:ascii="Arial" w:hAnsi="Arial" w:cs="Arial"/>
                <w:sz w:val="16"/>
                <w:szCs w:val="16"/>
              </w:rPr>
            </w:pPr>
            <w:r w:rsidRPr="00F239F5">
              <w:rPr>
                <w:rFonts w:ascii="Arial" w:hAnsi="Arial" w:cs="Arial"/>
                <w:b/>
                <w:sz w:val="16"/>
                <w:szCs w:val="16"/>
              </w:rPr>
              <w:t>Revised Systematic Literature Review Dataset</w:t>
            </w:r>
          </w:p>
          <w:p w14:paraId="7BE26E94" w14:textId="77777777" w:rsidR="00436BC6" w:rsidRPr="00F239F5" w:rsidRDefault="00436BC6" w:rsidP="00D81527">
            <w:pPr>
              <w:spacing w:line="276" w:lineRule="auto"/>
              <w:rPr>
                <w:rFonts w:ascii="Arial" w:hAnsi="Arial" w:cs="Arial"/>
                <w:sz w:val="16"/>
                <w:szCs w:val="16"/>
              </w:rPr>
            </w:pPr>
          </w:p>
        </w:tc>
      </w:tr>
      <w:tr w:rsidR="00E740B3" w:rsidRPr="00F239F5" w14:paraId="286853ED" w14:textId="77777777">
        <w:trPr>
          <w:cantSplit/>
          <w:jc w:val="center"/>
        </w:trPr>
        <w:tc>
          <w:tcPr>
            <w:tcW w:w="3240" w:type="dxa"/>
            <w:shd w:val="clear" w:color="auto" w:fill="E7E6E6"/>
            <w:tcMar>
              <w:top w:w="55" w:type="dxa"/>
              <w:left w:w="65" w:type="dxa"/>
              <w:bottom w:w="55" w:type="dxa"/>
              <w:right w:w="65" w:type="dxa"/>
            </w:tcMar>
          </w:tcPr>
          <w:p w14:paraId="32C805B4" w14:textId="77777777" w:rsidR="00436BC6" w:rsidRPr="00F239F5" w:rsidRDefault="00000000" w:rsidP="00D81527">
            <w:pPr>
              <w:spacing w:line="276" w:lineRule="auto"/>
              <w:rPr>
                <w:rFonts w:ascii="Arial" w:hAnsi="Arial" w:cs="Arial"/>
                <w:sz w:val="16"/>
                <w:szCs w:val="16"/>
              </w:rPr>
            </w:pPr>
            <w:r w:rsidRPr="00F239F5">
              <w:rPr>
                <w:rFonts w:ascii="Arial" w:hAnsi="Arial" w:cs="Arial"/>
                <w:b/>
                <w:sz w:val="16"/>
                <w:szCs w:val="16"/>
              </w:rPr>
              <w:t>Topic</w:t>
            </w:r>
          </w:p>
        </w:tc>
        <w:tc>
          <w:tcPr>
            <w:tcW w:w="12456" w:type="dxa"/>
            <w:tcMar>
              <w:top w:w="55" w:type="dxa"/>
              <w:left w:w="65" w:type="dxa"/>
              <w:bottom w:w="55" w:type="dxa"/>
              <w:right w:w="65" w:type="dxa"/>
            </w:tcMar>
          </w:tcPr>
          <w:p w14:paraId="3E8FA98D"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The impact of digital transformation on customer loyalty: Tesco PLC / UK grocery retail</w:t>
            </w:r>
          </w:p>
        </w:tc>
      </w:tr>
      <w:tr w:rsidR="00E740B3" w:rsidRPr="00F239F5" w14:paraId="0228DB12" w14:textId="77777777">
        <w:trPr>
          <w:cantSplit/>
          <w:jc w:val="center"/>
        </w:trPr>
        <w:tc>
          <w:tcPr>
            <w:tcW w:w="3240" w:type="dxa"/>
            <w:shd w:val="clear" w:color="auto" w:fill="E7E6E6"/>
            <w:tcMar>
              <w:top w:w="55" w:type="dxa"/>
              <w:left w:w="65" w:type="dxa"/>
              <w:bottom w:w="55" w:type="dxa"/>
              <w:right w:w="65" w:type="dxa"/>
            </w:tcMar>
          </w:tcPr>
          <w:p w14:paraId="45686C6F" w14:textId="77777777" w:rsidR="00436BC6" w:rsidRPr="00F239F5" w:rsidRDefault="00000000" w:rsidP="00D81527">
            <w:pPr>
              <w:spacing w:line="276" w:lineRule="auto"/>
              <w:rPr>
                <w:rFonts w:ascii="Arial" w:hAnsi="Arial" w:cs="Arial"/>
                <w:sz w:val="16"/>
                <w:szCs w:val="16"/>
              </w:rPr>
            </w:pPr>
            <w:r w:rsidRPr="00F239F5">
              <w:rPr>
                <w:rFonts w:ascii="Arial" w:hAnsi="Arial" w:cs="Arial"/>
                <w:b/>
                <w:sz w:val="16"/>
                <w:szCs w:val="16"/>
              </w:rPr>
              <w:t>Selection approach</w:t>
            </w:r>
          </w:p>
        </w:tc>
        <w:tc>
          <w:tcPr>
            <w:tcW w:w="12456" w:type="dxa"/>
            <w:tcMar>
              <w:top w:w="55" w:type="dxa"/>
              <w:left w:w="65" w:type="dxa"/>
              <w:bottom w:w="55" w:type="dxa"/>
              <w:right w:w="65" w:type="dxa"/>
            </w:tcMar>
          </w:tcPr>
          <w:p w14:paraId="5214C726"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Retains strong foundational articles and adds recent peer-reviewed research from multiple major academic publishers.</w:t>
            </w:r>
          </w:p>
        </w:tc>
      </w:tr>
      <w:tr w:rsidR="00E740B3" w:rsidRPr="00F239F5" w14:paraId="313FE7DD" w14:textId="77777777">
        <w:trPr>
          <w:cantSplit/>
          <w:jc w:val="center"/>
        </w:trPr>
        <w:tc>
          <w:tcPr>
            <w:tcW w:w="3240" w:type="dxa"/>
            <w:shd w:val="clear" w:color="auto" w:fill="E7E6E6"/>
            <w:tcMar>
              <w:top w:w="55" w:type="dxa"/>
              <w:left w:w="65" w:type="dxa"/>
              <w:bottom w:w="55" w:type="dxa"/>
              <w:right w:w="65" w:type="dxa"/>
            </w:tcMar>
          </w:tcPr>
          <w:p w14:paraId="7468E1FB" w14:textId="77777777" w:rsidR="00436BC6" w:rsidRPr="00F239F5" w:rsidRDefault="00000000" w:rsidP="00D81527">
            <w:pPr>
              <w:spacing w:line="276" w:lineRule="auto"/>
              <w:rPr>
                <w:rFonts w:ascii="Arial" w:hAnsi="Arial" w:cs="Arial"/>
                <w:sz w:val="16"/>
                <w:szCs w:val="16"/>
              </w:rPr>
            </w:pPr>
            <w:r w:rsidRPr="00F239F5">
              <w:rPr>
                <w:rFonts w:ascii="Arial" w:hAnsi="Arial" w:cs="Arial"/>
                <w:b/>
                <w:sz w:val="16"/>
                <w:szCs w:val="16"/>
              </w:rPr>
              <w:t>Publisher balance</w:t>
            </w:r>
          </w:p>
        </w:tc>
        <w:tc>
          <w:tcPr>
            <w:tcW w:w="12456" w:type="dxa"/>
            <w:tcMar>
              <w:top w:w="55" w:type="dxa"/>
              <w:left w:w="65" w:type="dxa"/>
              <w:bottom w:w="55" w:type="dxa"/>
              <w:right w:w="65" w:type="dxa"/>
            </w:tcMar>
          </w:tcPr>
          <w:p w14:paraId="76B24CF9"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Elsevier/ScienceDirect is no longer the sole or dominant discovery platform; the table also includes Wiley, Springer Nature, Emerald, Taylor &amp; Francis, SAGE and MIS Quarterly.</w:t>
            </w:r>
          </w:p>
        </w:tc>
      </w:tr>
      <w:tr w:rsidR="00E740B3" w:rsidRPr="00F239F5" w14:paraId="53CE3FF7" w14:textId="77777777">
        <w:trPr>
          <w:cantSplit/>
          <w:jc w:val="center"/>
        </w:trPr>
        <w:tc>
          <w:tcPr>
            <w:tcW w:w="3240" w:type="dxa"/>
            <w:shd w:val="clear" w:color="auto" w:fill="E7E6E6"/>
            <w:tcMar>
              <w:top w:w="55" w:type="dxa"/>
              <w:left w:w="65" w:type="dxa"/>
              <w:bottom w:w="55" w:type="dxa"/>
              <w:right w:w="65" w:type="dxa"/>
            </w:tcMar>
          </w:tcPr>
          <w:p w14:paraId="7BAEE96A" w14:textId="77777777" w:rsidR="00436BC6" w:rsidRPr="00F239F5" w:rsidRDefault="00000000" w:rsidP="00D81527">
            <w:pPr>
              <w:spacing w:line="276" w:lineRule="auto"/>
              <w:rPr>
                <w:rFonts w:ascii="Arial" w:hAnsi="Arial" w:cs="Arial"/>
                <w:sz w:val="16"/>
                <w:szCs w:val="16"/>
              </w:rPr>
            </w:pPr>
            <w:r w:rsidRPr="00F239F5">
              <w:rPr>
                <w:rFonts w:ascii="Arial" w:hAnsi="Arial" w:cs="Arial"/>
                <w:b/>
                <w:sz w:val="16"/>
                <w:szCs w:val="16"/>
              </w:rPr>
              <w:t>Recency rule</w:t>
            </w:r>
          </w:p>
        </w:tc>
        <w:tc>
          <w:tcPr>
            <w:tcW w:w="12456" w:type="dxa"/>
            <w:tcMar>
              <w:top w:w="55" w:type="dxa"/>
              <w:left w:w="65" w:type="dxa"/>
              <w:bottom w:w="55" w:type="dxa"/>
              <w:right w:w="65" w:type="dxa"/>
            </w:tcMar>
          </w:tcPr>
          <w:p w14:paraId="003D897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Recent empirical/review articles are prioritised, while older studies are retained only where they are foundational or directly relevant.</w:t>
            </w:r>
          </w:p>
        </w:tc>
      </w:tr>
      <w:tr w:rsidR="00E740B3" w:rsidRPr="00F239F5" w14:paraId="171E3559" w14:textId="77777777">
        <w:trPr>
          <w:cantSplit/>
          <w:jc w:val="center"/>
        </w:trPr>
        <w:tc>
          <w:tcPr>
            <w:tcW w:w="3240" w:type="dxa"/>
            <w:shd w:val="clear" w:color="auto" w:fill="E7E6E6"/>
            <w:tcMar>
              <w:top w:w="55" w:type="dxa"/>
              <w:left w:w="65" w:type="dxa"/>
              <w:bottom w:w="55" w:type="dxa"/>
              <w:right w:w="65" w:type="dxa"/>
            </w:tcMar>
          </w:tcPr>
          <w:p w14:paraId="2A78BC01" w14:textId="77777777" w:rsidR="00436BC6" w:rsidRPr="00F239F5" w:rsidRDefault="00000000" w:rsidP="00D81527">
            <w:pPr>
              <w:spacing w:line="276" w:lineRule="auto"/>
              <w:rPr>
                <w:rFonts w:ascii="Arial" w:hAnsi="Arial" w:cs="Arial"/>
                <w:sz w:val="16"/>
                <w:szCs w:val="16"/>
              </w:rPr>
            </w:pPr>
            <w:r w:rsidRPr="00F239F5">
              <w:rPr>
                <w:rFonts w:ascii="Arial" w:hAnsi="Arial" w:cs="Arial"/>
                <w:b/>
                <w:sz w:val="16"/>
                <w:szCs w:val="16"/>
              </w:rPr>
              <w:t>Important use note</w:t>
            </w:r>
          </w:p>
        </w:tc>
        <w:tc>
          <w:tcPr>
            <w:tcW w:w="12456" w:type="dxa"/>
            <w:tcMar>
              <w:top w:w="55" w:type="dxa"/>
              <w:left w:w="65" w:type="dxa"/>
              <w:bottom w:w="55" w:type="dxa"/>
              <w:right w:w="65" w:type="dxa"/>
            </w:tcMar>
          </w:tcPr>
          <w:p w14:paraId="74D128FC"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The DOI/article URL is included for verification. Cite the journal article itself—not the publisher website—in the dissertation.</w:t>
            </w:r>
          </w:p>
        </w:tc>
      </w:tr>
      <w:tr w:rsidR="00E740B3" w:rsidRPr="00F239F5" w14:paraId="0A1109E0" w14:textId="77777777">
        <w:trPr>
          <w:cantSplit/>
          <w:jc w:val="center"/>
        </w:trPr>
        <w:tc>
          <w:tcPr>
            <w:tcW w:w="3240" w:type="dxa"/>
            <w:shd w:val="clear" w:color="auto" w:fill="E7E6E6"/>
            <w:tcMar>
              <w:top w:w="55" w:type="dxa"/>
              <w:left w:w="65" w:type="dxa"/>
              <w:bottom w:w="55" w:type="dxa"/>
              <w:right w:w="65" w:type="dxa"/>
            </w:tcMar>
          </w:tcPr>
          <w:p w14:paraId="7CF15D16" w14:textId="77777777" w:rsidR="00436BC6" w:rsidRPr="00F239F5" w:rsidRDefault="00000000" w:rsidP="00D81527">
            <w:pPr>
              <w:spacing w:line="276" w:lineRule="auto"/>
              <w:rPr>
                <w:rFonts w:ascii="Arial" w:hAnsi="Arial" w:cs="Arial"/>
                <w:sz w:val="16"/>
                <w:szCs w:val="16"/>
              </w:rPr>
            </w:pPr>
            <w:r w:rsidRPr="00F239F5">
              <w:rPr>
                <w:rFonts w:ascii="Arial" w:hAnsi="Arial" w:cs="Arial"/>
                <w:b/>
                <w:sz w:val="16"/>
                <w:szCs w:val="16"/>
              </w:rPr>
              <w:t>RQ1</w:t>
            </w:r>
          </w:p>
        </w:tc>
        <w:tc>
          <w:tcPr>
            <w:tcW w:w="12456" w:type="dxa"/>
            <w:tcMar>
              <w:top w:w="55" w:type="dxa"/>
              <w:left w:w="65" w:type="dxa"/>
              <w:bottom w:w="55" w:type="dxa"/>
              <w:right w:w="65" w:type="dxa"/>
            </w:tcMar>
          </w:tcPr>
          <w:p w14:paraId="528D1951"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What are the key digital transformation initiatives implemented by Tesco PLC?</w:t>
            </w:r>
          </w:p>
        </w:tc>
      </w:tr>
      <w:tr w:rsidR="00E740B3" w:rsidRPr="00F239F5" w14:paraId="2B70A038" w14:textId="77777777">
        <w:trPr>
          <w:cantSplit/>
          <w:jc w:val="center"/>
        </w:trPr>
        <w:tc>
          <w:tcPr>
            <w:tcW w:w="3240" w:type="dxa"/>
            <w:shd w:val="clear" w:color="auto" w:fill="E7E6E6"/>
            <w:tcMar>
              <w:top w:w="55" w:type="dxa"/>
              <w:left w:w="65" w:type="dxa"/>
              <w:bottom w:w="55" w:type="dxa"/>
              <w:right w:w="65" w:type="dxa"/>
            </w:tcMar>
          </w:tcPr>
          <w:p w14:paraId="4AB49ADC" w14:textId="77777777" w:rsidR="00436BC6" w:rsidRPr="00F239F5" w:rsidRDefault="00000000" w:rsidP="00D81527">
            <w:pPr>
              <w:spacing w:line="276" w:lineRule="auto"/>
              <w:rPr>
                <w:rFonts w:ascii="Arial" w:hAnsi="Arial" w:cs="Arial"/>
                <w:sz w:val="16"/>
                <w:szCs w:val="16"/>
              </w:rPr>
            </w:pPr>
            <w:r w:rsidRPr="00F239F5">
              <w:rPr>
                <w:rFonts w:ascii="Arial" w:hAnsi="Arial" w:cs="Arial"/>
                <w:b/>
                <w:sz w:val="16"/>
                <w:szCs w:val="16"/>
              </w:rPr>
              <w:t>RQ2</w:t>
            </w:r>
          </w:p>
        </w:tc>
        <w:tc>
          <w:tcPr>
            <w:tcW w:w="12456" w:type="dxa"/>
            <w:tcMar>
              <w:top w:w="55" w:type="dxa"/>
              <w:left w:w="65" w:type="dxa"/>
              <w:bottom w:w="55" w:type="dxa"/>
              <w:right w:w="65" w:type="dxa"/>
            </w:tcMar>
          </w:tcPr>
          <w:p w14:paraId="0DA5C483"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How do Tesco PLC's digital transformation initiatives influence satisfaction, engagement and loyalty?</w:t>
            </w:r>
          </w:p>
        </w:tc>
      </w:tr>
      <w:tr w:rsidR="00E740B3" w:rsidRPr="00F239F5" w14:paraId="5A94FF96" w14:textId="77777777">
        <w:trPr>
          <w:cantSplit/>
          <w:jc w:val="center"/>
        </w:trPr>
        <w:tc>
          <w:tcPr>
            <w:tcW w:w="3240" w:type="dxa"/>
            <w:shd w:val="clear" w:color="auto" w:fill="E7E6E6"/>
            <w:tcMar>
              <w:top w:w="55" w:type="dxa"/>
              <w:left w:w="65" w:type="dxa"/>
              <w:bottom w:w="55" w:type="dxa"/>
              <w:right w:w="65" w:type="dxa"/>
            </w:tcMar>
          </w:tcPr>
          <w:p w14:paraId="1ABF5AE3" w14:textId="77777777" w:rsidR="00436BC6" w:rsidRPr="00F239F5" w:rsidRDefault="00000000" w:rsidP="00D81527">
            <w:pPr>
              <w:spacing w:line="276" w:lineRule="auto"/>
              <w:rPr>
                <w:rFonts w:ascii="Arial" w:hAnsi="Arial" w:cs="Arial"/>
                <w:sz w:val="16"/>
                <w:szCs w:val="16"/>
              </w:rPr>
            </w:pPr>
            <w:r w:rsidRPr="00F239F5">
              <w:rPr>
                <w:rFonts w:ascii="Arial" w:hAnsi="Arial" w:cs="Arial"/>
                <w:b/>
                <w:sz w:val="16"/>
                <w:szCs w:val="16"/>
              </w:rPr>
              <w:t>RQ3</w:t>
            </w:r>
          </w:p>
        </w:tc>
        <w:tc>
          <w:tcPr>
            <w:tcW w:w="12456" w:type="dxa"/>
            <w:tcMar>
              <w:top w:w="55" w:type="dxa"/>
              <w:left w:w="65" w:type="dxa"/>
              <w:bottom w:w="55" w:type="dxa"/>
              <w:right w:w="65" w:type="dxa"/>
            </w:tcMar>
          </w:tcPr>
          <w:p w14:paraId="3A0E8870" w14:textId="77777777" w:rsidR="00436BC6" w:rsidRPr="00F239F5" w:rsidRDefault="00000000" w:rsidP="00D81527">
            <w:pPr>
              <w:spacing w:line="276" w:lineRule="auto"/>
              <w:rPr>
                <w:rFonts w:ascii="Arial" w:hAnsi="Arial" w:cs="Arial"/>
                <w:sz w:val="16"/>
                <w:szCs w:val="16"/>
              </w:rPr>
            </w:pPr>
            <w:r w:rsidRPr="00F239F5">
              <w:rPr>
                <w:rFonts w:ascii="Arial" w:hAnsi="Arial" w:cs="Arial"/>
                <w:sz w:val="16"/>
                <w:szCs w:val="16"/>
              </w:rPr>
              <w:t>What strategies can Tesco PLC adopt to strengthen customer loyalty through digital transformation?</w:t>
            </w:r>
          </w:p>
        </w:tc>
      </w:tr>
    </w:tbl>
    <w:p w14:paraId="211E0199" w14:textId="77777777" w:rsidR="00F2336C" w:rsidRPr="00D81527" w:rsidRDefault="00F2336C" w:rsidP="00D81527">
      <w:pPr>
        <w:spacing w:after="200" w:line="276" w:lineRule="auto"/>
        <w:rPr>
          <w:sz w:val="16"/>
          <w:szCs w:val="16"/>
        </w:rPr>
      </w:pPr>
    </w:p>
    <w:sectPr w:rsidR="00F2336C" w:rsidRPr="00D81527" w:rsidSect="00034616">
      <w:pgSz w:w="16838" w:h="11906" w:orient="landscape"/>
      <w:pgMar w:top="504" w:right="432" w:bottom="504" w:left="43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551F82" w14:textId="77777777" w:rsidR="00384DB7" w:rsidRDefault="00384DB7">
      <w:r>
        <w:separator/>
      </w:r>
    </w:p>
  </w:endnote>
  <w:endnote w:type="continuationSeparator" w:id="0">
    <w:p w14:paraId="6338896E" w14:textId="77777777" w:rsidR="00384DB7" w:rsidRDefault="00384D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Ink Free">
    <w:panose1 w:val="03080402000500000000"/>
    <w:charset w:val="00"/>
    <w:family w:val="script"/>
    <w:pitch w:val="variable"/>
    <w:sig w:usb0="8000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786063"/>
      <w:docPartObj>
        <w:docPartGallery w:val="Page Numbers (Bottom of Page)"/>
        <w:docPartUnique/>
      </w:docPartObj>
    </w:sdtPr>
    <w:sdtEndPr>
      <w:rPr>
        <w:noProof/>
      </w:rPr>
    </w:sdtEndPr>
    <w:sdtContent>
      <w:p w14:paraId="5685DFBD" w14:textId="77777777" w:rsidR="009A7038" w:rsidRDefault="00000000">
        <w:pPr>
          <w:pStyle w:val="Footer"/>
          <w:jc w:val="right"/>
        </w:pPr>
        <w:r>
          <w:fldChar w:fldCharType="begin"/>
        </w:r>
        <w:r>
          <w:instrText xml:space="preserve"> PAGE   \* MERGEFORMAT </w:instrText>
        </w:r>
        <w:r>
          <w:fldChar w:fldCharType="separate"/>
        </w:r>
        <w:r>
          <w:rPr>
            <w:noProof/>
          </w:rPr>
          <w:t>67</w:t>
        </w:r>
        <w:r>
          <w:rPr>
            <w:noProof/>
          </w:rPr>
          <w:fldChar w:fldCharType="end"/>
        </w:r>
      </w:p>
    </w:sdtContent>
  </w:sdt>
  <w:p w14:paraId="68E5478D" w14:textId="77777777" w:rsidR="009A7038" w:rsidRDefault="009A70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3C55D" w14:textId="77777777" w:rsidR="00384DB7" w:rsidRDefault="00384DB7">
      <w:r>
        <w:separator/>
      </w:r>
    </w:p>
  </w:footnote>
  <w:footnote w:type="continuationSeparator" w:id="0">
    <w:p w14:paraId="4D3B3E93" w14:textId="77777777" w:rsidR="00384DB7" w:rsidRDefault="00384D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40EF4"/>
    <w:multiLevelType w:val="hybridMultilevel"/>
    <w:tmpl w:val="98DEE97C"/>
    <w:lvl w:ilvl="0" w:tplc="EA569710">
      <w:start w:val="1"/>
      <w:numFmt w:val="decimal"/>
      <w:lvlText w:val="%1."/>
      <w:lvlJc w:val="left"/>
      <w:pPr>
        <w:ind w:left="720" w:hanging="360"/>
      </w:pPr>
    </w:lvl>
    <w:lvl w:ilvl="1" w:tplc="C62AF330" w:tentative="1">
      <w:start w:val="1"/>
      <w:numFmt w:val="lowerLetter"/>
      <w:lvlText w:val="%2."/>
      <w:lvlJc w:val="left"/>
      <w:pPr>
        <w:ind w:left="1440" w:hanging="360"/>
      </w:pPr>
    </w:lvl>
    <w:lvl w:ilvl="2" w:tplc="1A00D814" w:tentative="1">
      <w:start w:val="1"/>
      <w:numFmt w:val="lowerRoman"/>
      <w:lvlText w:val="%3."/>
      <w:lvlJc w:val="right"/>
      <w:pPr>
        <w:ind w:left="2160" w:hanging="180"/>
      </w:pPr>
    </w:lvl>
    <w:lvl w:ilvl="3" w:tplc="1E027B5E" w:tentative="1">
      <w:start w:val="1"/>
      <w:numFmt w:val="decimal"/>
      <w:lvlText w:val="%4."/>
      <w:lvlJc w:val="left"/>
      <w:pPr>
        <w:ind w:left="2880" w:hanging="360"/>
      </w:pPr>
    </w:lvl>
    <w:lvl w:ilvl="4" w:tplc="41E45CD0" w:tentative="1">
      <w:start w:val="1"/>
      <w:numFmt w:val="lowerLetter"/>
      <w:lvlText w:val="%5."/>
      <w:lvlJc w:val="left"/>
      <w:pPr>
        <w:ind w:left="3600" w:hanging="360"/>
      </w:pPr>
    </w:lvl>
    <w:lvl w:ilvl="5" w:tplc="FFD05308" w:tentative="1">
      <w:start w:val="1"/>
      <w:numFmt w:val="lowerRoman"/>
      <w:lvlText w:val="%6."/>
      <w:lvlJc w:val="right"/>
      <w:pPr>
        <w:ind w:left="4320" w:hanging="180"/>
      </w:pPr>
    </w:lvl>
    <w:lvl w:ilvl="6" w:tplc="E1647B4E" w:tentative="1">
      <w:start w:val="1"/>
      <w:numFmt w:val="decimal"/>
      <w:lvlText w:val="%7."/>
      <w:lvlJc w:val="left"/>
      <w:pPr>
        <w:ind w:left="5040" w:hanging="360"/>
      </w:pPr>
    </w:lvl>
    <w:lvl w:ilvl="7" w:tplc="D0BC739C" w:tentative="1">
      <w:start w:val="1"/>
      <w:numFmt w:val="lowerLetter"/>
      <w:lvlText w:val="%8."/>
      <w:lvlJc w:val="left"/>
      <w:pPr>
        <w:ind w:left="5760" w:hanging="360"/>
      </w:pPr>
    </w:lvl>
    <w:lvl w:ilvl="8" w:tplc="A2F29C86" w:tentative="1">
      <w:start w:val="1"/>
      <w:numFmt w:val="lowerRoman"/>
      <w:lvlText w:val="%9."/>
      <w:lvlJc w:val="right"/>
      <w:pPr>
        <w:ind w:left="6480" w:hanging="180"/>
      </w:pPr>
    </w:lvl>
  </w:abstractNum>
  <w:abstractNum w:abstractNumId="1" w15:restartNumberingAfterBreak="0">
    <w:nsid w:val="7F942781"/>
    <w:multiLevelType w:val="hybridMultilevel"/>
    <w:tmpl w:val="5E58BB84"/>
    <w:lvl w:ilvl="0" w:tplc="A28C6AE4">
      <w:start w:val="1"/>
      <w:numFmt w:val="decimal"/>
      <w:lvlText w:val="%1."/>
      <w:lvlJc w:val="left"/>
      <w:pPr>
        <w:ind w:left="720" w:hanging="360"/>
      </w:pPr>
    </w:lvl>
    <w:lvl w:ilvl="1" w:tplc="29DE87AE" w:tentative="1">
      <w:start w:val="1"/>
      <w:numFmt w:val="lowerLetter"/>
      <w:lvlText w:val="%2."/>
      <w:lvlJc w:val="left"/>
      <w:pPr>
        <w:ind w:left="1440" w:hanging="360"/>
      </w:pPr>
    </w:lvl>
    <w:lvl w:ilvl="2" w:tplc="B8320378" w:tentative="1">
      <w:start w:val="1"/>
      <w:numFmt w:val="lowerRoman"/>
      <w:lvlText w:val="%3."/>
      <w:lvlJc w:val="right"/>
      <w:pPr>
        <w:ind w:left="2160" w:hanging="180"/>
      </w:pPr>
    </w:lvl>
    <w:lvl w:ilvl="3" w:tplc="6BB0C896" w:tentative="1">
      <w:start w:val="1"/>
      <w:numFmt w:val="decimal"/>
      <w:lvlText w:val="%4."/>
      <w:lvlJc w:val="left"/>
      <w:pPr>
        <w:ind w:left="2880" w:hanging="360"/>
      </w:pPr>
    </w:lvl>
    <w:lvl w:ilvl="4" w:tplc="AEEC272E" w:tentative="1">
      <w:start w:val="1"/>
      <w:numFmt w:val="lowerLetter"/>
      <w:lvlText w:val="%5."/>
      <w:lvlJc w:val="left"/>
      <w:pPr>
        <w:ind w:left="3600" w:hanging="360"/>
      </w:pPr>
    </w:lvl>
    <w:lvl w:ilvl="5" w:tplc="807A5C7A" w:tentative="1">
      <w:start w:val="1"/>
      <w:numFmt w:val="lowerRoman"/>
      <w:lvlText w:val="%6."/>
      <w:lvlJc w:val="right"/>
      <w:pPr>
        <w:ind w:left="4320" w:hanging="180"/>
      </w:pPr>
    </w:lvl>
    <w:lvl w:ilvl="6" w:tplc="4A2C02A6" w:tentative="1">
      <w:start w:val="1"/>
      <w:numFmt w:val="decimal"/>
      <w:lvlText w:val="%7."/>
      <w:lvlJc w:val="left"/>
      <w:pPr>
        <w:ind w:left="5040" w:hanging="360"/>
      </w:pPr>
    </w:lvl>
    <w:lvl w:ilvl="7" w:tplc="19D2D7EE" w:tentative="1">
      <w:start w:val="1"/>
      <w:numFmt w:val="lowerLetter"/>
      <w:lvlText w:val="%8."/>
      <w:lvlJc w:val="left"/>
      <w:pPr>
        <w:ind w:left="5760" w:hanging="360"/>
      </w:pPr>
    </w:lvl>
    <w:lvl w:ilvl="8" w:tplc="7FB858BC" w:tentative="1">
      <w:start w:val="1"/>
      <w:numFmt w:val="lowerRoman"/>
      <w:lvlText w:val="%9."/>
      <w:lvlJc w:val="right"/>
      <w:pPr>
        <w:ind w:left="6480" w:hanging="180"/>
      </w:pPr>
    </w:lvl>
  </w:abstractNum>
  <w:num w:numId="1" w16cid:durableId="330449750">
    <w:abstractNumId w:val="1"/>
  </w:num>
  <w:num w:numId="2" w16cid:durableId="2083870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B3E"/>
    <w:rsid w:val="00056108"/>
    <w:rsid w:val="00063DFC"/>
    <w:rsid w:val="00077CD0"/>
    <w:rsid w:val="00080852"/>
    <w:rsid w:val="000912FC"/>
    <w:rsid w:val="000A1E8A"/>
    <w:rsid w:val="000B72FF"/>
    <w:rsid w:val="000C28BD"/>
    <w:rsid w:val="000C7C07"/>
    <w:rsid w:val="000E29EC"/>
    <w:rsid w:val="000E7EF4"/>
    <w:rsid w:val="000F2FA7"/>
    <w:rsid w:val="0018592E"/>
    <w:rsid w:val="001963CF"/>
    <w:rsid w:val="001A5DB0"/>
    <w:rsid w:val="001E66C4"/>
    <w:rsid w:val="002024F6"/>
    <w:rsid w:val="00203A9B"/>
    <w:rsid w:val="00224447"/>
    <w:rsid w:val="002451B9"/>
    <w:rsid w:val="00274608"/>
    <w:rsid w:val="00277945"/>
    <w:rsid w:val="002A7116"/>
    <w:rsid w:val="00307257"/>
    <w:rsid w:val="00327ACA"/>
    <w:rsid w:val="00331B1F"/>
    <w:rsid w:val="00384DB7"/>
    <w:rsid w:val="003B0292"/>
    <w:rsid w:val="003C14DB"/>
    <w:rsid w:val="0040057E"/>
    <w:rsid w:val="00436BC6"/>
    <w:rsid w:val="004856A4"/>
    <w:rsid w:val="004C7656"/>
    <w:rsid w:val="004D409B"/>
    <w:rsid w:val="004F0745"/>
    <w:rsid w:val="004F521F"/>
    <w:rsid w:val="00500E2D"/>
    <w:rsid w:val="00517156"/>
    <w:rsid w:val="00551023"/>
    <w:rsid w:val="00561BA1"/>
    <w:rsid w:val="005678E6"/>
    <w:rsid w:val="005756E7"/>
    <w:rsid w:val="00591185"/>
    <w:rsid w:val="005949B1"/>
    <w:rsid w:val="005B61D8"/>
    <w:rsid w:val="005E3857"/>
    <w:rsid w:val="00615D93"/>
    <w:rsid w:val="0061719E"/>
    <w:rsid w:val="006D4218"/>
    <w:rsid w:val="006F6A41"/>
    <w:rsid w:val="0070300A"/>
    <w:rsid w:val="00773579"/>
    <w:rsid w:val="007D3679"/>
    <w:rsid w:val="00810C40"/>
    <w:rsid w:val="0081613F"/>
    <w:rsid w:val="0083716A"/>
    <w:rsid w:val="0086322F"/>
    <w:rsid w:val="0088660A"/>
    <w:rsid w:val="008A55BC"/>
    <w:rsid w:val="008B2BC8"/>
    <w:rsid w:val="008C4266"/>
    <w:rsid w:val="008F3D51"/>
    <w:rsid w:val="00934FD4"/>
    <w:rsid w:val="00961A78"/>
    <w:rsid w:val="00996285"/>
    <w:rsid w:val="009A7038"/>
    <w:rsid w:val="009D2CC5"/>
    <w:rsid w:val="00A037A0"/>
    <w:rsid w:val="00A07DD4"/>
    <w:rsid w:val="00A170C1"/>
    <w:rsid w:val="00A274B8"/>
    <w:rsid w:val="00A77B3E"/>
    <w:rsid w:val="00AA2637"/>
    <w:rsid w:val="00AC696F"/>
    <w:rsid w:val="00AE45AD"/>
    <w:rsid w:val="00B44877"/>
    <w:rsid w:val="00B61DA2"/>
    <w:rsid w:val="00B710DA"/>
    <w:rsid w:val="00B77284"/>
    <w:rsid w:val="00BB49F4"/>
    <w:rsid w:val="00C54319"/>
    <w:rsid w:val="00C769EF"/>
    <w:rsid w:val="00C97BB4"/>
    <w:rsid w:val="00CA2A55"/>
    <w:rsid w:val="00D30959"/>
    <w:rsid w:val="00D47393"/>
    <w:rsid w:val="00D63457"/>
    <w:rsid w:val="00D81527"/>
    <w:rsid w:val="00DA4113"/>
    <w:rsid w:val="00E0460A"/>
    <w:rsid w:val="00E3168C"/>
    <w:rsid w:val="00E340F6"/>
    <w:rsid w:val="00E4236F"/>
    <w:rsid w:val="00E55061"/>
    <w:rsid w:val="00E740B3"/>
    <w:rsid w:val="00E97E84"/>
    <w:rsid w:val="00EC1B98"/>
    <w:rsid w:val="00EE3DF0"/>
    <w:rsid w:val="00EE4E54"/>
    <w:rsid w:val="00EE6CD9"/>
    <w:rsid w:val="00F16B6C"/>
    <w:rsid w:val="00F2336C"/>
    <w:rsid w:val="00F239F5"/>
    <w:rsid w:val="00F44722"/>
    <w:rsid w:val="00F71114"/>
    <w:rsid w:val="00FF30A8"/>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3AA3A4"/>
  <w15:docId w15:val="{F8AAAECE-DCA5-4499-B706-8EE50D4D1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uiPriority w:val="9"/>
    <w:qFormat/>
    <w:rsid w:val="000E29EC"/>
    <w:pPr>
      <w:spacing w:before="120" w:after="120"/>
      <w:outlineLvl w:val="0"/>
    </w:pPr>
    <w:rPr>
      <w:rFonts w:ascii="Arial" w:hAnsi="Arial"/>
      <w:b/>
      <w:color w:val="000000" w:themeColor="text1"/>
      <w:sz w:val="32"/>
      <w:szCs w:val="32"/>
      <w:lang w:val="en-AU" w:eastAsia="en-AU"/>
    </w:rPr>
  </w:style>
  <w:style w:type="paragraph" w:styleId="Heading2">
    <w:name w:val="heading 2"/>
    <w:uiPriority w:val="9"/>
    <w:unhideWhenUsed/>
    <w:qFormat/>
    <w:rsid w:val="005E3857"/>
    <w:pPr>
      <w:spacing w:before="240" w:after="240"/>
      <w:outlineLvl w:val="1"/>
    </w:pPr>
    <w:rPr>
      <w:rFonts w:ascii="Arial" w:hAnsi="Arial"/>
      <w:color w:val="000000" w:themeColor="text1"/>
      <w:sz w:val="28"/>
      <w:szCs w:val="26"/>
      <w:lang w:val="en-AU" w:eastAsia="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A7038"/>
    <w:pPr>
      <w:tabs>
        <w:tab w:val="center" w:pos="4513"/>
        <w:tab w:val="right" w:pos="9026"/>
      </w:tabs>
    </w:pPr>
    <w:rPr>
      <w:lang w:val="en-AU" w:eastAsia="en-AU"/>
    </w:rPr>
  </w:style>
  <w:style w:type="character" w:customStyle="1" w:styleId="FooterChar">
    <w:name w:val="Footer Char"/>
    <w:basedOn w:val="DefaultParagraphFont"/>
    <w:link w:val="Footer"/>
    <w:uiPriority w:val="99"/>
    <w:rsid w:val="009A7038"/>
    <w:rPr>
      <w:sz w:val="24"/>
      <w:szCs w:val="24"/>
      <w:lang w:val="en-AU" w:eastAsia="en-AU" w:bidi="ar-SA"/>
    </w:rPr>
  </w:style>
  <w:style w:type="paragraph" w:styleId="TOCHeading">
    <w:name w:val="TOC Heading"/>
    <w:basedOn w:val="Heading1"/>
    <w:next w:val="Normal"/>
    <w:uiPriority w:val="39"/>
    <w:unhideWhenUsed/>
    <w:qFormat/>
    <w:rsid w:val="000E29EC"/>
    <w:pPr>
      <w:keepNext/>
      <w:keepLines/>
      <w:spacing w:before="240" w:after="0" w:line="259" w:lineRule="auto"/>
      <w:outlineLvl w:val="9"/>
    </w:pPr>
    <w:rPr>
      <w:rFonts w:asciiTheme="majorHAnsi" w:eastAsiaTheme="majorEastAsia" w:hAnsiTheme="majorHAnsi" w:cstheme="majorBidi"/>
      <w:b w:val="0"/>
      <w:color w:val="0F4761" w:themeColor="accent1" w:themeShade="BF"/>
      <w:lang w:val="en-US" w:eastAsia="en-US"/>
    </w:rPr>
  </w:style>
  <w:style w:type="character" w:styleId="Hyperlink">
    <w:name w:val="Hyperlink"/>
    <w:uiPriority w:val="99"/>
    <w:unhideWhenUsed/>
    <w:rPr>
      <w:color w:val="0563C1"/>
      <w:u w:val="single"/>
    </w:rPr>
  </w:style>
  <w:style w:type="paragraph" w:styleId="TOC1">
    <w:name w:val="toc 1"/>
    <w:basedOn w:val="Normal"/>
    <w:next w:val="Normal"/>
    <w:autoRedefine/>
    <w:uiPriority w:val="39"/>
    <w:unhideWhenUsed/>
    <w:rsid w:val="000E29EC"/>
    <w:pPr>
      <w:spacing w:after="100"/>
    </w:pPr>
    <w:rPr>
      <w:lang w:val="en-AU" w:eastAsia="en-AU"/>
    </w:rPr>
  </w:style>
  <w:style w:type="paragraph" w:styleId="TOC2">
    <w:name w:val="toc 2"/>
    <w:basedOn w:val="Normal"/>
    <w:next w:val="Normal"/>
    <w:autoRedefine/>
    <w:uiPriority w:val="39"/>
    <w:unhideWhenUsed/>
    <w:rsid w:val="000E29EC"/>
    <w:pPr>
      <w:spacing w:after="100"/>
      <w:ind w:left="240"/>
    </w:pPr>
    <w:rPr>
      <w:lang w:val="en-AU" w:eastAsia="en-AU"/>
    </w:rPr>
  </w:style>
  <w:style w:type="paragraph" w:styleId="ListParagraph">
    <w:name w:val="List Paragraph"/>
    <w:qFormat/>
    <w:rPr>
      <w:sz w:val="24"/>
      <w:szCs w:val="24"/>
      <w:lang w:val="en-AU" w:eastAsia="en-AU"/>
    </w:rPr>
  </w:style>
  <w:style w:type="character" w:styleId="Strong">
    <w:name w:val="Strong"/>
    <w:basedOn w:val="DefaultParagraphFont"/>
    <w:uiPriority w:val="22"/>
    <w:qFormat/>
    <w:rsid w:val="00AE45AD"/>
    <w:rPr>
      <w:b/>
      <w:bCs/>
    </w:rPr>
  </w:style>
  <w:style w:type="paragraph" w:customStyle="1" w:styleId="pdq2pgselectionanchorcontainer">
    <w:name w:val="pdq2pg_selectionanchorcontainer"/>
    <w:basedOn w:val="Normal"/>
    <w:rsid w:val="00AE45AD"/>
    <w:pPr>
      <w:spacing w:before="100" w:beforeAutospacing="1" w:after="100" w:afterAutospacing="1"/>
    </w:pPr>
    <w:rPr>
      <w:lang w:val="en-IN" w:eastAsia="en-IN"/>
    </w:rPr>
  </w:style>
  <w:style w:type="paragraph" w:styleId="NormalWeb">
    <w:name w:val="Normal (Web)"/>
    <w:basedOn w:val="Normal"/>
    <w:uiPriority w:val="99"/>
    <w:semiHidden/>
    <w:unhideWhenUsed/>
    <w:rsid w:val="00AE45AD"/>
    <w:pPr>
      <w:spacing w:before="100" w:beforeAutospacing="1" w:after="100" w:afterAutospacing="1"/>
    </w:pPr>
    <w:rPr>
      <w:lang w:val="en-IN" w:eastAsia="en-IN"/>
    </w:rPr>
  </w:style>
  <w:style w:type="table" w:styleId="GridTable4-Accent2">
    <w:name w:val="Grid Table 4 Accent 2"/>
    <w:basedOn w:val="TableNormal"/>
    <w:uiPriority w:val="49"/>
    <w:rsid w:val="00A274B8"/>
    <w:rPr>
      <w:sz w:val="24"/>
      <w:szCs w:val="24"/>
      <w:lang w:val="en-AU" w:eastAsia="en-AU"/>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Accent6">
    <w:name w:val="Grid Table 2 Accent 6"/>
    <w:basedOn w:val="TableNormal"/>
    <w:uiPriority w:val="47"/>
    <w:rsid w:val="00A274B8"/>
    <w:rPr>
      <w:sz w:val="24"/>
      <w:szCs w:val="24"/>
      <w:lang w:val="en-AU" w:eastAsia="en-AU"/>
    </w:r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2-Accent1">
    <w:name w:val="Grid Table 2 Accent 1"/>
    <w:basedOn w:val="TableNormal"/>
    <w:uiPriority w:val="47"/>
    <w:rsid w:val="00A274B8"/>
    <w:rPr>
      <w:sz w:val="24"/>
      <w:szCs w:val="24"/>
      <w:lang w:val="en-AU" w:eastAsia="en-AU"/>
    </w:r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2-Accent2">
    <w:name w:val="List Table 2 Accent 2"/>
    <w:basedOn w:val="TableNormal"/>
    <w:uiPriority w:val="47"/>
    <w:rsid w:val="00A274B8"/>
    <w:rPr>
      <w:sz w:val="24"/>
      <w:szCs w:val="24"/>
      <w:lang w:val="en-AU" w:eastAsia="en-AU"/>
    </w:rPr>
    <w:tblPr>
      <w:tblStyleRowBandSize w:val="1"/>
      <w:tblStyleColBandSize w:val="1"/>
      <w:tblBorders>
        <w:top w:val="single" w:sz="4" w:space="0" w:color="F1A983" w:themeColor="accent2" w:themeTint="99"/>
        <w:bottom w:val="single" w:sz="4" w:space="0" w:color="F1A983" w:themeColor="accent2" w:themeTint="99"/>
        <w:insideH w:val="single" w:sz="4" w:space="0" w:color="F1A9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3-Accent1">
    <w:name w:val="List Table 3 Accent 1"/>
    <w:basedOn w:val="TableNormal"/>
    <w:uiPriority w:val="48"/>
    <w:rsid w:val="00A274B8"/>
    <w:rPr>
      <w:sz w:val="24"/>
      <w:szCs w:val="24"/>
      <w:lang w:val="en-AU" w:eastAsia="en-AU"/>
    </w:r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GridTable6Colorful">
    <w:name w:val="Grid Table 6 Colorful"/>
    <w:basedOn w:val="TableNormal"/>
    <w:uiPriority w:val="51"/>
    <w:rsid w:val="005E3857"/>
    <w:rPr>
      <w:color w:val="000000" w:themeColor="text1"/>
      <w:sz w:val="24"/>
      <w:szCs w:val="24"/>
      <w:lang w:val="en-AU" w:eastAsia="en-AU"/>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2">
    <w:name w:val="List Table 6 Colorful Accent 2"/>
    <w:basedOn w:val="TableNormal"/>
    <w:uiPriority w:val="51"/>
    <w:rsid w:val="005E3857"/>
    <w:rPr>
      <w:color w:val="BF4E14" w:themeColor="accent2" w:themeShade="BF"/>
      <w:sz w:val="24"/>
      <w:szCs w:val="24"/>
      <w:lang w:val="en-AU" w:eastAsia="en-AU"/>
    </w:rPr>
    <w:tblPr>
      <w:tblStyleRowBandSize w:val="1"/>
      <w:tblStyleColBandSize w:val="1"/>
      <w:tblBorders>
        <w:top w:val="single" w:sz="4" w:space="0" w:color="E97132" w:themeColor="accent2"/>
        <w:bottom w:val="single" w:sz="4" w:space="0" w:color="E97132" w:themeColor="accent2"/>
      </w:tblBorders>
    </w:tblPr>
    <w:tblStylePr w:type="firstRow">
      <w:rPr>
        <w:b/>
        <w:bCs/>
      </w:rPr>
      <w:tblPr/>
      <w:tcPr>
        <w:tcBorders>
          <w:bottom w:val="single" w:sz="4" w:space="0" w:color="E97132" w:themeColor="accent2"/>
        </w:tcBorders>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TableGrid">
    <w:name w:val="Table Grid"/>
    <w:basedOn w:val="TableNormal"/>
    <w:uiPriority w:val="59"/>
    <w:rsid w:val="00FC693F"/>
    <w:rPr>
      <w:rFonts w:ascii="Cambria" w:eastAsia="MS Mincho" w:hAnsi="Cambria"/>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239F5"/>
    <w:rPr>
      <w:color w:val="605E5C"/>
      <w:shd w:val="clear" w:color="auto" w:fill="E1DFDD"/>
    </w:rPr>
  </w:style>
  <w:style w:type="character" w:styleId="CommentReference">
    <w:name w:val="annotation reference"/>
    <w:basedOn w:val="DefaultParagraphFont"/>
    <w:rsid w:val="001A5DB0"/>
    <w:rPr>
      <w:sz w:val="16"/>
      <w:szCs w:val="16"/>
    </w:rPr>
  </w:style>
  <w:style w:type="paragraph" w:styleId="CommentText">
    <w:name w:val="annotation text"/>
    <w:basedOn w:val="Normal"/>
    <w:link w:val="CommentTextChar"/>
    <w:rsid w:val="001A5DB0"/>
    <w:rPr>
      <w:sz w:val="20"/>
      <w:szCs w:val="20"/>
    </w:rPr>
  </w:style>
  <w:style w:type="character" w:customStyle="1" w:styleId="CommentTextChar">
    <w:name w:val="Comment Text Char"/>
    <w:basedOn w:val="DefaultParagraphFont"/>
    <w:link w:val="CommentText"/>
    <w:rsid w:val="001A5DB0"/>
  </w:style>
  <w:style w:type="paragraph" w:styleId="CommentSubject">
    <w:name w:val="annotation subject"/>
    <w:basedOn w:val="CommentText"/>
    <w:next w:val="CommentText"/>
    <w:link w:val="CommentSubjectChar"/>
    <w:rsid w:val="001A5DB0"/>
    <w:rPr>
      <w:b/>
      <w:bCs/>
    </w:rPr>
  </w:style>
  <w:style w:type="character" w:customStyle="1" w:styleId="CommentSubjectChar">
    <w:name w:val="Comment Subject Char"/>
    <w:basedOn w:val="CommentTextChar"/>
    <w:link w:val="CommentSubject"/>
    <w:rsid w:val="001A5D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108/EJM-04-2020-0247" TargetMode="External"/><Relationship Id="rId21" Type="http://schemas.openxmlformats.org/officeDocument/2006/relationships/hyperlink" Target="https://doi.org/10.1016/j.cptl.2018.03.019" TargetMode="External"/><Relationship Id="rId42" Type="http://schemas.openxmlformats.org/officeDocument/2006/relationships/hyperlink" Target="https://doi.org/10.1016/j.ijresmar.2018.12.002" TargetMode="External"/><Relationship Id="rId47" Type="http://schemas.openxmlformats.org/officeDocument/2006/relationships/hyperlink" Target="https://doi.org/10.1007/s11747-018-0621-6" TargetMode="External"/><Relationship Id="rId63" Type="http://schemas.openxmlformats.org/officeDocument/2006/relationships/hyperlink" Target="https://doi.org/10.1016/j.ijinfomgt.2021.102466" TargetMode="External"/><Relationship Id="rId68" Type="http://schemas.openxmlformats.org/officeDocument/2006/relationships/hyperlink" Target="https://doi.org/10.1007/s11747-019-00718-x" TargetMode="External"/><Relationship Id="rId84" Type="http://schemas.openxmlformats.org/officeDocument/2006/relationships/hyperlink" Target="https://doi.org/10.1007/s10796-020-10042-3" TargetMode="External"/><Relationship Id="rId89" Type="http://schemas.openxmlformats.org/officeDocument/2006/relationships/hyperlink" Target="https://doi.org/10.1080/09593969.2024.2321917" TargetMode="External"/><Relationship Id="rId16" Type="http://schemas.openxmlformats.org/officeDocument/2006/relationships/hyperlink" Target="https://doi.org/10.1007/s11747-019-00718-x" TargetMode="External"/><Relationship Id="rId107" Type="http://schemas.openxmlformats.org/officeDocument/2006/relationships/hyperlink" Target="https://doi.org/10.1108/JSM-05-2022-0164" TargetMode="External"/><Relationship Id="rId11" Type="http://schemas.openxmlformats.org/officeDocument/2006/relationships/image" Target="media/image4.png"/><Relationship Id="rId32" Type="http://schemas.openxmlformats.org/officeDocument/2006/relationships/hyperlink" Target="https://doi.org/10.1080/09593969.2024.2321917" TargetMode="External"/><Relationship Id="rId37" Type="http://schemas.openxmlformats.org/officeDocument/2006/relationships/hyperlink" Target="https://doi.org/10.1016/j.jretconser.2016.02.002" TargetMode="External"/><Relationship Id="rId53" Type="http://schemas.openxmlformats.org/officeDocument/2006/relationships/hyperlink" Target="https://doi.org/10.1016/j.jsis.2019.01.003" TargetMode="External"/><Relationship Id="rId58" Type="http://schemas.openxmlformats.org/officeDocument/2006/relationships/footer" Target="footer1.xml"/><Relationship Id="rId74" Type="http://schemas.openxmlformats.org/officeDocument/2006/relationships/hyperlink" Target="https://doi.org/10.1016/j.ijpe.2016.08.018" TargetMode="External"/><Relationship Id="rId79" Type="http://schemas.openxmlformats.org/officeDocument/2006/relationships/hyperlink" Target="https://doi.org/10.1080/21639159.2019.1577694" TargetMode="External"/><Relationship Id="rId102" Type="http://schemas.openxmlformats.org/officeDocument/2006/relationships/hyperlink" Target="https://doi.org/10.1007/s43039-023-00063-6" TargetMode="External"/><Relationship Id="rId5" Type="http://schemas.openxmlformats.org/officeDocument/2006/relationships/webSettings" Target="webSettings.xml"/><Relationship Id="rId90" Type="http://schemas.openxmlformats.org/officeDocument/2006/relationships/hyperlink" Target="https://doi.org/10.1080/23311975.2024.2364841" TargetMode="External"/><Relationship Id="rId95" Type="http://schemas.openxmlformats.org/officeDocument/2006/relationships/hyperlink" Target="https://doi.org/10.1002/cb.2186" TargetMode="External"/><Relationship Id="rId22" Type="http://schemas.openxmlformats.org/officeDocument/2006/relationships/hyperlink" Target="https://doi.org/10.2307/249008" TargetMode="External"/><Relationship Id="rId27" Type="http://schemas.openxmlformats.org/officeDocument/2006/relationships/hyperlink" Target="https://doi.org/10.1016/j.jbusres.2022.113309" TargetMode="External"/><Relationship Id="rId43" Type="http://schemas.openxmlformats.org/officeDocument/2006/relationships/hyperlink" Target="https://doi.org/10.1016/j.jretai.2020.10.006" TargetMode="External"/><Relationship Id="rId48" Type="http://schemas.openxmlformats.org/officeDocument/2006/relationships/hyperlink" Target="https://doi.org/10.1111/ijcs.13027" TargetMode="External"/><Relationship Id="rId64" Type="http://schemas.openxmlformats.org/officeDocument/2006/relationships/hyperlink" Target="https://doi.org/10.1016/j.ijresmar.2018.12.002" TargetMode="External"/><Relationship Id="rId69" Type="http://schemas.openxmlformats.org/officeDocument/2006/relationships/hyperlink" Target="https://doi.org/10.1016/j.jretai.2014.12.009" TargetMode="External"/><Relationship Id="rId80" Type="http://schemas.openxmlformats.org/officeDocument/2006/relationships/hyperlink" Target="https://doi.org/10.1016/j.tele.2017.01.004" TargetMode="External"/><Relationship Id="rId85" Type="http://schemas.openxmlformats.org/officeDocument/2006/relationships/hyperlink" Target="https://doi.org/10.1016/j.jbusres.2020.05.036" TargetMode="External"/><Relationship Id="rId12" Type="http://schemas.openxmlformats.org/officeDocument/2006/relationships/image" Target="media/image5.png"/><Relationship Id="rId17" Type="http://schemas.openxmlformats.org/officeDocument/2006/relationships/hyperlink" Target="https://doi.org/10.1080/08911762.2018.1441938" TargetMode="External"/><Relationship Id="rId33" Type="http://schemas.openxmlformats.org/officeDocument/2006/relationships/hyperlink" Target="https://doi.org/10.1007/s10796-020-10042-3" TargetMode="External"/><Relationship Id="rId38" Type="http://schemas.openxmlformats.org/officeDocument/2006/relationships/hyperlink" Target="https://doi.org/10.1002/mar.22051" TargetMode="External"/><Relationship Id="rId59" Type="http://schemas.openxmlformats.org/officeDocument/2006/relationships/hyperlink" Target="https://doi.org/10.1016/j.jbusres.2019.09.022" TargetMode="External"/><Relationship Id="rId103" Type="http://schemas.openxmlformats.org/officeDocument/2006/relationships/hyperlink" Target="https://doi.org/10.1007/s10660-024-09857-y" TargetMode="External"/><Relationship Id="rId108" Type="http://schemas.openxmlformats.org/officeDocument/2006/relationships/hyperlink" Target="https://doi.org/10.1108/IJRDM-04-2020-0151" TargetMode="External"/><Relationship Id="rId54" Type="http://schemas.openxmlformats.org/officeDocument/2006/relationships/hyperlink" Target="https://doi.org/10.1016/j.techfore.2015.12.019" TargetMode="External"/><Relationship Id="rId70" Type="http://schemas.openxmlformats.org/officeDocument/2006/relationships/hyperlink" Target="https://doi.org/10.1016/j.jretai.2014.12.005" TargetMode="External"/><Relationship Id="rId75" Type="http://schemas.openxmlformats.org/officeDocument/2006/relationships/hyperlink" Target="https://doi.org/10.1016/j.im.2019.05.004" TargetMode="External"/><Relationship Id="rId91" Type="http://schemas.openxmlformats.org/officeDocument/2006/relationships/hyperlink" Target="https://doi.org/10.1080/23311975.2023.2244765" TargetMode="External"/><Relationship Id="rId96" Type="http://schemas.openxmlformats.org/officeDocument/2006/relationships/hyperlink" Target="https://doi.org/10.1111/caim.1264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23311975.2024.2364841" TargetMode="External"/><Relationship Id="rId23" Type="http://schemas.openxmlformats.org/officeDocument/2006/relationships/hyperlink" Target="https://doi.org/10.1016/j.techfore.2021.120796" TargetMode="External"/><Relationship Id="rId28" Type="http://schemas.openxmlformats.org/officeDocument/2006/relationships/hyperlink" Target="https://doi.org/10.1016/j.ijinfomgt.2021.102466" TargetMode="External"/><Relationship Id="rId36" Type="http://schemas.openxmlformats.org/officeDocument/2006/relationships/hyperlink" Target="https://doi.org/10.1080/0965254X.2023.2229331" TargetMode="External"/><Relationship Id="rId49" Type="http://schemas.openxmlformats.org/officeDocument/2006/relationships/hyperlink" Target="https://doi.org/10.1016/j.lrp.2017.06.007" TargetMode="External"/><Relationship Id="rId57" Type="http://schemas.openxmlformats.org/officeDocument/2006/relationships/hyperlink" Target="https://doi.org/10.1177/10784535241306773" TargetMode="External"/><Relationship Id="rId106" Type="http://schemas.openxmlformats.org/officeDocument/2006/relationships/hyperlink" Target="https://doi.org/10.1007/s10660-022-09661-6" TargetMode="External"/><Relationship Id="rId10" Type="http://schemas.openxmlformats.org/officeDocument/2006/relationships/image" Target="media/image3.png"/><Relationship Id="rId31" Type="http://schemas.openxmlformats.org/officeDocument/2006/relationships/hyperlink" Target="https://doi.org/10.1509/jm.15.0420" TargetMode="External"/><Relationship Id="rId44" Type="http://schemas.openxmlformats.org/officeDocument/2006/relationships/hyperlink" Target="https://doi.org/10.1108/IJRDM-10-2018-0224" TargetMode="External"/><Relationship Id="rId52" Type="http://schemas.openxmlformats.org/officeDocument/2006/relationships/hyperlink" Target="https://doi.org/10.1016/j.jbusres.2019.09.022" TargetMode="External"/><Relationship Id="rId60" Type="http://schemas.openxmlformats.org/officeDocument/2006/relationships/hyperlink" Target="https://doi.org/10.1016/j.jsis.2019.01.003" TargetMode="External"/><Relationship Id="rId65" Type="http://schemas.openxmlformats.org/officeDocument/2006/relationships/hyperlink" Target="https://doi.org/10.1016/j.jretai.2020.10.006" TargetMode="External"/><Relationship Id="rId73" Type="http://schemas.openxmlformats.org/officeDocument/2006/relationships/hyperlink" Target="https://doi.org/10.1016/j.jbusres.2015.07.001" TargetMode="External"/><Relationship Id="rId78" Type="http://schemas.openxmlformats.org/officeDocument/2006/relationships/hyperlink" Target="https://doi.org/10.1007/s11747-018-0621-6" TargetMode="External"/><Relationship Id="rId81" Type="http://schemas.openxmlformats.org/officeDocument/2006/relationships/hyperlink" Target="https://doi.org/10.1016/j.copsyc.2020.05.003" TargetMode="External"/><Relationship Id="rId86" Type="http://schemas.openxmlformats.org/officeDocument/2006/relationships/hyperlink" Target="https://doi.org/10.1016/j.jbusres.2019.01.016" TargetMode="External"/><Relationship Id="rId94" Type="http://schemas.openxmlformats.org/officeDocument/2006/relationships/hyperlink" Target="https://doi.org/10.1002/mar.21815" TargetMode="External"/><Relationship Id="rId99" Type="http://schemas.openxmlformats.org/officeDocument/2006/relationships/hyperlink" Target="https://doi.org/10.1002/mar.22051" TargetMode="External"/><Relationship Id="rId101" Type="http://schemas.openxmlformats.org/officeDocument/2006/relationships/hyperlink" Target="https://doi.org/10.1007/s12525-025-00794-8"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1007/s11575-024-00529-5" TargetMode="External"/><Relationship Id="rId18" Type="http://schemas.openxmlformats.org/officeDocument/2006/relationships/hyperlink" Target="https://doi.org/10.1080/09593969.2023.2256491" TargetMode="External"/><Relationship Id="rId39" Type="http://schemas.openxmlformats.org/officeDocument/2006/relationships/hyperlink" Target="https://doi.org/10.1007/s11747-016-0485-6" TargetMode="External"/><Relationship Id="rId109" Type="http://schemas.openxmlformats.org/officeDocument/2006/relationships/fontTable" Target="fontTable.xml"/><Relationship Id="rId34" Type="http://schemas.openxmlformats.org/officeDocument/2006/relationships/hyperlink" Target="https://doi.org/10.1007/s11747-016-0495-4" TargetMode="External"/><Relationship Id="rId50" Type="http://schemas.openxmlformats.org/officeDocument/2006/relationships/hyperlink" Target="https://doi.org/10.1016/j.jbusres.2019.01.016" TargetMode="External"/><Relationship Id="rId55" Type="http://schemas.openxmlformats.org/officeDocument/2006/relationships/hyperlink" Target="https://doi.org/10.1016/j.lrp.2018.12.001" TargetMode="External"/><Relationship Id="rId76" Type="http://schemas.openxmlformats.org/officeDocument/2006/relationships/hyperlink" Target="https://doi.org/10.1007/s11747-016-0485-6" TargetMode="External"/><Relationship Id="rId97" Type="http://schemas.openxmlformats.org/officeDocument/2006/relationships/hyperlink" Target="https://doi.org/10.1111/ijcs.13015" TargetMode="External"/><Relationship Id="rId104" Type="http://schemas.openxmlformats.org/officeDocument/2006/relationships/hyperlink" Target="https://doi.org/10.1108/IJRDM-10-2018-0224" TargetMode="External"/><Relationship Id="rId7" Type="http://schemas.openxmlformats.org/officeDocument/2006/relationships/endnotes" Target="endnotes.xml"/><Relationship Id="rId71" Type="http://schemas.openxmlformats.org/officeDocument/2006/relationships/hyperlink" Target="https://doi.org/10.1016/j.jretai.2016.12.003" TargetMode="External"/><Relationship Id="rId92" Type="http://schemas.openxmlformats.org/officeDocument/2006/relationships/hyperlink" Target="https://doi.org/10.1080/0965254X.2023.2229331" TargetMode="External"/><Relationship Id="rId2" Type="http://schemas.openxmlformats.org/officeDocument/2006/relationships/numbering" Target="numbering.xml"/><Relationship Id="rId29" Type="http://schemas.openxmlformats.org/officeDocument/2006/relationships/hyperlink" Target="https://doi.org/10.1007/978-3-662-55381-7" TargetMode="External"/><Relationship Id="rId24" Type="http://schemas.openxmlformats.org/officeDocument/2006/relationships/hyperlink" Target="https://doi.org/10.1007/s11747-019-00697-z" TargetMode="External"/><Relationship Id="rId40" Type="http://schemas.openxmlformats.org/officeDocument/2006/relationships/hyperlink" Target="https://doi.org/10.1016/j.jbusres.2020.05.036" TargetMode="External"/><Relationship Id="rId45" Type="http://schemas.openxmlformats.org/officeDocument/2006/relationships/hyperlink" Target="https://doi.org/10.1108/EJM-06-2019-0536" TargetMode="External"/><Relationship Id="rId66" Type="http://schemas.openxmlformats.org/officeDocument/2006/relationships/hyperlink" Target="https://doi.org/10.1007/s11747-019-00697-z" TargetMode="External"/><Relationship Id="rId87" Type="http://schemas.openxmlformats.org/officeDocument/2006/relationships/hyperlink" Target="https://doi.org/10.1108/EJM-04-2020-0247" TargetMode="External"/><Relationship Id="rId110" Type="http://schemas.openxmlformats.org/officeDocument/2006/relationships/theme" Target="theme/theme1.xml"/><Relationship Id="rId61" Type="http://schemas.openxmlformats.org/officeDocument/2006/relationships/hyperlink" Target="https://doi.org/10.1111/joms.12639" TargetMode="External"/><Relationship Id="rId82" Type="http://schemas.openxmlformats.org/officeDocument/2006/relationships/hyperlink" Target="https://doi.org/10.2307/249008" TargetMode="External"/><Relationship Id="rId19" Type="http://schemas.openxmlformats.org/officeDocument/2006/relationships/hyperlink" Target="https://doi.org/10.1007/s11846-025-00881-2" TargetMode="External"/><Relationship Id="rId14" Type="http://schemas.openxmlformats.org/officeDocument/2006/relationships/hyperlink" Target="https://doi.org/10.1016/j.chb.2020.106548" TargetMode="External"/><Relationship Id="rId30" Type="http://schemas.openxmlformats.org/officeDocument/2006/relationships/hyperlink" Target="https://doi.org/10.1007/s11747-017-0565-2" TargetMode="External"/><Relationship Id="rId35" Type="http://schemas.openxmlformats.org/officeDocument/2006/relationships/hyperlink" Target="https://doi.org/10.1002/mar.21815" TargetMode="External"/><Relationship Id="rId56" Type="http://schemas.openxmlformats.org/officeDocument/2006/relationships/hyperlink" Target="https://doi.org/10.1080/23311975.2023.2244765" TargetMode="External"/><Relationship Id="rId77" Type="http://schemas.openxmlformats.org/officeDocument/2006/relationships/hyperlink" Target="https://doi.org/10.1007/s11747-017-0565-2" TargetMode="External"/><Relationship Id="rId100" Type="http://schemas.openxmlformats.org/officeDocument/2006/relationships/hyperlink" Target="https://doi.org/10.1007/s12525-025-00774-y" TargetMode="External"/><Relationship Id="rId105" Type="http://schemas.openxmlformats.org/officeDocument/2006/relationships/hyperlink" Target="https://doi.org/10.1108/EJM-06-2019-0536" TargetMode="External"/><Relationship Id="rId8" Type="http://schemas.openxmlformats.org/officeDocument/2006/relationships/image" Target="media/image1.png"/><Relationship Id="rId51" Type="http://schemas.openxmlformats.org/officeDocument/2006/relationships/hyperlink" Target="https://doi.org/10.2307/41410412" TargetMode="External"/><Relationship Id="rId72" Type="http://schemas.openxmlformats.org/officeDocument/2006/relationships/hyperlink" Target="https://doi.org/10.1016/j.jbusres.2021.03.063" TargetMode="External"/><Relationship Id="rId93" Type="http://schemas.openxmlformats.org/officeDocument/2006/relationships/hyperlink" Target="https://doi.org/10.1080/09593969.2023.2287998" TargetMode="External"/><Relationship Id="rId98" Type="http://schemas.openxmlformats.org/officeDocument/2006/relationships/hyperlink" Target="https://doi.org/10.1111/ijcs.13027" TargetMode="External"/><Relationship Id="rId3" Type="http://schemas.openxmlformats.org/officeDocument/2006/relationships/styles" Target="styles.xml"/><Relationship Id="rId25" Type="http://schemas.openxmlformats.org/officeDocument/2006/relationships/hyperlink" Target="https://doi.org/10.1111/joms.12639" TargetMode="External"/><Relationship Id="rId46" Type="http://schemas.openxmlformats.org/officeDocument/2006/relationships/hyperlink" Target="https://doi.org/10.1177/1094670506286324" TargetMode="External"/><Relationship Id="rId67" Type="http://schemas.openxmlformats.org/officeDocument/2006/relationships/hyperlink" Target="https://doi.org/10.1509/jm.15.0420" TargetMode="External"/><Relationship Id="rId20" Type="http://schemas.openxmlformats.org/officeDocument/2006/relationships/hyperlink" Target="https://doi.org/10.1191/1478088706qp063oa" TargetMode="External"/><Relationship Id="rId41" Type="http://schemas.openxmlformats.org/officeDocument/2006/relationships/hyperlink" Target="https://doi.org/10.1080/21639159.2019.1577694" TargetMode="External"/><Relationship Id="rId62" Type="http://schemas.openxmlformats.org/officeDocument/2006/relationships/hyperlink" Target="https://doi.org/10.1016/j.lrp.2018.12.001" TargetMode="External"/><Relationship Id="rId83" Type="http://schemas.openxmlformats.org/officeDocument/2006/relationships/hyperlink" Target="https://doi.org/10.2307/41410412" TargetMode="External"/><Relationship Id="rId88" Type="http://schemas.openxmlformats.org/officeDocument/2006/relationships/hyperlink" Target="https://doi.org/10.1080/09593969.2023.22564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65CCF3-0844-48F7-A13C-A60F066AB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75</Pages>
  <Words>23352</Words>
  <Characters>133111</Characters>
  <Application>Microsoft Office Word</Application>
  <DocSecurity>0</DocSecurity>
  <Lines>1109</Lines>
  <Paragraphs>312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Taonga</dc:creator>
  <cp:lastModifiedBy>ITRS</cp:lastModifiedBy>
  <cp:revision>16</cp:revision>
  <dcterms:created xsi:type="dcterms:W3CDTF">2026-08-20T08:18:00Z</dcterms:created>
  <dcterms:modified xsi:type="dcterms:W3CDTF">2026-08-26T22:12:00Z</dcterms:modified>
</cp:coreProperties>
</file>