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1FC48" w14:textId="5688B21F" w:rsidR="00F749D4" w:rsidRPr="00DB486B" w:rsidRDefault="00F749D4" w:rsidP="00303E4B">
      <w:pPr>
        <w:jc w:val="center"/>
      </w:pPr>
    </w:p>
    <w:p w14:paraId="2A71DEE3" w14:textId="41030ECB" w:rsidR="008167DB" w:rsidRPr="00DB486B" w:rsidRDefault="00303E4B" w:rsidP="00303E4B">
      <w:pPr>
        <w:jc w:val="center"/>
      </w:pPr>
      <w:r>
        <w:rPr>
          <w:noProof/>
        </w:rPr>
        <w:drawing>
          <wp:inline distT="0" distB="0" distL="0" distR="0" wp14:anchorId="7C8DFB38" wp14:editId="30239D27">
            <wp:extent cx="3600450" cy="2000250"/>
            <wp:effectExtent l="0" t="0" r="0" b="0"/>
            <wp:docPr id="163012404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03213" cy="2001785"/>
                    </a:xfrm>
                    <a:prstGeom prst="rect">
                      <a:avLst/>
                    </a:prstGeom>
                    <a:noFill/>
                  </pic:spPr>
                </pic:pic>
              </a:graphicData>
            </a:graphic>
          </wp:inline>
        </w:drawing>
      </w:r>
    </w:p>
    <w:p w14:paraId="50B89CB9" w14:textId="2821DBC8" w:rsidR="001D7083" w:rsidRPr="00303E4B" w:rsidRDefault="001D7083" w:rsidP="001D7083">
      <w:pPr>
        <w:jc w:val="center"/>
        <w:rPr>
          <w:b/>
          <w:bCs/>
          <w:sz w:val="28"/>
          <w:szCs w:val="24"/>
        </w:rPr>
      </w:pPr>
      <w:r w:rsidRPr="00303E4B">
        <w:rPr>
          <w:b/>
          <w:bCs/>
          <w:sz w:val="28"/>
          <w:szCs w:val="24"/>
        </w:rPr>
        <w:t>BMIH6005</w:t>
      </w:r>
    </w:p>
    <w:p w14:paraId="73A3158F" w14:textId="35F94AB8" w:rsidR="008167DB" w:rsidRPr="00303E4B" w:rsidRDefault="001D7083" w:rsidP="001D7083">
      <w:pPr>
        <w:jc w:val="center"/>
        <w:rPr>
          <w:b/>
          <w:bCs/>
          <w:sz w:val="28"/>
          <w:szCs w:val="24"/>
        </w:rPr>
      </w:pPr>
      <w:r w:rsidRPr="00303E4B">
        <w:rPr>
          <w:b/>
          <w:bCs/>
          <w:sz w:val="28"/>
          <w:szCs w:val="24"/>
        </w:rPr>
        <w:t>Organisational Consultancy- Level 6</w:t>
      </w:r>
    </w:p>
    <w:p w14:paraId="0BCBD69F" w14:textId="77777777" w:rsidR="001D7083" w:rsidRPr="001D7083" w:rsidRDefault="001D7083" w:rsidP="001D7083">
      <w:pPr>
        <w:jc w:val="center"/>
        <w:rPr>
          <w:sz w:val="28"/>
          <w:szCs w:val="24"/>
        </w:rPr>
      </w:pPr>
    </w:p>
    <w:p w14:paraId="4DE3E187" w14:textId="61DAE6D0" w:rsidR="001D7083" w:rsidRPr="001D7083" w:rsidRDefault="001D7083" w:rsidP="001D7083">
      <w:pPr>
        <w:jc w:val="center"/>
        <w:rPr>
          <w:sz w:val="28"/>
          <w:szCs w:val="24"/>
        </w:rPr>
      </w:pPr>
      <w:r w:rsidRPr="001D7083">
        <w:rPr>
          <w:sz w:val="28"/>
          <w:szCs w:val="24"/>
        </w:rPr>
        <w:t>Student Name:</w:t>
      </w:r>
      <w:r w:rsidR="00741AC3">
        <w:rPr>
          <w:sz w:val="28"/>
          <w:szCs w:val="24"/>
        </w:rPr>
        <w:t xml:space="preserve"> Badrul Jamal</w:t>
      </w:r>
    </w:p>
    <w:p w14:paraId="43A09F1B" w14:textId="01000541" w:rsidR="001D7083" w:rsidRPr="001D7083" w:rsidRDefault="001D7083" w:rsidP="001D7083">
      <w:pPr>
        <w:jc w:val="center"/>
        <w:rPr>
          <w:sz w:val="28"/>
          <w:szCs w:val="24"/>
        </w:rPr>
      </w:pPr>
      <w:r w:rsidRPr="001D7083">
        <w:rPr>
          <w:sz w:val="28"/>
          <w:szCs w:val="24"/>
        </w:rPr>
        <w:t>Student ID:</w:t>
      </w:r>
      <w:r w:rsidR="00741AC3">
        <w:rPr>
          <w:sz w:val="28"/>
          <w:szCs w:val="24"/>
        </w:rPr>
        <w:t xml:space="preserve"> 2126642</w:t>
      </w:r>
    </w:p>
    <w:p w14:paraId="459CB2C7" w14:textId="77777777" w:rsidR="004A4697" w:rsidRDefault="004A4697">
      <w:pPr>
        <w:spacing w:line="276" w:lineRule="auto"/>
        <w:jc w:val="left"/>
        <w:rPr>
          <w:rFonts w:eastAsiaTheme="majorEastAsia" w:cstheme="majorBidi"/>
          <w:b/>
          <w:bCs/>
          <w:sz w:val="28"/>
          <w:szCs w:val="28"/>
        </w:rPr>
      </w:pPr>
      <w:r>
        <w:br w:type="page"/>
      </w:r>
    </w:p>
    <w:p w14:paraId="78BA164A" w14:textId="19484A27" w:rsidR="008167DB" w:rsidRPr="00DB486B" w:rsidRDefault="000D49AA" w:rsidP="000D49AA">
      <w:pPr>
        <w:pStyle w:val="Heading1"/>
      </w:pPr>
      <w:bookmarkStart w:id="0" w:name="_Toc223168705"/>
      <w:r>
        <w:lastRenderedPageBreak/>
        <w:t>1.</w:t>
      </w:r>
      <w:r w:rsidR="004A4697" w:rsidRPr="00DB486B">
        <w:t>Executive Summary</w:t>
      </w:r>
      <w:bookmarkEnd w:id="0"/>
      <w:r w:rsidR="004A4697" w:rsidRPr="00DB486B">
        <w:t xml:space="preserve"> </w:t>
      </w:r>
    </w:p>
    <w:p w14:paraId="4CA92666" w14:textId="77777777" w:rsidR="00DB486B" w:rsidRPr="00DB486B" w:rsidRDefault="00DB486B" w:rsidP="00DB486B">
      <w:r w:rsidRPr="00DB486B">
        <w:t xml:space="preserve">Hilton Cardiff is a </w:t>
      </w:r>
      <w:proofErr w:type="gramStart"/>
      <w:r w:rsidRPr="00DB486B">
        <w:t>197 bedroom</w:t>
      </w:r>
      <w:proofErr w:type="gramEnd"/>
      <w:r w:rsidRPr="00DB486B">
        <w:t xml:space="preserve"> upscale hotel in the Cardiff city centre and owned by Hilton Worldwide Holdings Inc. and is currently experiencing strategic performance limitations associated with two interrelated structural concerns: overdependence on Online Travel Agencies (OTAs) to generate revenues and high employee turnover rates affecting the operational consistency and quality of services. Although the hotel enjoys the global association of the brand, excellent location facing Cardiff Castle, and the incorporation into the Hilton Honors loyalty program, the emergent macroeconomic and labour market pressures in the UK hospitality industry have revealed latent organisational inefficiencies.</w:t>
      </w:r>
    </w:p>
    <w:p w14:paraId="1032EFA0" w14:textId="2CB060F2" w:rsidR="00DB486B" w:rsidRPr="00DB486B" w:rsidRDefault="00DB486B" w:rsidP="00DB486B">
      <w:r w:rsidRPr="00DB486B">
        <w:t xml:space="preserve">STR Global (2024) has indicated that the </w:t>
      </w:r>
      <w:r w:rsidR="00F63FC6" w:rsidRPr="00DB486B">
        <w:t>Average Occupancy Rate</w:t>
      </w:r>
      <w:r w:rsidRPr="00DB486B">
        <w:t>, Average Daily Rate (ADR), and Revenue per Available Room (RevPAR) of the UK upscale urban hotel sector were 76</w:t>
      </w:r>
      <w:r w:rsidR="00F63FC6">
        <w:t>% and</w:t>
      </w:r>
      <w:r w:rsidRPr="00DB486B">
        <w:t xml:space="preserve"> £128, and </w:t>
      </w:r>
      <w:r w:rsidR="00F63FC6">
        <w:rPr>
          <w:rFonts w:cs="Times New Roman"/>
        </w:rPr>
        <w:t>£</w:t>
      </w:r>
      <w:r w:rsidRPr="00DB486B">
        <w:t>97, respectively, in 2023</w:t>
      </w:r>
      <w:r w:rsidR="00F63FC6">
        <w:t>-</w:t>
      </w:r>
      <w:r w:rsidRPr="00DB486B">
        <w:t xml:space="preserve">2024. Considering publicly available capacity information and market averages, Hilton Cardiff is projected to be functioning at about 74% occupancy and an ADR of £122 and is projected to earn an estimated </w:t>
      </w:r>
      <w:r w:rsidR="0012255D">
        <w:rPr>
          <w:rFonts w:cs="Times New Roman"/>
        </w:rPr>
        <w:t>£</w:t>
      </w:r>
      <w:r w:rsidRPr="00DB486B">
        <w:t>6.5-7.2 million in rooms per annum. Nonetheless, according to the data of PwC (2023) and Deloitte (2023) about the industry channel distribution, the commission price lies between 15 and 25</w:t>
      </w:r>
      <w:r w:rsidR="00846F54">
        <w:t>%</w:t>
      </w:r>
      <w:r w:rsidRPr="00DB486B">
        <w:t>, and the average UK upscale hotel pays an 18</w:t>
      </w:r>
      <w:r w:rsidR="00846F54">
        <w:t xml:space="preserve">% </w:t>
      </w:r>
      <w:r w:rsidRPr="00DB486B">
        <w:t>commission.</w:t>
      </w:r>
    </w:p>
    <w:p w14:paraId="0D1F7511" w14:textId="47418B29" w:rsidR="00DB486B" w:rsidRPr="00DB486B" w:rsidRDefault="00DB486B" w:rsidP="00DB486B">
      <w:r w:rsidRPr="00DB486B">
        <w:t>According to the current channel estimates, about 58% of the bookings of the rooms at Hilton Cardiff are made through OTAs. The annual commissionable payment to a hotel is around £710,000, should 5</w:t>
      </w:r>
      <w:r w:rsidR="00FB7BFC">
        <w:t>8%</w:t>
      </w:r>
      <w:r w:rsidRPr="00DB486B">
        <w:t xml:space="preserve"> of annual room earnings which amount to </w:t>
      </w:r>
      <w:r w:rsidR="0012255D">
        <w:rPr>
          <w:rFonts w:cs="Times New Roman"/>
        </w:rPr>
        <w:t>£</w:t>
      </w:r>
      <w:r w:rsidRPr="00DB486B">
        <w:t>6.8 million be commissionable at 1</w:t>
      </w:r>
      <w:r w:rsidR="00713033">
        <w:t>8%</w:t>
      </w:r>
      <w:r w:rsidRPr="00DB486B">
        <w:t>. This is a strong margin erosion, especially in an environment where the average profit margin of the UK hospitality is 10%</w:t>
      </w:r>
      <w:r w:rsidR="0012255D">
        <w:t>-</w:t>
      </w:r>
      <w:r w:rsidRPr="00DB486B">
        <w:t>14% EBITDA (</w:t>
      </w:r>
      <w:proofErr w:type="spellStart"/>
      <w:r w:rsidRPr="00DB486B">
        <w:t>UKHospitality</w:t>
      </w:r>
      <w:proofErr w:type="spellEnd"/>
      <w:r w:rsidRPr="00DB486B">
        <w:t>, 2024). A decrease in OTA by 15</w:t>
      </w:r>
      <w:r w:rsidR="00172FE8">
        <w:t xml:space="preserve">% </w:t>
      </w:r>
      <w:r w:rsidRPr="00DB486B">
        <w:t>points may have the potential to restore a net revenue of up to £350,000-</w:t>
      </w:r>
      <w:r w:rsidR="0012255D">
        <w:rPr>
          <w:rFonts w:cs="Times New Roman"/>
        </w:rPr>
        <w:t>£</w:t>
      </w:r>
      <w:r w:rsidRPr="00DB486B">
        <w:t>450,000 per year.</w:t>
      </w:r>
    </w:p>
    <w:p w14:paraId="0ADAB989" w14:textId="4CE56C43" w:rsidR="00DB486B" w:rsidRPr="00DB486B" w:rsidRDefault="00DB486B" w:rsidP="00DB486B">
      <w:r w:rsidRPr="00DB486B">
        <w:t>At the same time, the instability in the labour market is a second structural risk. According to CIPD (2023), employee turnover in the hospitality industry is 30 to 40</w:t>
      </w:r>
      <w:r w:rsidR="00172FE8">
        <w:t>%</w:t>
      </w:r>
      <w:r w:rsidRPr="00DB486B">
        <w:t>, and urban four-star hotels often go beyond 35</w:t>
      </w:r>
      <w:r w:rsidR="00172FE8">
        <w:t>%</w:t>
      </w:r>
      <w:r w:rsidRPr="00DB486B">
        <w:t xml:space="preserve">. The cost of replacing an employee in hospitality is estimated by Oxford Economics (2023) as between 5,000 and 7,000 in terms of recruitment, onboarding, the amount of lost productivity, and time spent by the supervisor. </w:t>
      </w:r>
      <w:r w:rsidRPr="00DB486B">
        <w:lastRenderedPageBreak/>
        <w:t>Having a workforce with an estimated number of 140-160 employees a turnover rate of 36</w:t>
      </w:r>
      <w:r w:rsidR="00172FE8">
        <w:t xml:space="preserve">% </w:t>
      </w:r>
      <w:r w:rsidRPr="00DB486B">
        <w:t xml:space="preserve">would mean 50-55 replacements in a year, which would be costing them at least around </w:t>
      </w:r>
      <w:r w:rsidR="0012255D">
        <w:rPr>
          <w:rFonts w:cs="Times New Roman"/>
        </w:rPr>
        <w:t>£</w:t>
      </w:r>
      <w:r w:rsidRPr="00DB486B">
        <w:t>275,000-</w:t>
      </w:r>
      <w:r w:rsidR="0012255D">
        <w:rPr>
          <w:rFonts w:cs="Times New Roman"/>
        </w:rPr>
        <w:t>£</w:t>
      </w:r>
      <w:r w:rsidRPr="00DB486B">
        <w:t>385,000 in a year.</w:t>
      </w:r>
    </w:p>
    <w:p w14:paraId="040C84A1" w14:textId="77777777" w:rsidR="00DB486B" w:rsidRPr="00DB486B" w:rsidRDefault="00DB486B" w:rsidP="00DB486B">
      <w:r w:rsidRPr="00DB486B">
        <w:t>In addition to immediate financial consequences, employee turnover is strongly associated with inconsistency in its service, lower guest satisfaction ratings, and lower online image indicators (Harvard Business Review, 2022). Since the RevPAR may grow by as much as 9 points with a unit-wide increase in online review ratings (Cornell School of Hotel Administration, 2022), workforce instability can indirectly limit revenue growth.</w:t>
      </w:r>
    </w:p>
    <w:p w14:paraId="6F48CF61" w14:textId="77777777" w:rsidR="00DB486B" w:rsidRPr="00DB486B" w:rsidRDefault="00DB486B" w:rsidP="00DB486B">
      <w:r w:rsidRPr="00DB486B">
        <w:t>Root cause analysis shows that dependency and turnover in OTA is not a problem of operations on its own but a symptom of organisational misalignment. According to McKinsey 7S Framework, there is partial disengagement of strategy, systems, staff and skills. Corporate Hilton systems offer digital infrastructure, but there does not seem to be the use of localised strategic activation. In addition, the employee engagement framework does not have effective property level career pathway visibility and recognition framework.</w:t>
      </w:r>
    </w:p>
    <w:p w14:paraId="5748B399" w14:textId="255E37DB" w:rsidR="00DB486B" w:rsidRPr="00DB486B" w:rsidRDefault="00DB486B" w:rsidP="00DB486B">
      <w:r w:rsidRPr="00DB486B">
        <w:t>In this consultancy report, I have suggested a two-pronged strategic intervention that will enhance the profitability and operational stability of Hilton Cardiff. First, a Revenue Channel Optimisation Strategy seeks to increase direct booking contribution of 42</w:t>
      </w:r>
      <w:r w:rsidR="00713033">
        <w:t xml:space="preserve">% </w:t>
      </w:r>
      <w:r w:rsidRPr="00DB486B">
        <w:t>to 60</w:t>
      </w:r>
      <w:r w:rsidR="00713033">
        <w:t xml:space="preserve">% </w:t>
      </w:r>
      <w:r w:rsidRPr="00DB486B">
        <w:t xml:space="preserve">within 18 months by doing targeted channel rebalancing, projected cost of implementation is an estimated of £185,000- 220,000 and the net recovery of revenue is projected to be of £500,000- </w:t>
      </w:r>
      <w:r w:rsidR="0012255D">
        <w:rPr>
          <w:rFonts w:cs="Times New Roman"/>
        </w:rPr>
        <w:t>£</w:t>
      </w:r>
      <w:r w:rsidRPr="00DB486B">
        <w:t xml:space="preserve">650,000 annually. Second, with an estimated cost of between </w:t>
      </w:r>
      <w:r w:rsidR="00713033">
        <w:rPr>
          <w:rFonts w:cs="Times New Roman"/>
        </w:rPr>
        <w:t>£</w:t>
      </w:r>
      <w:r w:rsidRPr="00DB486B">
        <w:t>210,000-</w:t>
      </w:r>
      <w:r w:rsidR="00713033">
        <w:rPr>
          <w:rFonts w:cs="Times New Roman"/>
        </w:rPr>
        <w:t>£</w:t>
      </w:r>
      <w:proofErr w:type="gramStart"/>
      <w:r w:rsidRPr="00DB486B">
        <w:t>250,000, and</w:t>
      </w:r>
      <w:proofErr w:type="gramEnd"/>
      <w:r w:rsidRPr="00DB486B">
        <w:t xml:space="preserve"> expected cost savings of </w:t>
      </w:r>
      <w:r w:rsidR="0012255D">
        <w:rPr>
          <w:rFonts w:cs="Times New Roman"/>
        </w:rPr>
        <w:t>£</w:t>
      </w:r>
      <w:r w:rsidRPr="00DB486B">
        <w:t>180,000-</w:t>
      </w:r>
      <w:r w:rsidR="0012255D">
        <w:rPr>
          <w:rFonts w:cs="Times New Roman"/>
        </w:rPr>
        <w:t>£</w:t>
      </w:r>
      <w:r w:rsidRPr="00DB486B">
        <w:t>250,000 per year, a Workforce Stabilisation and Engagement Strategy is aimed at reducing employee turnover by a minimum of 36 to 24% in 12 months. It will be implemented according to the 8-Step Change Model by Kotter to enhance alignment and reduce resistance and the performance will be tracked using KPIs such as direct booking rate, OTA commission rate, employee turnover rate, employee engagement, customer satisfaction rates, and RevPAR improvement. All these interventions can raise EBITDA margins by 4-6</w:t>
      </w:r>
      <w:r w:rsidR="00172FE8">
        <w:t xml:space="preserve">% </w:t>
      </w:r>
      <w:r w:rsidRPr="00DB486B">
        <w:t>in 2 financial cycles.</w:t>
      </w:r>
    </w:p>
    <w:p w14:paraId="472D1FFE" w14:textId="3857585F" w:rsidR="008167DB" w:rsidRPr="00DB486B" w:rsidRDefault="005A537B" w:rsidP="008167DB">
      <w:r w:rsidRPr="005A537B">
        <w:lastRenderedPageBreak/>
        <w:t>Hilton Cardiff also enjoys good structural resources such as international brand association, prime location in the city centre, and access to Hilton loyalty and Hilton systems. But until the utility of these gains is met through effective realignment of revenue streams and workforce systems, they might not yield to a viable profitability, and the competitive positioning of the hotel might remain in a further decline. This report is thus an evidence-based and cost-effective roadmap which is useful in minimising margin leakage, enhancing operational stability, and boosting organisational capacity. The proposed interventions, based on the needs to optimise channels and stabilize workforce, will help to safeguard the net revenue and increase service quality, as well as contribute to the measurable performance improvement. Together, the recommendations will help stabilise the daily operations, elevate the margins, and create long-term strategic strength in the ever-competitive and cost-driven urban hospitality market.</w:t>
      </w:r>
    </w:p>
    <w:p w14:paraId="5BF90199" w14:textId="77777777" w:rsidR="008167DB" w:rsidRPr="00DB486B" w:rsidRDefault="008167DB" w:rsidP="008167DB"/>
    <w:p w14:paraId="71EC4458" w14:textId="77777777" w:rsidR="00303E4B" w:rsidRDefault="00303E4B">
      <w:pPr>
        <w:spacing w:line="276" w:lineRule="auto"/>
        <w:jc w:val="left"/>
        <w:rPr>
          <w:rFonts w:eastAsiaTheme="majorEastAsia" w:cstheme="majorBidi"/>
          <w:b/>
          <w:bCs/>
          <w:sz w:val="28"/>
          <w:szCs w:val="28"/>
        </w:rPr>
      </w:pPr>
      <w:r>
        <w:br w:type="page"/>
      </w:r>
    </w:p>
    <w:sdt>
      <w:sdtPr>
        <w:rPr>
          <w:rFonts w:eastAsiaTheme="minorEastAsia" w:cstheme="minorBidi"/>
          <w:b w:val="0"/>
          <w:bCs w:val="0"/>
          <w:sz w:val="24"/>
          <w:szCs w:val="22"/>
        </w:rPr>
        <w:id w:val="-42216975"/>
        <w:docPartObj>
          <w:docPartGallery w:val="Table of Contents"/>
          <w:docPartUnique/>
        </w:docPartObj>
      </w:sdtPr>
      <w:sdtContent>
        <w:p w14:paraId="619E3910" w14:textId="5219C12D" w:rsidR="009A7714" w:rsidRDefault="009A7714">
          <w:pPr>
            <w:pStyle w:val="TOCHeading"/>
          </w:pPr>
          <w:r>
            <w:t>Table of Contents</w:t>
          </w:r>
        </w:p>
        <w:p w14:paraId="16EC6B67" w14:textId="41DFF402" w:rsidR="00284C09" w:rsidRDefault="009A7714">
          <w:pPr>
            <w:pStyle w:val="TOC1"/>
            <w:tabs>
              <w:tab w:val="right" w:leader="dot" w:pos="8630"/>
            </w:tabs>
            <w:rPr>
              <w:rFonts w:asciiTheme="minorHAnsi" w:hAnsiTheme="minorHAnsi"/>
              <w:noProof/>
              <w:kern w:val="2"/>
              <w:szCs w:val="24"/>
              <w:lang w:eastAsia="en-GB"/>
              <w14:ligatures w14:val="standardContextual"/>
            </w:rPr>
          </w:pPr>
          <w:r>
            <w:fldChar w:fldCharType="begin"/>
          </w:r>
          <w:r>
            <w:instrText xml:space="preserve"> TOC \o "1-3" \h \z \u </w:instrText>
          </w:r>
          <w:r>
            <w:fldChar w:fldCharType="separate"/>
          </w:r>
          <w:hyperlink w:anchor="_Toc223168705" w:history="1">
            <w:r w:rsidR="00284C09" w:rsidRPr="00371D4B">
              <w:rPr>
                <w:rStyle w:val="Hyperlink"/>
                <w:noProof/>
              </w:rPr>
              <w:t>1.Executive Summary</w:t>
            </w:r>
            <w:r w:rsidR="00284C09">
              <w:rPr>
                <w:noProof/>
                <w:webHidden/>
              </w:rPr>
              <w:tab/>
            </w:r>
            <w:r w:rsidR="00284C09">
              <w:rPr>
                <w:noProof/>
                <w:webHidden/>
              </w:rPr>
              <w:fldChar w:fldCharType="begin"/>
            </w:r>
            <w:r w:rsidR="00284C09">
              <w:rPr>
                <w:noProof/>
                <w:webHidden/>
              </w:rPr>
              <w:instrText xml:space="preserve"> PAGEREF _Toc223168705 \h </w:instrText>
            </w:r>
            <w:r w:rsidR="00284C09">
              <w:rPr>
                <w:noProof/>
                <w:webHidden/>
              </w:rPr>
            </w:r>
            <w:r w:rsidR="00284C09">
              <w:rPr>
                <w:noProof/>
                <w:webHidden/>
              </w:rPr>
              <w:fldChar w:fldCharType="separate"/>
            </w:r>
            <w:r w:rsidR="00284C09">
              <w:rPr>
                <w:noProof/>
                <w:webHidden/>
              </w:rPr>
              <w:t>2</w:t>
            </w:r>
            <w:r w:rsidR="00284C09">
              <w:rPr>
                <w:noProof/>
                <w:webHidden/>
              </w:rPr>
              <w:fldChar w:fldCharType="end"/>
            </w:r>
          </w:hyperlink>
        </w:p>
        <w:p w14:paraId="06E11A19" w14:textId="7BA80F74" w:rsidR="00284C09" w:rsidRDefault="00284C09">
          <w:pPr>
            <w:pStyle w:val="TOC1"/>
            <w:tabs>
              <w:tab w:val="right" w:leader="dot" w:pos="8630"/>
            </w:tabs>
            <w:rPr>
              <w:rFonts w:asciiTheme="minorHAnsi" w:hAnsiTheme="minorHAnsi"/>
              <w:noProof/>
              <w:kern w:val="2"/>
              <w:szCs w:val="24"/>
              <w:lang w:eastAsia="en-GB"/>
              <w14:ligatures w14:val="standardContextual"/>
            </w:rPr>
          </w:pPr>
          <w:hyperlink w:anchor="_Toc223168706" w:history="1">
            <w:r w:rsidRPr="00371D4B">
              <w:rPr>
                <w:rStyle w:val="Hyperlink"/>
                <w:noProof/>
              </w:rPr>
              <w:t>2. Introduction</w:t>
            </w:r>
            <w:r>
              <w:rPr>
                <w:noProof/>
                <w:webHidden/>
              </w:rPr>
              <w:tab/>
            </w:r>
            <w:r>
              <w:rPr>
                <w:noProof/>
                <w:webHidden/>
              </w:rPr>
              <w:fldChar w:fldCharType="begin"/>
            </w:r>
            <w:r>
              <w:rPr>
                <w:noProof/>
                <w:webHidden/>
              </w:rPr>
              <w:instrText xml:space="preserve"> PAGEREF _Toc223168706 \h </w:instrText>
            </w:r>
            <w:r>
              <w:rPr>
                <w:noProof/>
                <w:webHidden/>
              </w:rPr>
            </w:r>
            <w:r>
              <w:rPr>
                <w:noProof/>
                <w:webHidden/>
              </w:rPr>
              <w:fldChar w:fldCharType="separate"/>
            </w:r>
            <w:r>
              <w:rPr>
                <w:noProof/>
                <w:webHidden/>
              </w:rPr>
              <w:t>6</w:t>
            </w:r>
            <w:r>
              <w:rPr>
                <w:noProof/>
                <w:webHidden/>
              </w:rPr>
              <w:fldChar w:fldCharType="end"/>
            </w:r>
          </w:hyperlink>
        </w:p>
        <w:p w14:paraId="04B2F618" w14:textId="4FC54499" w:rsidR="00284C09" w:rsidRDefault="00284C09">
          <w:pPr>
            <w:pStyle w:val="TOC1"/>
            <w:tabs>
              <w:tab w:val="right" w:leader="dot" w:pos="8630"/>
            </w:tabs>
            <w:rPr>
              <w:rFonts w:asciiTheme="minorHAnsi" w:hAnsiTheme="minorHAnsi"/>
              <w:noProof/>
              <w:kern w:val="2"/>
              <w:szCs w:val="24"/>
              <w:lang w:eastAsia="en-GB"/>
              <w14:ligatures w14:val="standardContextual"/>
            </w:rPr>
          </w:pPr>
          <w:hyperlink w:anchor="_Toc223168707" w:history="1">
            <w:r w:rsidRPr="00371D4B">
              <w:rPr>
                <w:rStyle w:val="Hyperlink"/>
                <w:noProof/>
              </w:rPr>
              <w:t>3. Analysis</w:t>
            </w:r>
            <w:r>
              <w:rPr>
                <w:noProof/>
                <w:webHidden/>
              </w:rPr>
              <w:tab/>
            </w:r>
            <w:r>
              <w:rPr>
                <w:noProof/>
                <w:webHidden/>
              </w:rPr>
              <w:fldChar w:fldCharType="begin"/>
            </w:r>
            <w:r>
              <w:rPr>
                <w:noProof/>
                <w:webHidden/>
              </w:rPr>
              <w:instrText xml:space="preserve"> PAGEREF _Toc223168707 \h </w:instrText>
            </w:r>
            <w:r>
              <w:rPr>
                <w:noProof/>
                <w:webHidden/>
              </w:rPr>
            </w:r>
            <w:r>
              <w:rPr>
                <w:noProof/>
                <w:webHidden/>
              </w:rPr>
              <w:fldChar w:fldCharType="separate"/>
            </w:r>
            <w:r>
              <w:rPr>
                <w:noProof/>
                <w:webHidden/>
              </w:rPr>
              <w:t>9</w:t>
            </w:r>
            <w:r>
              <w:rPr>
                <w:noProof/>
                <w:webHidden/>
              </w:rPr>
              <w:fldChar w:fldCharType="end"/>
            </w:r>
          </w:hyperlink>
        </w:p>
        <w:p w14:paraId="6097B55B" w14:textId="498E5AF5" w:rsidR="00284C09" w:rsidRDefault="00284C09">
          <w:pPr>
            <w:pStyle w:val="TOC2"/>
            <w:tabs>
              <w:tab w:val="right" w:leader="dot" w:pos="8630"/>
            </w:tabs>
            <w:rPr>
              <w:rFonts w:asciiTheme="minorHAnsi" w:hAnsiTheme="minorHAnsi"/>
              <w:noProof/>
              <w:kern w:val="2"/>
              <w:szCs w:val="24"/>
              <w:lang w:eastAsia="en-GB"/>
              <w14:ligatures w14:val="standardContextual"/>
            </w:rPr>
          </w:pPr>
          <w:hyperlink w:anchor="_Toc223168708" w:history="1">
            <w:r w:rsidRPr="00371D4B">
              <w:rPr>
                <w:rStyle w:val="Hyperlink"/>
                <w:noProof/>
              </w:rPr>
              <w:t>3.1 Market Context and Financial Performance Benchmarking</w:t>
            </w:r>
            <w:r>
              <w:rPr>
                <w:noProof/>
                <w:webHidden/>
              </w:rPr>
              <w:tab/>
            </w:r>
            <w:r>
              <w:rPr>
                <w:noProof/>
                <w:webHidden/>
              </w:rPr>
              <w:fldChar w:fldCharType="begin"/>
            </w:r>
            <w:r>
              <w:rPr>
                <w:noProof/>
                <w:webHidden/>
              </w:rPr>
              <w:instrText xml:space="preserve"> PAGEREF _Toc223168708 \h </w:instrText>
            </w:r>
            <w:r>
              <w:rPr>
                <w:noProof/>
                <w:webHidden/>
              </w:rPr>
            </w:r>
            <w:r>
              <w:rPr>
                <w:noProof/>
                <w:webHidden/>
              </w:rPr>
              <w:fldChar w:fldCharType="separate"/>
            </w:r>
            <w:r>
              <w:rPr>
                <w:noProof/>
                <w:webHidden/>
              </w:rPr>
              <w:t>9</w:t>
            </w:r>
            <w:r>
              <w:rPr>
                <w:noProof/>
                <w:webHidden/>
              </w:rPr>
              <w:fldChar w:fldCharType="end"/>
            </w:r>
          </w:hyperlink>
        </w:p>
        <w:p w14:paraId="37155E91" w14:textId="5463C58F" w:rsidR="00284C09" w:rsidRDefault="00284C09">
          <w:pPr>
            <w:pStyle w:val="TOC2"/>
            <w:tabs>
              <w:tab w:val="right" w:leader="dot" w:pos="8630"/>
            </w:tabs>
            <w:rPr>
              <w:rFonts w:asciiTheme="minorHAnsi" w:hAnsiTheme="minorHAnsi"/>
              <w:noProof/>
              <w:kern w:val="2"/>
              <w:szCs w:val="24"/>
              <w:lang w:eastAsia="en-GB"/>
              <w14:ligatures w14:val="standardContextual"/>
            </w:rPr>
          </w:pPr>
          <w:hyperlink w:anchor="_Toc223168709" w:history="1">
            <w:r w:rsidRPr="00371D4B">
              <w:rPr>
                <w:rStyle w:val="Hyperlink"/>
                <w:noProof/>
              </w:rPr>
              <w:t>3.2 STEEPLED Analysis: External Environmental Pressures</w:t>
            </w:r>
            <w:r>
              <w:rPr>
                <w:noProof/>
                <w:webHidden/>
              </w:rPr>
              <w:tab/>
            </w:r>
            <w:r>
              <w:rPr>
                <w:noProof/>
                <w:webHidden/>
              </w:rPr>
              <w:fldChar w:fldCharType="begin"/>
            </w:r>
            <w:r>
              <w:rPr>
                <w:noProof/>
                <w:webHidden/>
              </w:rPr>
              <w:instrText xml:space="preserve"> PAGEREF _Toc223168709 \h </w:instrText>
            </w:r>
            <w:r>
              <w:rPr>
                <w:noProof/>
                <w:webHidden/>
              </w:rPr>
            </w:r>
            <w:r>
              <w:rPr>
                <w:noProof/>
                <w:webHidden/>
              </w:rPr>
              <w:fldChar w:fldCharType="separate"/>
            </w:r>
            <w:r>
              <w:rPr>
                <w:noProof/>
                <w:webHidden/>
              </w:rPr>
              <w:t>12</w:t>
            </w:r>
            <w:r>
              <w:rPr>
                <w:noProof/>
                <w:webHidden/>
              </w:rPr>
              <w:fldChar w:fldCharType="end"/>
            </w:r>
          </w:hyperlink>
        </w:p>
        <w:p w14:paraId="49D9B9D7" w14:textId="71969E92" w:rsidR="00284C09" w:rsidRDefault="00284C09">
          <w:pPr>
            <w:pStyle w:val="TOC2"/>
            <w:tabs>
              <w:tab w:val="right" w:leader="dot" w:pos="8630"/>
            </w:tabs>
            <w:rPr>
              <w:rFonts w:asciiTheme="minorHAnsi" w:hAnsiTheme="minorHAnsi"/>
              <w:noProof/>
              <w:kern w:val="2"/>
              <w:szCs w:val="24"/>
              <w:lang w:eastAsia="en-GB"/>
              <w14:ligatures w14:val="standardContextual"/>
            </w:rPr>
          </w:pPr>
          <w:hyperlink w:anchor="_Toc223168710" w:history="1">
            <w:r w:rsidRPr="00371D4B">
              <w:rPr>
                <w:rStyle w:val="Hyperlink"/>
                <w:noProof/>
              </w:rPr>
              <w:t>3.3 Root Cause and Organisational Alignment: McKinsey 7S</w:t>
            </w:r>
            <w:r>
              <w:rPr>
                <w:noProof/>
                <w:webHidden/>
              </w:rPr>
              <w:tab/>
            </w:r>
            <w:r>
              <w:rPr>
                <w:noProof/>
                <w:webHidden/>
              </w:rPr>
              <w:fldChar w:fldCharType="begin"/>
            </w:r>
            <w:r>
              <w:rPr>
                <w:noProof/>
                <w:webHidden/>
              </w:rPr>
              <w:instrText xml:space="preserve"> PAGEREF _Toc223168710 \h </w:instrText>
            </w:r>
            <w:r>
              <w:rPr>
                <w:noProof/>
                <w:webHidden/>
              </w:rPr>
            </w:r>
            <w:r>
              <w:rPr>
                <w:noProof/>
                <w:webHidden/>
              </w:rPr>
              <w:fldChar w:fldCharType="separate"/>
            </w:r>
            <w:r>
              <w:rPr>
                <w:noProof/>
                <w:webHidden/>
              </w:rPr>
              <w:t>13</w:t>
            </w:r>
            <w:r>
              <w:rPr>
                <w:noProof/>
                <w:webHidden/>
              </w:rPr>
              <w:fldChar w:fldCharType="end"/>
            </w:r>
          </w:hyperlink>
        </w:p>
        <w:p w14:paraId="40BB4CCA" w14:textId="675DAF49" w:rsidR="00284C09" w:rsidRDefault="00284C09">
          <w:pPr>
            <w:pStyle w:val="TOC2"/>
            <w:tabs>
              <w:tab w:val="right" w:leader="dot" w:pos="8630"/>
            </w:tabs>
            <w:rPr>
              <w:rFonts w:asciiTheme="minorHAnsi" w:hAnsiTheme="minorHAnsi"/>
              <w:noProof/>
              <w:kern w:val="2"/>
              <w:szCs w:val="24"/>
              <w:lang w:eastAsia="en-GB"/>
              <w14:ligatures w14:val="standardContextual"/>
            </w:rPr>
          </w:pPr>
          <w:hyperlink w:anchor="_Toc223168711" w:history="1">
            <w:r w:rsidRPr="00371D4B">
              <w:rPr>
                <w:rStyle w:val="Hyperlink"/>
                <w:noProof/>
              </w:rPr>
              <w:t>3.4 SWOT and Strategic Implications</w:t>
            </w:r>
            <w:r>
              <w:rPr>
                <w:noProof/>
                <w:webHidden/>
              </w:rPr>
              <w:tab/>
            </w:r>
            <w:r>
              <w:rPr>
                <w:noProof/>
                <w:webHidden/>
              </w:rPr>
              <w:fldChar w:fldCharType="begin"/>
            </w:r>
            <w:r>
              <w:rPr>
                <w:noProof/>
                <w:webHidden/>
              </w:rPr>
              <w:instrText xml:space="preserve"> PAGEREF _Toc223168711 \h </w:instrText>
            </w:r>
            <w:r>
              <w:rPr>
                <w:noProof/>
                <w:webHidden/>
              </w:rPr>
            </w:r>
            <w:r>
              <w:rPr>
                <w:noProof/>
                <w:webHidden/>
              </w:rPr>
              <w:fldChar w:fldCharType="separate"/>
            </w:r>
            <w:r>
              <w:rPr>
                <w:noProof/>
                <w:webHidden/>
              </w:rPr>
              <w:t>15</w:t>
            </w:r>
            <w:r>
              <w:rPr>
                <w:noProof/>
                <w:webHidden/>
              </w:rPr>
              <w:fldChar w:fldCharType="end"/>
            </w:r>
          </w:hyperlink>
        </w:p>
        <w:p w14:paraId="6C7DB97F" w14:textId="63420D21" w:rsidR="00284C09" w:rsidRDefault="00284C09">
          <w:pPr>
            <w:pStyle w:val="TOC3"/>
            <w:tabs>
              <w:tab w:val="right" w:leader="dot" w:pos="8630"/>
            </w:tabs>
            <w:rPr>
              <w:rFonts w:asciiTheme="minorHAnsi" w:hAnsiTheme="minorHAnsi"/>
              <w:noProof/>
              <w:kern w:val="2"/>
              <w:szCs w:val="24"/>
              <w:lang w:eastAsia="en-GB"/>
              <w14:ligatures w14:val="standardContextual"/>
            </w:rPr>
          </w:pPr>
          <w:hyperlink w:anchor="_Toc223168712" w:history="1">
            <w:r w:rsidRPr="00371D4B">
              <w:rPr>
                <w:rStyle w:val="Hyperlink"/>
                <w:noProof/>
              </w:rPr>
              <w:t>3.4.1 SWOT Analysis (Hilton Cardiff – Single Property)</w:t>
            </w:r>
            <w:r>
              <w:rPr>
                <w:noProof/>
                <w:webHidden/>
              </w:rPr>
              <w:tab/>
            </w:r>
            <w:r>
              <w:rPr>
                <w:noProof/>
                <w:webHidden/>
              </w:rPr>
              <w:fldChar w:fldCharType="begin"/>
            </w:r>
            <w:r>
              <w:rPr>
                <w:noProof/>
                <w:webHidden/>
              </w:rPr>
              <w:instrText xml:space="preserve"> PAGEREF _Toc223168712 \h </w:instrText>
            </w:r>
            <w:r>
              <w:rPr>
                <w:noProof/>
                <w:webHidden/>
              </w:rPr>
            </w:r>
            <w:r>
              <w:rPr>
                <w:noProof/>
                <w:webHidden/>
              </w:rPr>
              <w:fldChar w:fldCharType="separate"/>
            </w:r>
            <w:r>
              <w:rPr>
                <w:noProof/>
                <w:webHidden/>
              </w:rPr>
              <w:t>15</w:t>
            </w:r>
            <w:r>
              <w:rPr>
                <w:noProof/>
                <w:webHidden/>
              </w:rPr>
              <w:fldChar w:fldCharType="end"/>
            </w:r>
          </w:hyperlink>
        </w:p>
        <w:p w14:paraId="2E422E5B" w14:textId="7C261492" w:rsidR="00284C09" w:rsidRDefault="00284C09">
          <w:pPr>
            <w:pStyle w:val="TOC3"/>
            <w:tabs>
              <w:tab w:val="right" w:leader="dot" w:pos="8630"/>
            </w:tabs>
            <w:rPr>
              <w:rFonts w:asciiTheme="minorHAnsi" w:hAnsiTheme="minorHAnsi"/>
              <w:noProof/>
              <w:kern w:val="2"/>
              <w:szCs w:val="24"/>
              <w:lang w:eastAsia="en-GB"/>
              <w14:ligatures w14:val="standardContextual"/>
            </w:rPr>
          </w:pPr>
          <w:hyperlink w:anchor="_Toc223168713" w:history="1">
            <w:r w:rsidRPr="00371D4B">
              <w:rPr>
                <w:rStyle w:val="Hyperlink"/>
                <w:noProof/>
              </w:rPr>
              <w:t>3.4.2 TOWS Matrix</w:t>
            </w:r>
            <w:r>
              <w:rPr>
                <w:noProof/>
                <w:webHidden/>
              </w:rPr>
              <w:tab/>
            </w:r>
            <w:r>
              <w:rPr>
                <w:noProof/>
                <w:webHidden/>
              </w:rPr>
              <w:fldChar w:fldCharType="begin"/>
            </w:r>
            <w:r>
              <w:rPr>
                <w:noProof/>
                <w:webHidden/>
              </w:rPr>
              <w:instrText xml:space="preserve"> PAGEREF _Toc223168713 \h </w:instrText>
            </w:r>
            <w:r>
              <w:rPr>
                <w:noProof/>
                <w:webHidden/>
              </w:rPr>
            </w:r>
            <w:r>
              <w:rPr>
                <w:noProof/>
                <w:webHidden/>
              </w:rPr>
              <w:fldChar w:fldCharType="separate"/>
            </w:r>
            <w:r>
              <w:rPr>
                <w:noProof/>
                <w:webHidden/>
              </w:rPr>
              <w:t>16</w:t>
            </w:r>
            <w:r>
              <w:rPr>
                <w:noProof/>
                <w:webHidden/>
              </w:rPr>
              <w:fldChar w:fldCharType="end"/>
            </w:r>
          </w:hyperlink>
        </w:p>
        <w:p w14:paraId="3BF91E38" w14:textId="24A3E65D" w:rsidR="00284C09" w:rsidRDefault="00284C09">
          <w:pPr>
            <w:pStyle w:val="TOC2"/>
            <w:tabs>
              <w:tab w:val="right" w:leader="dot" w:pos="8630"/>
            </w:tabs>
            <w:rPr>
              <w:rFonts w:asciiTheme="minorHAnsi" w:hAnsiTheme="minorHAnsi"/>
              <w:noProof/>
              <w:kern w:val="2"/>
              <w:szCs w:val="24"/>
              <w:lang w:eastAsia="en-GB"/>
              <w14:ligatures w14:val="standardContextual"/>
            </w:rPr>
          </w:pPr>
          <w:hyperlink w:anchor="_Toc223168714" w:history="1">
            <w:r w:rsidRPr="00371D4B">
              <w:rPr>
                <w:rStyle w:val="Hyperlink"/>
                <w:noProof/>
              </w:rPr>
              <w:t>3.5 Synthesis of Findings</w:t>
            </w:r>
            <w:r>
              <w:rPr>
                <w:noProof/>
                <w:webHidden/>
              </w:rPr>
              <w:tab/>
            </w:r>
            <w:r>
              <w:rPr>
                <w:noProof/>
                <w:webHidden/>
              </w:rPr>
              <w:fldChar w:fldCharType="begin"/>
            </w:r>
            <w:r>
              <w:rPr>
                <w:noProof/>
                <w:webHidden/>
              </w:rPr>
              <w:instrText xml:space="preserve"> PAGEREF _Toc223168714 \h </w:instrText>
            </w:r>
            <w:r>
              <w:rPr>
                <w:noProof/>
                <w:webHidden/>
              </w:rPr>
            </w:r>
            <w:r>
              <w:rPr>
                <w:noProof/>
                <w:webHidden/>
              </w:rPr>
              <w:fldChar w:fldCharType="separate"/>
            </w:r>
            <w:r>
              <w:rPr>
                <w:noProof/>
                <w:webHidden/>
              </w:rPr>
              <w:t>17</w:t>
            </w:r>
            <w:r>
              <w:rPr>
                <w:noProof/>
                <w:webHidden/>
              </w:rPr>
              <w:fldChar w:fldCharType="end"/>
            </w:r>
          </w:hyperlink>
        </w:p>
        <w:p w14:paraId="5F0916EB" w14:textId="4782085D" w:rsidR="00284C09" w:rsidRDefault="00284C09">
          <w:pPr>
            <w:pStyle w:val="TOC1"/>
            <w:tabs>
              <w:tab w:val="right" w:leader="dot" w:pos="8630"/>
            </w:tabs>
            <w:rPr>
              <w:rFonts w:asciiTheme="minorHAnsi" w:hAnsiTheme="minorHAnsi"/>
              <w:noProof/>
              <w:kern w:val="2"/>
              <w:szCs w:val="24"/>
              <w:lang w:eastAsia="en-GB"/>
              <w14:ligatures w14:val="standardContextual"/>
            </w:rPr>
          </w:pPr>
          <w:hyperlink w:anchor="_Toc223168715" w:history="1">
            <w:r w:rsidRPr="00371D4B">
              <w:rPr>
                <w:rStyle w:val="Hyperlink"/>
                <w:noProof/>
              </w:rPr>
              <w:t>4. Recommendations and Change Management</w:t>
            </w:r>
            <w:r>
              <w:rPr>
                <w:noProof/>
                <w:webHidden/>
              </w:rPr>
              <w:tab/>
            </w:r>
            <w:r>
              <w:rPr>
                <w:noProof/>
                <w:webHidden/>
              </w:rPr>
              <w:fldChar w:fldCharType="begin"/>
            </w:r>
            <w:r>
              <w:rPr>
                <w:noProof/>
                <w:webHidden/>
              </w:rPr>
              <w:instrText xml:space="preserve"> PAGEREF _Toc223168715 \h </w:instrText>
            </w:r>
            <w:r>
              <w:rPr>
                <w:noProof/>
                <w:webHidden/>
              </w:rPr>
            </w:r>
            <w:r>
              <w:rPr>
                <w:noProof/>
                <w:webHidden/>
              </w:rPr>
              <w:fldChar w:fldCharType="separate"/>
            </w:r>
            <w:r>
              <w:rPr>
                <w:noProof/>
                <w:webHidden/>
              </w:rPr>
              <w:t>18</w:t>
            </w:r>
            <w:r>
              <w:rPr>
                <w:noProof/>
                <w:webHidden/>
              </w:rPr>
              <w:fldChar w:fldCharType="end"/>
            </w:r>
          </w:hyperlink>
        </w:p>
        <w:p w14:paraId="7AC127A2" w14:textId="0D4E1AED" w:rsidR="00284C09" w:rsidRDefault="00284C09">
          <w:pPr>
            <w:pStyle w:val="TOC2"/>
            <w:tabs>
              <w:tab w:val="right" w:leader="dot" w:pos="8630"/>
            </w:tabs>
            <w:rPr>
              <w:rFonts w:asciiTheme="minorHAnsi" w:hAnsiTheme="minorHAnsi"/>
              <w:noProof/>
              <w:kern w:val="2"/>
              <w:szCs w:val="24"/>
              <w:lang w:eastAsia="en-GB"/>
              <w14:ligatures w14:val="standardContextual"/>
            </w:rPr>
          </w:pPr>
          <w:hyperlink w:anchor="_Toc223168716" w:history="1">
            <w:r w:rsidRPr="00371D4B">
              <w:rPr>
                <w:rStyle w:val="Hyperlink"/>
                <w:noProof/>
              </w:rPr>
              <w:t>4.1 Revenue Channel Rebalancing Strategy</w:t>
            </w:r>
            <w:r>
              <w:rPr>
                <w:noProof/>
                <w:webHidden/>
              </w:rPr>
              <w:tab/>
            </w:r>
            <w:r>
              <w:rPr>
                <w:noProof/>
                <w:webHidden/>
              </w:rPr>
              <w:fldChar w:fldCharType="begin"/>
            </w:r>
            <w:r>
              <w:rPr>
                <w:noProof/>
                <w:webHidden/>
              </w:rPr>
              <w:instrText xml:space="preserve"> PAGEREF _Toc223168716 \h </w:instrText>
            </w:r>
            <w:r>
              <w:rPr>
                <w:noProof/>
                <w:webHidden/>
              </w:rPr>
            </w:r>
            <w:r>
              <w:rPr>
                <w:noProof/>
                <w:webHidden/>
              </w:rPr>
              <w:fldChar w:fldCharType="separate"/>
            </w:r>
            <w:r>
              <w:rPr>
                <w:noProof/>
                <w:webHidden/>
              </w:rPr>
              <w:t>18</w:t>
            </w:r>
            <w:r>
              <w:rPr>
                <w:noProof/>
                <w:webHidden/>
              </w:rPr>
              <w:fldChar w:fldCharType="end"/>
            </w:r>
          </w:hyperlink>
        </w:p>
        <w:p w14:paraId="5F1A7221" w14:textId="26551291" w:rsidR="00284C09" w:rsidRDefault="00284C09">
          <w:pPr>
            <w:pStyle w:val="TOC2"/>
            <w:tabs>
              <w:tab w:val="right" w:leader="dot" w:pos="8630"/>
            </w:tabs>
            <w:rPr>
              <w:rFonts w:asciiTheme="minorHAnsi" w:hAnsiTheme="minorHAnsi"/>
              <w:noProof/>
              <w:kern w:val="2"/>
              <w:szCs w:val="24"/>
              <w:lang w:eastAsia="en-GB"/>
              <w14:ligatures w14:val="standardContextual"/>
            </w:rPr>
          </w:pPr>
          <w:hyperlink w:anchor="_Toc223168717" w:history="1">
            <w:r w:rsidRPr="00371D4B">
              <w:rPr>
                <w:rStyle w:val="Hyperlink"/>
                <w:noProof/>
              </w:rPr>
              <w:t>4.2 Workforce Stabilisation and Organisational Alignment</w:t>
            </w:r>
            <w:r>
              <w:rPr>
                <w:noProof/>
                <w:webHidden/>
              </w:rPr>
              <w:tab/>
            </w:r>
            <w:r>
              <w:rPr>
                <w:noProof/>
                <w:webHidden/>
              </w:rPr>
              <w:fldChar w:fldCharType="begin"/>
            </w:r>
            <w:r>
              <w:rPr>
                <w:noProof/>
                <w:webHidden/>
              </w:rPr>
              <w:instrText xml:space="preserve"> PAGEREF _Toc223168717 \h </w:instrText>
            </w:r>
            <w:r>
              <w:rPr>
                <w:noProof/>
                <w:webHidden/>
              </w:rPr>
            </w:r>
            <w:r>
              <w:rPr>
                <w:noProof/>
                <w:webHidden/>
              </w:rPr>
              <w:fldChar w:fldCharType="separate"/>
            </w:r>
            <w:r>
              <w:rPr>
                <w:noProof/>
                <w:webHidden/>
              </w:rPr>
              <w:t>20</w:t>
            </w:r>
            <w:r>
              <w:rPr>
                <w:noProof/>
                <w:webHidden/>
              </w:rPr>
              <w:fldChar w:fldCharType="end"/>
            </w:r>
          </w:hyperlink>
        </w:p>
        <w:p w14:paraId="149934A2" w14:textId="6A734584" w:rsidR="00284C09" w:rsidRDefault="00284C09">
          <w:pPr>
            <w:pStyle w:val="TOC2"/>
            <w:tabs>
              <w:tab w:val="right" w:leader="dot" w:pos="8630"/>
            </w:tabs>
            <w:rPr>
              <w:rFonts w:asciiTheme="minorHAnsi" w:hAnsiTheme="minorHAnsi"/>
              <w:noProof/>
              <w:kern w:val="2"/>
              <w:szCs w:val="24"/>
              <w:lang w:eastAsia="en-GB"/>
              <w14:ligatures w14:val="standardContextual"/>
            </w:rPr>
          </w:pPr>
          <w:hyperlink w:anchor="_Toc223168718" w:history="1">
            <w:r w:rsidRPr="00371D4B">
              <w:rPr>
                <w:rStyle w:val="Hyperlink"/>
                <w:noProof/>
              </w:rPr>
              <w:t>4.3 Integrated Financial Impact</w:t>
            </w:r>
            <w:r>
              <w:rPr>
                <w:noProof/>
                <w:webHidden/>
              </w:rPr>
              <w:tab/>
            </w:r>
            <w:r>
              <w:rPr>
                <w:noProof/>
                <w:webHidden/>
              </w:rPr>
              <w:fldChar w:fldCharType="begin"/>
            </w:r>
            <w:r>
              <w:rPr>
                <w:noProof/>
                <w:webHidden/>
              </w:rPr>
              <w:instrText xml:space="preserve"> PAGEREF _Toc223168718 \h </w:instrText>
            </w:r>
            <w:r>
              <w:rPr>
                <w:noProof/>
                <w:webHidden/>
              </w:rPr>
            </w:r>
            <w:r>
              <w:rPr>
                <w:noProof/>
                <w:webHidden/>
              </w:rPr>
              <w:fldChar w:fldCharType="separate"/>
            </w:r>
            <w:r>
              <w:rPr>
                <w:noProof/>
                <w:webHidden/>
              </w:rPr>
              <w:t>21</w:t>
            </w:r>
            <w:r>
              <w:rPr>
                <w:noProof/>
                <w:webHidden/>
              </w:rPr>
              <w:fldChar w:fldCharType="end"/>
            </w:r>
          </w:hyperlink>
        </w:p>
        <w:p w14:paraId="5484D9C1" w14:textId="7A0728C4" w:rsidR="00284C09" w:rsidRDefault="00284C09">
          <w:pPr>
            <w:pStyle w:val="TOC2"/>
            <w:tabs>
              <w:tab w:val="right" w:leader="dot" w:pos="8630"/>
            </w:tabs>
            <w:rPr>
              <w:rFonts w:asciiTheme="minorHAnsi" w:hAnsiTheme="minorHAnsi"/>
              <w:noProof/>
              <w:kern w:val="2"/>
              <w:szCs w:val="24"/>
              <w:lang w:eastAsia="en-GB"/>
              <w14:ligatures w14:val="standardContextual"/>
            </w:rPr>
          </w:pPr>
          <w:hyperlink w:anchor="_Toc223168719" w:history="1">
            <w:r w:rsidRPr="00371D4B">
              <w:rPr>
                <w:rStyle w:val="Hyperlink"/>
                <w:noProof/>
              </w:rPr>
              <w:t>4.4 Change Management Framework</w:t>
            </w:r>
            <w:r>
              <w:rPr>
                <w:noProof/>
                <w:webHidden/>
              </w:rPr>
              <w:tab/>
            </w:r>
            <w:r>
              <w:rPr>
                <w:noProof/>
                <w:webHidden/>
              </w:rPr>
              <w:fldChar w:fldCharType="begin"/>
            </w:r>
            <w:r>
              <w:rPr>
                <w:noProof/>
                <w:webHidden/>
              </w:rPr>
              <w:instrText xml:space="preserve"> PAGEREF _Toc223168719 \h </w:instrText>
            </w:r>
            <w:r>
              <w:rPr>
                <w:noProof/>
                <w:webHidden/>
              </w:rPr>
            </w:r>
            <w:r>
              <w:rPr>
                <w:noProof/>
                <w:webHidden/>
              </w:rPr>
              <w:fldChar w:fldCharType="separate"/>
            </w:r>
            <w:r>
              <w:rPr>
                <w:noProof/>
                <w:webHidden/>
              </w:rPr>
              <w:t>22</w:t>
            </w:r>
            <w:r>
              <w:rPr>
                <w:noProof/>
                <w:webHidden/>
              </w:rPr>
              <w:fldChar w:fldCharType="end"/>
            </w:r>
          </w:hyperlink>
        </w:p>
        <w:p w14:paraId="07A2B615" w14:textId="310C91C6" w:rsidR="00284C09" w:rsidRDefault="00284C09">
          <w:pPr>
            <w:pStyle w:val="TOC2"/>
            <w:tabs>
              <w:tab w:val="right" w:leader="dot" w:pos="8630"/>
            </w:tabs>
            <w:rPr>
              <w:rFonts w:asciiTheme="minorHAnsi" w:hAnsiTheme="minorHAnsi"/>
              <w:noProof/>
              <w:kern w:val="2"/>
              <w:szCs w:val="24"/>
              <w:lang w:eastAsia="en-GB"/>
              <w14:ligatures w14:val="standardContextual"/>
            </w:rPr>
          </w:pPr>
          <w:hyperlink w:anchor="_Toc223168720" w:history="1">
            <w:r w:rsidRPr="00371D4B">
              <w:rPr>
                <w:rStyle w:val="Hyperlink"/>
                <w:noProof/>
              </w:rPr>
              <w:t>4.5 Strategic Justification</w:t>
            </w:r>
            <w:r>
              <w:rPr>
                <w:noProof/>
                <w:webHidden/>
              </w:rPr>
              <w:tab/>
            </w:r>
            <w:r>
              <w:rPr>
                <w:noProof/>
                <w:webHidden/>
              </w:rPr>
              <w:fldChar w:fldCharType="begin"/>
            </w:r>
            <w:r>
              <w:rPr>
                <w:noProof/>
                <w:webHidden/>
              </w:rPr>
              <w:instrText xml:space="preserve"> PAGEREF _Toc223168720 \h </w:instrText>
            </w:r>
            <w:r>
              <w:rPr>
                <w:noProof/>
                <w:webHidden/>
              </w:rPr>
            </w:r>
            <w:r>
              <w:rPr>
                <w:noProof/>
                <w:webHidden/>
              </w:rPr>
              <w:fldChar w:fldCharType="separate"/>
            </w:r>
            <w:r>
              <w:rPr>
                <w:noProof/>
                <w:webHidden/>
              </w:rPr>
              <w:t>22</w:t>
            </w:r>
            <w:r>
              <w:rPr>
                <w:noProof/>
                <w:webHidden/>
              </w:rPr>
              <w:fldChar w:fldCharType="end"/>
            </w:r>
          </w:hyperlink>
        </w:p>
        <w:p w14:paraId="082FE580" w14:textId="3DEA336B" w:rsidR="00284C09" w:rsidRDefault="00284C09">
          <w:pPr>
            <w:pStyle w:val="TOC1"/>
            <w:tabs>
              <w:tab w:val="right" w:leader="dot" w:pos="8630"/>
            </w:tabs>
            <w:rPr>
              <w:rFonts w:asciiTheme="minorHAnsi" w:hAnsiTheme="minorHAnsi"/>
              <w:noProof/>
              <w:kern w:val="2"/>
              <w:szCs w:val="24"/>
              <w:lang w:eastAsia="en-GB"/>
              <w14:ligatures w14:val="standardContextual"/>
            </w:rPr>
          </w:pPr>
          <w:hyperlink w:anchor="_Toc223168721" w:history="1">
            <w:r w:rsidRPr="00371D4B">
              <w:rPr>
                <w:rStyle w:val="Hyperlink"/>
                <w:noProof/>
              </w:rPr>
              <w:t>5. Action Plan</w:t>
            </w:r>
            <w:r>
              <w:rPr>
                <w:noProof/>
                <w:webHidden/>
              </w:rPr>
              <w:tab/>
            </w:r>
            <w:r>
              <w:rPr>
                <w:noProof/>
                <w:webHidden/>
              </w:rPr>
              <w:fldChar w:fldCharType="begin"/>
            </w:r>
            <w:r>
              <w:rPr>
                <w:noProof/>
                <w:webHidden/>
              </w:rPr>
              <w:instrText xml:space="preserve"> PAGEREF _Toc223168721 \h </w:instrText>
            </w:r>
            <w:r>
              <w:rPr>
                <w:noProof/>
                <w:webHidden/>
              </w:rPr>
            </w:r>
            <w:r>
              <w:rPr>
                <w:noProof/>
                <w:webHidden/>
              </w:rPr>
              <w:fldChar w:fldCharType="separate"/>
            </w:r>
            <w:r>
              <w:rPr>
                <w:noProof/>
                <w:webHidden/>
              </w:rPr>
              <w:t>24</w:t>
            </w:r>
            <w:r>
              <w:rPr>
                <w:noProof/>
                <w:webHidden/>
              </w:rPr>
              <w:fldChar w:fldCharType="end"/>
            </w:r>
          </w:hyperlink>
        </w:p>
        <w:p w14:paraId="308416E0" w14:textId="4DD292C6" w:rsidR="00284C09" w:rsidRDefault="00284C09">
          <w:pPr>
            <w:pStyle w:val="TOC1"/>
            <w:tabs>
              <w:tab w:val="right" w:leader="dot" w:pos="8630"/>
            </w:tabs>
            <w:rPr>
              <w:rFonts w:asciiTheme="minorHAnsi" w:hAnsiTheme="minorHAnsi"/>
              <w:noProof/>
              <w:kern w:val="2"/>
              <w:szCs w:val="24"/>
              <w:lang w:eastAsia="en-GB"/>
              <w14:ligatures w14:val="standardContextual"/>
            </w:rPr>
          </w:pPr>
          <w:hyperlink w:anchor="_Toc223168722" w:history="1">
            <w:r w:rsidRPr="00371D4B">
              <w:rPr>
                <w:rStyle w:val="Hyperlink"/>
                <w:noProof/>
              </w:rPr>
              <w:t>6. Conclusion</w:t>
            </w:r>
            <w:r>
              <w:rPr>
                <w:noProof/>
                <w:webHidden/>
              </w:rPr>
              <w:tab/>
            </w:r>
            <w:r>
              <w:rPr>
                <w:noProof/>
                <w:webHidden/>
              </w:rPr>
              <w:fldChar w:fldCharType="begin"/>
            </w:r>
            <w:r>
              <w:rPr>
                <w:noProof/>
                <w:webHidden/>
              </w:rPr>
              <w:instrText xml:space="preserve"> PAGEREF _Toc223168722 \h </w:instrText>
            </w:r>
            <w:r>
              <w:rPr>
                <w:noProof/>
                <w:webHidden/>
              </w:rPr>
            </w:r>
            <w:r>
              <w:rPr>
                <w:noProof/>
                <w:webHidden/>
              </w:rPr>
              <w:fldChar w:fldCharType="separate"/>
            </w:r>
            <w:r>
              <w:rPr>
                <w:noProof/>
                <w:webHidden/>
              </w:rPr>
              <w:t>28</w:t>
            </w:r>
            <w:r>
              <w:rPr>
                <w:noProof/>
                <w:webHidden/>
              </w:rPr>
              <w:fldChar w:fldCharType="end"/>
            </w:r>
          </w:hyperlink>
        </w:p>
        <w:p w14:paraId="566E4BC4" w14:textId="48E939AF" w:rsidR="00284C09" w:rsidRDefault="00284C09">
          <w:pPr>
            <w:pStyle w:val="TOC1"/>
            <w:tabs>
              <w:tab w:val="right" w:leader="dot" w:pos="8630"/>
            </w:tabs>
            <w:rPr>
              <w:rFonts w:asciiTheme="minorHAnsi" w:hAnsiTheme="minorHAnsi"/>
              <w:noProof/>
              <w:kern w:val="2"/>
              <w:szCs w:val="24"/>
              <w:lang w:eastAsia="en-GB"/>
              <w14:ligatures w14:val="standardContextual"/>
            </w:rPr>
          </w:pPr>
          <w:hyperlink w:anchor="_Toc223168723" w:history="1">
            <w:r w:rsidRPr="00371D4B">
              <w:rPr>
                <w:rStyle w:val="Hyperlink"/>
                <w:noProof/>
              </w:rPr>
              <w:t>References</w:t>
            </w:r>
            <w:r>
              <w:rPr>
                <w:noProof/>
                <w:webHidden/>
              </w:rPr>
              <w:tab/>
            </w:r>
            <w:r>
              <w:rPr>
                <w:noProof/>
                <w:webHidden/>
              </w:rPr>
              <w:fldChar w:fldCharType="begin"/>
            </w:r>
            <w:r>
              <w:rPr>
                <w:noProof/>
                <w:webHidden/>
              </w:rPr>
              <w:instrText xml:space="preserve"> PAGEREF _Toc223168723 \h </w:instrText>
            </w:r>
            <w:r>
              <w:rPr>
                <w:noProof/>
                <w:webHidden/>
              </w:rPr>
            </w:r>
            <w:r>
              <w:rPr>
                <w:noProof/>
                <w:webHidden/>
              </w:rPr>
              <w:fldChar w:fldCharType="separate"/>
            </w:r>
            <w:r>
              <w:rPr>
                <w:noProof/>
                <w:webHidden/>
              </w:rPr>
              <w:t>30</w:t>
            </w:r>
            <w:r>
              <w:rPr>
                <w:noProof/>
                <w:webHidden/>
              </w:rPr>
              <w:fldChar w:fldCharType="end"/>
            </w:r>
          </w:hyperlink>
        </w:p>
        <w:p w14:paraId="0E0009DC" w14:textId="605D877A" w:rsidR="009A7714" w:rsidRDefault="009A7714">
          <w:r>
            <w:rPr>
              <w:b/>
              <w:bCs/>
            </w:rPr>
            <w:fldChar w:fldCharType="end"/>
          </w:r>
        </w:p>
      </w:sdtContent>
    </w:sdt>
    <w:p w14:paraId="705E60E8" w14:textId="77777777" w:rsidR="00303E4B" w:rsidRDefault="00303E4B" w:rsidP="009A7714"/>
    <w:p w14:paraId="410EA121" w14:textId="77777777" w:rsidR="000D49AA" w:rsidRDefault="000D49AA">
      <w:pPr>
        <w:spacing w:line="276" w:lineRule="auto"/>
        <w:jc w:val="left"/>
        <w:rPr>
          <w:rFonts w:eastAsiaTheme="majorEastAsia" w:cstheme="majorBidi"/>
          <w:b/>
          <w:bCs/>
          <w:sz w:val="28"/>
          <w:szCs w:val="28"/>
        </w:rPr>
      </w:pPr>
      <w:r>
        <w:br w:type="page"/>
      </w:r>
    </w:p>
    <w:p w14:paraId="59BBF451" w14:textId="00E5E955" w:rsidR="008167DB" w:rsidRPr="00DB486B" w:rsidRDefault="000D49AA" w:rsidP="005A537B">
      <w:pPr>
        <w:pStyle w:val="Heading1"/>
      </w:pPr>
      <w:bookmarkStart w:id="1" w:name="_Toc223168706"/>
      <w:r>
        <w:lastRenderedPageBreak/>
        <w:t xml:space="preserve">2. </w:t>
      </w:r>
      <w:r w:rsidR="008167DB" w:rsidRPr="00DB486B">
        <w:t>Introduction</w:t>
      </w:r>
      <w:bookmarkEnd w:id="1"/>
      <w:r w:rsidR="008167DB" w:rsidRPr="00DB486B">
        <w:t xml:space="preserve"> </w:t>
      </w:r>
    </w:p>
    <w:p w14:paraId="270F0EF6" w14:textId="77777777" w:rsidR="00DB486B" w:rsidRPr="00DB486B" w:rsidRDefault="00DB486B" w:rsidP="00DB486B">
      <w:r w:rsidRPr="00DB486B">
        <w:t xml:space="preserve">Hilton Cardiff is a luxury </w:t>
      </w:r>
      <w:proofErr w:type="gramStart"/>
      <w:r w:rsidRPr="00DB486B">
        <w:t>four star</w:t>
      </w:r>
      <w:proofErr w:type="gramEnd"/>
      <w:r w:rsidRPr="00DB486B">
        <w:t xml:space="preserve"> hotel situated at the business and cultural centre of Cardiff in Wales. The hotel which stands opposite Cardiff Castle and in a very close proximity to major retail, corporate and governmental organizations is a 197 guest rooms hotel with conference facilities, restaurant, bar and fitness centre and leisure facilities. Being a part of Hilton Worldwide Holdings Inc., the property enjoys the advantage of being integrated with one of the most recognised hospitality brands globally and runs </w:t>
      </w:r>
      <w:proofErr w:type="gramStart"/>
      <w:r w:rsidRPr="00DB486B">
        <w:t>in excess of</w:t>
      </w:r>
      <w:proofErr w:type="gramEnd"/>
      <w:r w:rsidRPr="00DB486B">
        <w:t xml:space="preserve"> 7,000 properties across the world (Hilton Annual Report, 2023). Brand affiliation will give access to centralised revenue management systems, worldwide marketing campaigns, Hilton Honors loyalty programme and uniform operational systems.</w:t>
      </w:r>
    </w:p>
    <w:p w14:paraId="07BDB349" w14:textId="0EC50150" w:rsidR="00DB486B" w:rsidRPr="00DB486B" w:rsidRDefault="00DB486B" w:rsidP="00DB486B">
      <w:r w:rsidRPr="00DB486B">
        <w:t>Regardless of these structural strengths, the UK hospitality market has plunged into a phase of heightened competitive and economic pressures. According to STR Global (2024), the occupancy rates have mostly recovered after the pandemic, but the profitability has been limited due to the increase in the cost of labour, the rise in energy cost, and the use of commission-based distribution channels. Inflation in UK is highest at 11.1% in 2022 and was still over 6.0</w:t>
      </w:r>
      <w:r w:rsidR="00846F54">
        <w:t xml:space="preserve">% </w:t>
      </w:r>
      <w:r w:rsidRPr="00DB486B">
        <w:t>at the end of 2023 (ONS, 2024), which drastically raised the costs of conducting business in a hotel. At the same time, labour shortages caused by migration limitations following the Brexit and workforce leaving during the pandemic have put long-term pressure on the stability of staffing (</w:t>
      </w:r>
      <w:proofErr w:type="spellStart"/>
      <w:r w:rsidRPr="00DB486B">
        <w:t>UKHospitality</w:t>
      </w:r>
      <w:proofErr w:type="spellEnd"/>
      <w:r w:rsidRPr="00DB486B">
        <w:t>, 2024).</w:t>
      </w:r>
    </w:p>
    <w:p w14:paraId="1393A8AD" w14:textId="77777777" w:rsidR="00DB486B" w:rsidRPr="00DB486B" w:rsidRDefault="00DB486B" w:rsidP="00DB486B">
      <w:r w:rsidRPr="00DB486B">
        <w:t>In this context, Hilton Cardiff is faced with the following two strategic issues:</w:t>
      </w:r>
    </w:p>
    <w:p w14:paraId="22BAAE52" w14:textId="76C5D4A3" w:rsidR="00DB486B" w:rsidRPr="00DB486B" w:rsidRDefault="00DB486B" w:rsidP="00DB486B">
      <w:r w:rsidRPr="00DB486B">
        <w:t xml:space="preserve">(1) </w:t>
      </w:r>
      <w:r w:rsidR="002A5A0C" w:rsidRPr="00DB486B">
        <w:t xml:space="preserve">Overdependence </w:t>
      </w:r>
      <w:r w:rsidRPr="00DB486B">
        <w:t>on the Online Travel Agencies (OTAs) to bring in room revenue and</w:t>
      </w:r>
    </w:p>
    <w:p w14:paraId="6EBE3F7A" w14:textId="7CFDB2C1" w:rsidR="00DB486B" w:rsidRPr="00DB486B" w:rsidRDefault="00DB486B" w:rsidP="00DB486B">
      <w:r w:rsidRPr="00DB486B">
        <w:t xml:space="preserve">(2) </w:t>
      </w:r>
      <w:r w:rsidR="002A5A0C" w:rsidRPr="00DB486B">
        <w:t xml:space="preserve">Increased </w:t>
      </w:r>
      <w:r w:rsidRPr="00DB486B">
        <w:t>rate of employee turnover affecting the service provision and stability of the organisation.</w:t>
      </w:r>
    </w:p>
    <w:p w14:paraId="1396144C" w14:textId="1017C66F" w:rsidR="00DB486B" w:rsidRPr="00DB486B" w:rsidRDefault="00DB486B" w:rsidP="00DB486B">
      <w:r w:rsidRPr="00DB486B">
        <w:t>According to industry studies, OTA commissions are between 15 to 25</w:t>
      </w:r>
      <w:r w:rsidR="00846F54">
        <w:t xml:space="preserve">% </w:t>
      </w:r>
      <w:r w:rsidRPr="00DB486B">
        <w:t xml:space="preserve">of every booking (PwC, 2023), and this significantly decreases the net revenue margins. Deloitte (2023) continues by stating that third-party over-reliance on hotel distribution causes the latter to lose control over customer data, future loyalty prospects, and pricing. Compared to them, </w:t>
      </w:r>
      <w:r w:rsidRPr="00DB486B">
        <w:lastRenderedPageBreak/>
        <w:t>direct booking channels yield greater net revenue and allow adopting data-driven personalisation strategy.</w:t>
      </w:r>
    </w:p>
    <w:p w14:paraId="7F956D84" w14:textId="77777777" w:rsidR="00DB486B" w:rsidRPr="00DB486B" w:rsidRDefault="00DB486B" w:rsidP="00DB486B">
      <w:r w:rsidRPr="00DB486B">
        <w:t>In line with the inefficiency of distribution, employee turnover has become a major weakness. According to CIPD (2023), the turnover rates in the hospitality industry amount to 30 to 40, which is much greater in comparison to the national level (15) in the UK. In addition to creating direct financial costs (estimated at £5,000- 7,000 per replacement, Oxford Economics, 2023), high turnover also compromises service quality, guest satisfaction and brand reputation. The studies of Cornell School of Hotel Administration (2022) show that workforce stability can increase the revenue by 9 points in case of one-point improvement in online guest review scores, which proves that the revenue aspect of workforce stability is significant.</w:t>
      </w:r>
    </w:p>
    <w:p w14:paraId="22974CDA" w14:textId="77777777" w:rsidR="00DB486B" w:rsidRPr="00DB486B" w:rsidRDefault="00DB486B" w:rsidP="00DB486B">
      <w:r w:rsidRPr="00DB486B">
        <w:t xml:space="preserve">These problems indicate that the problems that Hilton Cardiff faces are structural and strategic rather than operational. Porter (1985) writes that the sustainable competitive advantage entails compatibility between the cost control, the differentiation and internal organisational capabilities. Additionally, McKinsey 7S Framework </w:t>
      </w:r>
      <w:proofErr w:type="gramStart"/>
      <w:r w:rsidRPr="00DB486B">
        <w:t>( Waterman</w:t>
      </w:r>
      <w:proofErr w:type="gramEnd"/>
      <w:r w:rsidRPr="00DB486B">
        <w:t xml:space="preserve"> et al., 1980) stresses on the congruence of strategy, systems, staff, skills, structure, style and shared values. The discrepancy between the digital strategy and the workforce capability can limit the capabilities of Hilton Cardiff to maximize the benefits of the brand.</w:t>
      </w:r>
    </w:p>
    <w:p w14:paraId="216C1041" w14:textId="77777777" w:rsidR="00DB486B" w:rsidRPr="00DB486B" w:rsidRDefault="00DB486B" w:rsidP="00DB486B">
      <w:r w:rsidRPr="00DB486B">
        <w:t xml:space="preserve">This consultancy report is then aimed at performing a systematic organisational analysis of Hilton Cardiff with a view of diagnosing the root causes of the issue and formulating </w:t>
      </w:r>
      <w:proofErr w:type="gramStart"/>
      <w:r w:rsidRPr="00DB486B">
        <w:t>evidence based</w:t>
      </w:r>
      <w:proofErr w:type="gramEnd"/>
      <w:r w:rsidRPr="00DB486B">
        <w:t xml:space="preserve"> recommendations using existing strategic and change management models.</w:t>
      </w:r>
    </w:p>
    <w:p w14:paraId="49B844E9" w14:textId="77777777" w:rsidR="00DB486B" w:rsidRPr="00DB486B" w:rsidRDefault="00DB486B" w:rsidP="00DB486B">
      <w:r w:rsidRPr="00DB486B">
        <w:t xml:space="preserve">The analytical aids to be utilized in this consultancy report are STEEPLED analysis to determine macro-environmental pressures, Fishbone root cause analysis to diagnose drivers behind it, McKinsey 7S Framework to examine and assess internal alignment, and SWOT analysis to examine the Hiltons Cardiff strategic position. Findings are then transformed into strategic options </w:t>
      </w:r>
      <w:proofErr w:type="gramStart"/>
      <w:r w:rsidRPr="00DB486B">
        <w:t>by the use of</w:t>
      </w:r>
      <w:proofErr w:type="gramEnd"/>
      <w:r w:rsidRPr="00DB486B">
        <w:t xml:space="preserve"> a TOWS matrix, and structured implementation and behavioural transition techniques are offered by Kotter 8-Step Change Model and Lewin Change Theory. The report aims are to assess the financial and organisational costs of OTA dependency and employee turnover, compare the Hilton </w:t>
      </w:r>
      <w:r w:rsidRPr="00DB486B">
        <w:lastRenderedPageBreak/>
        <w:t>Cardiff performance with the UK high end hotel performance indicators, address structural imbalances constraining performance, suggest costed and time-constrained strategic interventions that are financial, and create measurable KPIs and definite implementation directions.</w:t>
      </w:r>
    </w:p>
    <w:p w14:paraId="68215A1C" w14:textId="0F350B18" w:rsidR="002A3409" w:rsidRPr="00DB486B" w:rsidRDefault="00DB486B" w:rsidP="002A3409">
      <w:r w:rsidRPr="00DB486B">
        <w:t>This consultancy is also advocating a professional advisory approach, which is in line with the definition of an external organisational consultant as suggested by Newton (2010), which involves analytical rigour and practical strategic recommendations. Through quantitative financial modelling and the application of qualitative organisational appraisal, the report aims to provide relevant solutions that can assist in the improvement of the EBITDA margin, improved workforce stability and competitive resiliency in the Cardiff urban hospitality market.</w:t>
      </w:r>
    </w:p>
    <w:p w14:paraId="297CE0CE" w14:textId="77777777" w:rsidR="000D49AA" w:rsidRDefault="000D49AA">
      <w:pPr>
        <w:spacing w:line="276" w:lineRule="auto"/>
        <w:jc w:val="left"/>
        <w:rPr>
          <w:rFonts w:eastAsiaTheme="majorEastAsia" w:cstheme="majorBidi"/>
          <w:b/>
          <w:bCs/>
          <w:sz w:val="28"/>
          <w:szCs w:val="28"/>
        </w:rPr>
      </w:pPr>
      <w:r>
        <w:br w:type="page"/>
      </w:r>
    </w:p>
    <w:p w14:paraId="54877E4B" w14:textId="36C90EC0" w:rsidR="002A3409" w:rsidRPr="00DB486B" w:rsidRDefault="002A3409" w:rsidP="005A537B">
      <w:pPr>
        <w:pStyle w:val="Heading1"/>
      </w:pPr>
      <w:bookmarkStart w:id="2" w:name="_Toc223168707"/>
      <w:r w:rsidRPr="00DB486B">
        <w:lastRenderedPageBreak/>
        <w:t>3. Analysis</w:t>
      </w:r>
      <w:bookmarkEnd w:id="2"/>
      <w:r w:rsidRPr="00DB486B">
        <w:t xml:space="preserve"> </w:t>
      </w:r>
    </w:p>
    <w:p w14:paraId="6F9F5B48" w14:textId="2D6C870A" w:rsidR="002A3409" w:rsidRPr="00DB486B" w:rsidRDefault="002A3409" w:rsidP="005A537B">
      <w:pPr>
        <w:pStyle w:val="Heading2"/>
      </w:pPr>
      <w:bookmarkStart w:id="3" w:name="_Toc223168708"/>
      <w:r w:rsidRPr="00DB486B">
        <w:t>3.1 Market Context and Financial Performance Benchmarking</w:t>
      </w:r>
      <w:bookmarkEnd w:id="3"/>
    </w:p>
    <w:p w14:paraId="0B90A93B" w14:textId="77777777" w:rsidR="00DB486B" w:rsidRPr="00DB486B" w:rsidRDefault="00DB486B" w:rsidP="00DB486B">
      <w:r w:rsidRPr="00DB486B">
        <w:t xml:space="preserve">To be able to tell whether the problems faced by Hilton Cardiff are isolated or inherent in the sectoral mechanisms, the performance of this </w:t>
      </w:r>
      <w:proofErr w:type="gramStart"/>
      <w:r w:rsidRPr="00DB486B">
        <w:t>particular hotel</w:t>
      </w:r>
      <w:proofErr w:type="gramEnd"/>
      <w:r w:rsidRPr="00DB486B">
        <w:t xml:space="preserve"> will first have to be evaluated in relation to the broader UK upscale hotel market. As per the STR Global (2024), UK upscale urban hotels registered a 76 average occupancy rate, an Average Daily Rate (ADR) of 128 and RevPAR of 97 20232024. Although occupancy recovery has mostly stabilised after being disrupted by the pandemic, profitability is limited by the increasing operational expenses and the inefficiency of distribution channels.</w:t>
      </w:r>
    </w:p>
    <w:p w14:paraId="1032D470" w14:textId="47B8F920" w:rsidR="002A3409" w:rsidRPr="00DB486B" w:rsidRDefault="00DB486B" w:rsidP="00DB486B">
      <w:r w:rsidRPr="00DB486B">
        <w:t>Hilton Cardiff has a total of 197 rooms. Given an estimated occupancy rate of 74% (a bit lower than the industry average) and ADR of £122 (below the UK upscale ADR market average), room revenue per annum may be calculated as follows:</w:t>
      </w:r>
    </w:p>
    <w:p w14:paraId="090C8C01" w14:textId="77777777" w:rsidR="002A3409" w:rsidRPr="00DB486B" w:rsidRDefault="002A3409" w:rsidP="002A3409">
      <w:r w:rsidRPr="00DB486B">
        <w:t>197 rooms × 365 days × 74% occupancy × £122 ADR</w:t>
      </w:r>
    </w:p>
    <w:p w14:paraId="2C0F8A94" w14:textId="76AB3DE8" w:rsidR="002A3409" w:rsidRPr="00DB486B" w:rsidRDefault="002A3409" w:rsidP="002A3409">
      <w:r w:rsidRPr="00DB486B">
        <w:t>= approximately £6.5–£6.7 million annual room revenue.</w:t>
      </w:r>
    </w:p>
    <w:p w14:paraId="6F6CAA3E" w14:textId="108CAFE3" w:rsidR="00DB486B" w:rsidRDefault="00DB486B" w:rsidP="00DB486B">
      <w:r>
        <w:t>Distribution reports by PwC (2023) and Deloitte (2023) indicate that luxury city hotels usually make 50 to 60</w:t>
      </w:r>
      <w:r w:rsidR="00846F54">
        <w:t xml:space="preserve">% </w:t>
      </w:r>
      <w:r>
        <w:t>of their room bookings via online travel agents, like Booking.com and Expedia. The approximations of Hilton Cardiff are 58</w:t>
      </w:r>
      <w:r w:rsidR="00846F54">
        <w:t xml:space="preserve">% </w:t>
      </w:r>
      <w:r>
        <w:t>of their room bookings through OTAs, which is at the high reliance scale of the industry.</w:t>
      </w:r>
    </w:p>
    <w:p w14:paraId="158EB150" w14:textId="2D02E6C4" w:rsidR="00DB486B" w:rsidRDefault="00DB486B" w:rsidP="00DB486B">
      <w:r>
        <w:t>Assuming that of the 58% of the room revenue of 6.6 million is commissionable with an average commission rate of 18</w:t>
      </w:r>
      <w:r w:rsidR="00172FE8">
        <w:t>%</w:t>
      </w:r>
      <w:r>
        <w:t xml:space="preserve">, then the financial impact can be </w:t>
      </w:r>
      <w:r w:rsidR="00846F54">
        <w:t>modelled</w:t>
      </w:r>
      <w:r>
        <w:t xml:space="preserve"> as:</w:t>
      </w:r>
    </w:p>
    <w:p w14:paraId="5C46F319" w14:textId="359AFAA7" w:rsidR="002A3409" w:rsidRPr="00DB486B" w:rsidRDefault="002A3409" w:rsidP="002A3409">
      <w:r w:rsidRPr="00DB486B">
        <w:t>£6.6 million × 58% × 18% = approximately £688,000 annual commission expenditure.</w:t>
      </w:r>
    </w:p>
    <w:p w14:paraId="1B809A53" w14:textId="77777777" w:rsidR="00C51794" w:rsidRPr="00DB486B" w:rsidRDefault="00C51794" w:rsidP="00C51794">
      <w:pPr>
        <w:keepNext/>
        <w:jc w:val="center"/>
      </w:pPr>
      <w:r w:rsidRPr="00DB486B">
        <w:rPr>
          <w:noProof/>
        </w:rPr>
        <w:lastRenderedPageBreak/>
        <w:drawing>
          <wp:inline distT="0" distB="0" distL="0" distR="0" wp14:anchorId="6EA3D9E8" wp14:editId="37AF7883">
            <wp:extent cx="5038725" cy="3097836"/>
            <wp:effectExtent l="0" t="0" r="0" b="7620"/>
            <wp:docPr id="1861077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49308" cy="3104343"/>
                    </a:xfrm>
                    <a:prstGeom prst="rect">
                      <a:avLst/>
                    </a:prstGeom>
                    <a:noFill/>
                  </pic:spPr>
                </pic:pic>
              </a:graphicData>
            </a:graphic>
          </wp:inline>
        </w:drawing>
      </w:r>
    </w:p>
    <w:p w14:paraId="04085470" w14:textId="7E91493F" w:rsidR="00C51794" w:rsidRPr="000D49AA" w:rsidRDefault="00C51794" w:rsidP="00C51794">
      <w:pPr>
        <w:pStyle w:val="Caption"/>
        <w:jc w:val="center"/>
        <w:rPr>
          <w:color w:val="auto"/>
          <w:sz w:val="24"/>
          <w:szCs w:val="24"/>
        </w:rPr>
      </w:pPr>
      <w:r w:rsidRPr="000D49AA">
        <w:rPr>
          <w:color w:val="auto"/>
          <w:sz w:val="24"/>
          <w:szCs w:val="24"/>
        </w:rPr>
        <w:t xml:space="preserve">Figure </w:t>
      </w:r>
      <w:r w:rsidRPr="000D49AA">
        <w:rPr>
          <w:color w:val="auto"/>
          <w:sz w:val="24"/>
          <w:szCs w:val="24"/>
        </w:rPr>
        <w:fldChar w:fldCharType="begin"/>
      </w:r>
      <w:r w:rsidRPr="000D49AA">
        <w:rPr>
          <w:color w:val="auto"/>
          <w:sz w:val="24"/>
          <w:szCs w:val="24"/>
        </w:rPr>
        <w:instrText xml:space="preserve"> SEQ Figure \* ARABIC </w:instrText>
      </w:r>
      <w:r w:rsidRPr="000D49AA">
        <w:rPr>
          <w:color w:val="auto"/>
          <w:sz w:val="24"/>
          <w:szCs w:val="24"/>
        </w:rPr>
        <w:fldChar w:fldCharType="separate"/>
      </w:r>
      <w:r w:rsidR="00BC46B0" w:rsidRPr="000D49AA">
        <w:rPr>
          <w:color w:val="auto"/>
          <w:sz w:val="24"/>
          <w:szCs w:val="24"/>
        </w:rPr>
        <w:t>1</w:t>
      </w:r>
      <w:r w:rsidRPr="000D49AA">
        <w:rPr>
          <w:color w:val="auto"/>
          <w:sz w:val="24"/>
          <w:szCs w:val="24"/>
        </w:rPr>
        <w:fldChar w:fldCharType="end"/>
      </w:r>
      <w:r w:rsidRPr="000D49AA">
        <w:rPr>
          <w:color w:val="auto"/>
          <w:sz w:val="24"/>
          <w:szCs w:val="24"/>
        </w:rPr>
        <w:t>: Estimated OTA commission exposure for Hilton Cardiff (modelled, 2023–2024)</w:t>
      </w:r>
    </w:p>
    <w:p w14:paraId="0A3E727A" w14:textId="22EBE96E" w:rsidR="00251EA4" w:rsidRPr="000D49AA" w:rsidRDefault="00251EA4" w:rsidP="00251EA4">
      <w:pPr>
        <w:jc w:val="center"/>
        <w:rPr>
          <w:b/>
          <w:bCs/>
          <w:szCs w:val="24"/>
        </w:rPr>
      </w:pPr>
      <w:r w:rsidRPr="000D49AA">
        <w:rPr>
          <w:b/>
          <w:bCs/>
          <w:szCs w:val="24"/>
        </w:rPr>
        <w:t>Source: Author’s calculations using UK upscale market benchmarks (STR Global, 2024) and OTA commission/channel mix evidence (PwC, 2023; Deloitte, 2023)</w:t>
      </w:r>
    </w:p>
    <w:p w14:paraId="525B1217" w14:textId="77777777" w:rsidR="00DB486B" w:rsidRDefault="00DB486B" w:rsidP="00DB486B">
      <w:r>
        <w:t>As Figure 1 demonstrates, the OTA commission leakage is estimated at about 0.69m per annum, cutting the retained room revenue, and escalating the sensitivity of the EBITDA to the distribution expenses.</w:t>
      </w:r>
    </w:p>
    <w:p w14:paraId="0AD1E542" w14:textId="14A940DB" w:rsidR="00DB486B" w:rsidRDefault="00DB486B" w:rsidP="00DB486B">
      <w:r>
        <w:t>This commission exposure is a significant percentage of operating profit considering that EBITDA margins of UK hotels are usually 10-14</w:t>
      </w:r>
      <w:r w:rsidR="00846F54">
        <w:t xml:space="preserve">% </w:t>
      </w:r>
      <w:r>
        <w:t>(</w:t>
      </w:r>
      <w:proofErr w:type="spellStart"/>
      <w:r>
        <w:t>UKHospitality</w:t>
      </w:r>
      <w:proofErr w:type="spellEnd"/>
      <w:r>
        <w:t>, 2024). As an illustration, when Hilton Cardiff made a 12% EBITDA margin, total operating profit would be around 792,000. OTA commission expenses of £688,000 can potentially amount to almost 87% of the possible EBITDA. Although commissions are partly incorporated in the revenue strategy, this modelling demonstrates the degree of channel mix margin sensitivity.</w:t>
      </w:r>
    </w:p>
    <w:p w14:paraId="3154D3D8" w14:textId="77777777" w:rsidR="00DB486B" w:rsidRDefault="00DB486B" w:rsidP="00DB486B">
      <w:r>
        <w:t xml:space="preserve">Moreover, OTA dependency generates structural constraints in addition to direct financial drainage. Kimes (2016) claims that third-party platforms not only reduce the ability to set prices independently but also deprive the customer of ownership of customer data, undermining the building of a long-term loyalty. Direct booking channels, in their turn, </w:t>
      </w:r>
      <w:r>
        <w:lastRenderedPageBreak/>
        <w:t>allow hotels to receive first-party customer information, personalise communication and lower long-term acquisition expenses.</w:t>
      </w:r>
    </w:p>
    <w:p w14:paraId="1E4FC828" w14:textId="772CE41C" w:rsidR="00DB486B" w:rsidRDefault="00DB486B" w:rsidP="00DB486B">
      <w:r>
        <w:t>Simultaneously, the labour market stress causes serious effects on operational stability. Labour shortages are still present in the UK hospitality sector, and the vacancy rates are exceeding 8% (ONS, 2024). According to CIPD (2023), the turnover rates in the sector are 30 to 40</w:t>
      </w:r>
      <w:r w:rsidR="00846F54">
        <w:t xml:space="preserve">% </w:t>
      </w:r>
      <w:proofErr w:type="gramStart"/>
      <w:r>
        <w:t>sector-wide</w:t>
      </w:r>
      <w:proofErr w:type="gramEnd"/>
      <w:r>
        <w:t>. When a 36% turnover rate is assumed to be within the operational, managerial and administrative positions occupied by Hilton Cardiff with an estimated staff number of 150, this would imply that 54 employees would have left the company every year.</w:t>
      </w:r>
    </w:p>
    <w:p w14:paraId="5BFBB5DD" w14:textId="75BE7354" w:rsidR="00DB486B" w:rsidRDefault="00DB486B" w:rsidP="00DB486B">
      <w:r>
        <w:t>When using the recruitment, onboarding, training and lost productivity as indicators of replacement, Oxford Economics (2023) estimates that it costs between £5,000 and £7,000 to replace a hospitality employee. Based on a conservative estimate of replacement costs of a middle ground figure of £6,000, Hilton Cardiff can pay:</w:t>
      </w:r>
    </w:p>
    <w:p w14:paraId="09D9BAC2" w14:textId="7A16E929" w:rsidR="002A3409" w:rsidRPr="00DB486B" w:rsidRDefault="002A3409" w:rsidP="002A3409">
      <w:r w:rsidRPr="00DB486B">
        <w:t>54 × £6,000 = £324,000 annual turnover cost.</w:t>
      </w:r>
    </w:p>
    <w:p w14:paraId="4869EA95" w14:textId="77777777" w:rsidR="00251EA4" w:rsidRPr="00DB486B" w:rsidRDefault="00251EA4" w:rsidP="00251EA4">
      <w:pPr>
        <w:keepNext/>
        <w:jc w:val="center"/>
      </w:pPr>
      <w:r w:rsidRPr="00DB486B">
        <w:rPr>
          <w:noProof/>
        </w:rPr>
        <w:drawing>
          <wp:inline distT="0" distB="0" distL="0" distR="0" wp14:anchorId="4CCCB217" wp14:editId="1DC34AD4">
            <wp:extent cx="4379614" cy="3114675"/>
            <wp:effectExtent l="0" t="0" r="1905" b="0"/>
            <wp:docPr id="21101533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88218" cy="3120794"/>
                    </a:xfrm>
                    <a:prstGeom prst="rect">
                      <a:avLst/>
                    </a:prstGeom>
                    <a:noFill/>
                  </pic:spPr>
                </pic:pic>
              </a:graphicData>
            </a:graphic>
          </wp:inline>
        </w:drawing>
      </w:r>
    </w:p>
    <w:p w14:paraId="44117F7F" w14:textId="265B64B0" w:rsidR="00251EA4" w:rsidRPr="000D49AA" w:rsidRDefault="00251EA4" w:rsidP="00251EA4">
      <w:pPr>
        <w:pStyle w:val="Caption"/>
        <w:jc w:val="center"/>
        <w:rPr>
          <w:color w:val="auto"/>
          <w:sz w:val="24"/>
          <w:szCs w:val="24"/>
        </w:rPr>
      </w:pPr>
      <w:r w:rsidRPr="000D49AA">
        <w:rPr>
          <w:color w:val="auto"/>
          <w:sz w:val="24"/>
          <w:szCs w:val="24"/>
        </w:rPr>
        <w:t xml:space="preserve">Figure </w:t>
      </w:r>
      <w:r w:rsidRPr="000D49AA">
        <w:rPr>
          <w:color w:val="auto"/>
          <w:sz w:val="24"/>
          <w:szCs w:val="24"/>
        </w:rPr>
        <w:fldChar w:fldCharType="begin"/>
      </w:r>
      <w:r w:rsidRPr="000D49AA">
        <w:rPr>
          <w:color w:val="auto"/>
          <w:sz w:val="24"/>
          <w:szCs w:val="24"/>
        </w:rPr>
        <w:instrText xml:space="preserve"> SEQ Figure \* ARABIC </w:instrText>
      </w:r>
      <w:r w:rsidRPr="000D49AA">
        <w:rPr>
          <w:color w:val="auto"/>
          <w:sz w:val="24"/>
          <w:szCs w:val="24"/>
        </w:rPr>
        <w:fldChar w:fldCharType="separate"/>
      </w:r>
      <w:r w:rsidR="00BC46B0" w:rsidRPr="000D49AA">
        <w:rPr>
          <w:color w:val="auto"/>
          <w:sz w:val="24"/>
          <w:szCs w:val="24"/>
        </w:rPr>
        <w:t>2</w:t>
      </w:r>
      <w:r w:rsidRPr="000D49AA">
        <w:rPr>
          <w:color w:val="auto"/>
          <w:sz w:val="24"/>
          <w:szCs w:val="24"/>
        </w:rPr>
        <w:fldChar w:fldCharType="end"/>
      </w:r>
      <w:r w:rsidRPr="000D49AA">
        <w:rPr>
          <w:color w:val="auto"/>
          <w:sz w:val="24"/>
          <w:szCs w:val="24"/>
        </w:rPr>
        <w:t>: Estimated annual cost of employee turnover at Hilton Cardiff (modelled, 2023–2024)</w:t>
      </w:r>
    </w:p>
    <w:p w14:paraId="125BFE20" w14:textId="17B229DA" w:rsidR="00251EA4" w:rsidRPr="000D49AA" w:rsidRDefault="00251EA4" w:rsidP="00251EA4">
      <w:pPr>
        <w:jc w:val="center"/>
        <w:rPr>
          <w:b/>
          <w:bCs/>
          <w:szCs w:val="24"/>
        </w:rPr>
      </w:pPr>
      <w:r w:rsidRPr="000D49AA">
        <w:rPr>
          <w:b/>
          <w:bCs/>
          <w:szCs w:val="24"/>
        </w:rPr>
        <w:lastRenderedPageBreak/>
        <w:t>Source: Author’s calculations based on hospitality turnover benchmarks (CIPD, 2023) and replacement cost estimates (Oxford Economics, 2023).</w:t>
      </w:r>
    </w:p>
    <w:p w14:paraId="1C6CDAE9" w14:textId="77777777" w:rsidR="00DB486B" w:rsidRDefault="00DB486B" w:rsidP="00DB486B">
      <w:r>
        <w:t>Annual turnover cost is a modelled cost of circa 0.324m, as depicted in Figure 2, without the broader impacts of service-quality and reputation. This figure does not consider intangible impacts like compromised services quality, dissatisfaction and strain by the supervisor to the guests. A study by the Cornell School of Hotel Administration (2022) has revealed that raising the rating on online reviews by one point can boost RevPAR by as much as 9. Therefore, the instability of the workforce can indirectly limit revenue growth by reputation.</w:t>
      </w:r>
    </w:p>
    <w:p w14:paraId="636A1C86" w14:textId="1716E0C2" w:rsidR="002A3409" w:rsidRPr="00DB486B" w:rsidRDefault="00DB486B" w:rsidP="00DB486B">
      <w:r>
        <w:t>These financial estimates show that OTA dependency and employee turnover are not fringe operation issues, but serious strategic threats to profitability and competitiveness.</w:t>
      </w:r>
    </w:p>
    <w:p w14:paraId="27E1F2E1" w14:textId="513F233D" w:rsidR="002A3409" w:rsidRPr="00DB486B" w:rsidRDefault="002A3409" w:rsidP="005A537B">
      <w:pPr>
        <w:pStyle w:val="Heading2"/>
      </w:pPr>
      <w:bookmarkStart w:id="4" w:name="_Toc223168709"/>
      <w:r w:rsidRPr="00DB486B">
        <w:t>3.2 STEEPLED Analysis: External Environmental Pressures</w:t>
      </w:r>
      <w:bookmarkEnd w:id="4"/>
    </w:p>
    <w:p w14:paraId="48021942" w14:textId="77777777" w:rsidR="00DB486B" w:rsidRDefault="00DB486B" w:rsidP="00DB486B">
      <w:r>
        <w:t>These structural weaknesses are further enhanced by the macro-environment.</w:t>
      </w:r>
    </w:p>
    <w:p w14:paraId="138FC1F6" w14:textId="77777777" w:rsidR="00DB486B" w:rsidRDefault="00DB486B" w:rsidP="00DB486B">
      <w:r>
        <w:t>The social trends show that consumers are more likely to prefer an individual booking experience and value propositions based on loyalty (Mintel, 2023). The travellers are demanding direct communications, flexible cancellation policy and customized offers. There will be a decreased capacity of the hotel to manage personalised engagement owing to heavy dependence on OTAs.</w:t>
      </w:r>
    </w:p>
    <w:p w14:paraId="0D10AAB3" w14:textId="77777777" w:rsidR="00DB486B" w:rsidRDefault="00DB486B" w:rsidP="00DB486B">
      <w:r>
        <w:t>Most of the major hotel chains have now become standard in technological innovations such as the use of AI-based revenue management systems and predictive analytics (Deloitte, 2023). Although Hilton Worldwide offers centralised digital infrastructure, the centralisation of CRM tools is frequently defined at the property level. Semi-imaginal use of localised digital marketing can limit the capacity of Hilton Cardiff to improve direct conversion rates.</w:t>
      </w:r>
    </w:p>
    <w:p w14:paraId="53714E92" w14:textId="7C9F1C22" w:rsidR="00DB486B" w:rsidRDefault="00DB486B" w:rsidP="00DB486B">
      <w:r>
        <w:t>Economic strains are still high. In 2023, the UK inflation has been almost 7</w:t>
      </w:r>
      <w:r w:rsidR="00846F54">
        <w:t xml:space="preserve">% </w:t>
      </w:r>
      <w:r>
        <w:t>above (ONS, 2024), and the increment in the National Living Wage has raised the payroll spending. The labour may represent the 30-35</w:t>
      </w:r>
      <w:r w:rsidR="00846F54">
        <w:t xml:space="preserve">% </w:t>
      </w:r>
      <w:r>
        <w:t xml:space="preserve">of the hotel operating costs (PwC, 2023). Combinations </w:t>
      </w:r>
      <w:r>
        <w:lastRenderedPageBreak/>
        <w:t xml:space="preserve">of the increasing wage expenses and the OTA commission leakage </w:t>
      </w:r>
      <w:r w:rsidR="005A537B">
        <w:t>led</w:t>
      </w:r>
      <w:r>
        <w:t xml:space="preserve"> to compounded margin pressure.</w:t>
      </w:r>
    </w:p>
    <w:p w14:paraId="3CE0240F" w14:textId="74AC3367" w:rsidR="00DB486B" w:rsidRDefault="00DB486B" w:rsidP="00DB486B">
      <w:r>
        <w:t>Consumer behaviour is also affected by environmental factors. According to Booking.com (2023) Sustainable Travel Report, 76</w:t>
      </w:r>
      <w:r w:rsidR="00713033">
        <w:t xml:space="preserve">% </w:t>
      </w:r>
      <w:r>
        <w:t>of travellers want to stay in environmentally friendly accommodation. Although Hilton corporate sustainability activities are thoroughly developed, a better way to engage with the local market and position the brand could be the efficient communication of sustainability performance.</w:t>
      </w:r>
    </w:p>
    <w:p w14:paraId="7DD4384D" w14:textId="77777777" w:rsidR="00DB486B" w:rsidRDefault="00DB486B" w:rsidP="00DB486B">
      <w:r>
        <w:t>The operational environment is also influenced by political and legal influences such as post-Brexit restrictions of labour migration and the need to comply with the GDPR. Labour shortages enhance the risk of turnover and GDPR highlights strategic importance of first party customer data collection through direct channels.</w:t>
      </w:r>
    </w:p>
    <w:p w14:paraId="5180CE8B" w14:textId="77777777" w:rsidR="00DB486B" w:rsidRDefault="00DB486B" w:rsidP="00DB486B">
      <w:r>
        <w:t>Morally, the growing focus on the employment strategies and the welfare of the employees demands that hotels should be ready to show their willingness to offer fair wages, or train and practice diverse leadership (CIPD, 2023). A high turnover can also destroy the brand perception in case it is associated with the wrong internal culture.</w:t>
      </w:r>
    </w:p>
    <w:p w14:paraId="55808BFA" w14:textId="77777777" w:rsidR="00DB486B" w:rsidRDefault="00DB486B" w:rsidP="00DB486B">
      <w:r>
        <w:t>Domestically, the leisure travel and short urban holidays have been on the increase since 2021 (VisitBritain, 2023), which is why the direct booking can be expanded successfully when targeted.</w:t>
      </w:r>
    </w:p>
    <w:p w14:paraId="5FA5D9EE" w14:textId="3F86DBB9" w:rsidR="002A3409" w:rsidRPr="00DB486B" w:rsidRDefault="00DB486B" w:rsidP="00DB486B">
      <w:r>
        <w:t>The STEEPLED analysis thus indicates that the competitive resilience is featured by digital independence and workforce stability.</w:t>
      </w:r>
    </w:p>
    <w:p w14:paraId="25123EBA" w14:textId="3F235D55" w:rsidR="002A3409" w:rsidRPr="00DB486B" w:rsidRDefault="002A3409" w:rsidP="005A537B">
      <w:pPr>
        <w:pStyle w:val="Heading2"/>
      </w:pPr>
      <w:bookmarkStart w:id="5" w:name="_Toc223168710"/>
      <w:r w:rsidRPr="00DB486B">
        <w:t>3.3 Root Cause and Organisational Alignment: McKinsey 7S</w:t>
      </w:r>
      <w:bookmarkEnd w:id="5"/>
    </w:p>
    <w:p w14:paraId="5940541F" w14:textId="175A203F" w:rsidR="00BC46B0" w:rsidRPr="00DB486B" w:rsidRDefault="00BC46B0" w:rsidP="002A3409">
      <w:r w:rsidRPr="00DB486B">
        <w:t>To understand why these issues, persist, a root cause analysis was conducted</w:t>
      </w:r>
    </w:p>
    <w:p w14:paraId="0FA3E5DF" w14:textId="77777777" w:rsidR="00BC46B0" w:rsidRPr="00DB486B" w:rsidRDefault="00BC46B0" w:rsidP="00BC46B0">
      <w:pPr>
        <w:keepNext/>
        <w:jc w:val="center"/>
      </w:pPr>
      <w:r w:rsidRPr="00DB486B">
        <w:rPr>
          <w:noProof/>
        </w:rPr>
        <w:lastRenderedPageBreak/>
        <w:drawing>
          <wp:inline distT="0" distB="0" distL="0" distR="0" wp14:anchorId="3437FF0F" wp14:editId="491C8372">
            <wp:extent cx="5405504" cy="2704879"/>
            <wp:effectExtent l="0" t="0" r="5080" b="635"/>
            <wp:docPr id="5344929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20742" cy="2712504"/>
                    </a:xfrm>
                    <a:prstGeom prst="rect">
                      <a:avLst/>
                    </a:prstGeom>
                    <a:noFill/>
                  </pic:spPr>
                </pic:pic>
              </a:graphicData>
            </a:graphic>
          </wp:inline>
        </w:drawing>
      </w:r>
    </w:p>
    <w:p w14:paraId="4AD97F6E" w14:textId="4ED94F9B" w:rsidR="00BC46B0" w:rsidRDefault="00BC46B0" w:rsidP="00BC46B0">
      <w:pPr>
        <w:pStyle w:val="Caption"/>
        <w:jc w:val="center"/>
        <w:rPr>
          <w:color w:val="auto"/>
          <w:sz w:val="24"/>
          <w:szCs w:val="24"/>
        </w:rPr>
      </w:pPr>
      <w:r w:rsidRPr="000D49AA">
        <w:rPr>
          <w:color w:val="auto"/>
          <w:sz w:val="24"/>
          <w:szCs w:val="24"/>
        </w:rPr>
        <w:t xml:space="preserve">Figure </w:t>
      </w:r>
      <w:r w:rsidRPr="000D49AA">
        <w:rPr>
          <w:color w:val="auto"/>
          <w:sz w:val="24"/>
          <w:szCs w:val="24"/>
        </w:rPr>
        <w:fldChar w:fldCharType="begin"/>
      </w:r>
      <w:r w:rsidRPr="000D49AA">
        <w:rPr>
          <w:color w:val="auto"/>
          <w:sz w:val="24"/>
          <w:szCs w:val="24"/>
        </w:rPr>
        <w:instrText xml:space="preserve"> SEQ Figure \* ARABIC </w:instrText>
      </w:r>
      <w:r w:rsidRPr="000D49AA">
        <w:rPr>
          <w:color w:val="auto"/>
          <w:sz w:val="24"/>
          <w:szCs w:val="24"/>
        </w:rPr>
        <w:fldChar w:fldCharType="separate"/>
      </w:r>
      <w:r w:rsidRPr="000D49AA">
        <w:rPr>
          <w:color w:val="auto"/>
          <w:sz w:val="24"/>
          <w:szCs w:val="24"/>
        </w:rPr>
        <w:t>3</w:t>
      </w:r>
      <w:r w:rsidRPr="000D49AA">
        <w:rPr>
          <w:color w:val="auto"/>
          <w:sz w:val="24"/>
          <w:szCs w:val="24"/>
        </w:rPr>
        <w:fldChar w:fldCharType="end"/>
      </w:r>
      <w:r w:rsidRPr="000D49AA">
        <w:rPr>
          <w:color w:val="auto"/>
          <w:sz w:val="24"/>
          <w:szCs w:val="24"/>
        </w:rPr>
        <w:t>: Fishbone (root cause) analysis of OTA dependency and high employee turnover at Hilton Cardiff</w:t>
      </w:r>
    </w:p>
    <w:p w14:paraId="10117D14" w14:textId="0B104546" w:rsidR="00CD0180" w:rsidRPr="00CD0180" w:rsidRDefault="00CD0180" w:rsidP="00CD0180">
      <w:pPr>
        <w:jc w:val="center"/>
        <w:rPr>
          <w:b/>
          <w:bCs/>
        </w:rPr>
      </w:pPr>
      <w:r w:rsidRPr="00CD0180">
        <w:rPr>
          <w:b/>
          <w:bCs/>
        </w:rPr>
        <w:t>Source: Author’s analysis informed by organisational alignment and motivation theory (Waterman et al., 1980; Herzberg, 1959) and hospitality distribution/leadership evidence (Kimes, 2016; Brownell, 2010).</w:t>
      </w:r>
    </w:p>
    <w:p w14:paraId="7D9F746A" w14:textId="77777777" w:rsidR="00DB486B" w:rsidRDefault="00DB486B" w:rsidP="00DB486B">
      <w:proofErr w:type="gramStart"/>
      <w:r>
        <w:t>In an attempt to</w:t>
      </w:r>
      <w:proofErr w:type="gramEnd"/>
      <w:r>
        <w:t xml:space="preserve"> find out why these issues, persist, a root cause analysis was utilized.</w:t>
      </w:r>
    </w:p>
    <w:p w14:paraId="694204B0" w14:textId="77777777" w:rsidR="00DB486B" w:rsidRDefault="00DB486B" w:rsidP="00DB486B">
      <w:r>
        <w:t xml:space="preserve">Figure 3 demonstrates that the causes of OTA dependency and turnover are interconnected with each other based on the process design, systems/data use, leadership culture, employee experience, as well as external market pressures, meaning that the set of interventions should be coordinated (not individual). Extrinsic pressures are </w:t>
      </w:r>
      <w:proofErr w:type="gramStart"/>
      <w:r>
        <w:t>definitely an</w:t>
      </w:r>
      <w:proofErr w:type="gramEnd"/>
      <w:r>
        <w:t xml:space="preserve"> </w:t>
      </w:r>
      <w:proofErr w:type="gramStart"/>
      <w:r>
        <w:t>issue</w:t>
      </w:r>
      <w:proofErr w:type="gramEnd"/>
      <w:r>
        <w:t xml:space="preserve"> but internal organisational fit seems to make them more vulnerable. The usage of the 7S Framework by McKinsey shows that there is a partial lack of alignment between the strategy, systems, staff and skills.</w:t>
      </w:r>
    </w:p>
    <w:p w14:paraId="24BAB4D2" w14:textId="77777777" w:rsidR="00DB486B" w:rsidRDefault="00DB486B" w:rsidP="00DB486B">
      <w:r>
        <w:t>The strategic Hilton Cardiff management is based on a brand-driven expansion strategy with a focus on occupancy and loyalty enrolment. Nonetheless, property-level focus seems to be based on the idea of occupancy maximisation and not margin maximisation, which may be evoking the tendency to turn to OTAs during low-demand.</w:t>
      </w:r>
    </w:p>
    <w:p w14:paraId="29B7B0CF" w14:textId="77777777" w:rsidR="00DB486B" w:rsidRDefault="00DB486B" w:rsidP="00DB486B">
      <w:r>
        <w:lastRenderedPageBreak/>
        <w:t>On the system-level, as Hilton corporate offers a highly developed digital infrastructure, property-level utilisation might not be optimised proactively. CRM systems might not be exploited to maximum in terms of customised direct booking campaigns.</w:t>
      </w:r>
    </w:p>
    <w:p w14:paraId="0706CAD9" w14:textId="77777777" w:rsidR="00DB486B" w:rsidRDefault="00DB486B" w:rsidP="00DB486B">
      <w:r>
        <w:t>The dimension of staff and skills reflect possible weaknesses. High turnover indicates the possibility of lack of employee engagement, career pathway definitions, and management ability. The Herzberg Two-Factor Theory (1959) reveals that hygiene factors like remuneration and working conditions help to avoid dissatisfaction whereas motivators like acknowledgment and development help to retain. In case Hilton Cardiff focuses more on operational output rather than developmental engagement, there is a high probability of retention risk.</w:t>
      </w:r>
    </w:p>
    <w:p w14:paraId="2AA08B8C" w14:textId="77777777" w:rsidR="00DB486B" w:rsidRDefault="00DB486B" w:rsidP="00DB486B">
      <w:r>
        <w:t>Turnover may also depend on the leadership style. Transformational leadership has been found to have a great impact in reducing the intention of turnover in hospitality (Brownell, 2010). When the leadership of the department is more concerned with operational measures and less interested in relationship, there is a risk that employees may lose loyalty.</w:t>
      </w:r>
    </w:p>
    <w:p w14:paraId="6C1653D9" w14:textId="77777777" w:rsidR="00DB486B" w:rsidRDefault="00DB486B" w:rsidP="00DB486B">
      <w:r>
        <w:t xml:space="preserve">The organisational culture and shared values are imperative </w:t>
      </w:r>
      <w:proofErr w:type="gramStart"/>
      <w:r>
        <w:t>in service</w:t>
      </w:r>
      <w:proofErr w:type="gramEnd"/>
      <w:r>
        <w:t xml:space="preserve"> industries. Schein (2010) indicates that culture is very strong </w:t>
      </w:r>
      <w:proofErr w:type="gramStart"/>
      <w:r>
        <w:t>in service</w:t>
      </w:r>
      <w:proofErr w:type="gramEnd"/>
      <w:r>
        <w:t xml:space="preserve"> consistency. High turnover will interfere with cultural continuity that affects the brand experience delivery.</w:t>
      </w:r>
    </w:p>
    <w:p w14:paraId="5985AF50" w14:textId="2F9B8B71" w:rsidR="002A3409" w:rsidRPr="00DB486B" w:rsidRDefault="00DB486B" w:rsidP="00DB486B">
      <w:r>
        <w:t>Such misalignments within the organisation supports the structural risks established in financial benchmarking.</w:t>
      </w:r>
    </w:p>
    <w:p w14:paraId="07383369" w14:textId="4EB840B9" w:rsidR="00CD0180" w:rsidRDefault="002A3409" w:rsidP="00CD0180">
      <w:pPr>
        <w:pStyle w:val="Heading2"/>
      </w:pPr>
      <w:bookmarkStart w:id="6" w:name="_Toc223168711"/>
      <w:r w:rsidRPr="00DB486B">
        <w:t>3.4 SWOT and Strategic Implications</w:t>
      </w:r>
      <w:bookmarkEnd w:id="6"/>
    </w:p>
    <w:p w14:paraId="42603583" w14:textId="001577B6" w:rsidR="00D60570" w:rsidRDefault="009E4E9F" w:rsidP="00D60570">
      <w:pPr>
        <w:pStyle w:val="Heading3"/>
      </w:pPr>
      <w:bookmarkStart w:id="7" w:name="_Toc223168712"/>
      <w:r w:rsidRPr="00D60570">
        <w:t>3.4.1 SWOT Analysis (Hilton Cardiff – Single Property)</w:t>
      </w:r>
      <w:bookmarkEnd w:id="7"/>
    </w:p>
    <w:tbl>
      <w:tblPr>
        <w:tblStyle w:val="TableGrid"/>
        <w:tblW w:w="0" w:type="auto"/>
        <w:tblLook w:val="04A0" w:firstRow="1" w:lastRow="0" w:firstColumn="1" w:lastColumn="0" w:noHBand="0" w:noVBand="1"/>
      </w:tblPr>
      <w:tblGrid>
        <w:gridCol w:w="4226"/>
        <w:gridCol w:w="4404"/>
      </w:tblGrid>
      <w:tr w:rsidR="00D60570" w14:paraId="517DBD75" w14:textId="77777777" w:rsidTr="00D60570">
        <w:tc>
          <w:tcPr>
            <w:tcW w:w="0" w:type="auto"/>
            <w:hideMark/>
          </w:tcPr>
          <w:p w14:paraId="7FF1BDB3" w14:textId="77777777" w:rsidR="00D60570" w:rsidRDefault="00D60570">
            <w:pPr>
              <w:jc w:val="center"/>
              <w:rPr>
                <w:b/>
                <w:bCs/>
              </w:rPr>
            </w:pPr>
            <w:r>
              <w:rPr>
                <w:rStyle w:val="Strong"/>
              </w:rPr>
              <w:t>Strengths (Internal +)</w:t>
            </w:r>
          </w:p>
        </w:tc>
        <w:tc>
          <w:tcPr>
            <w:tcW w:w="0" w:type="auto"/>
            <w:hideMark/>
          </w:tcPr>
          <w:p w14:paraId="7807776E" w14:textId="77777777" w:rsidR="00D60570" w:rsidRDefault="00D60570">
            <w:pPr>
              <w:jc w:val="center"/>
              <w:rPr>
                <w:b/>
                <w:bCs/>
              </w:rPr>
            </w:pPr>
            <w:r>
              <w:rPr>
                <w:rStyle w:val="Strong"/>
              </w:rPr>
              <w:t>Weaknesses (Internal -)</w:t>
            </w:r>
          </w:p>
        </w:tc>
      </w:tr>
      <w:tr w:rsidR="00D60570" w14:paraId="17A95A59" w14:textId="77777777" w:rsidTr="00D60570">
        <w:tc>
          <w:tcPr>
            <w:tcW w:w="0" w:type="auto"/>
            <w:hideMark/>
          </w:tcPr>
          <w:p w14:paraId="5FDA0D24" w14:textId="77777777" w:rsidR="00D60570" w:rsidRDefault="00D60570">
            <w:pPr>
              <w:jc w:val="left"/>
            </w:pPr>
            <w:r>
              <w:t>Hilton brand equity; global standards</w:t>
            </w:r>
          </w:p>
        </w:tc>
        <w:tc>
          <w:tcPr>
            <w:tcW w:w="0" w:type="auto"/>
            <w:hideMark/>
          </w:tcPr>
          <w:p w14:paraId="4B36FD89" w14:textId="77777777" w:rsidR="00D60570" w:rsidRDefault="00D60570">
            <w:r>
              <w:t>High OTA dependence; commission leakage</w:t>
            </w:r>
          </w:p>
        </w:tc>
      </w:tr>
      <w:tr w:rsidR="00D60570" w14:paraId="11F35B3B" w14:textId="77777777" w:rsidTr="00D60570">
        <w:tc>
          <w:tcPr>
            <w:tcW w:w="0" w:type="auto"/>
            <w:hideMark/>
          </w:tcPr>
          <w:p w14:paraId="56FBB92F" w14:textId="77777777" w:rsidR="00D60570" w:rsidRDefault="00D60570">
            <w:r>
              <w:t>City-centre location; opposite Cardiff Castle</w:t>
            </w:r>
          </w:p>
        </w:tc>
        <w:tc>
          <w:tcPr>
            <w:tcW w:w="0" w:type="auto"/>
            <w:hideMark/>
          </w:tcPr>
          <w:p w14:paraId="11FC2A67" w14:textId="77777777" w:rsidR="00D60570" w:rsidRDefault="00D60570">
            <w:r>
              <w:t>High staff turnover; service inconsistency</w:t>
            </w:r>
          </w:p>
        </w:tc>
      </w:tr>
      <w:tr w:rsidR="00D60570" w14:paraId="120BB1EB" w14:textId="77777777" w:rsidTr="00D60570">
        <w:tc>
          <w:tcPr>
            <w:tcW w:w="0" w:type="auto"/>
            <w:hideMark/>
          </w:tcPr>
          <w:p w14:paraId="3FFFA78C" w14:textId="77777777" w:rsidR="00D60570" w:rsidRDefault="00D60570">
            <w:r>
              <w:lastRenderedPageBreak/>
              <w:t>Hilton Honors base; Hilton.com/app ecosystem</w:t>
            </w:r>
          </w:p>
        </w:tc>
        <w:tc>
          <w:tcPr>
            <w:tcW w:w="0" w:type="auto"/>
            <w:hideMark/>
          </w:tcPr>
          <w:p w14:paraId="4DCB79C7" w14:textId="77777777" w:rsidR="00D60570" w:rsidRDefault="00D60570">
            <w:r>
              <w:t>Underused CRM; weak direct conversion</w:t>
            </w:r>
          </w:p>
        </w:tc>
      </w:tr>
      <w:tr w:rsidR="00D60570" w14:paraId="10161EB0" w14:textId="77777777" w:rsidTr="00D60570">
        <w:tc>
          <w:tcPr>
            <w:tcW w:w="0" w:type="auto"/>
            <w:hideMark/>
          </w:tcPr>
          <w:p w14:paraId="65B54A0D" w14:textId="77777777" w:rsidR="00D60570" w:rsidRDefault="00D60570">
            <w:r>
              <w:t>Meetings/events facilities; strong midweek mix</w:t>
            </w:r>
          </w:p>
        </w:tc>
        <w:tc>
          <w:tcPr>
            <w:tcW w:w="0" w:type="auto"/>
            <w:hideMark/>
          </w:tcPr>
          <w:p w14:paraId="76E6D213" w14:textId="77777777" w:rsidR="00D60570" w:rsidRDefault="00D60570">
            <w:r>
              <w:t>Inconsistent onboarding; supervisor capability gaps</w:t>
            </w:r>
          </w:p>
        </w:tc>
      </w:tr>
      <w:tr w:rsidR="00D60570" w14:paraId="62B3872A" w14:textId="77777777" w:rsidTr="00D60570">
        <w:tc>
          <w:tcPr>
            <w:tcW w:w="0" w:type="auto"/>
            <w:hideMark/>
          </w:tcPr>
          <w:p w14:paraId="3BA3FC1C" w14:textId="77777777" w:rsidR="00D60570" w:rsidRDefault="00D60570">
            <w:r>
              <w:t>Corporate sustainability platform</w:t>
            </w:r>
          </w:p>
        </w:tc>
        <w:tc>
          <w:tcPr>
            <w:tcW w:w="0" w:type="auto"/>
            <w:hideMark/>
          </w:tcPr>
          <w:p w14:paraId="1D0BA487" w14:textId="77777777" w:rsidR="00D60570" w:rsidRDefault="00D60570">
            <w:r>
              <w:t>Margin sensitivity; wage + distribution cost pressure</w:t>
            </w:r>
          </w:p>
        </w:tc>
      </w:tr>
      <w:tr w:rsidR="00D60570" w14:paraId="1DC11CC6" w14:textId="77777777" w:rsidTr="00D60570">
        <w:tc>
          <w:tcPr>
            <w:tcW w:w="0" w:type="auto"/>
            <w:hideMark/>
          </w:tcPr>
          <w:p w14:paraId="1C5531F9" w14:textId="77777777" w:rsidR="00D60570" w:rsidRDefault="00D60570">
            <w:pPr>
              <w:jc w:val="center"/>
              <w:rPr>
                <w:b/>
                <w:bCs/>
              </w:rPr>
            </w:pPr>
            <w:r>
              <w:rPr>
                <w:rStyle w:val="Strong"/>
              </w:rPr>
              <w:t>Opportunities (External +)</w:t>
            </w:r>
          </w:p>
        </w:tc>
        <w:tc>
          <w:tcPr>
            <w:tcW w:w="0" w:type="auto"/>
            <w:hideMark/>
          </w:tcPr>
          <w:p w14:paraId="0B6ADD86" w14:textId="77777777" w:rsidR="00D60570" w:rsidRDefault="00D60570">
            <w:pPr>
              <w:jc w:val="center"/>
              <w:rPr>
                <w:b/>
                <w:bCs/>
              </w:rPr>
            </w:pPr>
            <w:r>
              <w:rPr>
                <w:rStyle w:val="Strong"/>
              </w:rPr>
              <w:t>Threats (External -)</w:t>
            </w:r>
          </w:p>
        </w:tc>
      </w:tr>
      <w:tr w:rsidR="00D60570" w14:paraId="438660CF" w14:textId="77777777" w:rsidTr="00D60570">
        <w:tc>
          <w:tcPr>
            <w:tcW w:w="0" w:type="auto"/>
            <w:hideMark/>
          </w:tcPr>
          <w:p w14:paraId="14798929" w14:textId="77777777" w:rsidR="00D60570" w:rsidRDefault="00D60570">
            <w:pPr>
              <w:jc w:val="left"/>
            </w:pPr>
            <w:r>
              <w:t>Domestic leisure growth; short-break demand</w:t>
            </w:r>
          </w:p>
        </w:tc>
        <w:tc>
          <w:tcPr>
            <w:tcW w:w="0" w:type="auto"/>
            <w:hideMark/>
          </w:tcPr>
          <w:p w14:paraId="158FAA56" w14:textId="77777777" w:rsidR="00D60570" w:rsidRDefault="00D60570">
            <w:r>
              <w:t>OTA platform power; meta-search bidding pressure</w:t>
            </w:r>
          </w:p>
        </w:tc>
      </w:tr>
      <w:tr w:rsidR="00D60570" w14:paraId="40F68D18" w14:textId="77777777" w:rsidTr="00D60570">
        <w:tc>
          <w:tcPr>
            <w:tcW w:w="0" w:type="auto"/>
            <w:hideMark/>
          </w:tcPr>
          <w:p w14:paraId="153CCE8D" w14:textId="77777777" w:rsidR="00D60570" w:rsidRDefault="00D60570">
            <w:r>
              <w:t>Personalisation trend; loyalty-driven value</w:t>
            </w:r>
          </w:p>
        </w:tc>
        <w:tc>
          <w:tcPr>
            <w:tcW w:w="0" w:type="auto"/>
            <w:hideMark/>
          </w:tcPr>
          <w:p w14:paraId="58CCB988" w14:textId="77777777" w:rsidR="00D60570" w:rsidRDefault="00D60570">
            <w:r>
              <w:t>Labour shortages; talent competition; wage inflation</w:t>
            </w:r>
          </w:p>
        </w:tc>
      </w:tr>
      <w:tr w:rsidR="00D60570" w14:paraId="106042E6" w14:textId="77777777" w:rsidTr="00D60570">
        <w:tc>
          <w:tcPr>
            <w:tcW w:w="0" w:type="auto"/>
            <w:hideMark/>
          </w:tcPr>
          <w:p w14:paraId="4D8FA0C5" w14:textId="77777777" w:rsidR="00D60570" w:rsidRDefault="00D60570">
            <w:r>
              <w:t>Analytics/automation; segmentation; retargeting</w:t>
            </w:r>
          </w:p>
        </w:tc>
        <w:tc>
          <w:tcPr>
            <w:tcW w:w="0" w:type="auto"/>
            <w:hideMark/>
          </w:tcPr>
          <w:p w14:paraId="1A17713F" w14:textId="77777777" w:rsidR="00D60570" w:rsidRDefault="00D60570">
            <w:r>
              <w:t>Economic uncertainty; higher price sensitivity</w:t>
            </w:r>
          </w:p>
        </w:tc>
      </w:tr>
      <w:tr w:rsidR="00D60570" w14:paraId="5E0729DD" w14:textId="77777777" w:rsidTr="00D60570">
        <w:tc>
          <w:tcPr>
            <w:tcW w:w="0" w:type="auto"/>
            <w:hideMark/>
          </w:tcPr>
          <w:p w14:paraId="57F33032" w14:textId="77777777" w:rsidR="00D60570" w:rsidRDefault="00D60570">
            <w:r>
              <w:t>Sustainability preference; differentiation potential</w:t>
            </w:r>
          </w:p>
        </w:tc>
        <w:tc>
          <w:tcPr>
            <w:tcW w:w="0" w:type="auto"/>
            <w:hideMark/>
          </w:tcPr>
          <w:p w14:paraId="278CC24F" w14:textId="77777777" w:rsidR="00D60570" w:rsidRDefault="00D60570">
            <w:r>
              <w:t>Cardiff competition (budget + upscale); review pressure</w:t>
            </w:r>
          </w:p>
        </w:tc>
      </w:tr>
      <w:tr w:rsidR="00D60570" w14:paraId="2F9C0E79" w14:textId="77777777" w:rsidTr="00D60570">
        <w:tc>
          <w:tcPr>
            <w:tcW w:w="0" w:type="auto"/>
            <w:hideMark/>
          </w:tcPr>
          <w:p w14:paraId="53DDE2F8" w14:textId="77777777" w:rsidR="00D60570" w:rsidRDefault="00D60570">
            <w:r>
              <w:t>Employer branding; structured development</w:t>
            </w:r>
          </w:p>
        </w:tc>
        <w:tc>
          <w:tcPr>
            <w:tcW w:w="0" w:type="auto"/>
            <w:hideMark/>
          </w:tcPr>
          <w:p w14:paraId="02591C37" w14:textId="77777777" w:rsidR="00D60570" w:rsidRDefault="00D60570">
            <w:r>
              <w:t>Review volatility; RevPAR risk from service failures</w:t>
            </w:r>
          </w:p>
        </w:tc>
      </w:tr>
    </w:tbl>
    <w:p w14:paraId="7196018F" w14:textId="074B7496" w:rsidR="00DB486B" w:rsidRDefault="00DB486B" w:rsidP="00DB486B">
      <w:r>
        <w:t xml:space="preserve">Hilton Cardiff has some definite structural advantages such as the world brand recognition, the excellent location and the entry to Hilton Honors loyalty system. </w:t>
      </w:r>
      <w:proofErr w:type="gramStart"/>
      <w:r>
        <w:t>But,</w:t>
      </w:r>
      <w:proofErr w:type="gramEnd"/>
      <w:r>
        <w:t xml:space="preserve"> OTA dependency and workforce instability are weak areas that hamper sustainability of the margin.</w:t>
      </w:r>
    </w:p>
    <w:p w14:paraId="22C6C1A3" w14:textId="77777777" w:rsidR="00DB486B" w:rsidRDefault="00DB486B" w:rsidP="00DB486B">
      <w:r>
        <w:t>There are the opportunities to increase direct booking conversion by means of specific digital campaigns and optimisation of the loyalty programme. Moreover, engagement programs might enhance the quality of services and online ratings, which will have a positive impact on RevPAR.</w:t>
      </w:r>
    </w:p>
    <w:p w14:paraId="3DFF5944" w14:textId="77777777" w:rsidR="00DB486B" w:rsidRDefault="00DB486B" w:rsidP="00DB486B">
      <w:r>
        <w:t>Among the threats, there are increased competition due to increasing budget brands with a lower cost structure, wage and economic pressure which creates an increased uncertainty around discretionary travel.</w:t>
      </w:r>
    </w:p>
    <w:p w14:paraId="34E170D3" w14:textId="5A575649" w:rsidR="00D60570" w:rsidRPr="00D60570" w:rsidRDefault="009E4E9F" w:rsidP="00D60570">
      <w:pPr>
        <w:pStyle w:val="Heading3"/>
      </w:pPr>
      <w:bookmarkStart w:id="8" w:name="_Toc223168713"/>
      <w:r w:rsidRPr="00D60570">
        <w:t xml:space="preserve">3.4.2 </w:t>
      </w:r>
      <w:r w:rsidR="00CD0180" w:rsidRPr="00D60570">
        <w:t>TOWS Matrix</w:t>
      </w:r>
      <w:bookmarkEnd w:id="8"/>
    </w:p>
    <w:tbl>
      <w:tblPr>
        <w:tblStyle w:val="TableGrid"/>
        <w:tblW w:w="0" w:type="auto"/>
        <w:tblLook w:val="04A0" w:firstRow="1" w:lastRow="0" w:firstColumn="1" w:lastColumn="0" w:noHBand="0" w:noVBand="1"/>
      </w:tblPr>
      <w:tblGrid>
        <w:gridCol w:w="1479"/>
        <w:gridCol w:w="3750"/>
        <w:gridCol w:w="3401"/>
      </w:tblGrid>
      <w:tr w:rsidR="00D60570" w14:paraId="6DA171FC" w14:textId="77777777" w:rsidTr="00D60570">
        <w:tc>
          <w:tcPr>
            <w:tcW w:w="0" w:type="auto"/>
            <w:hideMark/>
          </w:tcPr>
          <w:p w14:paraId="47B22113" w14:textId="77777777" w:rsidR="00D60570" w:rsidRDefault="00D60570"/>
        </w:tc>
        <w:tc>
          <w:tcPr>
            <w:tcW w:w="0" w:type="auto"/>
            <w:hideMark/>
          </w:tcPr>
          <w:p w14:paraId="17ABA840" w14:textId="77777777" w:rsidR="00D60570" w:rsidRDefault="00D60570">
            <w:pPr>
              <w:jc w:val="center"/>
              <w:rPr>
                <w:b/>
                <w:bCs/>
                <w:szCs w:val="24"/>
              </w:rPr>
            </w:pPr>
            <w:r>
              <w:rPr>
                <w:rStyle w:val="Strong"/>
              </w:rPr>
              <w:t>Opportunities (O)</w:t>
            </w:r>
          </w:p>
        </w:tc>
        <w:tc>
          <w:tcPr>
            <w:tcW w:w="0" w:type="auto"/>
            <w:hideMark/>
          </w:tcPr>
          <w:p w14:paraId="2F626AA1" w14:textId="77777777" w:rsidR="00D60570" w:rsidRDefault="00D60570">
            <w:pPr>
              <w:jc w:val="center"/>
              <w:rPr>
                <w:b/>
                <w:bCs/>
              </w:rPr>
            </w:pPr>
            <w:r>
              <w:rPr>
                <w:rStyle w:val="Strong"/>
              </w:rPr>
              <w:t>Threats (T)</w:t>
            </w:r>
          </w:p>
        </w:tc>
      </w:tr>
      <w:tr w:rsidR="00D60570" w14:paraId="1BFC825B" w14:textId="77777777" w:rsidTr="00D60570">
        <w:tc>
          <w:tcPr>
            <w:tcW w:w="0" w:type="auto"/>
            <w:hideMark/>
          </w:tcPr>
          <w:p w14:paraId="659EC608" w14:textId="77777777" w:rsidR="00D60570" w:rsidRDefault="00D60570">
            <w:pPr>
              <w:jc w:val="left"/>
            </w:pPr>
            <w:r>
              <w:rPr>
                <w:rStyle w:val="Strong"/>
              </w:rPr>
              <w:lastRenderedPageBreak/>
              <w:t>Strengths (S)</w:t>
            </w:r>
          </w:p>
        </w:tc>
        <w:tc>
          <w:tcPr>
            <w:tcW w:w="0" w:type="auto"/>
            <w:hideMark/>
          </w:tcPr>
          <w:p w14:paraId="172019EB" w14:textId="77777777" w:rsidR="00D60570" w:rsidRDefault="00D60570">
            <w:proofErr w:type="gramStart"/>
            <w:r>
              <w:rPr>
                <w:rStyle w:val="Strong"/>
              </w:rPr>
              <w:t>SO</w:t>
            </w:r>
            <w:proofErr w:type="gramEnd"/>
            <w:r>
              <w:rPr>
                <w:rStyle w:val="Strong"/>
              </w:rPr>
              <w:t xml:space="preserve"> Strategies</w:t>
            </w:r>
            <w:r>
              <w:t xml:space="preserve"> 1) Hilton Honors leverage; member-only perks; CRM segmentation 2) Location advantage; event/weekend packages; direct-booking push 3) Sustainability messaging; website/email/post-stay prompts; eco-segment targeting</w:t>
            </w:r>
          </w:p>
        </w:tc>
        <w:tc>
          <w:tcPr>
            <w:tcW w:w="0" w:type="auto"/>
            <w:hideMark/>
          </w:tcPr>
          <w:p w14:paraId="458F0D42" w14:textId="77777777" w:rsidR="00D60570" w:rsidRDefault="00D60570">
            <w:r>
              <w:rPr>
                <w:rStyle w:val="Strong"/>
              </w:rPr>
              <w:t>ST Strategies</w:t>
            </w:r>
            <w:r>
              <w:t xml:space="preserve"> 1) Brand standards; service recovery playbook; review protection 2) Peak-demand steering; Hilton.com/app prioritisation; reduce OTA bidding exposure 3) Hilton training platforms; employer brand; talent attraction</w:t>
            </w:r>
          </w:p>
        </w:tc>
      </w:tr>
      <w:tr w:rsidR="00D60570" w14:paraId="64A0F526" w14:textId="77777777" w:rsidTr="00D60570">
        <w:tc>
          <w:tcPr>
            <w:tcW w:w="0" w:type="auto"/>
            <w:hideMark/>
          </w:tcPr>
          <w:p w14:paraId="4121ADAF" w14:textId="77777777" w:rsidR="00D60570" w:rsidRDefault="00D60570">
            <w:r>
              <w:rPr>
                <w:rStyle w:val="Strong"/>
              </w:rPr>
              <w:t>Weaknesses (W)</w:t>
            </w:r>
          </w:p>
        </w:tc>
        <w:tc>
          <w:tcPr>
            <w:tcW w:w="0" w:type="auto"/>
            <w:hideMark/>
          </w:tcPr>
          <w:p w14:paraId="4410D722" w14:textId="77777777" w:rsidR="00D60570" w:rsidRDefault="00D60570">
            <w:r>
              <w:rPr>
                <w:rStyle w:val="Strong"/>
              </w:rPr>
              <w:t>WO Strategies</w:t>
            </w:r>
            <w:r>
              <w:t xml:space="preserve"> 1) Direct demand calendar; geo-targeted campaigns; shift OTA share 2) 90-day onboarding; buddy system; career pathway maps; early retention 3) CRM automation; win-back journeys; repeat direct bookings</w:t>
            </w:r>
          </w:p>
        </w:tc>
        <w:tc>
          <w:tcPr>
            <w:tcW w:w="0" w:type="auto"/>
            <w:hideMark/>
          </w:tcPr>
          <w:p w14:paraId="551A14E8" w14:textId="77777777" w:rsidR="00D60570" w:rsidRDefault="00D60570">
            <w:r>
              <w:rPr>
                <w:rStyle w:val="Strong"/>
              </w:rPr>
              <w:t>WT Strategies</w:t>
            </w:r>
            <w:r>
              <w:t xml:space="preserve"> 1) Channel governance; OTA caps in low demand; commission % monthly tracking 2) Standardised onboarding; cross-training; service continuity 3) Supervisor coaching; engagement KPIs; reduce resignations; cost control</w:t>
            </w:r>
          </w:p>
        </w:tc>
      </w:tr>
    </w:tbl>
    <w:p w14:paraId="3117C0FE" w14:textId="745B9445" w:rsidR="009B23BD" w:rsidRDefault="009B23BD" w:rsidP="009B23BD">
      <w:r w:rsidRPr="009B23BD">
        <w:t>The TOWS matrix is a translation of the SWOT results of Hilton Cardiff into strategic feasible options with the top priority of those steps enhancing the margin resilience and service delivery uniformity. The most significant strategic focus is to use Hilton brand assets, as well as loyalty system to transition demand to direct channels and enhance onboarding, leadership capability and engagement systems to minimize turnover. All these strategies ensure reduced exposure to OTA commission leakage and labour market volatility, and facilitate quantifiable changes in the satisfaction of guests, RevPAR and long-term competitiveness.</w:t>
      </w:r>
    </w:p>
    <w:p w14:paraId="390102C0" w14:textId="612A5BFC" w:rsidR="002A3409" w:rsidRPr="00DB486B" w:rsidRDefault="002A3409" w:rsidP="005A537B">
      <w:pPr>
        <w:pStyle w:val="Heading2"/>
      </w:pPr>
      <w:bookmarkStart w:id="9" w:name="_Toc223168714"/>
      <w:r w:rsidRPr="00DB486B">
        <w:t>3.5 Synthesis of Findings</w:t>
      </w:r>
      <w:bookmarkEnd w:id="9"/>
    </w:p>
    <w:p w14:paraId="60113E20" w14:textId="77777777" w:rsidR="00DB486B" w:rsidRDefault="00DB486B" w:rsidP="00DB486B">
      <w:r>
        <w:t xml:space="preserve">As seen in the analysis, the main issues of Hilton Cardiff are </w:t>
      </w:r>
      <w:proofErr w:type="gramStart"/>
      <w:r>
        <w:t>mutually-dependent</w:t>
      </w:r>
      <w:proofErr w:type="gramEnd"/>
      <w:r>
        <w:t xml:space="preserve"> as opposed to being independent. Reliance on OTA decreases profitability, and it also restricts control of customer information whereas the high turnover elevates the operation cost and diminishes service provision. </w:t>
      </w:r>
      <w:proofErr w:type="gramStart"/>
      <w:r>
        <w:t>Both of these</w:t>
      </w:r>
      <w:proofErr w:type="gramEnd"/>
      <w:r>
        <w:t xml:space="preserve"> problems are combined with macroeconomic pressures and organisational misalignment.</w:t>
      </w:r>
    </w:p>
    <w:p w14:paraId="10894C70" w14:textId="7BDFE27F" w:rsidR="00DB486B" w:rsidRDefault="00D60570" w:rsidP="00DB486B">
      <w:r>
        <w:lastRenderedPageBreak/>
        <w:t xml:space="preserve">These </w:t>
      </w:r>
      <w:r w:rsidR="00DB486B">
        <w:t>structural inefficiencies will lead to compressions of EBITDA margins below sustainable levels especially when further wage inflation and economic uncertainty are present in the environment.</w:t>
      </w:r>
    </w:p>
    <w:p w14:paraId="7E460CFF" w14:textId="77777777" w:rsidR="00DB486B" w:rsidRDefault="00DB486B" w:rsidP="00DB486B">
      <w:r>
        <w:t>Nevertheless, the hotel still has important strategic resources. Realigning channel strategy, increasing workforce stability and increasing local digital activation, Hilton Cardiff has the capacity to increase net revenue, service consistency and long-term competitiveness.</w:t>
      </w:r>
    </w:p>
    <w:p w14:paraId="31D5EACB" w14:textId="409B55F1" w:rsidR="009C156B" w:rsidRPr="00DB486B" w:rsidRDefault="00DB486B" w:rsidP="002A3409">
      <w:r>
        <w:t xml:space="preserve">The section below provides an elaboration of recommendations and change management plans that can be used to overcome these structural vulnerabilities using interventions that are financially viable and </w:t>
      </w:r>
      <w:proofErr w:type="gramStart"/>
      <w:r>
        <w:t>evidence-based</w:t>
      </w:r>
      <w:proofErr w:type="gramEnd"/>
      <w:r>
        <w:t>.</w:t>
      </w:r>
    </w:p>
    <w:p w14:paraId="5F03544D" w14:textId="234C6035" w:rsidR="009C156B" w:rsidRPr="00DB486B" w:rsidRDefault="009C156B" w:rsidP="005A537B">
      <w:pPr>
        <w:pStyle w:val="Heading1"/>
      </w:pPr>
      <w:bookmarkStart w:id="10" w:name="_Toc223168715"/>
      <w:r w:rsidRPr="00DB486B">
        <w:t>4. Recommendations and Change Management</w:t>
      </w:r>
      <w:bookmarkEnd w:id="10"/>
    </w:p>
    <w:p w14:paraId="0D6DB0AA" w14:textId="77777777" w:rsidR="00DB486B" w:rsidRDefault="00DB486B" w:rsidP="00DB486B">
      <w:r>
        <w:t>As the above discussion has proven, the profitability of Hilton Cardiff and the stability of its organisation is limited by two structurally interrelated problems: the unreasonable dependency on OTA and high turnover rates among workers. The two are materially reinforcing and financially material challenges. They cannot be dealt with using uncoordinated operational responses.</w:t>
      </w:r>
    </w:p>
    <w:p w14:paraId="0E6F7D10" w14:textId="441F2FD1" w:rsidR="009C156B" w:rsidRPr="00DB486B" w:rsidRDefault="00DB486B" w:rsidP="00DB486B">
      <w:r>
        <w:t>The recommendations thus aim at redressing the balance of the structure of the revenue channels of the hotel and at the same time stabilising internal organisational capacity. The two streams should move simultaneously since a recovery of revenues without service stability will not satisfy guests whereas an increase in retention without margin optimisation will not cover the financial pressure.</w:t>
      </w:r>
    </w:p>
    <w:p w14:paraId="163B95A0" w14:textId="1C17FECA" w:rsidR="009C156B" w:rsidRPr="00DB486B" w:rsidRDefault="009C156B" w:rsidP="005A537B">
      <w:pPr>
        <w:pStyle w:val="Heading2"/>
      </w:pPr>
      <w:bookmarkStart w:id="11" w:name="_Toc223168716"/>
      <w:r w:rsidRPr="00DB486B">
        <w:t>4.1 Revenue Channel Rebalancing Strategy</w:t>
      </w:r>
      <w:bookmarkEnd w:id="11"/>
    </w:p>
    <w:p w14:paraId="7D0AE600" w14:textId="77777777" w:rsidR="00DB486B" w:rsidRDefault="00DB486B" w:rsidP="00DB486B">
      <w:r>
        <w:t xml:space="preserve">The hotel needs to slowly decrease its dependence on the bookings through OTAs and expand the section of the direct bookings. Estimates that are currently underway indicate that Hilton Cardiff has a potential of commissionable room revenue to the third-party intermediaries at the average rate of 18%. This is a total of about 688,000 a year in commission costs considering that the hotel has an estimated room revenues of £6.6 million every year. Such exposure to the commission would effectively limit profitability in a </w:t>
      </w:r>
      <w:r>
        <w:lastRenderedPageBreak/>
        <w:t>market where the EBITDA margins are expected to be between 10% and 14% of the average profit in UK upscale hotels (</w:t>
      </w:r>
      <w:proofErr w:type="spellStart"/>
      <w:r>
        <w:t>UKHospitality</w:t>
      </w:r>
      <w:proofErr w:type="spellEnd"/>
      <w:r>
        <w:t>, 2024).</w:t>
      </w:r>
    </w:p>
    <w:p w14:paraId="26267AF3" w14:textId="25E181DC" w:rsidR="00DB486B" w:rsidRDefault="00DB486B" w:rsidP="00DB486B">
      <w:r>
        <w:t>This recommendation aims at increasing the direct booking contribution of 42% to 60% in a span of 18 months. It is necessary to employ a gradual strategy to prevent occupancy volatility. Even a 1015</w:t>
      </w:r>
      <w:r w:rsidR="00846F54">
        <w:t xml:space="preserve">% </w:t>
      </w:r>
      <w:r>
        <w:t>-point decrease in the use of OTAs would recover a net revenue between £210,000 and £350,000 each year, with constant occupancy rates.</w:t>
      </w:r>
    </w:p>
    <w:p w14:paraId="2D4773F3" w14:textId="77777777" w:rsidR="00DB486B" w:rsidRDefault="00DB486B" w:rsidP="00DB486B">
      <w:r>
        <w:t>To accomplish such a change, Hilton Cardiff needs to enhance the activation of the already existing corporate infrastructure instead of creating separate digital frameworks. Property level enrolment conversion of Hilton Honors ought to be reinforced at the check-in and with post-stay communication. According to Deloitte (2023), loyalty programme members are significantly better placed to book direct especially when value-add incentive is available. On the property, the direct booking benefits of flexible cancellation, convenient upgrades where possible, or food and beverage benefits can be offered without violating brand pricing parity policies.</w:t>
      </w:r>
    </w:p>
    <w:p w14:paraId="2938098B" w14:textId="77777777" w:rsidR="00DB486B" w:rsidRDefault="00DB486B" w:rsidP="00DB486B">
      <w:r>
        <w:t>The hotel should also further develop localised digital presence in brand requirements. Paid search campaigns that are geo-targeted at domestic leisure traveller and corporate event organisers can shift the demand towards the OTA platforms to brand-owned platforms. Personalised personal communication (through CRM investment) to boost repeat booking is also required. The importance of direct engagement is also suggested by the strategic worth of the first-party data ownership especially in the format of GDPR compliance.</w:t>
      </w:r>
    </w:p>
    <w:p w14:paraId="65D2F249" w14:textId="77777777" w:rsidR="00DB486B" w:rsidRDefault="00DB486B" w:rsidP="00DB486B">
      <w:r>
        <w:t>The overall budgeted investment into digital optimisation, CRM integration and marketing activation would rule the 12-month approximate of 185 000. According to conservative modelling, it is expected that the payback period will come within 18 months and that it will continue to receive margin benefits thereafter. The business financial argument is thus strong or strategically identifiable with the long run brand sustainability.</w:t>
      </w:r>
    </w:p>
    <w:p w14:paraId="6E8903A8" w14:textId="68A5BDB9" w:rsidR="009C156B" w:rsidRPr="00DB486B" w:rsidRDefault="00DB486B" w:rsidP="00DB486B">
      <w:r>
        <w:t xml:space="preserve">Performance measurement should entail quarterly review of direct booking ratio, OTA commission percentage of the room revenue, customer acquisition cost by channel and repeat direct booking rate. The best and achievable interim goal would be a 50% decrease </w:t>
      </w:r>
      <w:r>
        <w:lastRenderedPageBreak/>
        <w:t>in the OTA contributions in the first 9 months, then one can work towards the 60% direct mark.</w:t>
      </w:r>
    </w:p>
    <w:p w14:paraId="4F10B344" w14:textId="07BF233C" w:rsidR="009C156B" w:rsidRPr="00DB486B" w:rsidRDefault="009C156B" w:rsidP="005A537B">
      <w:pPr>
        <w:pStyle w:val="Heading2"/>
      </w:pPr>
      <w:bookmarkStart w:id="12" w:name="_Toc223168717"/>
      <w:r w:rsidRPr="00DB486B">
        <w:t>4.2 Workforce Stabilisation and Organisational Alignment</w:t>
      </w:r>
      <w:bookmarkEnd w:id="12"/>
    </w:p>
    <w:p w14:paraId="6610BF2F" w14:textId="77777777" w:rsidR="00DC2177" w:rsidRDefault="00DC2177" w:rsidP="00DC2177">
      <w:r>
        <w:t>The second strategic intervention deals with instability of the workforce. Existing turnover rates of about 36% makes Hilton Cardiff well above the desirable turnover level of the luxurious urban hotels. Annual turnover cost can be more than 320,000 with estimated 150 workers, and average replacement cost of 6,000 per employee (Oxford Economics, 2023). But financial burden is not limited to the expenditure in recruitment. The high turnover interferes with the continuity of the services provided, deteriorates the continuity of the guest experience, and puts additional pressure on management.</w:t>
      </w:r>
    </w:p>
    <w:p w14:paraId="2B836CB4" w14:textId="77777777" w:rsidR="00DC2177" w:rsidRDefault="00DC2177" w:rsidP="00DC2177">
      <w:r>
        <w:t>The target goal is to make the annual turnover to be 24% in a span of 12 months. This can only be realised through dealing with their inherent motivational and structural factors as opposed to using an isolated financial reward.</w:t>
      </w:r>
    </w:p>
    <w:p w14:paraId="6BEE0E2E" w14:textId="77777777" w:rsidR="00DC2177" w:rsidRDefault="00DC2177" w:rsidP="00DC2177">
      <w:r>
        <w:t>To begin with, the clarity of career paths should be enhanced. Employees in the hospitality industry often highlight the lack of progression visibility as one of the main reasons to leave (CIPD, 2023). Hilton Cardiff ought to formalise the role progression maps in the various departments showing the various skills required and when these skills are expected to be acquired. Perceived organisational investment in employees can be improved by getting training completion linked to the eligibility to promotion.</w:t>
      </w:r>
    </w:p>
    <w:p w14:paraId="26A2DDEB" w14:textId="77777777" w:rsidR="00DC2177" w:rsidRDefault="00DC2177" w:rsidP="00DC2177">
      <w:r>
        <w:t>Second, leadership ability should be improved. The study in hospitality management reveals that transformational leadership has a great influence in the decrease of turnover intention and the enhancement of organisational commitment (Brownell, 2010). Structured management development programmes aimed at communication, coaching and performance feedback should therefore be undertaken by the department heads and supervisors. Empowering leadership behaviour is comparable to the 7S focus of style and shared values at McKinsey.</w:t>
      </w:r>
    </w:p>
    <w:p w14:paraId="512846BA" w14:textId="77777777" w:rsidR="00DC2177" w:rsidRDefault="00DC2177" w:rsidP="00DC2177">
      <w:r>
        <w:t xml:space="preserve">Third, the system of onboarding needs to be redesigned to enhance retention at the initial stages. According to the evidence offered by Harvard Business Review (2022), systematic </w:t>
      </w:r>
      <w:r>
        <w:lastRenderedPageBreak/>
        <w:t>90-day onboarding systems can raise the likelihood of employee retention. Peer mentoring and early performance feedback along with clear integration milestones minimise uncertainty and enhance psychological attachment to the organisation.</w:t>
      </w:r>
    </w:p>
    <w:p w14:paraId="112E3CEB" w14:textId="77777777" w:rsidR="00DC2177" w:rsidRDefault="00DC2177" w:rsidP="00DC2177">
      <w:r>
        <w:t xml:space="preserve">Fourth, the measurement of employee engagement </w:t>
      </w:r>
      <w:proofErr w:type="gramStart"/>
      <w:r>
        <w:t>has to</w:t>
      </w:r>
      <w:proofErr w:type="gramEnd"/>
      <w:r>
        <w:t xml:space="preserve"> be systematic as opposed to responsive. The dissatisfaction triggers can be identified early because of quarterly engagement surveys and structured feedback forums. Anthropogenic measurements of engagement when built into the managerial performance appraisal framework supports accountability.</w:t>
      </w:r>
    </w:p>
    <w:p w14:paraId="35E3B3B3" w14:textId="173585BD" w:rsidR="00DC2177" w:rsidRDefault="00DC2177" w:rsidP="00DC2177">
      <w:r>
        <w:t xml:space="preserve">The estimated costs of the projected investment in leadership training, onboarding redesign, engagement systems and internal HR technology upgrades are estimated at </w:t>
      </w:r>
      <w:r w:rsidR="004A4697">
        <w:rPr>
          <w:rFonts w:cs="Times New Roman"/>
        </w:rPr>
        <w:t>£</w:t>
      </w:r>
      <w:r>
        <w:t>220,000. Direct financial benefits of going down on turnover to 24% are annually estimated at a conservative of £108,000. Nevertheless, this number may not be the highest indirect financial gains. Better human resources stability leads to increased customer satisfaction and web comments. According to Cornell research (2022), even small changes in the review ratings can produce quantifiable growth in RevPAR. Any increase in revenue by a conservative 3</w:t>
      </w:r>
      <w:r w:rsidR="00846F54">
        <w:t xml:space="preserve">% </w:t>
      </w:r>
      <w:r>
        <w:t>would result in an increment of a revenue of about 198,000 in yearly revenue depending on the current turnover.</w:t>
      </w:r>
    </w:p>
    <w:p w14:paraId="79BFCF7F" w14:textId="470D6F3B" w:rsidR="009C156B" w:rsidRPr="00DB486B" w:rsidRDefault="00DC2177" w:rsidP="00DC2177">
      <w:r>
        <w:t>Workforce stabilisation can therefore be considered as a revenue-shielding policy, and not as a cost-controlling policy.</w:t>
      </w:r>
    </w:p>
    <w:p w14:paraId="59486226" w14:textId="6B937EF6" w:rsidR="009C156B" w:rsidRPr="00DB486B" w:rsidRDefault="009C156B" w:rsidP="005A537B">
      <w:pPr>
        <w:pStyle w:val="Heading2"/>
      </w:pPr>
      <w:bookmarkStart w:id="13" w:name="_Toc223168718"/>
      <w:r w:rsidRPr="00DB486B">
        <w:t>4.3 Integrated Financial Impact</w:t>
      </w:r>
      <w:bookmarkEnd w:id="13"/>
    </w:p>
    <w:p w14:paraId="24C0C987" w14:textId="77777777" w:rsidR="00DC2177" w:rsidRDefault="00DC2177" w:rsidP="00DC2177">
      <w:r>
        <w:t>The channel rebalancing and workforce stabilisation strategies when combined have a cumulative financial effect that impacts greatly on the resiliency of EBITDA. The Years 1 modelling proposed by Conservatives indicates the possible improvement of the margin of more than 400,000 when the increase in revenue recovery, reduction in turnover costs, and a slight increase in RevPAR are combined. By the second year, any direct booking optimisation that has achieved maturity would see the total financial impact to be in reasonable ranges of over £650,000 each year.</w:t>
      </w:r>
    </w:p>
    <w:p w14:paraId="06518923" w14:textId="4291E7C8" w:rsidR="009C156B" w:rsidRPr="00DB486B" w:rsidRDefault="00DC2177" w:rsidP="00DC2177">
      <w:r>
        <w:lastRenderedPageBreak/>
        <w:t xml:space="preserve">This forecast is a potential </w:t>
      </w:r>
      <w:proofErr w:type="gramStart"/>
      <w:r>
        <w:t>406</w:t>
      </w:r>
      <w:r w:rsidR="00846F54">
        <w:t xml:space="preserve">% </w:t>
      </w:r>
      <w:r>
        <w:t>point</w:t>
      </w:r>
      <w:proofErr w:type="gramEnd"/>
      <w:r>
        <w:t xml:space="preserve"> increase in EBITDA, which will be a significant improvement in financial sustainability in the long term.</w:t>
      </w:r>
    </w:p>
    <w:p w14:paraId="77BD5AD8" w14:textId="55EF168D" w:rsidR="009C156B" w:rsidRPr="00DB486B" w:rsidRDefault="009C156B" w:rsidP="005A537B">
      <w:pPr>
        <w:pStyle w:val="Heading2"/>
      </w:pPr>
      <w:bookmarkStart w:id="14" w:name="_Toc223168719"/>
      <w:r w:rsidRPr="00DB486B">
        <w:t>4.4 Change Management Framework</w:t>
      </w:r>
      <w:bookmarkEnd w:id="14"/>
    </w:p>
    <w:p w14:paraId="32B8154A" w14:textId="77777777" w:rsidR="00DC2177" w:rsidRDefault="00DC2177" w:rsidP="00DC2177">
      <w:r>
        <w:t>Such a massive transformational change should be implemented in a disciplined manner. The 8-Step model offers the right framework to deal with organisational transition offered by Kotter. Creating an urgency should start by having clear communication of financial modelling that shows the magnitude of margin leakage and turnover cost. Unless there is a clearly defined urgency, some kind of resistance to the channel adjustment or a change in workforce policy can arise.</w:t>
      </w:r>
    </w:p>
    <w:p w14:paraId="5B15777F" w14:textId="77777777" w:rsidR="00DC2177" w:rsidRDefault="00DC2177" w:rsidP="00DC2177">
      <w:r>
        <w:t>Transformation governance should be under a cross-functional guiding coalition which will include the General Manager, Revenue Manager, HR Manager and departmental leaders. The strategic vision that aims at profitability by direct interaction and workforce excellence should be relayed throughout departments.</w:t>
      </w:r>
    </w:p>
    <w:p w14:paraId="61962524" w14:textId="77777777" w:rsidR="00DC2177" w:rsidRDefault="00DC2177" w:rsidP="00DC2177">
      <w:r>
        <w:t>Momentum must be built on quick wins. Progress can be shown by early cuts in OTA contribution or observable increment in employee recognition programmes. To maintain credibility, it is necessary to report success metrics in a transparent manner.</w:t>
      </w:r>
    </w:p>
    <w:p w14:paraId="26F84925" w14:textId="581BC665" w:rsidR="009C156B" w:rsidRPr="00DB486B" w:rsidRDefault="00DC2177" w:rsidP="00DC2177">
      <w:r>
        <w:t xml:space="preserve">This process is complemented by Lewin Unfreeze Change Refreeze model. The unfreezing phase entails the confrontation of complacency on the status quo in view of the channel mix and turnover acceptance. Digital optimisation and leadership development are aspects which are included in the change phase. The refreezing stage entrenches new KPIs, performance review systems and budgetary allocation systems </w:t>
      </w:r>
      <w:proofErr w:type="gramStart"/>
      <w:r>
        <w:t>in order to</w:t>
      </w:r>
      <w:proofErr w:type="gramEnd"/>
      <w:r>
        <w:t xml:space="preserve"> achieve sustainability.</w:t>
      </w:r>
    </w:p>
    <w:p w14:paraId="05D4C949" w14:textId="06FA3563" w:rsidR="009C156B" w:rsidRPr="00DB486B" w:rsidRDefault="009C156B" w:rsidP="005A537B">
      <w:pPr>
        <w:pStyle w:val="Heading2"/>
      </w:pPr>
      <w:bookmarkStart w:id="15" w:name="_Toc223168720"/>
      <w:r w:rsidRPr="00DB486B">
        <w:t>4.5 Strategic Justification</w:t>
      </w:r>
      <w:bookmarkEnd w:id="15"/>
    </w:p>
    <w:p w14:paraId="0FA695A2" w14:textId="77777777" w:rsidR="00DC2177" w:rsidRDefault="00DC2177" w:rsidP="00DC2177">
      <w:r>
        <w:t>The interventions that are proposed do not imply the need to deviate the Hilton corporate standards and fully agrees with brand compliance frameworks. Their attention is on leveraging the existing assets in a better way instead of going to the high-risk expansion or restructuring.</w:t>
      </w:r>
    </w:p>
    <w:p w14:paraId="0F623A24" w14:textId="04C70EE5" w:rsidR="00C51794" w:rsidRPr="00DB486B" w:rsidRDefault="00DC2177" w:rsidP="00DC2177">
      <w:r>
        <w:lastRenderedPageBreak/>
        <w:t>The most reasonable strategic priorities in a macroeconomic environment with the inflation of labour costs and power imbalance in the distribution channels are margin retention and stability of workforce. Hilton Cardiff will be able to defend the profitability, improve the service quality and competitive positioning in Cardiff urban hospitality market by rebalancing the revenue channels and enhancing the internal organisational capacity.</w:t>
      </w:r>
    </w:p>
    <w:p w14:paraId="7DDA8AE7" w14:textId="77777777" w:rsidR="00C51794" w:rsidRPr="00DB486B" w:rsidRDefault="00C51794" w:rsidP="00C51794"/>
    <w:p w14:paraId="2B3617D7" w14:textId="553D62FA" w:rsidR="00C51794" w:rsidRPr="00DB486B" w:rsidRDefault="00C51794">
      <w:pPr>
        <w:spacing w:line="276" w:lineRule="auto"/>
        <w:jc w:val="left"/>
      </w:pPr>
      <w:r w:rsidRPr="00DB486B">
        <w:br w:type="page"/>
      </w:r>
    </w:p>
    <w:p w14:paraId="24AFF23E" w14:textId="590D9370" w:rsidR="00C51794" w:rsidRDefault="005B6947" w:rsidP="005B6947">
      <w:pPr>
        <w:pStyle w:val="Heading1"/>
      </w:pPr>
      <w:bookmarkStart w:id="16" w:name="_Toc223168721"/>
      <w:r>
        <w:lastRenderedPageBreak/>
        <w:t>5</w:t>
      </w:r>
      <w:r w:rsidR="00C51794" w:rsidRPr="00DB486B">
        <w:t>. Action Plan</w:t>
      </w:r>
      <w:bookmarkEnd w:id="16"/>
    </w:p>
    <w:tbl>
      <w:tblPr>
        <w:tblStyle w:val="TableGrid"/>
        <w:tblW w:w="0" w:type="auto"/>
        <w:tblLook w:val="04A0" w:firstRow="1" w:lastRow="0" w:firstColumn="1" w:lastColumn="0" w:noHBand="0" w:noVBand="1"/>
      </w:tblPr>
      <w:tblGrid>
        <w:gridCol w:w="1845"/>
        <w:gridCol w:w="1469"/>
        <w:gridCol w:w="1306"/>
        <w:gridCol w:w="1030"/>
        <w:gridCol w:w="1041"/>
        <w:gridCol w:w="1939"/>
      </w:tblGrid>
      <w:tr w:rsidR="00B42C23" w:rsidRPr="00B42C23" w14:paraId="70BE38ED" w14:textId="77777777" w:rsidTr="00B42C23">
        <w:tc>
          <w:tcPr>
            <w:tcW w:w="0" w:type="auto"/>
            <w:hideMark/>
          </w:tcPr>
          <w:p w14:paraId="35F8673B" w14:textId="77777777" w:rsidR="00B42C23" w:rsidRPr="009B23BD" w:rsidRDefault="00B42C23" w:rsidP="009B23BD">
            <w:pPr>
              <w:jc w:val="center"/>
              <w:rPr>
                <w:rFonts w:eastAsia="Times New Roman" w:cs="Times New Roman"/>
                <w:b/>
                <w:bCs/>
                <w:szCs w:val="24"/>
                <w:lang w:eastAsia="en-GB"/>
              </w:rPr>
            </w:pPr>
            <w:r w:rsidRPr="009B23BD">
              <w:rPr>
                <w:rFonts w:eastAsia="Times New Roman" w:cs="Times New Roman"/>
                <w:b/>
                <w:bCs/>
                <w:szCs w:val="24"/>
                <w:lang w:eastAsia="en-GB"/>
              </w:rPr>
              <w:t>Problem</w:t>
            </w:r>
          </w:p>
        </w:tc>
        <w:tc>
          <w:tcPr>
            <w:tcW w:w="0" w:type="auto"/>
            <w:hideMark/>
          </w:tcPr>
          <w:p w14:paraId="159D04C0" w14:textId="77777777" w:rsidR="00B42C23" w:rsidRPr="009B23BD" w:rsidRDefault="00B42C23" w:rsidP="009B23BD">
            <w:pPr>
              <w:jc w:val="center"/>
              <w:rPr>
                <w:rFonts w:eastAsia="Times New Roman" w:cs="Times New Roman"/>
                <w:b/>
                <w:bCs/>
                <w:szCs w:val="24"/>
                <w:lang w:eastAsia="en-GB"/>
              </w:rPr>
            </w:pPr>
            <w:r w:rsidRPr="009B23BD">
              <w:rPr>
                <w:rFonts w:eastAsia="Times New Roman" w:cs="Times New Roman"/>
                <w:b/>
                <w:bCs/>
                <w:szCs w:val="24"/>
                <w:lang w:eastAsia="en-GB"/>
              </w:rPr>
              <w:t>Solution (Action)</w:t>
            </w:r>
          </w:p>
        </w:tc>
        <w:tc>
          <w:tcPr>
            <w:tcW w:w="0" w:type="auto"/>
            <w:hideMark/>
          </w:tcPr>
          <w:p w14:paraId="43CBE3B6" w14:textId="77777777" w:rsidR="00B42C23" w:rsidRPr="009B23BD" w:rsidRDefault="00B42C23" w:rsidP="009B23BD">
            <w:pPr>
              <w:jc w:val="center"/>
              <w:rPr>
                <w:rFonts w:eastAsia="Times New Roman" w:cs="Times New Roman"/>
                <w:b/>
                <w:bCs/>
                <w:szCs w:val="24"/>
                <w:lang w:eastAsia="en-GB"/>
              </w:rPr>
            </w:pPr>
            <w:r w:rsidRPr="009B23BD">
              <w:rPr>
                <w:rFonts w:eastAsia="Times New Roman" w:cs="Times New Roman"/>
                <w:b/>
                <w:bCs/>
                <w:szCs w:val="24"/>
                <w:lang w:eastAsia="en-GB"/>
              </w:rPr>
              <w:t>Desired outcome</w:t>
            </w:r>
          </w:p>
        </w:tc>
        <w:tc>
          <w:tcPr>
            <w:tcW w:w="0" w:type="auto"/>
            <w:hideMark/>
          </w:tcPr>
          <w:p w14:paraId="7FEB8C2A" w14:textId="77777777" w:rsidR="00B42C23" w:rsidRPr="009B23BD" w:rsidRDefault="00B42C23" w:rsidP="009B23BD">
            <w:pPr>
              <w:jc w:val="center"/>
              <w:rPr>
                <w:rFonts w:eastAsia="Times New Roman" w:cs="Times New Roman"/>
                <w:b/>
                <w:bCs/>
                <w:szCs w:val="24"/>
                <w:lang w:eastAsia="en-GB"/>
              </w:rPr>
            </w:pPr>
            <w:r w:rsidRPr="009B23BD">
              <w:rPr>
                <w:rFonts w:eastAsia="Times New Roman" w:cs="Times New Roman"/>
                <w:b/>
                <w:bCs/>
                <w:szCs w:val="24"/>
                <w:lang w:eastAsia="en-GB"/>
              </w:rPr>
              <w:t>Timescale</w:t>
            </w:r>
          </w:p>
        </w:tc>
        <w:tc>
          <w:tcPr>
            <w:tcW w:w="0" w:type="auto"/>
            <w:hideMark/>
          </w:tcPr>
          <w:p w14:paraId="0A6D194D" w14:textId="77777777" w:rsidR="00B42C23" w:rsidRPr="009B23BD" w:rsidRDefault="00B42C23" w:rsidP="009B23BD">
            <w:pPr>
              <w:jc w:val="center"/>
              <w:rPr>
                <w:rFonts w:eastAsia="Times New Roman" w:cs="Times New Roman"/>
                <w:b/>
                <w:bCs/>
                <w:szCs w:val="24"/>
                <w:lang w:eastAsia="en-GB"/>
              </w:rPr>
            </w:pPr>
            <w:r w:rsidRPr="009B23BD">
              <w:rPr>
                <w:rFonts w:eastAsia="Times New Roman" w:cs="Times New Roman"/>
                <w:b/>
                <w:bCs/>
                <w:szCs w:val="24"/>
                <w:lang w:eastAsia="en-GB"/>
              </w:rPr>
              <w:t>Estimated cost</w:t>
            </w:r>
          </w:p>
        </w:tc>
        <w:tc>
          <w:tcPr>
            <w:tcW w:w="0" w:type="auto"/>
            <w:hideMark/>
          </w:tcPr>
          <w:p w14:paraId="16706422" w14:textId="77777777" w:rsidR="00B42C23" w:rsidRPr="009B23BD" w:rsidRDefault="00B42C23" w:rsidP="009B23BD">
            <w:pPr>
              <w:jc w:val="center"/>
              <w:rPr>
                <w:rFonts w:eastAsia="Times New Roman" w:cs="Times New Roman"/>
                <w:b/>
                <w:bCs/>
                <w:szCs w:val="24"/>
                <w:lang w:eastAsia="en-GB"/>
              </w:rPr>
            </w:pPr>
            <w:r w:rsidRPr="009B23BD">
              <w:rPr>
                <w:rFonts w:eastAsia="Times New Roman" w:cs="Times New Roman"/>
                <w:b/>
                <w:bCs/>
                <w:szCs w:val="24"/>
                <w:lang w:eastAsia="en-GB"/>
              </w:rPr>
              <w:t>Owner + KPIs</w:t>
            </w:r>
          </w:p>
        </w:tc>
      </w:tr>
      <w:tr w:rsidR="00B42C23" w:rsidRPr="00B42C23" w14:paraId="2544C1F2" w14:textId="77777777" w:rsidTr="00B42C23">
        <w:tc>
          <w:tcPr>
            <w:tcW w:w="0" w:type="auto"/>
            <w:hideMark/>
          </w:tcPr>
          <w:p w14:paraId="4C9ACE5D"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t>High OTA reliance (≈58%) causing commission leakage</w:t>
            </w:r>
          </w:p>
        </w:tc>
        <w:tc>
          <w:tcPr>
            <w:tcW w:w="0" w:type="auto"/>
            <w:hideMark/>
          </w:tcPr>
          <w:p w14:paraId="69EB9FC6"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t xml:space="preserve">Launch an 18-month </w:t>
            </w:r>
            <w:r w:rsidRPr="009B23BD">
              <w:rPr>
                <w:rFonts w:eastAsia="Times New Roman" w:cs="Times New Roman"/>
                <w:b/>
                <w:bCs/>
                <w:szCs w:val="24"/>
                <w:lang w:eastAsia="en-GB"/>
              </w:rPr>
              <w:t>Direct Booking Growth Programme</w:t>
            </w:r>
            <w:r w:rsidRPr="009B23BD">
              <w:rPr>
                <w:rFonts w:eastAsia="Times New Roman" w:cs="Times New Roman"/>
                <w:szCs w:val="24"/>
                <w:lang w:eastAsia="en-GB"/>
              </w:rPr>
              <w:t xml:space="preserve"> (Hilton.com/app focus, rate parity compliant), reducing OTA dependency in phases</w:t>
            </w:r>
          </w:p>
        </w:tc>
        <w:tc>
          <w:tcPr>
            <w:tcW w:w="0" w:type="auto"/>
            <w:hideMark/>
          </w:tcPr>
          <w:p w14:paraId="0F5D4E8B"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t xml:space="preserve">Direct booking share </w:t>
            </w:r>
            <w:r w:rsidRPr="009B23BD">
              <w:rPr>
                <w:rFonts w:eastAsia="Times New Roman" w:cs="Times New Roman"/>
                <w:b/>
                <w:bCs/>
                <w:szCs w:val="24"/>
                <w:lang w:eastAsia="en-GB"/>
              </w:rPr>
              <w:t>42% → 60%</w:t>
            </w:r>
            <w:r w:rsidRPr="009B23BD">
              <w:rPr>
                <w:rFonts w:eastAsia="Times New Roman" w:cs="Times New Roman"/>
                <w:szCs w:val="24"/>
                <w:lang w:eastAsia="en-GB"/>
              </w:rPr>
              <w:t>; OTA share ≤40%; improved net room revenue</w:t>
            </w:r>
          </w:p>
        </w:tc>
        <w:tc>
          <w:tcPr>
            <w:tcW w:w="0" w:type="auto"/>
            <w:hideMark/>
          </w:tcPr>
          <w:p w14:paraId="099AD549"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t>0–18 months</w:t>
            </w:r>
          </w:p>
        </w:tc>
        <w:tc>
          <w:tcPr>
            <w:tcW w:w="0" w:type="auto"/>
            <w:hideMark/>
          </w:tcPr>
          <w:p w14:paraId="13F4FA22"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t>£185,000–£220,000</w:t>
            </w:r>
          </w:p>
        </w:tc>
        <w:tc>
          <w:tcPr>
            <w:tcW w:w="0" w:type="auto"/>
            <w:hideMark/>
          </w:tcPr>
          <w:p w14:paraId="382CAF10"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b/>
                <w:bCs/>
                <w:szCs w:val="24"/>
                <w:lang w:eastAsia="en-GB"/>
              </w:rPr>
              <w:t>Owner:</w:t>
            </w:r>
            <w:r w:rsidRPr="009B23BD">
              <w:rPr>
                <w:rFonts w:eastAsia="Times New Roman" w:cs="Times New Roman"/>
                <w:szCs w:val="24"/>
                <w:lang w:eastAsia="en-GB"/>
              </w:rPr>
              <w:t xml:space="preserve"> Revenue Manager + GM. </w:t>
            </w:r>
            <w:r w:rsidRPr="009B23BD">
              <w:rPr>
                <w:rFonts w:eastAsia="Times New Roman" w:cs="Times New Roman"/>
                <w:b/>
                <w:bCs/>
                <w:szCs w:val="24"/>
                <w:lang w:eastAsia="en-GB"/>
              </w:rPr>
              <w:t>KPIs:</w:t>
            </w:r>
            <w:r w:rsidRPr="009B23BD">
              <w:rPr>
                <w:rFonts w:eastAsia="Times New Roman" w:cs="Times New Roman"/>
                <w:szCs w:val="24"/>
                <w:lang w:eastAsia="en-GB"/>
              </w:rPr>
              <w:t xml:space="preserve"> Direct booking ratio; OTA commission %; channel CAC; repeat direct booking rate</w:t>
            </w:r>
          </w:p>
        </w:tc>
      </w:tr>
      <w:tr w:rsidR="00B42C23" w:rsidRPr="00B42C23" w14:paraId="556F5C67" w14:textId="77777777" w:rsidTr="00B42C23">
        <w:tc>
          <w:tcPr>
            <w:tcW w:w="0" w:type="auto"/>
            <w:hideMark/>
          </w:tcPr>
          <w:p w14:paraId="59D11F2E"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t>Weak local digital demand capture</w:t>
            </w:r>
          </w:p>
        </w:tc>
        <w:tc>
          <w:tcPr>
            <w:tcW w:w="0" w:type="auto"/>
            <w:hideMark/>
          </w:tcPr>
          <w:p w14:paraId="46A5FF61"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t>Improve local search + paid campaigns (events, short breaks, corporate), landing pages, retargeting and metasearch alignment</w:t>
            </w:r>
          </w:p>
        </w:tc>
        <w:tc>
          <w:tcPr>
            <w:tcW w:w="0" w:type="auto"/>
            <w:hideMark/>
          </w:tcPr>
          <w:p w14:paraId="6942F3A5"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t>+15–25% direct sessions; improved conversion rate; lower CAC</w:t>
            </w:r>
          </w:p>
        </w:tc>
        <w:tc>
          <w:tcPr>
            <w:tcW w:w="0" w:type="auto"/>
            <w:hideMark/>
          </w:tcPr>
          <w:p w14:paraId="4889DEC0"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t>0–6 months then ongoing</w:t>
            </w:r>
          </w:p>
        </w:tc>
        <w:tc>
          <w:tcPr>
            <w:tcW w:w="0" w:type="auto"/>
            <w:hideMark/>
          </w:tcPr>
          <w:p w14:paraId="6C335579"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t xml:space="preserve">£55,000–£70,000 </w:t>
            </w:r>
            <w:r w:rsidRPr="009B23BD">
              <w:rPr>
                <w:rFonts w:eastAsia="Times New Roman" w:cs="Times New Roman"/>
                <w:i/>
                <w:iCs/>
                <w:szCs w:val="24"/>
                <w:lang w:eastAsia="en-GB"/>
              </w:rPr>
              <w:t>(within above)</w:t>
            </w:r>
          </w:p>
        </w:tc>
        <w:tc>
          <w:tcPr>
            <w:tcW w:w="0" w:type="auto"/>
            <w:hideMark/>
          </w:tcPr>
          <w:p w14:paraId="0862E81D"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b/>
                <w:bCs/>
                <w:szCs w:val="24"/>
                <w:lang w:eastAsia="en-GB"/>
              </w:rPr>
              <w:t>Owner:</w:t>
            </w:r>
            <w:r w:rsidRPr="009B23BD">
              <w:rPr>
                <w:rFonts w:eastAsia="Times New Roman" w:cs="Times New Roman"/>
                <w:szCs w:val="24"/>
                <w:lang w:eastAsia="en-GB"/>
              </w:rPr>
              <w:t xml:space="preserve"> Marketing + Revenue. </w:t>
            </w:r>
            <w:r w:rsidRPr="009B23BD">
              <w:rPr>
                <w:rFonts w:eastAsia="Times New Roman" w:cs="Times New Roman"/>
                <w:b/>
                <w:bCs/>
                <w:szCs w:val="24"/>
                <w:lang w:eastAsia="en-GB"/>
              </w:rPr>
              <w:t>KPIs:</w:t>
            </w:r>
            <w:r w:rsidRPr="009B23BD">
              <w:rPr>
                <w:rFonts w:eastAsia="Times New Roman" w:cs="Times New Roman"/>
                <w:szCs w:val="24"/>
                <w:lang w:eastAsia="en-GB"/>
              </w:rPr>
              <w:t xml:space="preserve"> Direct traffic; conversion %; ROAS; CAC by channel</w:t>
            </w:r>
          </w:p>
        </w:tc>
      </w:tr>
      <w:tr w:rsidR="00B42C23" w:rsidRPr="00B42C23" w14:paraId="0A5AA60B" w14:textId="77777777" w:rsidTr="00B42C23">
        <w:tc>
          <w:tcPr>
            <w:tcW w:w="0" w:type="auto"/>
            <w:hideMark/>
          </w:tcPr>
          <w:p w14:paraId="2C38BA47"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lastRenderedPageBreak/>
              <w:t>Underused CRM/personalisation limiting repeat direct stays</w:t>
            </w:r>
          </w:p>
        </w:tc>
        <w:tc>
          <w:tcPr>
            <w:tcW w:w="0" w:type="auto"/>
            <w:hideMark/>
          </w:tcPr>
          <w:p w14:paraId="174F0DFD"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t>Build segmented CRM journeys (pre-arrival, post-stay, win-back) + stronger loyalty conversion at check-in</w:t>
            </w:r>
          </w:p>
        </w:tc>
        <w:tc>
          <w:tcPr>
            <w:tcW w:w="0" w:type="auto"/>
            <w:hideMark/>
          </w:tcPr>
          <w:p w14:paraId="4ED84E5E"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t>Higher repeat bookings and loyalty-driven direct reservations</w:t>
            </w:r>
          </w:p>
        </w:tc>
        <w:tc>
          <w:tcPr>
            <w:tcW w:w="0" w:type="auto"/>
            <w:hideMark/>
          </w:tcPr>
          <w:p w14:paraId="5B435379"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t>3–12 months</w:t>
            </w:r>
          </w:p>
        </w:tc>
        <w:tc>
          <w:tcPr>
            <w:tcW w:w="0" w:type="auto"/>
            <w:hideMark/>
          </w:tcPr>
          <w:p w14:paraId="40E6354E"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t xml:space="preserve">£35,000–£50,000 </w:t>
            </w:r>
            <w:r w:rsidRPr="009B23BD">
              <w:rPr>
                <w:rFonts w:eastAsia="Times New Roman" w:cs="Times New Roman"/>
                <w:i/>
                <w:iCs/>
                <w:szCs w:val="24"/>
                <w:lang w:eastAsia="en-GB"/>
              </w:rPr>
              <w:t>(within above)</w:t>
            </w:r>
          </w:p>
        </w:tc>
        <w:tc>
          <w:tcPr>
            <w:tcW w:w="0" w:type="auto"/>
            <w:hideMark/>
          </w:tcPr>
          <w:p w14:paraId="5A97BDD6"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b/>
                <w:bCs/>
                <w:szCs w:val="24"/>
                <w:lang w:eastAsia="en-GB"/>
              </w:rPr>
              <w:t>Owner:</w:t>
            </w:r>
            <w:r w:rsidRPr="009B23BD">
              <w:rPr>
                <w:rFonts w:eastAsia="Times New Roman" w:cs="Times New Roman"/>
                <w:szCs w:val="24"/>
                <w:lang w:eastAsia="en-GB"/>
              </w:rPr>
              <w:t xml:space="preserve"> Front Office + Marketing. </w:t>
            </w:r>
            <w:r w:rsidRPr="009B23BD">
              <w:rPr>
                <w:rFonts w:eastAsia="Times New Roman" w:cs="Times New Roman"/>
                <w:b/>
                <w:bCs/>
                <w:szCs w:val="24"/>
                <w:lang w:eastAsia="en-GB"/>
              </w:rPr>
              <w:t>KPIs:</w:t>
            </w:r>
            <w:r w:rsidRPr="009B23BD">
              <w:rPr>
                <w:rFonts w:eastAsia="Times New Roman" w:cs="Times New Roman"/>
                <w:szCs w:val="24"/>
                <w:lang w:eastAsia="en-GB"/>
              </w:rPr>
              <w:t xml:space="preserve"> Repeat direct booking rate; email CTR; loyalty enrolment conversion</w:t>
            </w:r>
          </w:p>
        </w:tc>
      </w:tr>
      <w:tr w:rsidR="00B42C23" w:rsidRPr="00B42C23" w14:paraId="23490BEB" w14:textId="77777777" w:rsidTr="00B42C23">
        <w:tc>
          <w:tcPr>
            <w:tcW w:w="0" w:type="auto"/>
            <w:hideMark/>
          </w:tcPr>
          <w:p w14:paraId="52A0ABAB"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t>High turnover (≈36%) and weak early retention</w:t>
            </w:r>
          </w:p>
        </w:tc>
        <w:tc>
          <w:tcPr>
            <w:tcW w:w="0" w:type="auto"/>
            <w:hideMark/>
          </w:tcPr>
          <w:p w14:paraId="78E69762"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t xml:space="preserve">Implement structured </w:t>
            </w:r>
            <w:r w:rsidRPr="009B23BD">
              <w:rPr>
                <w:rFonts w:eastAsia="Times New Roman" w:cs="Times New Roman"/>
                <w:b/>
                <w:bCs/>
                <w:szCs w:val="24"/>
                <w:lang w:eastAsia="en-GB"/>
              </w:rPr>
              <w:t>90-day onboarding</w:t>
            </w:r>
            <w:r w:rsidRPr="009B23BD">
              <w:rPr>
                <w:rFonts w:eastAsia="Times New Roman" w:cs="Times New Roman"/>
                <w:szCs w:val="24"/>
                <w:lang w:eastAsia="en-GB"/>
              </w:rPr>
              <w:t xml:space="preserve"> (buddy system, milestones, weekly check-ins, skills checklist)</w:t>
            </w:r>
          </w:p>
        </w:tc>
        <w:tc>
          <w:tcPr>
            <w:tcW w:w="0" w:type="auto"/>
            <w:hideMark/>
          </w:tcPr>
          <w:p w14:paraId="414A89C1"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t xml:space="preserve">Turnover </w:t>
            </w:r>
            <w:r w:rsidRPr="009B23BD">
              <w:rPr>
                <w:rFonts w:eastAsia="Times New Roman" w:cs="Times New Roman"/>
                <w:b/>
                <w:bCs/>
                <w:szCs w:val="24"/>
                <w:lang w:eastAsia="en-GB"/>
              </w:rPr>
              <w:t>36% → 24%</w:t>
            </w:r>
            <w:r w:rsidRPr="009B23BD">
              <w:rPr>
                <w:rFonts w:eastAsia="Times New Roman" w:cs="Times New Roman"/>
                <w:szCs w:val="24"/>
                <w:lang w:eastAsia="en-GB"/>
              </w:rPr>
              <w:t>; early attrition reduced; faster time-to-competency</w:t>
            </w:r>
          </w:p>
        </w:tc>
        <w:tc>
          <w:tcPr>
            <w:tcW w:w="0" w:type="auto"/>
            <w:hideMark/>
          </w:tcPr>
          <w:p w14:paraId="63939464"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t>0–6 months rollout</w:t>
            </w:r>
          </w:p>
        </w:tc>
        <w:tc>
          <w:tcPr>
            <w:tcW w:w="0" w:type="auto"/>
            <w:hideMark/>
          </w:tcPr>
          <w:p w14:paraId="2FB0B405"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t>£30,000–£45,000</w:t>
            </w:r>
          </w:p>
        </w:tc>
        <w:tc>
          <w:tcPr>
            <w:tcW w:w="0" w:type="auto"/>
            <w:hideMark/>
          </w:tcPr>
          <w:p w14:paraId="28F6E8AD"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b/>
                <w:bCs/>
                <w:szCs w:val="24"/>
                <w:lang w:eastAsia="en-GB"/>
              </w:rPr>
              <w:t>Owner:</w:t>
            </w:r>
            <w:r w:rsidRPr="009B23BD">
              <w:rPr>
                <w:rFonts w:eastAsia="Times New Roman" w:cs="Times New Roman"/>
                <w:szCs w:val="24"/>
                <w:lang w:eastAsia="en-GB"/>
              </w:rPr>
              <w:t xml:space="preserve"> HR + Dept Heads. </w:t>
            </w:r>
            <w:r w:rsidRPr="009B23BD">
              <w:rPr>
                <w:rFonts w:eastAsia="Times New Roman" w:cs="Times New Roman"/>
                <w:b/>
                <w:bCs/>
                <w:szCs w:val="24"/>
                <w:lang w:eastAsia="en-GB"/>
              </w:rPr>
              <w:t>KPIs:</w:t>
            </w:r>
            <w:r w:rsidRPr="009B23BD">
              <w:rPr>
                <w:rFonts w:eastAsia="Times New Roman" w:cs="Times New Roman"/>
                <w:szCs w:val="24"/>
                <w:lang w:eastAsia="en-GB"/>
              </w:rPr>
              <w:t xml:space="preserve"> 90-day retention; turnover %; time-to-competency</w:t>
            </w:r>
          </w:p>
        </w:tc>
      </w:tr>
      <w:tr w:rsidR="00B42C23" w:rsidRPr="00B42C23" w14:paraId="6AC56DC8" w14:textId="77777777" w:rsidTr="00B42C23">
        <w:tc>
          <w:tcPr>
            <w:tcW w:w="0" w:type="auto"/>
            <w:hideMark/>
          </w:tcPr>
          <w:p w14:paraId="445AEC65"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t>Supervisor inconsistency affecting engagement</w:t>
            </w:r>
          </w:p>
        </w:tc>
        <w:tc>
          <w:tcPr>
            <w:tcW w:w="0" w:type="auto"/>
            <w:hideMark/>
          </w:tcPr>
          <w:p w14:paraId="6F2BB71B"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t xml:space="preserve">Deliver leadership coaching programme (feedback, rota fairness, coaching, conflict </w:t>
            </w:r>
            <w:r w:rsidRPr="009B23BD">
              <w:rPr>
                <w:rFonts w:eastAsia="Times New Roman" w:cs="Times New Roman"/>
                <w:szCs w:val="24"/>
                <w:lang w:eastAsia="en-GB"/>
              </w:rPr>
              <w:lastRenderedPageBreak/>
              <w:t>handling) + monthly leader forum</w:t>
            </w:r>
          </w:p>
        </w:tc>
        <w:tc>
          <w:tcPr>
            <w:tcW w:w="0" w:type="auto"/>
            <w:hideMark/>
          </w:tcPr>
          <w:p w14:paraId="7B1C6D88"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lastRenderedPageBreak/>
              <w:t>Improved engagement and lower resignation intent</w:t>
            </w:r>
          </w:p>
        </w:tc>
        <w:tc>
          <w:tcPr>
            <w:tcW w:w="0" w:type="auto"/>
            <w:hideMark/>
          </w:tcPr>
          <w:p w14:paraId="0CA2FBD0"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t>0–9 months</w:t>
            </w:r>
          </w:p>
        </w:tc>
        <w:tc>
          <w:tcPr>
            <w:tcW w:w="0" w:type="auto"/>
            <w:hideMark/>
          </w:tcPr>
          <w:p w14:paraId="63A30259"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t>£60,000–£80,000</w:t>
            </w:r>
          </w:p>
        </w:tc>
        <w:tc>
          <w:tcPr>
            <w:tcW w:w="0" w:type="auto"/>
            <w:hideMark/>
          </w:tcPr>
          <w:p w14:paraId="7F9DFB7A"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b/>
                <w:bCs/>
                <w:szCs w:val="24"/>
                <w:lang w:eastAsia="en-GB"/>
              </w:rPr>
              <w:t>Owner:</w:t>
            </w:r>
            <w:r w:rsidRPr="009B23BD">
              <w:rPr>
                <w:rFonts w:eastAsia="Times New Roman" w:cs="Times New Roman"/>
                <w:szCs w:val="24"/>
                <w:lang w:eastAsia="en-GB"/>
              </w:rPr>
              <w:t xml:space="preserve"> HR + GM. </w:t>
            </w:r>
            <w:r w:rsidRPr="009B23BD">
              <w:rPr>
                <w:rFonts w:eastAsia="Times New Roman" w:cs="Times New Roman"/>
                <w:b/>
                <w:bCs/>
                <w:szCs w:val="24"/>
                <w:lang w:eastAsia="en-GB"/>
              </w:rPr>
              <w:t>KPIs:</w:t>
            </w:r>
            <w:r w:rsidRPr="009B23BD">
              <w:rPr>
                <w:rFonts w:eastAsia="Times New Roman" w:cs="Times New Roman"/>
                <w:szCs w:val="24"/>
                <w:lang w:eastAsia="en-GB"/>
              </w:rPr>
              <w:t xml:space="preserve"> Engagement index; absence rate; turnover by department</w:t>
            </w:r>
          </w:p>
        </w:tc>
      </w:tr>
      <w:tr w:rsidR="00B42C23" w:rsidRPr="00B42C23" w14:paraId="6A8A8874" w14:textId="77777777" w:rsidTr="00B42C23">
        <w:tc>
          <w:tcPr>
            <w:tcW w:w="0" w:type="auto"/>
            <w:hideMark/>
          </w:tcPr>
          <w:p w14:paraId="3311723D"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t>Limited career visibility and internal progression</w:t>
            </w:r>
          </w:p>
        </w:tc>
        <w:tc>
          <w:tcPr>
            <w:tcW w:w="0" w:type="auto"/>
            <w:hideMark/>
          </w:tcPr>
          <w:p w14:paraId="3F586D3F"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t>Create career pathway maps by department; set internal mobility targets; link training completion to progression eligibility</w:t>
            </w:r>
          </w:p>
        </w:tc>
        <w:tc>
          <w:tcPr>
            <w:tcW w:w="0" w:type="auto"/>
            <w:hideMark/>
          </w:tcPr>
          <w:p w14:paraId="3E63D09F"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t>Increased retention of high-potential staff; higher internal promotion</w:t>
            </w:r>
          </w:p>
        </w:tc>
        <w:tc>
          <w:tcPr>
            <w:tcW w:w="0" w:type="auto"/>
            <w:hideMark/>
          </w:tcPr>
          <w:p w14:paraId="16472939"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t>3–12 months</w:t>
            </w:r>
          </w:p>
        </w:tc>
        <w:tc>
          <w:tcPr>
            <w:tcW w:w="0" w:type="auto"/>
            <w:hideMark/>
          </w:tcPr>
          <w:p w14:paraId="430531CB"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t>£30,000–£45,000</w:t>
            </w:r>
          </w:p>
        </w:tc>
        <w:tc>
          <w:tcPr>
            <w:tcW w:w="0" w:type="auto"/>
            <w:hideMark/>
          </w:tcPr>
          <w:p w14:paraId="39541A87"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b/>
                <w:bCs/>
                <w:szCs w:val="24"/>
                <w:lang w:eastAsia="en-GB"/>
              </w:rPr>
              <w:t>Owner:</w:t>
            </w:r>
            <w:r w:rsidRPr="009B23BD">
              <w:rPr>
                <w:rFonts w:eastAsia="Times New Roman" w:cs="Times New Roman"/>
                <w:szCs w:val="24"/>
                <w:lang w:eastAsia="en-GB"/>
              </w:rPr>
              <w:t xml:space="preserve"> HR + Dept Heads. </w:t>
            </w:r>
            <w:r w:rsidRPr="009B23BD">
              <w:rPr>
                <w:rFonts w:eastAsia="Times New Roman" w:cs="Times New Roman"/>
                <w:b/>
                <w:bCs/>
                <w:szCs w:val="24"/>
                <w:lang w:eastAsia="en-GB"/>
              </w:rPr>
              <w:t>KPIs:</w:t>
            </w:r>
            <w:r w:rsidRPr="009B23BD">
              <w:rPr>
                <w:rFonts w:eastAsia="Times New Roman" w:cs="Times New Roman"/>
                <w:szCs w:val="24"/>
                <w:lang w:eastAsia="en-GB"/>
              </w:rPr>
              <w:t xml:space="preserve"> Internal promotion %; training completion; retention of “high performers”</w:t>
            </w:r>
          </w:p>
        </w:tc>
      </w:tr>
      <w:tr w:rsidR="00B42C23" w:rsidRPr="00B42C23" w14:paraId="22362B55" w14:textId="77777777" w:rsidTr="00B42C23">
        <w:tc>
          <w:tcPr>
            <w:tcW w:w="0" w:type="auto"/>
            <w:hideMark/>
          </w:tcPr>
          <w:p w14:paraId="5FA1BB0E"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t>Lack of systematic feedback and accountability</w:t>
            </w:r>
          </w:p>
        </w:tc>
        <w:tc>
          <w:tcPr>
            <w:tcW w:w="0" w:type="auto"/>
            <w:hideMark/>
          </w:tcPr>
          <w:p w14:paraId="5A91FE06"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t>Quarterly engagement survey + “You Said/We Did” actions; include engagement KPI in manager appraisals</w:t>
            </w:r>
          </w:p>
        </w:tc>
        <w:tc>
          <w:tcPr>
            <w:tcW w:w="0" w:type="auto"/>
            <w:hideMark/>
          </w:tcPr>
          <w:p w14:paraId="2DCB0246"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t>Earlier identification of issues; culture improvements sustained</w:t>
            </w:r>
          </w:p>
        </w:tc>
        <w:tc>
          <w:tcPr>
            <w:tcW w:w="0" w:type="auto"/>
            <w:hideMark/>
          </w:tcPr>
          <w:p w14:paraId="602305F4"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t>0–12 months</w:t>
            </w:r>
          </w:p>
        </w:tc>
        <w:tc>
          <w:tcPr>
            <w:tcW w:w="0" w:type="auto"/>
            <w:hideMark/>
          </w:tcPr>
          <w:p w14:paraId="3AA84944"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t>£10,000–£15,000</w:t>
            </w:r>
          </w:p>
        </w:tc>
        <w:tc>
          <w:tcPr>
            <w:tcW w:w="0" w:type="auto"/>
            <w:hideMark/>
          </w:tcPr>
          <w:p w14:paraId="650F978F"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b/>
                <w:bCs/>
                <w:szCs w:val="24"/>
                <w:lang w:eastAsia="en-GB"/>
              </w:rPr>
              <w:t>Owner:</w:t>
            </w:r>
            <w:r w:rsidRPr="009B23BD">
              <w:rPr>
                <w:rFonts w:eastAsia="Times New Roman" w:cs="Times New Roman"/>
                <w:szCs w:val="24"/>
                <w:lang w:eastAsia="en-GB"/>
              </w:rPr>
              <w:t xml:space="preserve"> HR. </w:t>
            </w:r>
            <w:r w:rsidRPr="009B23BD">
              <w:rPr>
                <w:rFonts w:eastAsia="Times New Roman" w:cs="Times New Roman"/>
                <w:b/>
                <w:bCs/>
                <w:szCs w:val="24"/>
                <w:lang w:eastAsia="en-GB"/>
              </w:rPr>
              <w:t>KPIs:</w:t>
            </w:r>
            <w:r w:rsidRPr="009B23BD">
              <w:rPr>
                <w:rFonts w:eastAsia="Times New Roman" w:cs="Times New Roman"/>
                <w:szCs w:val="24"/>
                <w:lang w:eastAsia="en-GB"/>
              </w:rPr>
              <w:t xml:space="preserve"> </w:t>
            </w:r>
            <w:proofErr w:type="spellStart"/>
            <w:r w:rsidRPr="009B23BD">
              <w:rPr>
                <w:rFonts w:eastAsia="Times New Roman" w:cs="Times New Roman"/>
                <w:szCs w:val="24"/>
                <w:lang w:eastAsia="en-GB"/>
              </w:rPr>
              <w:t>eNPS</w:t>
            </w:r>
            <w:proofErr w:type="spellEnd"/>
            <w:r w:rsidRPr="009B23BD">
              <w:rPr>
                <w:rFonts w:eastAsia="Times New Roman" w:cs="Times New Roman"/>
                <w:szCs w:val="24"/>
                <w:lang w:eastAsia="en-GB"/>
              </w:rPr>
              <w:t>/engagement score; action closure rate; grievance trend</w:t>
            </w:r>
          </w:p>
        </w:tc>
      </w:tr>
      <w:tr w:rsidR="00B42C23" w:rsidRPr="00B42C23" w14:paraId="09185F4A" w14:textId="77777777" w:rsidTr="00B42C23">
        <w:tc>
          <w:tcPr>
            <w:tcW w:w="0" w:type="auto"/>
            <w:hideMark/>
          </w:tcPr>
          <w:p w14:paraId="13292251"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b/>
                <w:bCs/>
                <w:szCs w:val="24"/>
                <w:lang w:eastAsia="en-GB"/>
              </w:rPr>
              <w:lastRenderedPageBreak/>
              <w:t>Change resistance risk</w:t>
            </w:r>
            <w:r w:rsidRPr="009B23BD">
              <w:rPr>
                <w:rFonts w:eastAsia="Times New Roman" w:cs="Times New Roman"/>
                <w:szCs w:val="24"/>
                <w:lang w:eastAsia="en-GB"/>
              </w:rPr>
              <w:t xml:space="preserve"> (staff pushback, adoption failure)</w:t>
            </w:r>
          </w:p>
        </w:tc>
        <w:tc>
          <w:tcPr>
            <w:tcW w:w="0" w:type="auto"/>
            <w:hideMark/>
          </w:tcPr>
          <w:p w14:paraId="2C162703"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t>Apply Kotter governance: communicate urgency using financial model; create guiding coalition; run quick wins; monthly progress dashboard; change champions per department</w:t>
            </w:r>
          </w:p>
        </w:tc>
        <w:tc>
          <w:tcPr>
            <w:tcW w:w="0" w:type="auto"/>
            <w:hideMark/>
          </w:tcPr>
          <w:p w14:paraId="68E370A9"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t>Lower resistance; faster adoption; changes embedded into routines and KPIs</w:t>
            </w:r>
          </w:p>
        </w:tc>
        <w:tc>
          <w:tcPr>
            <w:tcW w:w="0" w:type="auto"/>
            <w:hideMark/>
          </w:tcPr>
          <w:p w14:paraId="7865E3AD"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szCs w:val="24"/>
                <w:lang w:eastAsia="en-GB"/>
              </w:rPr>
              <w:t>0–18 months</w:t>
            </w:r>
          </w:p>
        </w:tc>
        <w:tc>
          <w:tcPr>
            <w:tcW w:w="0" w:type="auto"/>
            <w:hideMark/>
          </w:tcPr>
          <w:p w14:paraId="77DC4D58"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b/>
                <w:bCs/>
                <w:szCs w:val="24"/>
                <w:lang w:eastAsia="en-GB"/>
              </w:rPr>
              <w:t>£10,000–£15,000</w:t>
            </w:r>
          </w:p>
        </w:tc>
        <w:tc>
          <w:tcPr>
            <w:tcW w:w="0" w:type="auto"/>
            <w:hideMark/>
          </w:tcPr>
          <w:p w14:paraId="59901F94" w14:textId="77777777" w:rsidR="00B42C23" w:rsidRPr="009B23BD" w:rsidRDefault="00B42C23" w:rsidP="009B23BD">
            <w:pPr>
              <w:jc w:val="left"/>
              <w:rPr>
                <w:rFonts w:eastAsia="Times New Roman" w:cs="Times New Roman"/>
                <w:szCs w:val="24"/>
                <w:lang w:eastAsia="en-GB"/>
              </w:rPr>
            </w:pPr>
            <w:r w:rsidRPr="009B23BD">
              <w:rPr>
                <w:rFonts w:eastAsia="Times New Roman" w:cs="Times New Roman"/>
                <w:b/>
                <w:bCs/>
                <w:szCs w:val="24"/>
                <w:lang w:eastAsia="en-GB"/>
              </w:rPr>
              <w:t>Owner:</w:t>
            </w:r>
            <w:r w:rsidRPr="009B23BD">
              <w:rPr>
                <w:rFonts w:eastAsia="Times New Roman" w:cs="Times New Roman"/>
                <w:szCs w:val="24"/>
                <w:lang w:eastAsia="en-GB"/>
              </w:rPr>
              <w:t xml:space="preserve"> GM + Change Steering Group (Revenue, HR, Ops). </w:t>
            </w:r>
            <w:r w:rsidRPr="009B23BD">
              <w:rPr>
                <w:rFonts w:eastAsia="Times New Roman" w:cs="Times New Roman"/>
                <w:b/>
                <w:bCs/>
                <w:szCs w:val="24"/>
                <w:lang w:eastAsia="en-GB"/>
              </w:rPr>
              <w:t>KPIs:</w:t>
            </w:r>
            <w:r w:rsidRPr="009B23BD">
              <w:rPr>
                <w:rFonts w:eastAsia="Times New Roman" w:cs="Times New Roman"/>
                <w:szCs w:val="24"/>
                <w:lang w:eastAsia="en-GB"/>
              </w:rPr>
              <w:t xml:space="preserve"> Milestone delivery %; adoption checks (SOP compliance); staff feedback pulse score; training attendance/completion</w:t>
            </w:r>
          </w:p>
        </w:tc>
      </w:tr>
    </w:tbl>
    <w:p w14:paraId="60EB341B" w14:textId="77777777" w:rsidR="00B42C23" w:rsidRDefault="00B42C23" w:rsidP="00B42C23"/>
    <w:p w14:paraId="7E2E21C3" w14:textId="77777777" w:rsidR="00B42C23" w:rsidRDefault="00B42C23" w:rsidP="00B42C23"/>
    <w:p w14:paraId="178094EA" w14:textId="77777777" w:rsidR="00C51794" w:rsidRPr="00DB486B" w:rsidRDefault="00C51794" w:rsidP="00C51794"/>
    <w:p w14:paraId="60ACE480" w14:textId="77777777" w:rsidR="00C51794" w:rsidRPr="00DB486B" w:rsidRDefault="00C51794" w:rsidP="00C51794"/>
    <w:p w14:paraId="6E65A28B" w14:textId="77777777" w:rsidR="005B6947" w:rsidRDefault="005B6947">
      <w:pPr>
        <w:spacing w:line="276" w:lineRule="auto"/>
        <w:jc w:val="left"/>
        <w:rPr>
          <w:rFonts w:eastAsiaTheme="majorEastAsia" w:cstheme="majorBidi"/>
          <w:b/>
          <w:bCs/>
          <w:sz w:val="28"/>
          <w:szCs w:val="28"/>
        </w:rPr>
      </w:pPr>
      <w:r>
        <w:br w:type="page"/>
      </w:r>
    </w:p>
    <w:p w14:paraId="169F9C94" w14:textId="6305BE62" w:rsidR="00C51794" w:rsidRPr="00DB486B" w:rsidRDefault="005B6947" w:rsidP="005B6947">
      <w:pPr>
        <w:pStyle w:val="Heading1"/>
      </w:pPr>
      <w:bookmarkStart w:id="17" w:name="_Toc223168722"/>
      <w:r>
        <w:lastRenderedPageBreak/>
        <w:t>6</w:t>
      </w:r>
      <w:r w:rsidR="00C51794" w:rsidRPr="00DB486B">
        <w:t>. Conclusion</w:t>
      </w:r>
      <w:bookmarkEnd w:id="17"/>
    </w:p>
    <w:p w14:paraId="1E124112" w14:textId="77777777" w:rsidR="00DC2177" w:rsidRDefault="00DC2177" w:rsidP="00DC2177">
      <w:r>
        <w:t>In the given consultancy report, the existing performance limitations of Hilton Cardiff have been assessed on strategic and organisational level, and two structural problems, which affect profitability and service quality significantly, have been identified: the high dependence on Online Travel Agencies and high turnover of employees. Although Hilton Cardiff enjoys good brand equity, one of the prime city-centre locations, and one that has the potential to tap into the established Hilton corporate systems and loyalty infrastructure, the analysis has shown that these strengths are not translated into optimal performance of margins at property level because of the imbalance of channel mix and workforce instability.</w:t>
      </w:r>
    </w:p>
    <w:p w14:paraId="3D5720E9" w14:textId="77777777" w:rsidR="00DC2177" w:rsidRDefault="00DC2177" w:rsidP="00DC2177">
      <w:r>
        <w:t>As shown by the financial modelling below, the estimated OTA share of the business places the hotel in a position where it is subject to significant commission leakage, which becomes unprofitable to the business in terms of net room revenue and reduces the resiliency of the EBITDA in the face of external cost pressures, especially the salaries and energy costs that are continuing to plague the UK hospitality industry. Simultaneously, the approximate turnover rate causes direct replacement costs and the inability to continue the service, which consequently may negatively affect the guest satisfaction and online reputation delivery. These are mutually reinforcing: the dependency on OTAs raises the cost of acquiring and lowers the direct relationships needed to encourage loyalty, recurring business and a higher direct-channel conversion, and unstable staffing lowers the quality consistency required to foster loyalty and recurring business and an enhanced conversion rate in the direct channel.</w:t>
      </w:r>
    </w:p>
    <w:p w14:paraId="52966E86" w14:textId="77777777" w:rsidR="00DC2177" w:rsidRDefault="00DC2177" w:rsidP="00DC2177">
      <w:r>
        <w:t xml:space="preserve">Root cause diagnosis proposes the existence of these struggles as not lone operational symptoms and detects </w:t>
      </w:r>
      <w:proofErr w:type="gramStart"/>
      <w:r>
        <w:t>a</w:t>
      </w:r>
      <w:proofErr w:type="gramEnd"/>
      <w:r>
        <w:t xml:space="preserve"> underlying organisational misalignment. Based on the 7S perspective of McKinsey, the report shows areas in which strategy, systems, staff and skills </w:t>
      </w:r>
      <w:proofErr w:type="gramStart"/>
      <w:r>
        <w:t>have to</w:t>
      </w:r>
      <w:proofErr w:type="gramEnd"/>
      <w:r>
        <w:t xml:space="preserve"> be more activated on the property level </w:t>
      </w:r>
      <w:proofErr w:type="gramStart"/>
      <w:r>
        <w:t>in order to</w:t>
      </w:r>
      <w:proofErr w:type="gramEnd"/>
      <w:r>
        <w:t xml:space="preserve"> fully utilize the Hilton platform. The need to take decisive action is even more amplified by the external environment, which can be measured using the STEEPLED factors, causing heightened competitive pressure and strategic importance of first-party customer data and employee retention capability.</w:t>
      </w:r>
    </w:p>
    <w:p w14:paraId="79777930" w14:textId="77777777" w:rsidR="00B07172" w:rsidRDefault="00DC2177" w:rsidP="00B07172">
      <w:r>
        <w:lastRenderedPageBreak/>
        <w:t xml:space="preserve">To overcome such limitations, the report suggests a 2-strategic intervention. </w:t>
      </w:r>
      <w:r w:rsidR="00B07172">
        <w:t xml:space="preserve">Firstly, the revenue channel rebalancing programme focuses on making sure that in 18 months, the number of direct bookings will increase quantifiably through the improved use of Hilton loyalty and CRM tools and the improvement of the local digital activation. Second, workforce stabilisation plan will result in the reduction of the turnover rates in 12 months with added onboarding, leadership development, career paths visibility, and systematic engagement monitoring. All these are going to be used together to restore margin, protect service standards and improve the </w:t>
      </w:r>
      <w:proofErr w:type="gramStart"/>
      <w:r w:rsidR="00B07172">
        <w:t>long term</w:t>
      </w:r>
      <w:proofErr w:type="gramEnd"/>
      <w:r w:rsidR="00B07172">
        <w:t xml:space="preserve"> competitive positioning.</w:t>
      </w:r>
    </w:p>
    <w:p w14:paraId="53786B95" w14:textId="1A67D0AC" w:rsidR="00DC2177" w:rsidRDefault="00B07172" w:rsidP="00DC2177">
      <w:r>
        <w:t xml:space="preserve">Change management must be rigorous </w:t>
      </w:r>
      <w:proofErr w:type="gramStart"/>
      <w:r>
        <w:t>so as to</w:t>
      </w:r>
      <w:proofErr w:type="gramEnd"/>
      <w:r>
        <w:t xml:space="preserve"> deliver successfully. The report therefore recommends the implementation of the interventions with the transition logic of Lewin to inculcate the new behaviours and performance expectations by applying the 8 steps of Kotter approach. </w:t>
      </w:r>
      <w:r w:rsidR="00DC2177">
        <w:t>There must be clear governance, visible quick wins, open communication and regular KPI monitoring to ensure all the resistance is minimised and to keep the momentum going.</w:t>
      </w:r>
    </w:p>
    <w:p w14:paraId="61E2860A" w14:textId="4DC40D44" w:rsidR="00C51794" w:rsidRDefault="00DC2177" w:rsidP="00DC2177">
      <w:r>
        <w:t xml:space="preserve">Hilton Cardiff possesses good foundation and viable potential of performance enhancement. The hotel will be able to enhance profitability, consistency in guest experience and strategic resilience by alleviating a reliance on a channel where commission plays a key role and ensuring the capability of the internal workforce. We appreciate Hiltons Cardiff to be able to offer this consultancy assistance and suggest </w:t>
      </w:r>
      <w:proofErr w:type="gramStart"/>
      <w:r>
        <w:t>to advance</w:t>
      </w:r>
      <w:proofErr w:type="gramEnd"/>
      <w:r>
        <w:t xml:space="preserve"> to the next stage of implementation planning, stakeholder alignment and KPI baseline measurement to track and prove the results starting in the first quarter of the implementation.</w:t>
      </w:r>
    </w:p>
    <w:p w14:paraId="10EB13CB" w14:textId="77777777" w:rsidR="005B6947" w:rsidRDefault="005B6947" w:rsidP="00DC2177"/>
    <w:p w14:paraId="4BAA7E9A" w14:textId="77777777" w:rsidR="001E1A1F" w:rsidRDefault="001E1A1F">
      <w:pPr>
        <w:spacing w:line="276" w:lineRule="auto"/>
        <w:jc w:val="left"/>
      </w:pPr>
      <w:r>
        <w:br w:type="page"/>
      </w:r>
    </w:p>
    <w:p w14:paraId="65472970" w14:textId="570E0CC4" w:rsidR="00963435" w:rsidRDefault="005B6947" w:rsidP="00963435">
      <w:pPr>
        <w:pStyle w:val="Heading1"/>
      </w:pPr>
      <w:bookmarkStart w:id="18" w:name="_Toc223168723"/>
      <w:r>
        <w:lastRenderedPageBreak/>
        <w:t>References</w:t>
      </w:r>
      <w:bookmarkEnd w:id="18"/>
    </w:p>
    <w:p w14:paraId="1408DC2C" w14:textId="6CAFE24B" w:rsidR="00963435" w:rsidRDefault="00963435" w:rsidP="00963435">
      <w:pPr>
        <w:ind w:hanging="720"/>
      </w:pPr>
      <w:r>
        <w:t xml:space="preserve">Anderson, C.K. (2012) The Impact of </w:t>
      </w:r>
      <w:proofErr w:type="gramStart"/>
      <w:r>
        <w:t>Social Media</w:t>
      </w:r>
      <w:proofErr w:type="gramEnd"/>
      <w:r>
        <w:t xml:space="preserve"> on Lodging Performance. Cornell Hospitality Report. Available at: </w:t>
      </w:r>
      <w:hyperlink r:id="rId12" w:history="1">
        <w:r w:rsidRPr="0094205D">
          <w:rPr>
            <w:rStyle w:val="Hyperlink"/>
          </w:rPr>
          <w:t>https://sha.cornell.edu/wp-content/uploads/sites/4/2019/03/anderson-social-media.pdf</w:t>
        </w:r>
      </w:hyperlink>
      <w:r>
        <w:t xml:space="preserve"> (Accessed: 27 February 2026)..</w:t>
      </w:r>
    </w:p>
    <w:p w14:paraId="32F32EB2" w14:textId="77777777" w:rsidR="00963435" w:rsidRDefault="00963435" w:rsidP="00963435">
      <w:pPr>
        <w:ind w:hanging="720"/>
      </w:pPr>
      <w:r>
        <w:t xml:space="preserve">Armstrong, M. (2008) Strategic Human Resource Management: A Guide to Action. 4th </w:t>
      </w:r>
      <w:proofErr w:type="spellStart"/>
      <w:r>
        <w:t>edn</w:t>
      </w:r>
      <w:proofErr w:type="spellEnd"/>
      <w:r>
        <w:t>. London: Kogan Page.</w:t>
      </w:r>
    </w:p>
    <w:p w14:paraId="36532AAC" w14:textId="77777777" w:rsidR="00963435" w:rsidRDefault="00963435" w:rsidP="001E1A1F">
      <w:pPr>
        <w:ind w:hanging="720"/>
      </w:pPr>
      <w:r>
        <w:t xml:space="preserve">Armstrong, M. (2020) Armstrong’s Handbook of Human Resource Management Practice. 15th </w:t>
      </w:r>
      <w:proofErr w:type="spellStart"/>
      <w:r>
        <w:t>edn</w:t>
      </w:r>
      <w:proofErr w:type="spellEnd"/>
      <w:r>
        <w:t>. London: Kogan Page.</w:t>
      </w:r>
    </w:p>
    <w:p w14:paraId="2F98D151" w14:textId="77777777" w:rsidR="00963435" w:rsidRDefault="00963435" w:rsidP="001E1A1F">
      <w:pPr>
        <w:ind w:hanging="720"/>
      </w:pPr>
      <w:r>
        <w:t>Baron, A. and Armstrong, M. (2007) Human Capital Management. London: Kogan Page.</w:t>
      </w:r>
    </w:p>
    <w:p w14:paraId="14A2D92F" w14:textId="77777777" w:rsidR="00963435" w:rsidRDefault="00963435" w:rsidP="001E1A1F">
      <w:pPr>
        <w:ind w:hanging="720"/>
      </w:pPr>
      <w:r>
        <w:t>Baum, T. (2015) ‘Human resource management for tourism and hospitality: a critical perspective’, Tourism and Hospitality Research, 15(1), pp. 1–3.</w:t>
      </w:r>
    </w:p>
    <w:p w14:paraId="4672A1DC" w14:textId="77777777" w:rsidR="00963435" w:rsidRDefault="00963435" w:rsidP="00FB7BFC">
      <w:pPr>
        <w:ind w:hanging="720"/>
      </w:pPr>
      <w:r>
        <w:t xml:space="preserve">Booking.com (2023) Sustainable Travel Report 2023: Dividing Sustainable Travel in 2023. Booking.com. Available at: </w:t>
      </w:r>
      <w:hyperlink r:id="rId13" w:history="1">
        <w:r w:rsidRPr="0094205D">
          <w:rPr>
            <w:rStyle w:val="Hyperlink"/>
          </w:rPr>
          <w:t>https://www.tourismticker.com/wp-content/uploads/2023/05/230427-Booking.com-Sustainable-Travel-Report-2023-NZ-FINAL.pdf</w:t>
        </w:r>
      </w:hyperlink>
      <w:r>
        <w:t xml:space="preserve"> (Accessed: 27 February 2026).</w:t>
      </w:r>
    </w:p>
    <w:p w14:paraId="68D71C15" w14:textId="32894099" w:rsidR="00963435" w:rsidRDefault="00963435" w:rsidP="00963435">
      <w:pPr>
        <w:ind w:hanging="720"/>
      </w:pPr>
      <w:r>
        <w:t xml:space="preserve">Brownell, J. (2010) ‘Leadership in the service of hospitality’, Cornell Hospitality Quarterly, 51(3), </w:t>
      </w:r>
    </w:p>
    <w:p w14:paraId="54EC05AB" w14:textId="77777777" w:rsidR="00963435" w:rsidRDefault="00963435" w:rsidP="00963435">
      <w:pPr>
        <w:ind w:hanging="720"/>
      </w:pPr>
      <w:r>
        <w:t xml:space="preserve">Burnes, B. (2017) Managing Change. 7th </w:t>
      </w:r>
      <w:proofErr w:type="spellStart"/>
      <w:r>
        <w:t>edn</w:t>
      </w:r>
      <w:proofErr w:type="spellEnd"/>
      <w:r>
        <w:t>. Harlow: Pearson Education.</w:t>
      </w:r>
    </w:p>
    <w:p w14:paraId="7DA25E83" w14:textId="77777777" w:rsidR="00963435" w:rsidRDefault="00963435" w:rsidP="001E1A1F">
      <w:pPr>
        <w:ind w:hanging="720"/>
      </w:pPr>
      <w:r>
        <w:t xml:space="preserve">Buttrick, R. (2009) The Project Workout: Directing and Managing Business-Led Projects. 3rd </w:t>
      </w:r>
      <w:proofErr w:type="spellStart"/>
      <w:r>
        <w:t>edn</w:t>
      </w:r>
      <w:proofErr w:type="spellEnd"/>
      <w:r>
        <w:t>. Harlow: Pearson/Prentice Hall.</w:t>
      </w:r>
    </w:p>
    <w:p w14:paraId="5910CF49" w14:textId="77777777" w:rsidR="00963435" w:rsidRDefault="00963435" w:rsidP="001E1A1F">
      <w:pPr>
        <w:ind w:hanging="720"/>
      </w:pPr>
      <w:r>
        <w:t xml:space="preserve">Cameron, E. and Green, M. (2019) Making Sense of Change Management. 6th </w:t>
      </w:r>
      <w:proofErr w:type="spellStart"/>
      <w:r>
        <w:t>edn</w:t>
      </w:r>
      <w:proofErr w:type="spellEnd"/>
      <w:r>
        <w:t>. London: Kogan Page.</w:t>
      </w:r>
    </w:p>
    <w:p w14:paraId="74ECFB8F" w14:textId="77777777" w:rsidR="00963435" w:rsidRDefault="00963435" w:rsidP="001E1A1F">
      <w:pPr>
        <w:ind w:hanging="720"/>
      </w:pPr>
      <w:r>
        <w:t xml:space="preserve">CIPD (2023) Labour Market Outlook / Resourcing and Talent Planning Survey (relevant edition). London: Chartered Institute of Personnel and Development. </w:t>
      </w:r>
    </w:p>
    <w:p w14:paraId="427B8733" w14:textId="77777777" w:rsidR="00963435" w:rsidRDefault="00963435" w:rsidP="00963435">
      <w:pPr>
        <w:ind w:hanging="720"/>
      </w:pPr>
      <w:r>
        <w:lastRenderedPageBreak/>
        <w:t>CIPD (2026) Employee turnover and retention. Factsheet. Chartered Institute of Personnel and Development. Available at: https://www.cipd.org/uk/knowledge/factsheets/employee-turnover-retention-factsheet/ (Accessed: 27 February 2026).</w:t>
      </w:r>
    </w:p>
    <w:p w14:paraId="17FE78E3" w14:textId="77777777" w:rsidR="00963435" w:rsidRDefault="00963435" w:rsidP="001E1A1F">
      <w:pPr>
        <w:ind w:hanging="720"/>
      </w:pPr>
      <w:r>
        <w:t xml:space="preserve">Cornell School of Hotel Administration (2022) Hospitality research insight on online ratings and RevPAR (relevant publication). Ithaca, NY: Cornell University. </w:t>
      </w:r>
    </w:p>
    <w:p w14:paraId="18704946" w14:textId="77777777" w:rsidR="00963435" w:rsidRDefault="00963435" w:rsidP="00963435">
      <w:pPr>
        <w:ind w:hanging="720"/>
      </w:pPr>
      <w:r>
        <w:t>Deloitte (2023) European Hotel Industry and Investment Survey 2023. Deloitte. Available at: https://www.deloitte.com/uk/en/Industries/real-estate/research/european-hotel-industry-investment-survey.html (Accessed: 27 February 2026).</w:t>
      </w:r>
    </w:p>
    <w:p w14:paraId="745C6DD3" w14:textId="77777777" w:rsidR="00963435" w:rsidRDefault="00963435" w:rsidP="001E1A1F">
      <w:pPr>
        <w:ind w:hanging="720"/>
      </w:pPr>
      <w:r>
        <w:t>Deming, W.E. (1986) Out of the Crisis. Cambridge, MA: MIT Press.</w:t>
      </w:r>
    </w:p>
    <w:p w14:paraId="18EE3144" w14:textId="77777777" w:rsidR="00963435" w:rsidRDefault="00963435" w:rsidP="001E1A1F">
      <w:pPr>
        <w:ind w:hanging="720"/>
      </w:pPr>
      <w:r>
        <w:t xml:space="preserve">Dessler, G. (2020) Human Resource Management. 16th </w:t>
      </w:r>
      <w:proofErr w:type="spellStart"/>
      <w:r>
        <w:t>edn</w:t>
      </w:r>
      <w:proofErr w:type="spellEnd"/>
      <w:r>
        <w:t>. Harlow: Pearson.</w:t>
      </w:r>
    </w:p>
    <w:p w14:paraId="04E4A9B1" w14:textId="77777777" w:rsidR="00963435" w:rsidRDefault="00963435" w:rsidP="001E1A1F">
      <w:pPr>
        <w:ind w:hanging="720"/>
      </w:pPr>
      <w:r>
        <w:t>Eisenhardt, K.M. and Martin, J.A. (2000) ‘Dynamic capabilities: what are they?’, Strategic Management Journal, 21(10–11), pp. 1105–1121.</w:t>
      </w:r>
    </w:p>
    <w:p w14:paraId="534E9051" w14:textId="77777777" w:rsidR="00963435" w:rsidRDefault="00963435" w:rsidP="00FB7BFC">
      <w:pPr>
        <w:ind w:hanging="720"/>
      </w:pPr>
      <w:r>
        <w:t xml:space="preserve">European Competition Network (ECN) (2017) Report on the monitoring exercise: Online hotel booking sector. European Commission (Competition). Available at: </w:t>
      </w:r>
      <w:hyperlink r:id="rId14" w:history="1">
        <w:r w:rsidRPr="0094205D">
          <w:rPr>
            <w:rStyle w:val="Hyperlink"/>
          </w:rPr>
          <w:t>https://competition-policy.ec.europa.eu/system/files/2021-07/hotel_monitoring_report_en.pdf</w:t>
        </w:r>
      </w:hyperlink>
      <w:r>
        <w:t xml:space="preserve"> (Accessed: 27 February 2026)</w:t>
      </w:r>
    </w:p>
    <w:p w14:paraId="080342EE" w14:textId="77777777" w:rsidR="00963435" w:rsidRDefault="00963435" w:rsidP="001E1A1F">
      <w:pPr>
        <w:ind w:hanging="720"/>
      </w:pPr>
      <w:r>
        <w:t>Fisman, R. and Sullivan, T. (2014) The Org: The Underlying Logic of the Office. London: John Murray.</w:t>
      </w:r>
    </w:p>
    <w:p w14:paraId="002B4D3A" w14:textId="77777777" w:rsidR="00963435" w:rsidRDefault="00963435" w:rsidP="001E1A1F">
      <w:pPr>
        <w:ind w:hanging="720"/>
      </w:pPr>
      <w:r>
        <w:t>Fitz-</w:t>
      </w:r>
      <w:proofErr w:type="spellStart"/>
      <w:r>
        <w:t>enz</w:t>
      </w:r>
      <w:proofErr w:type="spellEnd"/>
      <w:r>
        <w:t>, J. and Mattox, J.R. (2014) Predictive Analytics for Human Resources. Hoboken, NJ: Wiley.</w:t>
      </w:r>
    </w:p>
    <w:p w14:paraId="183E565B" w14:textId="77777777" w:rsidR="00963435" w:rsidRDefault="00963435" w:rsidP="001E1A1F">
      <w:pPr>
        <w:ind w:hanging="720"/>
      </w:pPr>
      <w:r>
        <w:t>Freeman, R.E. (1984) Strategic Management: A Stakeholder Approach. Boston, MA: Pitman.</w:t>
      </w:r>
    </w:p>
    <w:p w14:paraId="2A83A1F3" w14:textId="77777777" w:rsidR="00963435" w:rsidRDefault="00963435" w:rsidP="001E1A1F">
      <w:pPr>
        <w:ind w:hanging="720"/>
      </w:pPr>
      <w:r>
        <w:t xml:space="preserve">Harvard Business Review (2022) ‘Employee retention / onboarding / engagement articles’ (relevant article titles). Boston, MA: Harvard Business Review. </w:t>
      </w:r>
    </w:p>
    <w:p w14:paraId="16E8B4AA" w14:textId="77777777" w:rsidR="00963435" w:rsidRDefault="00963435" w:rsidP="00963435">
      <w:pPr>
        <w:ind w:hanging="720"/>
      </w:pPr>
      <w:r>
        <w:lastRenderedPageBreak/>
        <w:t>Harvard Business Review (2022) ‘Is Bad Onboarding Stifling Your New Senior Leaders?’. Harvard Business Review, 4 October. Available at: https://hbr.org/2022/10/is-bad-onboarding-stifling-your-new-senior-leaders (Accessed: 27 February 2026).</w:t>
      </w:r>
    </w:p>
    <w:p w14:paraId="78678B16" w14:textId="77777777" w:rsidR="00963435" w:rsidRDefault="00963435" w:rsidP="001E1A1F">
      <w:pPr>
        <w:ind w:hanging="720"/>
      </w:pPr>
      <w:r>
        <w:t xml:space="preserve">Hayes, J. (2022) The Theory and Practice of Change Management. 6th </w:t>
      </w:r>
      <w:proofErr w:type="spellStart"/>
      <w:r>
        <w:t>edn</w:t>
      </w:r>
      <w:proofErr w:type="spellEnd"/>
      <w:r>
        <w:t>. London: Palgrave Macmillan.</w:t>
      </w:r>
    </w:p>
    <w:p w14:paraId="0A94F5F4" w14:textId="77777777" w:rsidR="00963435" w:rsidRDefault="00963435" w:rsidP="00963435">
      <w:pPr>
        <w:ind w:hanging="720"/>
      </w:pPr>
      <w:r>
        <w:t>Herzberg, F., Mausner, B. and Snyderman, B.B. (1959) The Motivation to Work. New York: John Wiley &amp; Sons.</w:t>
      </w:r>
    </w:p>
    <w:p w14:paraId="0FAC4126" w14:textId="77777777" w:rsidR="00963435" w:rsidRDefault="00963435" w:rsidP="001E1A1F">
      <w:pPr>
        <w:ind w:hanging="720"/>
      </w:pPr>
      <w:r>
        <w:t>Heskett, J.L., Sasser, W.E. and Schlesinger, L.A. (1997) The Service Profit Chain. New York: Free Press.</w:t>
      </w:r>
    </w:p>
    <w:p w14:paraId="5E4C086C" w14:textId="77777777" w:rsidR="00963435" w:rsidRDefault="00963435" w:rsidP="00963435">
      <w:pPr>
        <w:ind w:hanging="720"/>
      </w:pPr>
      <w:r>
        <w:t>Hilton Cardiff (2025) Hilton Cardiff (hotel information). Hilton. Available at: https://www.hilton.com/en/hotels/cwlhitw-hilton-cardiff/ (Accessed: 27 February 2026).</w:t>
      </w:r>
    </w:p>
    <w:p w14:paraId="25EC0B3A" w14:textId="77777777" w:rsidR="00963435" w:rsidRDefault="00963435" w:rsidP="00963435">
      <w:pPr>
        <w:ind w:hanging="720"/>
      </w:pPr>
      <w:r>
        <w:t>Hilton Honors (2025) Hilton Honors (programme information). Hilton. Available at: https://www.hilton.com/en/hilton-honors/ (Accessed: 27 February 2026).</w:t>
      </w:r>
    </w:p>
    <w:p w14:paraId="6B776A70" w14:textId="77777777" w:rsidR="00963435" w:rsidRDefault="00963435" w:rsidP="001E1A1F">
      <w:pPr>
        <w:ind w:hanging="720"/>
      </w:pPr>
      <w:r>
        <w:t>Hilton Worldwide (2023) Annual Report 2023 (or Form 10-K if used). McLean, VA: Hilton Worldwide Holdings Inc. (Accessed: add date).</w:t>
      </w:r>
    </w:p>
    <w:p w14:paraId="5F3B37A2" w14:textId="77777777" w:rsidR="00963435" w:rsidRDefault="00963435" w:rsidP="00963435">
      <w:pPr>
        <w:ind w:hanging="720"/>
      </w:pPr>
      <w:r>
        <w:t>Hilton Worldwide Holdings Inc. (2024) Form 10-K for the fiscal year ended 31 December 2023. U.S. Securities and Exchange Commission. Available at: https://www.sec.gov/cgi-bin/browse-edgar?action=getcompany&amp;CIK=1585689 (Accessed: 27 February 2026).</w:t>
      </w:r>
    </w:p>
    <w:p w14:paraId="7DD21FE2" w14:textId="77777777" w:rsidR="00963435" w:rsidRDefault="00963435" w:rsidP="001E1A1F">
      <w:pPr>
        <w:ind w:hanging="720"/>
      </w:pPr>
      <w:r>
        <w:t>Hoque, K. (2000) Human Resource Management in the Hotel Industry. London: Routledge.</w:t>
      </w:r>
    </w:p>
    <w:p w14:paraId="011E1FBC" w14:textId="77777777" w:rsidR="00963435" w:rsidRDefault="00963435" w:rsidP="001E1A1F">
      <w:pPr>
        <w:ind w:hanging="720"/>
      </w:pPr>
      <w:r>
        <w:t xml:space="preserve">Johnson, G., Whittington, R., Scholes, K., Angwin, D. and </w:t>
      </w:r>
      <w:proofErr w:type="spellStart"/>
      <w:r>
        <w:t>Regnér</w:t>
      </w:r>
      <w:proofErr w:type="spellEnd"/>
      <w:r>
        <w:t xml:space="preserve">, P. (2020) Exploring Strategy. 12th </w:t>
      </w:r>
      <w:proofErr w:type="spellStart"/>
      <w:r>
        <w:t>edn</w:t>
      </w:r>
      <w:proofErr w:type="spellEnd"/>
      <w:r>
        <w:t>. Harlow: Pearson.</w:t>
      </w:r>
    </w:p>
    <w:p w14:paraId="7BB421DF" w14:textId="77777777" w:rsidR="00963435" w:rsidRDefault="00963435" w:rsidP="00963435">
      <w:pPr>
        <w:ind w:hanging="720"/>
      </w:pPr>
      <w:r>
        <w:t xml:space="preserve">Johnson, G., Whittington, R., Scholes, K., Angwin, D. and </w:t>
      </w:r>
      <w:proofErr w:type="spellStart"/>
      <w:r>
        <w:t>Regnér</w:t>
      </w:r>
      <w:proofErr w:type="spellEnd"/>
      <w:r>
        <w:t xml:space="preserve">, P. (2017) Exploring Strategy. 11th </w:t>
      </w:r>
      <w:proofErr w:type="spellStart"/>
      <w:r>
        <w:t>edn</w:t>
      </w:r>
      <w:proofErr w:type="spellEnd"/>
      <w:r>
        <w:t>. Harlow: Pearson Education.</w:t>
      </w:r>
    </w:p>
    <w:p w14:paraId="48845928" w14:textId="77777777" w:rsidR="00963435" w:rsidRDefault="00963435" w:rsidP="001E1A1F">
      <w:pPr>
        <w:ind w:hanging="720"/>
      </w:pPr>
      <w:r>
        <w:t>Kahneman, D. (2011) Thinking, Fast and Slow. London: Penguin.</w:t>
      </w:r>
    </w:p>
    <w:p w14:paraId="185D1D30" w14:textId="77777777" w:rsidR="00963435" w:rsidRDefault="00963435" w:rsidP="001E1A1F">
      <w:pPr>
        <w:ind w:hanging="720"/>
      </w:pPr>
      <w:r>
        <w:lastRenderedPageBreak/>
        <w:t>Kaplan, R.S. and Norton, D.P. (1996) The Balanced Scorecard. Boston, MA: Harvard Business School Press.</w:t>
      </w:r>
    </w:p>
    <w:p w14:paraId="6AF3F714" w14:textId="77777777" w:rsidR="00963435" w:rsidRDefault="00963435" w:rsidP="00963435">
      <w:pPr>
        <w:ind w:hanging="720"/>
      </w:pPr>
      <w:r>
        <w:t>Kimes, S.E. (2011) ‘The future of hotel revenue management’, Journal of Revenue and Pricing Management, 10(1), pp. 62–72.</w:t>
      </w:r>
    </w:p>
    <w:p w14:paraId="2D51DA8E" w14:textId="77777777" w:rsidR="00963435" w:rsidRDefault="00963435" w:rsidP="00963435">
      <w:pPr>
        <w:ind w:hanging="720"/>
      </w:pPr>
      <w:r>
        <w:t>Kimes, S.E. (2016) ‘The evolution of hotel revenue management’, Journal of Revenue and Pricing Management, 15(3–4), pp. 247–251.</w:t>
      </w:r>
    </w:p>
    <w:p w14:paraId="383A462A" w14:textId="77777777" w:rsidR="00963435" w:rsidRDefault="00963435" w:rsidP="001E1A1F">
      <w:pPr>
        <w:ind w:hanging="720"/>
      </w:pPr>
      <w:r>
        <w:t>Kipping, M. and Clark, T. (eds.) (2012) The Oxford Handbook of Management Consulting. Oxford: Oxford University Press.</w:t>
      </w:r>
    </w:p>
    <w:p w14:paraId="2EA28529" w14:textId="77777777" w:rsidR="00963435" w:rsidRDefault="00963435" w:rsidP="001E1A1F">
      <w:pPr>
        <w:ind w:hanging="720"/>
      </w:pPr>
      <w:r>
        <w:t>Kotter, J.P. (2012) Leading Change. Boston, MA: Harvard Business Review Press.</w:t>
      </w:r>
    </w:p>
    <w:p w14:paraId="179190D8" w14:textId="77777777" w:rsidR="00963435" w:rsidRDefault="00963435" w:rsidP="001E1A1F">
      <w:pPr>
        <w:ind w:hanging="720"/>
      </w:pPr>
      <w:r>
        <w:t>Lewin, K. (1947) ‘Frontiers in group dynamics’, Human Relations, 1(1), pp. 5–41.</w:t>
      </w:r>
    </w:p>
    <w:p w14:paraId="1300FA7A" w14:textId="77777777" w:rsidR="00963435" w:rsidRDefault="00963435" w:rsidP="001E1A1F">
      <w:pPr>
        <w:ind w:hanging="720"/>
      </w:pPr>
      <w:r>
        <w:t>Liker, J.K. (2004) The Toyota Way. New York: McGraw-Hill.</w:t>
      </w:r>
    </w:p>
    <w:p w14:paraId="2795E28E" w14:textId="77777777" w:rsidR="00963435" w:rsidRDefault="00963435" w:rsidP="001E1A1F">
      <w:pPr>
        <w:ind w:hanging="720"/>
      </w:pPr>
      <w:r>
        <w:t>Locke, E.A. and Latham, G.P. (2002) ‘Building a practically useful theory of goal setting and task motivation’, American Psychologist, 57(9), pp. 705–717.</w:t>
      </w:r>
    </w:p>
    <w:p w14:paraId="3C2118F5" w14:textId="77777777" w:rsidR="00963435" w:rsidRDefault="00963435" w:rsidP="001E1A1F">
      <w:pPr>
        <w:ind w:hanging="720"/>
      </w:pPr>
      <w:proofErr w:type="spellStart"/>
      <w:r>
        <w:t>Mavridopoulou</w:t>
      </w:r>
      <w:proofErr w:type="spellEnd"/>
      <w:r>
        <w:t>, A. and O’Mahoney, J. (2020) ‘Elitism in strategy consulting: how institutional prestige influences recruitment’, Management Consulting Journal, 3(1), pp. 12–22.</w:t>
      </w:r>
    </w:p>
    <w:p w14:paraId="659868C0" w14:textId="77777777" w:rsidR="00963435" w:rsidRDefault="00963435" w:rsidP="00FB7BFC">
      <w:pPr>
        <w:ind w:hanging="720"/>
      </w:pPr>
      <w:r>
        <w:t xml:space="preserve">Mintel (2023) UK Hotels Market Report 2023. London: Mintel Group Ltd. Available at: </w:t>
      </w:r>
      <w:hyperlink r:id="rId15" w:history="1">
        <w:r w:rsidRPr="0094205D">
          <w:rPr>
            <w:rStyle w:val="Hyperlink"/>
          </w:rPr>
          <w:t>https://store.mintel.com/report/uk-hotels-market-report-2023</w:t>
        </w:r>
      </w:hyperlink>
      <w:r>
        <w:t xml:space="preserve"> (Accessed: 27 February 2026).</w:t>
      </w:r>
    </w:p>
    <w:p w14:paraId="097BAFF4" w14:textId="77777777" w:rsidR="00963435" w:rsidRDefault="00963435" w:rsidP="00963435">
      <w:pPr>
        <w:ind w:hanging="720"/>
      </w:pPr>
      <w:r>
        <w:t>Newton, R. (2010) The Management Consultant: Mastering the Art of Consultancy. Harlow: Financial Times/Prentice Hall.</w:t>
      </w:r>
    </w:p>
    <w:p w14:paraId="6919CBF3" w14:textId="77777777" w:rsidR="00963435" w:rsidRDefault="00963435" w:rsidP="001E1A1F">
      <w:pPr>
        <w:ind w:hanging="720"/>
      </w:pPr>
      <w:proofErr w:type="spellStart"/>
      <w:r>
        <w:t>Noordzife</w:t>
      </w:r>
      <w:proofErr w:type="spellEnd"/>
      <w:r>
        <w:t>, G. (2014) Project Management of Hotel Opening Processes. CreateSpace Independent Publishing.</w:t>
      </w:r>
    </w:p>
    <w:p w14:paraId="1DB21ED8" w14:textId="77777777" w:rsidR="00963435" w:rsidRDefault="00963435" w:rsidP="001E1A1F">
      <w:pPr>
        <w:ind w:hanging="720"/>
      </w:pPr>
      <w:r>
        <w:t>O’Mahoney, J. (2021) ‘How small consultancies grow: challenging problem-based theorising’, Management Consulting Journal, 4(1), pp. 5–20.</w:t>
      </w:r>
    </w:p>
    <w:p w14:paraId="3B1CA636" w14:textId="05980ECA" w:rsidR="00963435" w:rsidRDefault="00963435" w:rsidP="00963435">
      <w:pPr>
        <w:ind w:hanging="720"/>
      </w:pPr>
      <w:r>
        <w:lastRenderedPageBreak/>
        <w:t xml:space="preserve">Office for National Statistics (ONS) (2024a) Consumer price inflation, UK (bulletin). Office for National Statistics. Available at: https://www.ons.gov.uk/economy/inflationandpriceindices/bulletins/consumerpriceinflation/latest (Accessed: 27 February 2026). </w:t>
      </w:r>
    </w:p>
    <w:p w14:paraId="552132B8" w14:textId="77777777" w:rsidR="00963435" w:rsidRDefault="00963435" w:rsidP="00963435">
      <w:pPr>
        <w:ind w:hanging="720"/>
      </w:pPr>
      <w:r>
        <w:t>Office for National Statistics (ONS) (2024b) Vacancies and jobs in the UK (bulletin). Office for National Statistics. Available at: https://www.ons.gov.uk/employmentandlabourmarket/peopleinwork/employmentandemployeetypes/bulletins/jobsandvacanciesintheuk/latest (Accessed: 27 February 2026).</w:t>
      </w:r>
    </w:p>
    <w:p w14:paraId="75A39328" w14:textId="77777777" w:rsidR="00963435" w:rsidRDefault="00963435" w:rsidP="00963435">
      <w:pPr>
        <w:ind w:hanging="720"/>
      </w:pPr>
      <w:r>
        <w:t>Oxford Economics (2014) The Cost of Brain Drain: Understanding the Financial Impact of Staff Turnover. Oxford: Oxford Economics. Available at: https://www.oxfordeconomics.com/resource/the-cost-of-brain-drain/ (Accessed: 27 February 2026).</w:t>
      </w:r>
    </w:p>
    <w:p w14:paraId="1F516F54" w14:textId="77777777" w:rsidR="00963435" w:rsidRDefault="00963435" w:rsidP="00FB7BFC">
      <w:pPr>
        <w:ind w:hanging="720"/>
      </w:pPr>
      <w:r>
        <w:t>Oxford Economics (2023) The Cost of Brain Drain. Oxford Economics (in association with Unum). Available at: https://doteveryone.org.uk/wp-content/uploads/2019/05/cost-brain-drain-report.pdf (Accessed: 27 February 2026).</w:t>
      </w:r>
    </w:p>
    <w:p w14:paraId="12289E7E" w14:textId="77777777" w:rsidR="00963435" w:rsidRDefault="00963435" w:rsidP="001E1A1F">
      <w:pPr>
        <w:ind w:hanging="720"/>
      </w:pPr>
      <w:r>
        <w:t>Parasuraman, A., Zeithaml, V.A. and Berry, L.L. (1988) ‘SERVQUAL: a multiple-item scale for measuring consumer perceptions of service quality’, Journal of Retailing, 64(1), pp. 12–40.</w:t>
      </w:r>
    </w:p>
    <w:p w14:paraId="48A19C1E" w14:textId="77777777" w:rsidR="00963435" w:rsidRDefault="00963435" w:rsidP="00963435">
      <w:pPr>
        <w:ind w:hanging="720"/>
      </w:pPr>
      <w:r>
        <w:t>Porter, M.E. (1985) Competitive Advantage: Creating and Sustaining Superior Performance. New York: Free Press.</w:t>
      </w:r>
    </w:p>
    <w:p w14:paraId="7AEF009D" w14:textId="77777777" w:rsidR="00963435" w:rsidRDefault="00963435" w:rsidP="00963435">
      <w:pPr>
        <w:ind w:hanging="720"/>
      </w:pPr>
      <w:r>
        <w:t>PricewaterhouseCoopers LLP (PwC) (2023) UK Hotels Forecast 2023–2024. PwC UK. Available at: https://www.pwc.co.uk/industries/hospitality-leisure/insights/uk-hotels-forecast.html (Accessed: 27 February 2026).</w:t>
      </w:r>
    </w:p>
    <w:p w14:paraId="5AE10E5B" w14:textId="77777777" w:rsidR="00963435" w:rsidRDefault="00963435" w:rsidP="00963435">
      <w:pPr>
        <w:ind w:hanging="720"/>
      </w:pPr>
      <w:r>
        <w:t>Prospects (2026) Management consultant: job profile. Prospects. Available at: https://www.prospects.ac.uk/job-profiles/management-consultant (Accessed: 27 February 2026).</w:t>
      </w:r>
    </w:p>
    <w:p w14:paraId="06F0A004" w14:textId="77777777" w:rsidR="00963435" w:rsidRDefault="00963435" w:rsidP="00FB7BFC">
      <w:pPr>
        <w:ind w:hanging="720"/>
      </w:pPr>
      <w:r>
        <w:lastRenderedPageBreak/>
        <w:t>PwC (2023) Hotels Forecast 2023–2024: Growth in demand to stall… PwC UK. Available at: https://www.pwc.co.uk/industries/hospitality-leisure/insights/uk-hotels-forecast-2023.html (Accessed: 27 February 2026).</w:t>
      </w:r>
    </w:p>
    <w:p w14:paraId="58375C98" w14:textId="77777777" w:rsidR="00963435" w:rsidRDefault="00963435" w:rsidP="001E1A1F">
      <w:pPr>
        <w:ind w:hanging="720"/>
      </w:pPr>
      <w:r>
        <w:t xml:space="preserve">Schein, E.H. (2010) Organizational Culture and Leadership. 4th </w:t>
      </w:r>
      <w:proofErr w:type="spellStart"/>
      <w:r>
        <w:t>edn</w:t>
      </w:r>
      <w:proofErr w:type="spellEnd"/>
      <w:r>
        <w:t>. San Francisco, CA: Jossey-Bass.</w:t>
      </w:r>
    </w:p>
    <w:p w14:paraId="08609D95" w14:textId="77777777" w:rsidR="00963435" w:rsidRDefault="00963435" w:rsidP="001E1A1F">
      <w:pPr>
        <w:ind w:hanging="720"/>
      </w:pPr>
      <w:r>
        <w:t>Shuck, B. and Wollard, K. (2010) ‘Employee engagement and HRD: a seminal review’, Human Resource Development Review, 9(1), pp. 89–110.</w:t>
      </w:r>
    </w:p>
    <w:p w14:paraId="32309890" w14:textId="77777777" w:rsidR="00963435" w:rsidRDefault="00963435" w:rsidP="00963435">
      <w:pPr>
        <w:ind w:hanging="720"/>
      </w:pPr>
      <w:r>
        <w:t>STR (2024) UK Upscale Urban Hotels: Occupancy, ADR and RevPAR, 2023–2024. STR/CoStar STAR Report (database) (Accessed: 27 February 2026).</w:t>
      </w:r>
    </w:p>
    <w:p w14:paraId="0D599BD1" w14:textId="77777777" w:rsidR="00963435" w:rsidRDefault="00963435" w:rsidP="001E1A1F">
      <w:pPr>
        <w:ind w:hanging="720"/>
      </w:pPr>
      <w:r>
        <w:t>Subramaniam, N., Collier, P., Phang, M. and Burke, G. (2011) ‘The effects of perceived business uncertainty, external consultants and risk management on organisational outcomes’, Journal of Accounting &amp; Organizational Change, 7(2), pp. 132–157.</w:t>
      </w:r>
    </w:p>
    <w:p w14:paraId="41BB49B0" w14:textId="77777777" w:rsidR="00963435" w:rsidRDefault="00963435" w:rsidP="001E1A1F">
      <w:pPr>
        <w:ind w:hanging="720"/>
      </w:pPr>
      <w:r>
        <w:t>Thomas, L. and Dewsnap, B. (2018) ‘Understanding hotel distribution’, International Journal of Contemporary Hospitality Management, 30(1), pp. 1–20.</w:t>
      </w:r>
    </w:p>
    <w:p w14:paraId="4906B795" w14:textId="77777777" w:rsidR="00963435" w:rsidRDefault="00963435" w:rsidP="001E1A1F">
      <w:pPr>
        <w:ind w:hanging="720"/>
      </w:pPr>
      <w:r>
        <w:t xml:space="preserve">Tidd, J. and Bessant, J. (2018) Managing Innovation. 6th </w:t>
      </w:r>
      <w:proofErr w:type="spellStart"/>
      <w:r>
        <w:t>edn</w:t>
      </w:r>
      <w:proofErr w:type="spellEnd"/>
      <w:r>
        <w:t>. Hoboken, NJ: Wiley.</w:t>
      </w:r>
    </w:p>
    <w:p w14:paraId="21BDB662" w14:textId="77777777" w:rsidR="00963435" w:rsidRDefault="00963435" w:rsidP="00963435">
      <w:pPr>
        <w:ind w:hanging="720"/>
      </w:pPr>
      <w:r>
        <w:t>TripAdvisor (2025) Hilton Cardiff (traveller reviews). TripAdvisor. Available at: https://www.tripadvisor.co.uk/Hotel_Review-g186460-d187621-Reviews-Hilton_Cardiff-Cardiff_South_Wales_Wales.html (Accessed: 27 February 2026).</w:t>
      </w:r>
    </w:p>
    <w:p w14:paraId="5DC15A05" w14:textId="77777777" w:rsidR="00963435" w:rsidRDefault="00963435" w:rsidP="00963435">
      <w:pPr>
        <w:ind w:hanging="720"/>
      </w:pPr>
      <w:proofErr w:type="spellStart"/>
      <w:r>
        <w:t>UKHospitality</w:t>
      </w:r>
      <w:proofErr w:type="spellEnd"/>
      <w:r>
        <w:t xml:space="preserve"> (2024) </w:t>
      </w:r>
      <w:proofErr w:type="spellStart"/>
      <w:r>
        <w:t>UKHospitality</w:t>
      </w:r>
      <w:proofErr w:type="spellEnd"/>
      <w:r>
        <w:t xml:space="preserve"> (industry body website). </w:t>
      </w:r>
      <w:proofErr w:type="spellStart"/>
      <w:r>
        <w:t>UKHospitality</w:t>
      </w:r>
      <w:proofErr w:type="spellEnd"/>
      <w:r>
        <w:t>. Available at: https://www.ukhospitality.org.uk/ (Accessed: 27 February 2026).</w:t>
      </w:r>
    </w:p>
    <w:p w14:paraId="5DA75CBD" w14:textId="77777777" w:rsidR="00963435" w:rsidRDefault="00963435" w:rsidP="00963435">
      <w:pPr>
        <w:ind w:hanging="720"/>
      </w:pPr>
      <w:r>
        <w:t>UNWTO (2023) World Tourism Barometer and Statistical Annex (dataset and analysis). World Tourism Organization. Available at: https://www.unwto.org/unwto-world-tourism-barometer-data (Accessed: 27 February 2026).</w:t>
      </w:r>
    </w:p>
    <w:p w14:paraId="52184ADA" w14:textId="77777777" w:rsidR="00963435" w:rsidRDefault="00963435" w:rsidP="00963435">
      <w:pPr>
        <w:ind w:hanging="720"/>
      </w:pPr>
      <w:r>
        <w:t>VisitBritain (2023) Great Britain Tourism Survey (GBTS): annual results and data. VisitBritain. Available at: https://www.visitbritain.org/gbts (Accessed: 27 February 2026).</w:t>
      </w:r>
    </w:p>
    <w:p w14:paraId="559C5ADB" w14:textId="77777777" w:rsidR="00963435" w:rsidRDefault="00963435" w:rsidP="00963435">
      <w:pPr>
        <w:ind w:hanging="720"/>
      </w:pPr>
      <w:r>
        <w:lastRenderedPageBreak/>
        <w:t>Waterman, R.H., Peters, T.J. and Phillips, J.R. (1980) ‘Structure is not organization’, Business Horizons, 23(3), pp. 14–26.</w:t>
      </w:r>
    </w:p>
    <w:p w14:paraId="6A566018" w14:textId="77777777" w:rsidR="00963435" w:rsidRDefault="00963435" w:rsidP="001E1A1F">
      <w:pPr>
        <w:ind w:hanging="720"/>
      </w:pPr>
      <w:r>
        <w:t>Whittington, R. and Molloy, E. (2005) HR’s Role in Organisation: Shaping Change. London: CIPD.</w:t>
      </w:r>
    </w:p>
    <w:p w14:paraId="0EB15F13" w14:textId="77777777" w:rsidR="00963435" w:rsidRDefault="00963435" w:rsidP="001E1A1F">
      <w:pPr>
        <w:ind w:hanging="720"/>
      </w:pPr>
      <w:r>
        <w:t>Wood, R.C. (1997) Working in Hotels and Catering. London: Routledge.</w:t>
      </w:r>
    </w:p>
    <w:p w14:paraId="45991406" w14:textId="77777777" w:rsidR="00963435" w:rsidRDefault="00963435" w:rsidP="001E1A1F">
      <w:pPr>
        <w:ind w:hanging="720"/>
      </w:pPr>
      <w:r>
        <w:t>WTO/UNWTO (2023) Tourism trends and outlook (relevant publication). Madrid: UNWTO. (Accessed: add date).</w:t>
      </w:r>
    </w:p>
    <w:p w14:paraId="1CA205E5" w14:textId="77777777" w:rsidR="00963435" w:rsidRDefault="00963435" w:rsidP="001E1A1F">
      <w:pPr>
        <w:ind w:hanging="720"/>
      </w:pPr>
      <w:r>
        <w:t xml:space="preserve">Yukl, G. (2013) Leadership in Organizations. 8th </w:t>
      </w:r>
      <w:proofErr w:type="spellStart"/>
      <w:r>
        <w:t>edn</w:t>
      </w:r>
      <w:proofErr w:type="spellEnd"/>
      <w:r>
        <w:t>. Harlow: Pearson.</w:t>
      </w:r>
    </w:p>
    <w:p w14:paraId="0EC8E242" w14:textId="77777777" w:rsidR="00963435" w:rsidRDefault="00963435" w:rsidP="001E1A1F">
      <w:pPr>
        <w:ind w:hanging="720"/>
      </w:pPr>
      <w:r>
        <w:t xml:space="preserve">Zeithaml, V.A., Bitner, M.J. and Gremler, D.D. (2018) Services Marketing: Integrating Customer Focus Across the Firm. 7th </w:t>
      </w:r>
      <w:proofErr w:type="spellStart"/>
      <w:r>
        <w:t>edn</w:t>
      </w:r>
      <w:proofErr w:type="spellEnd"/>
      <w:r>
        <w:t>. New York: McGraw-Hill.</w:t>
      </w:r>
    </w:p>
    <w:p w14:paraId="4B9CBD11" w14:textId="77777777" w:rsidR="00963435" w:rsidRDefault="00963435" w:rsidP="001E1A1F">
      <w:pPr>
        <w:ind w:hanging="720"/>
      </w:pPr>
      <w:r>
        <w:t>Zenger, J. and Folkman, J. (2014) The Extraordinary Leader. New York: McGraw-Hill Education.</w:t>
      </w:r>
    </w:p>
    <w:sectPr w:rsidR="00963435" w:rsidSect="00034616">
      <w:headerReference w:type="default" r:id="rId16"/>
      <w:footerReference w:type="default" r:id="rId1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7F6D8F" w14:textId="77777777" w:rsidR="00284FBC" w:rsidRDefault="00284FBC" w:rsidP="00316786">
      <w:pPr>
        <w:spacing w:after="0" w:line="240" w:lineRule="auto"/>
      </w:pPr>
      <w:r>
        <w:separator/>
      </w:r>
    </w:p>
  </w:endnote>
  <w:endnote w:type="continuationSeparator" w:id="0">
    <w:p w14:paraId="7F40B96F" w14:textId="77777777" w:rsidR="00284FBC" w:rsidRDefault="00284FBC" w:rsidP="003167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2276326"/>
      <w:docPartObj>
        <w:docPartGallery w:val="Page Numbers (Bottom of Page)"/>
        <w:docPartUnique/>
      </w:docPartObj>
    </w:sdtPr>
    <w:sdtContent>
      <w:p w14:paraId="044B7BE7" w14:textId="3B1F4E86" w:rsidR="00156DEF" w:rsidRDefault="00156DEF">
        <w:pPr>
          <w:pStyle w:val="Footer"/>
          <w:jc w:val="center"/>
        </w:pPr>
        <w:r>
          <w:fldChar w:fldCharType="begin"/>
        </w:r>
        <w:r>
          <w:instrText>PAGE   \* MERGEFORMAT</w:instrText>
        </w:r>
        <w:r>
          <w:fldChar w:fldCharType="separate"/>
        </w:r>
        <w:r>
          <w:t>2</w:t>
        </w:r>
        <w:r>
          <w:fldChar w:fldCharType="end"/>
        </w:r>
      </w:p>
    </w:sdtContent>
  </w:sdt>
  <w:p w14:paraId="37F5A386" w14:textId="77777777" w:rsidR="00156DEF" w:rsidRDefault="00156D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A32C3" w14:textId="77777777" w:rsidR="00284FBC" w:rsidRDefault="00284FBC" w:rsidP="00316786">
      <w:pPr>
        <w:spacing w:after="0" w:line="240" w:lineRule="auto"/>
      </w:pPr>
      <w:r>
        <w:separator/>
      </w:r>
    </w:p>
  </w:footnote>
  <w:footnote w:type="continuationSeparator" w:id="0">
    <w:p w14:paraId="36FFB812" w14:textId="77777777" w:rsidR="00284FBC" w:rsidRDefault="00284FBC" w:rsidP="003167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FDC1E" w14:textId="3D08950C" w:rsidR="00B956C3" w:rsidRDefault="00B956C3">
    <w:pPr>
      <w:pStyle w:val="Header"/>
    </w:pPr>
    <w:r>
      <w:rPr>
        <w:noProof/>
      </w:rPr>
      <w:drawing>
        <wp:inline distT="0" distB="0" distL="0" distR="0" wp14:anchorId="3ED71E7B" wp14:editId="35CD814F">
          <wp:extent cx="752475" cy="417614"/>
          <wp:effectExtent l="0" t="0" r="0" b="1905"/>
          <wp:docPr id="2063135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8401" cy="426453"/>
                  </a:xfrm>
                  <a:prstGeom prst="rect">
                    <a:avLst/>
                  </a:prstGeom>
                  <a:noFill/>
                </pic:spPr>
              </pic:pic>
            </a:graphicData>
          </a:graphic>
        </wp:inline>
      </w:drawing>
    </w:r>
  </w:p>
  <w:p w14:paraId="278E24AE" w14:textId="77777777" w:rsidR="00B956C3" w:rsidRDefault="00B956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5296558"/>
    <w:multiLevelType w:val="hybridMultilevel"/>
    <w:tmpl w:val="A844EC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0087654">
    <w:abstractNumId w:val="8"/>
  </w:num>
  <w:num w:numId="2" w16cid:durableId="830632664">
    <w:abstractNumId w:val="6"/>
  </w:num>
  <w:num w:numId="3" w16cid:durableId="1260603255">
    <w:abstractNumId w:val="5"/>
  </w:num>
  <w:num w:numId="4" w16cid:durableId="1119841797">
    <w:abstractNumId w:val="4"/>
  </w:num>
  <w:num w:numId="5" w16cid:durableId="1043676840">
    <w:abstractNumId w:val="7"/>
  </w:num>
  <w:num w:numId="6" w16cid:durableId="1828135313">
    <w:abstractNumId w:val="3"/>
  </w:num>
  <w:num w:numId="7" w16cid:durableId="1281837288">
    <w:abstractNumId w:val="2"/>
  </w:num>
  <w:num w:numId="8" w16cid:durableId="265231092">
    <w:abstractNumId w:val="1"/>
  </w:num>
  <w:num w:numId="9" w16cid:durableId="1775201369">
    <w:abstractNumId w:val="0"/>
  </w:num>
  <w:num w:numId="10" w16cid:durableId="208510866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M3NjAwtDA3M7c0tDRT0lEKTi0uzszPAykwrAUAtahRnywAAAA="/>
  </w:docVars>
  <w:rsids>
    <w:rsidRoot w:val="00B47730"/>
    <w:rsid w:val="00021B5B"/>
    <w:rsid w:val="000319C7"/>
    <w:rsid w:val="00034616"/>
    <w:rsid w:val="00053DBC"/>
    <w:rsid w:val="0006063C"/>
    <w:rsid w:val="00076D07"/>
    <w:rsid w:val="000D49AA"/>
    <w:rsid w:val="000D7FD1"/>
    <w:rsid w:val="0012255D"/>
    <w:rsid w:val="0015074B"/>
    <w:rsid w:val="00156DEF"/>
    <w:rsid w:val="00157B4F"/>
    <w:rsid w:val="00172FA2"/>
    <w:rsid w:val="00172FE8"/>
    <w:rsid w:val="001D7083"/>
    <w:rsid w:val="001E1A1F"/>
    <w:rsid w:val="00251EA4"/>
    <w:rsid w:val="00284C09"/>
    <w:rsid w:val="00284FBC"/>
    <w:rsid w:val="0029639D"/>
    <w:rsid w:val="002A3409"/>
    <w:rsid w:val="002A5A0C"/>
    <w:rsid w:val="002C59BE"/>
    <w:rsid w:val="002D3448"/>
    <w:rsid w:val="002E101E"/>
    <w:rsid w:val="00303E4B"/>
    <w:rsid w:val="00316786"/>
    <w:rsid w:val="00326F90"/>
    <w:rsid w:val="003507B5"/>
    <w:rsid w:val="004A4697"/>
    <w:rsid w:val="004A621B"/>
    <w:rsid w:val="004C6F0C"/>
    <w:rsid w:val="004D05AE"/>
    <w:rsid w:val="0051407B"/>
    <w:rsid w:val="005A537B"/>
    <w:rsid w:val="005B6947"/>
    <w:rsid w:val="006109BC"/>
    <w:rsid w:val="006E4FE6"/>
    <w:rsid w:val="00713033"/>
    <w:rsid w:val="00741AC3"/>
    <w:rsid w:val="007B50E8"/>
    <w:rsid w:val="007E1397"/>
    <w:rsid w:val="008167DB"/>
    <w:rsid w:val="00846F54"/>
    <w:rsid w:val="00932AB6"/>
    <w:rsid w:val="00963435"/>
    <w:rsid w:val="00963730"/>
    <w:rsid w:val="009A7714"/>
    <w:rsid w:val="009B23BD"/>
    <w:rsid w:val="009C156B"/>
    <w:rsid w:val="009E4E9F"/>
    <w:rsid w:val="00A44023"/>
    <w:rsid w:val="00AA1D8D"/>
    <w:rsid w:val="00AD1F05"/>
    <w:rsid w:val="00B07172"/>
    <w:rsid w:val="00B42C23"/>
    <w:rsid w:val="00B47730"/>
    <w:rsid w:val="00B771E3"/>
    <w:rsid w:val="00B956C3"/>
    <w:rsid w:val="00BC46B0"/>
    <w:rsid w:val="00C51794"/>
    <w:rsid w:val="00CB0664"/>
    <w:rsid w:val="00CD0180"/>
    <w:rsid w:val="00CE0F5A"/>
    <w:rsid w:val="00D60570"/>
    <w:rsid w:val="00D90CD8"/>
    <w:rsid w:val="00D96AEA"/>
    <w:rsid w:val="00DB486B"/>
    <w:rsid w:val="00DC2177"/>
    <w:rsid w:val="00DF3F9E"/>
    <w:rsid w:val="00EA00C9"/>
    <w:rsid w:val="00ED1489"/>
    <w:rsid w:val="00F35F41"/>
    <w:rsid w:val="00F63FC6"/>
    <w:rsid w:val="00F749D4"/>
    <w:rsid w:val="00FB7BFC"/>
    <w:rsid w:val="00FC693F"/>
    <w:rsid w:val="00FF34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EC1FBA0"/>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7DB"/>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A537B"/>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A537B"/>
    <w:pPr>
      <w:keepNext/>
      <w:keepLines/>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9E4E9F"/>
    <w:pPr>
      <w:keepNext/>
      <w:keepLines/>
      <w:spacing w:before="200" w:after="0"/>
      <w:outlineLvl w:val="2"/>
    </w:pPr>
    <w:rPr>
      <w:rFonts w:eastAsiaTheme="majorEastAsia" w:cstheme="majorBidi"/>
      <w:b/>
      <w:bCs/>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5A537B"/>
    <w:rPr>
      <w:rFonts w:ascii="Times New Roman" w:eastAsiaTheme="majorEastAsia" w:hAnsi="Times New Roman" w:cstheme="majorBidi"/>
      <w:b/>
      <w:bCs/>
      <w:sz w:val="28"/>
      <w:szCs w:val="28"/>
      <w:lang w:val="en-GB"/>
    </w:rPr>
  </w:style>
  <w:style w:type="character" w:customStyle="1" w:styleId="Heading2Char">
    <w:name w:val="Heading 2 Char"/>
    <w:basedOn w:val="DefaultParagraphFont"/>
    <w:link w:val="Heading2"/>
    <w:uiPriority w:val="9"/>
    <w:rsid w:val="005A537B"/>
    <w:rPr>
      <w:rFonts w:ascii="Times New Roman" w:eastAsiaTheme="majorEastAsia" w:hAnsi="Times New Roman" w:cstheme="majorBidi"/>
      <w:b/>
      <w:bCs/>
      <w:color w:val="4F81BD" w:themeColor="accent1"/>
      <w:sz w:val="26"/>
      <w:szCs w:val="26"/>
      <w:lang w:val="en-GB"/>
    </w:rPr>
  </w:style>
  <w:style w:type="character" w:customStyle="1" w:styleId="Heading3Char">
    <w:name w:val="Heading 3 Char"/>
    <w:basedOn w:val="DefaultParagraphFont"/>
    <w:link w:val="Heading3"/>
    <w:uiPriority w:val="9"/>
    <w:rsid w:val="009E4E9F"/>
    <w:rPr>
      <w:rFonts w:ascii="Times New Roman" w:eastAsiaTheme="majorEastAsia" w:hAnsi="Times New Roman" w:cstheme="majorBidi"/>
      <w:b/>
      <w:bCs/>
      <w:sz w:val="24"/>
      <w:lang w:val="en-GB"/>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9A7714"/>
    <w:pPr>
      <w:spacing w:after="100"/>
    </w:pPr>
  </w:style>
  <w:style w:type="paragraph" w:styleId="TOC2">
    <w:name w:val="toc 2"/>
    <w:basedOn w:val="Normal"/>
    <w:next w:val="Normal"/>
    <w:autoRedefine/>
    <w:uiPriority w:val="39"/>
    <w:unhideWhenUsed/>
    <w:rsid w:val="009A7714"/>
    <w:pPr>
      <w:spacing w:after="100"/>
      <w:ind w:left="240"/>
    </w:pPr>
  </w:style>
  <w:style w:type="character" w:styleId="Hyperlink">
    <w:name w:val="Hyperlink"/>
    <w:basedOn w:val="DefaultParagraphFont"/>
    <w:uiPriority w:val="99"/>
    <w:unhideWhenUsed/>
    <w:rsid w:val="009A7714"/>
    <w:rPr>
      <w:color w:val="0000FF" w:themeColor="hyperlink"/>
      <w:u w:val="single"/>
    </w:rPr>
  </w:style>
  <w:style w:type="character" w:customStyle="1" w:styleId="whitespace-normal">
    <w:name w:val="whitespace-normal"/>
    <w:basedOn w:val="DefaultParagraphFont"/>
    <w:rsid w:val="00CD0180"/>
  </w:style>
  <w:style w:type="table" w:styleId="PlainTable1">
    <w:name w:val="Plain Table 1"/>
    <w:basedOn w:val="TableNormal"/>
    <w:uiPriority w:val="99"/>
    <w:rsid w:val="00CD018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2A5A0C"/>
    <w:pPr>
      <w:spacing w:after="100"/>
      <w:ind w:left="480"/>
    </w:pPr>
  </w:style>
  <w:style w:type="character" w:styleId="UnresolvedMention">
    <w:name w:val="Unresolved Mention"/>
    <w:basedOn w:val="DefaultParagraphFont"/>
    <w:uiPriority w:val="99"/>
    <w:semiHidden/>
    <w:unhideWhenUsed/>
    <w:rsid w:val="00FB7B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6526">
      <w:bodyDiv w:val="1"/>
      <w:marLeft w:val="0"/>
      <w:marRight w:val="0"/>
      <w:marTop w:val="0"/>
      <w:marBottom w:val="0"/>
      <w:divBdr>
        <w:top w:val="none" w:sz="0" w:space="0" w:color="auto"/>
        <w:left w:val="none" w:sz="0" w:space="0" w:color="auto"/>
        <w:bottom w:val="none" w:sz="0" w:space="0" w:color="auto"/>
        <w:right w:val="none" w:sz="0" w:space="0" w:color="auto"/>
      </w:divBdr>
      <w:divsChild>
        <w:div w:id="616983309">
          <w:marLeft w:val="0"/>
          <w:marRight w:val="0"/>
          <w:marTop w:val="0"/>
          <w:marBottom w:val="0"/>
          <w:divBdr>
            <w:top w:val="none" w:sz="0" w:space="0" w:color="auto"/>
            <w:left w:val="none" w:sz="0" w:space="0" w:color="auto"/>
            <w:bottom w:val="none" w:sz="0" w:space="0" w:color="auto"/>
            <w:right w:val="none" w:sz="0" w:space="0" w:color="auto"/>
          </w:divBdr>
          <w:divsChild>
            <w:div w:id="173881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59257">
      <w:bodyDiv w:val="1"/>
      <w:marLeft w:val="0"/>
      <w:marRight w:val="0"/>
      <w:marTop w:val="0"/>
      <w:marBottom w:val="0"/>
      <w:divBdr>
        <w:top w:val="none" w:sz="0" w:space="0" w:color="auto"/>
        <w:left w:val="none" w:sz="0" w:space="0" w:color="auto"/>
        <w:bottom w:val="none" w:sz="0" w:space="0" w:color="auto"/>
        <w:right w:val="none" w:sz="0" w:space="0" w:color="auto"/>
      </w:divBdr>
    </w:div>
    <w:div w:id="141889632">
      <w:bodyDiv w:val="1"/>
      <w:marLeft w:val="0"/>
      <w:marRight w:val="0"/>
      <w:marTop w:val="0"/>
      <w:marBottom w:val="0"/>
      <w:divBdr>
        <w:top w:val="none" w:sz="0" w:space="0" w:color="auto"/>
        <w:left w:val="none" w:sz="0" w:space="0" w:color="auto"/>
        <w:bottom w:val="none" w:sz="0" w:space="0" w:color="auto"/>
        <w:right w:val="none" w:sz="0" w:space="0" w:color="auto"/>
      </w:divBdr>
    </w:div>
    <w:div w:id="358507899">
      <w:bodyDiv w:val="1"/>
      <w:marLeft w:val="0"/>
      <w:marRight w:val="0"/>
      <w:marTop w:val="0"/>
      <w:marBottom w:val="0"/>
      <w:divBdr>
        <w:top w:val="none" w:sz="0" w:space="0" w:color="auto"/>
        <w:left w:val="none" w:sz="0" w:space="0" w:color="auto"/>
        <w:bottom w:val="none" w:sz="0" w:space="0" w:color="auto"/>
        <w:right w:val="none" w:sz="0" w:space="0" w:color="auto"/>
      </w:divBdr>
      <w:divsChild>
        <w:div w:id="1087382377">
          <w:marLeft w:val="0"/>
          <w:marRight w:val="0"/>
          <w:marTop w:val="0"/>
          <w:marBottom w:val="0"/>
          <w:divBdr>
            <w:top w:val="none" w:sz="0" w:space="0" w:color="auto"/>
            <w:left w:val="none" w:sz="0" w:space="0" w:color="auto"/>
            <w:bottom w:val="none" w:sz="0" w:space="0" w:color="auto"/>
            <w:right w:val="none" w:sz="0" w:space="0" w:color="auto"/>
          </w:divBdr>
          <w:divsChild>
            <w:div w:id="61028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03692">
      <w:bodyDiv w:val="1"/>
      <w:marLeft w:val="0"/>
      <w:marRight w:val="0"/>
      <w:marTop w:val="0"/>
      <w:marBottom w:val="0"/>
      <w:divBdr>
        <w:top w:val="none" w:sz="0" w:space="0" w:color="auto"/>
        <w:left w:val="none" w:sz="0" w:space="0" w:color="auto"/>
        <w:bottom w:val="none" w:sz="0" w:space="0" w:color="auto"/>
        <w:right w:val="none" w:sz="0" w:space="0" w:color="auto"/>
      </w:divBdr>
      <w:divsChild>
        <w:div w:id="764299952">
          <w:marLeft w:val="0"/>
          <w:marRight w:val="0"/>
          <w:marTop w:val="0"/>
          <w:marBottom w:val="0"/>
          <w:divBdr>
            <w:top w:val="none" w:sz="0" w:space="0" w:color="auto"/>
            <w:left w:val="none" w:sz="0" w:space="0" w:color="auto"/>
            <w:bottom w:val="none" w:sz="0" w:space="0" w:color="auto"/>
            <w:right w:val="none" w:sz="0" w:space="0" w:color="auto"/>
          </w:divBdr>
          <w:divsChild>
            <w:div w:id="111983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952390">
      <w:bodyDiv w:val="1"/>
      <w:marLeft w:val="0"/>
      <w:marRight w:val="0"/>
      <w:marTop w:val="0"/>
      <w:marBottom w:val="0"/>
      <w:divBdr>
        <w:top w:val="none" w:sz="0" w:space="0" w:color="auto"/>
        <w:left w:val="none" w:sz="0" w:space="0" w:color="auto"/>
        <w:bottom w:val="none" w:sz="0" w:space="0" w:color="auto"/>
        <w:right w:val="none" w:sz="0" w:space="0" w:color="auto"/>
      </w:divBdr>
      <w:divsChild>
        <w:div w:id="1598060303">
          <w:marLeft w:val="0"/>
          <w:marRight w:val="0"/>
          <w:marTop w:val="0"/>
          <w:marBottom w:val="0"/>
          <w:divBdr>
            <w:top w:val="none" w:sz="0" w:space="0" w:color="auto"/>
            <w:left w:val="none" w:sz="0" w:space="0" w:color="auto"/>
            <w:bottom w:val="none" w:sz="0" w:space="0" w:color="auto"/>
            <w:right w:val="none" w:sz="0" w:space="0" w:color="auto"/>
          </w:divBdr>
          <w:divsChild>
            <w:div w:id="1673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236927">
      <w:bodyDiv w:val="1"/>
      <w:marLeft w:val="0"/>
      <w:marRight w:val="0"/>
      <w:marTop w:val="0"/>
      <w:marBottom w:val="0"/>
      <w:divBdr>
        <w:top w:val="none" w:sz="0" w:space="0" w:color="auto"/>
        <w:left w:val="none" w:sz="0" w:space="0" w:color="auto"/>
        <w:bottom w:val="none" w:sz="0" w:space="0" w:color="auto"/>
        <w:right w:val="none" w:sz="0" w:space="0" w:color="auto"/>
      </w:divBdr>
      <w:divsChild>
        <w:div w:id="317614314">
          <w:marLeft w:val="0"/>
          <w:marRight w:val="0"/>
          <w:marTop w:val="0"/>
          <w:marBottom w:val="0"/>
          <w:divBdr>
            <w:top w:val="none" w:sz="0" w:space="0" w:color="auto"/>
            <w:left w:val="none" w:sz="0" w:space="0" w:color="auto"/>
            <w:bottom w:val="none" w:sz="0" w:space="0" w:color="auto"/>
            <w:right w:val="none" w:sz="0" w:space="0" w:color="auto"/>
          </w:divBdr>
          <w:divsChild>
            <w:div w:id="49395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ourismticker.com/wp-content/uploads/2023/05/230427-Booking.com-Sustainable-Travel-Report-2023-NZ-FINAL.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ha.cornell.edu/wp-content/uploads/sites/4/2019/03/anderson-social-media.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store.mintel.com/report/uk-hotels-market-report-2023"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ompetition-policy.ec.europa.eu/system/files/2021-07/hotel_monitoring_report_en.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104C22-910B-4637-9226-A6434A372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8487</Words>
  <Characters>48377</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56751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2026-03-02T10:41:00Z</dcterms:created>
  <dcterms:modified xsi:type="dcterms:W3CDTF">2026-03-02T10:41:00Z</dcterms:modified>
  <cp:category/>
</cp:coreProperties>
</file>