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6CD903" w14:textId="77777777" w:rsidR="0023338E" w:rsidRDefault="0023338E" w:rsidP="00DA0D51">
      <w:pPr>
        <w:spacing w:after="240" w:line="360" w:lineRule="auto"/>
        <w:jc w:val="both"/>
        <w:rPr>
          <w:rFonts w:ascii="Arial" w:hAnsi="Arial" w:cs="Arial"/>
          <w:b/>
          <w:sz w:val="22"/>
          <w:szCs w:val="22"/>
        </w:rPr>
      </w:pPr>
    </w:p>
    <w:p w14:paraId="51E96BBD" w14:textId="77777777" w:rsidR="0023338E" w:rsidRDefault="0023338E" w:rsidP="00DA0D51">
      <w:pPr>
        <w:spacing w:after="240" w:line="360" w:lineRule="auto"/>
        <w:jc w:val="both"/>
        <w:rPr>
          <w:rFonts w:ascii="Arial" w:hAnsi="Arial" w:cs="Arial"/>
          <w:b/>
          <w:sz w:val="22"/>
          <w:szCs w:val="22"/>
        </w:rPr>
      </w:pPr>
    </w:p>
    <w:p w14:paraId="1081CC6C" w14:textId="77777777" w:rsidR="0023338E" w:rsidRDefault="0023338E" w:rsidP="00DA0D51">
      <w:pPr>
        <w:spacing w:after="240" w:line="360" w:lineRule="auto"/>
        <w:jc w:val="both"/>
        <w:rPr>
          <w:rFonts w:ascii="Arial" w:hAnsi="Arial" w:cs="Arial"/>
          <w:b/>
          <w:sz w:val="22"/>
          <w:szCs w:val="22"/>
        </w:rPr>
      </w:pPr>
    </w:p>
    <w:p w14:paraId="3E15F981" w14:textId="77777777" w:rsidR="0023338E" w:rsidRDefault="0023338E" w:rsidP="00DA0D51">
      <w:pPr>
        <w:spacing w:after="240" w:line="360" w:lineRule="auto"/>
        <w:jc w:val="both"/>
        <w:rPr>
          <w:rFonts w:ascii="Arial" w:hAnsi="Arial" w:cs="Arial"/>
          <w:b/>
          <w:sz w:val="22"/>
          <w:szCs w:val="22"/>
        </w:rPr>
      </w:pPr>
    </w:p>
    <w:p w14:paraId="7C407C5E" w14:textId="77777777" w:rsidR="0023338E" w:rsidRDefault="0023338E" w:rsidP="00DA0D51">
      <w:pPr>
        <w:spacing w:after="240" w:line="360" w:lineRule="auto"/>
        <w:jc w:val="both"/>
        <w:rPr>
          <w:rFonts w:ascii="Arial" w:hAnsi="Arial" w:cs="Arial"/>
          <w:b/>
          <w:sz w:val="22"/>
          <w:szCs w:val="22"/>
        </w:rPr>
      </w:pPr>
    </w:p>
    <w:p w14:paraId="4538292C" w14:textId="6C11A6FF" w:rsidR="00665C8E" w:rsidRDefault="008C7138" w:rsidP="00223766">
      <w:pPr>
        <w:spacing w:after="240" w:line="360" w:lineRule="auto"/>
        <w:jc w:val="center"/>
        <w:rPr>
          <w:rFonts w:ascii="Arial" w:hAnsi="Arial" w:cs="Arial"/>
          <w:b/>
          <w:sz w:val="22"/>
          <w:szCs w:val="22"/>
        </w:rPr>
      </w:pPr>
      <w:r w:rsidRPr="008C7138">
        <w:rPr>
          <w:rFonts w:ascii="Arial" w:hAnsi="Arial" w:cs="Arial"/>
          <w:b/>
          <w:sz w:val="22"/>
          <w:szCs w:val="22"/>
        </w:rPr>
        <w:t>A Scoping Review of Non-Pharmacological Nursing Interventions for the Prevention of Delirium in Adult Intensive Care Unit Patients in the United Kingdom</w:t>
      </w:r>
    </w:p>
    <w:p w14:paraId="4382A57D" w14:textId="77777777" w:rsidR="00223766" w:rsidRPr="00223766" w:rsidRDefault="00223766" w:rsidP="00223766">
      <w:pPr>
        <w:spacing w:line="276" w:lineRule="auto"/>
        <w:jc w:val="center"/>
        <w:rPr>
          <w:rFonts w:ascii="Arial" w:eastAsia="Arial" w:hAnsi="Arial" w:cs="Arial"/>
          <w:bCs/>
          <w:sz w:val="22"/>
          <w:szCs w:val="22"/>
          <w:lang w:val="en-GB" w:eastAsia="en-US"/>
        </w:rPr>
      </w:pPr>
      <w:r w:rsidRPr="00223766">
        <w:rPr>
          <w:rFonts w:ascii="Arial" w:eastAsia="Arial" w:hAnsi="Arial" w:cs="Arial"/>
          <w:bCs/>
          <w:sz w:val="22"/>
          <w:szCs w:val="22"/>
          <w:lang w:val="en-GB" w:eastAsia="en-US"/>
        </w:rPr>
        <w:t xml:space="preserve">Name: </w:t>
      </w:r>
      <w:proofErr w:type="spellStart"/>
      <w:r w:rsidRPr="00223766">
        <w:rPr>
          <w:rFonts w:ascii="Arial" w:eastAsia="Arial" w:hAnsi="Arial" w:cs="Arial"/>
          <w:bCs/>
          <w:sz w:val="22"/>
          <w:szCs w:val="22"/>
          <w:lang w:val="en-GB" w:eastAsia="en-US"/>
        </w:rPr>
        <w:t>Aimnumhenfo</w:t>
      </w:r>
      <w:proofErr w:type="spellEnd"/>
      <w:r w:rsidRPr="00223766">
        <w:rPr>
          <w:rFonts w:ascii="Arial" w:eastAsia="Arial" w:hAnsi="Arial" w:cs="Arial"/>
          <w:bCs/>
          <w:sz w:val="22"/>
          <w:szCs w:val="22"/>
          <w:lang w:val="en-GB" w:eastAsia="en-US"/>
        </w:rPr>
        <w:t xml:space="preserve"> </w:t>
      </w:r>
      <w:proofErr w:type="spellStart"/>
      <w:r w:rsidRPr="00223766">
        <w:rPr>
          <w:rFonts w:ascii="Arial" w:eastAsia="Arial" w:hAnsi="Arial" w:cs="Arial"/>
          <w:bCs/>
          <w:sz w:val="22"/>
          <w:szCs w:val="22"/>
          <w:lang w:val="en-GB" w:eastAsia="en-US"/>
        </w:rPr>
        <w:t>Iyoha</w:t>
      </w:r>
      <w:proofErr w:type="spellEnd"/>
    </w:p>
    <w:p w14:paraId="06138906" w14:textId="77777777" w:rsidR="00223766" w:rsidRPr="00223766" w:rsidRDefault="00223766" w:rsidP="00223766">
      <w:pPr>
        <w:spacing w:line="276" w:lineRule="auto"/>
        <w:jc w:val="center"/>
        <w:rPr>
          <w:rFonts w:ascii="Arial" w:eastAsia="Arial" w:hAnsi="Arial" w:cs="Arial"/>
          <w:bCs/>
          <w:sz w:val="22"/>
          <w:szCs w:val="22"/>
          <w:lang w:val="en-GB" w:eastAsia="en-US"/>
        </w:rPr>
      </w:pPr>
      <w:r w:rsidRPr="00223766">
        <w:rPr>
          <w:rFonts w:ascii="Arial" w:eastAsia="Arial" w:hAnsi="Arial" w:cs="Arial"/>
          <w:bCs/>
          <w:sz w:val="22"/>
          <w:szCs w:val="22"/>
          <w:lang w:val="en-GB" w:eastAsia="en-US"/>
        </w:rPr>
        <w:t>Student Number: 2329981</w:t>
      </w:r>
    </w:p>
    <w:p w14:paraId="367C7223" w14:textId="4244EE24" w:rsidR="00223766" w:rsidRPr="00223766" w:rsidRDefault="00223766" w:rsidP="00223766">
      <w:pPr>
        <w:spacing w:line="276" w:lineRule="auto"/>
        <w:jc w:val="center"/>
        <w:rPr>
          <w:rFonts w:ascii="Arial" w:eastAsia="Arial" w:hAnsi="Arial" w:cs="Arial"/>
          <w:bCs/>
          <w:sz w:val="22"/>
          <w:szCs w:val="22"/>
          <w:lang w:val="en-GB" w:eastAsia="en-US"/>
        </w:rPr>
      </w:pPr>
      <w:r w:rsidRPr="00223766">
        <w:rPr>
          <w:rFonts w:ascii="Arial" w:eastAsia="Arial" w:hAnsi="Arial" w:cs="Arial"/>
          <w:bCs/>
          <w:sz w:val="22"/>
          <w:szCs w:val="22"/>
          <w:lang w:val="en-GB" w:eastAsia="en-US"/>
        </w:rPr>
        <w:t>Module Code: BMHP501</w:t>
      </w:r>
      <w:r w:rsidR="007D505A">
        <w:rPr>
          <w:rFonts w:ascii="Arial" w:eastAsia="Arial" w:hAnsi="Arial" w:cs="Arial"/>
          <w:bCs/>
          <w:sz w:val="22"/>
          <w:szCs w:val="22"/>
          <w:lang w:val="en-GB" w:eastAsia="en-US"/>
        </w:rPr>
        <w:t>9</w:t>
      </w:r>
    </w:p>
    <w:p w14:paraId="5F338314" w14:textId="18988221" w:rsidR="00223766" w:rsidRPr="00223766" w:rsidRDefault="00223766" w:rsidP="00223766">
      <w:pPr>
        <w:spacing w:line="276" w:lineRule="auto"/>
        <w:jc w:val="center"/>
        <w:rPr>
          <w:rFonts w:ascii="Arial" w:eastAsia="Arial" w:hAnsi="Arial" w:cs="Arial"/>
          <w:bCs/>
          <w:sz w:val="22"/>
          <w:szCs w:val="22"/>
          <w:lang w:val="en-GB" w:eastAsia="en-US"/>
        </w:rPr>
      </w:pPr>
      <w:r w:rsidRPr="00223766">
        <w:rPr>
          <w:rFonts w:ascii="Arial" w:eastAsia="Arial" w:hAnsi="Arial" w:cs="Arial"/>
          <w:bCs/>
          <w:sz w:val="22"/>
          <w:szCs w:val="22"/>
          <w:lang w:val="en-GB" w:eastAsia="en-US"/>
        </w:rPr>
        <w:t xml:space="preserve">Module Title: </w:t>
      </w:r>
      <w:r w:rsidR="007365D4" w:rsidRPr="007365D4">
        <w:rPr>
          <w:rFonts w:ascii="Arial" w:eastAsia="Arial" w:hAnsi="Arial" w:cs="Arial"/>
          <w:bCs/>
          <w:sz w:val="22"/>
          <w:szCs w:val="22"/>
          <w:lang w:val="en-GB" w:eastAsia="en-US"/>
        </w:rPr>
        <w:t>Introduction to Independent Research Skills</w:t>
      </w:r>
    </w:p>
    <w:p w14:paraId="21F11D90" w14:textId="32A4CF28" w:rsidR="00223766" w:rsidRPr="008B239C" w:rsidRDefault="00223766" w:rsidP="008B239C">
      <w:pPr>
        <w:spacing w:after="240" w:line="360" w:lineRule="auto"/>
        <w:jc w:val="center"/>
        <w:rPr>
          <w:rFonts w:ascii="Arial" w:eastAsia="Arial" w:hAnsi="Arial" w:cs="Arial"/>
          <w:bCs/>
          <w:sz w:val="22"/>
          <w:szCs w:val="22"/>
          <w:lang w:val="en-GB" w:eastAsia="en-US"/>
        </w:rPr>
      </w:pPr>
      <w:r w:rsidRPr="00223766">
        <w:rPr>
          <w:rFonts w:ascii="Arial" w:eastAsia="Arial" w:hAnsi="Arial" w:cs="Arial"/>
          <w:bCs/>
          <w:sz w:val="22"/>
          <w:szCs w:val="22"/>
          <w:lang w:val="en-GB" w:eastAsia="en-US"/>
        </w:rPr>
        <w:t>Assignment Title:</w:t>
      </w:r>
      <w:r w:rsidR="000323AD">
        <w:rPr>
          <w:rFonts w:ascii="Arial" w:eastAsia="Arial" w:hAnsi="Arial" w:cs="Arial"/>
          <w:bCs/>
          <w:sz w:val="22"/>
          <w:szCs w:val="22"/>
          <w:lang w:val="en-GB" w:eastAsia="en-US"/>
        </w:rPr>
        <w:t xml:space="preserve"> </w:t>
      </w:r>
      <w:r w:rsidR="008B239C" w:rsidRPr="008B239C">
        <w:rPr>
          <w:rFonts w:ascii="Arial" w:eastAsia="Arial" w:hAnsi="Arial" w:cs="Arial"/>
          <w:bCs/>
          <w:sz w:val="22"/>
          <w:szCs w:val="22"/>
          <w:lang w:val="en-GB" w:eastAsia="en-US"/>
        </w:rPr>
        <w:t>Component 2: Written Assignment (Research Report)</w:t>
      </w:r>
    </w:p>
    <w:p w14:paraId="28E3D71D" w14:textId="361A9C6C" w:rsidR="0023338E" w:rsidRPr="0023338E" w:rsidRDefault="0023338E" w:rsidP="00056C8E">
      <w:pPr>
        <w:spacing w:after="240" w:line="360" w:lineRule="auto"/>
        <w:jc w:val="center"/>
        <w:rPr>
          <w:rFonts w:ascii="Arial" w:hAnsi="Arial" w:cs="Arial"/>
          <w:bCs/>
          <w:sz w:val="22"/>
          <w:szCs w:val="22"/>
        </w:rPr>
      </w:pPr>
    </w:p>
    <w:p w14:paraId="16904824" w14:textId="77777777" w:rsidR="00665C8E" w:rsidRPr="008C7138" w:rsidRDefault="00665C8E" w:rsidP="00DA0D51">
      <w:pPr>
        <w:spacing w:after="240" w:line="360" w:lineRule="auto"/>
        <w:jc w:val="both"/>
        <w:rPr>
          <w:rFonts w:ascii="Arial" w:hAnsi="Arial" w:cs="Arial"/>
          <w:sz w:val="22"/>
          <w:szCs w:val="22"/>
        </w:rPr>
        <w:sectPr w:rsidR="00665C8E" w:rsidRPr="008C7138" w:rsidSect="00D34B8F">
          <w:pgSz w:w="11906" w:h="16838"/>
          <w:pgMar w:top="1474" w:right="1440" w:bottom="1440" w:left="1440" w:header="720" w:footer="720" w:gutter="0"/>
          <w:cols w:space="708"/>
          <w:docGrid w:linePitch="360"/>
        </w:sectPr>
      </w:pPr>
    </w:p>
    <w:p w14:paraId="382C47AC" w14:textId="77777777" w:rsidR="00665C8E" w:rsidRPr="008C7138" w:rsidRDefault="008C7138" w:rsidP="00DA0D51">
      <w:pPr>
        <w:spacing w:after="240" w:line="360" w:lineRule="auto"/>
        <w:jc w:val="both"/>
        <w:rPr>
          <w:rFonts w:ascii="Arial" w:hAnsi="Arial" w:cs="Arial"/>
          <w:b/>
          <w:bCs/>
          <w:sz w:val="22"/>
          <w:szCs w:val="22"/>
        </w:rPr>
      </w:pPr>
      <w:r w:rsidRPr="008C7138">
        <w:rPr>
          <w:rFonts w:ascii="Arial" w:hAnsi="Arial" w:cs="Arial"/>
          <w:b/>
          <w:bCs/>
          <w:sz w:val="22"/>
          <w:szCs w:val="22"/>
        </w:rPr>
        <w:lastRenderedPageBreak/>
        <w:t>INTRODUCTION</w:t>
      </w:r>
    </w:p>
    <w:p w14:paraId="15C66CFA" w14:textId="77777777" w:rsidR="00A635B7" w:rsidRPr="008C7138" w:rsidRDefault="008C7138" w:rsidP="00A635B7">
      <w:pPr>
        <w:spacing w:after="240" w:line="360" w:lineRule="auto"/>
        <w:jc w:val="both"/>
        <w:rPr>
          <w:rFonts w:ascii="Arial" w:hAnsi="Arial" w:cs="Arial"/>
          <w:sz w:val="22"/>
          <w:szCs w:val="22"/>
        </w:rPr>
      </w:pPr>
      <w:r w:rsidRPr="008C7138">
        <w:rPr>
          <w:rFonts w:ascii="Arial" w:hAnsi="Arial" w:cs="Arial"/>
          <w:sz w:val="22"/>
          <w:szCs w:val="22"/>
        </w:rPr>
        <w:t>Delirium is an acute, fluctuating disturbance of attention, awareness and cognition that develops over hours to days and is not better explained by a pre-existing neurocognitive disorder (American Psychiatric Association, 2022). Delirium is one of the most prevalent acute organ dysfunctions in the adult intensive care unit (ICU) setting, occurring in 30–80 per cent of critically ill patients, depending on the type of ventilation used and the method of assessment (Krewulak et al., 2018; Wilson et al., 2020). It is an independent risk factor for prolonged mechanical ventilation, longer length of stay, long-term cognitive impairment and increased mortality (Salluh et al., 2015; Wilson et al., 2020). These outcomes have a significant human and financial cost for the National Health Service (NHS), and delirium is a contributor to avoidable harm, as well as longer hospital admissions and readmission across critical care networks in the UK (Richards-Belle et al., 2020; NHS England, 2023).</w:t>
      </w:r>
    </w:p>
    <w:p w14:paraId="784F5DFA" w14:textId="77777777" w:rsidR="00A635B7" w:rsidRPr="008C7138" w:rsidRDefault="008C7138" w:rsidP="00A635B7">
      <w:pPr>
        <w:spacing w:after="240" w:line="360" w:lineRule="auto"/>
        <w:jc w:val="both"/>
        <w:rPr>
          <w:rFonts w:ascii="Arial" w:hAnsi="Arial" w:cs="Arial"/>
          <w:sz w:val="22"/>
          <w:szCs w:val="22"/>
        </w:rPr>
      </w:pPr>
      <w:r w:rsidRPr="008C7138">
        <w:rPr>
          <w:rFonts w:ascii="Arial" w:hAnsi="Arial" w:cs="Arial"/>
          <w:sz w:val="22"/>
          <w:szCs w:val="22"/>
        </w:rPr>
        <w:t>Non-pharmacological interventions are defined as multicomponent, evidence-based strategies that do not involve drugs and target modifiable risk factors for delirium, namely sensory impairment, immobility, disorientation, sleep disruption, dehydration, and pain (Herling et al., 2018; National Institute for Health and Care Excellence, 2023). The interventions are mostly nurse-led and delivered at the bedside, with the ICU nurse as the key player in preventing delirium rather than treating delirium that has already occurred (Pun et al., 2019; Faculty of Intensive Care Medicine and Intensive Care Society, 2022).</w:t>
      </w:r>
    </w:p>
    <w:p w14:paraId="17D531A4" w14:textId="77777777" w:rsidR="00A635B7" w:rsidRPr="008C7138" w:rsidRDefault="008C7138" w:rsidP="00A635B7">
      <w:pPr>
        <w:spacing w:after="240" w:line="360" w:lineRule="auto"/>
        <w:jc w:val="both"/>
        <w:rPr>
          <w:rFonts w:ascii="Arial" w:hAnsi="Arial" w:cs="Arial"/>
          <w:sz w:val="22"/>
          <w:szCs w:val="22"/>
        </w:rPr>
      </w:pPr>
      <w:r w:rsidRPr="008C7138">
        <w:rPr>
          <w:rFonts w:ascii="Arial" w:hAnsi="Arial" w:cs="Arial"/>
          <w:sz w:val="22"/>
          <w:szCs w:val="22"/>
        </w:rPr>
        <w:t>Although there have been consistent international recommendations, implementation varies across critical care units in the UK, and it is unclear which specific aspects of non-pharmacological care are most likely to have a preventive effect (Bannon et al., 2019; Richards-Belle et al., 2020). Therefore, a scoping review is warranted to explore the extent of the literature on nurse-led interventions, the populations and settings in which these interventions were studied, and to identify gaps most pertinent to the UK NHS critical care context (Arksey and O'Malley, 2005).</w:t>
      </w:r>
    </w:p>
    <w:p w14:paraId="68DE10C1" w14:textId="77777777" w:rsidR="00A635B7" w:rsidRPr="008C7138" w:rsidRDefault="008C7138" w:rsidP="00A635B7">
      <w:pPr>
        <w:spacing w:after="240" w:line="360" w:lineRule="auto"/>
        <w:jc w:val="both"/>
        <w:rPr>
          <w:rFonts w:ascii="Arial" w:hAnsi="Arial" w:cs="Arial"/>
          <w:sz w:val="22"/>
          <w:szCs w:val="22"/>
        </w:rPr>
      </w:pPr>
      <w:r w:rsidRPr="008C7138">
        <w:rPr>
          <w:rFonts w:ascii="Arial" w:hAnsi="Arial" w:cs="Arial"/>
          <w:sz w:val="22"/>
          <w:szCs w:val="22"/>
        </w:rPr>
        <w:t xml:space="preserve">The review question for this study is: What non-pharmacological nursing interventions to prevent delirium in adult patients in the intensive care unit (ICU) are described in the current peer-reviewed literature? </w:t>
      </w:r>
    </w:p>
    <w:p w14:paraId="2A35B473" w14:textId="77777777" w:rsidR="00A635B7" w:rsidRPr="008C7138" w:rsidRDefault="008C7138" w:rsidP="00A635B7">
      <w:pPr>
        <w:spacing w:after="240" w:line="360" w:lineRule="auto"/>
        <w:jc w:val="both"/>
        <w:rPr>
          <w:rFonts w:ascii="Arial" w:hAnsi="Arial" w:cs="Arial"/>
          <w:sz w:val="22"/>
          <w:szCs w:val="22"/>
        </w:rPr>
      </w:pPr>
      <w:r w:rsidRPr="008C7138">
        <w:rPr>
          <w:rFonts w:ascii="Arial" w:hAnsi="Arial" w:cs="Arial"/>
          <w:sz w:val="22"/>
          <w:szCs w:val="22"/>
        </w:rPr>
        <w:t>The aims are to identify the interventions described in the literature, their range and characteristics, the populations, settings, and outcome measures used, and the evidence gaps relevant to the UK critical care nursing context. The background, methods, results, discussion and conclusion/recommendations from the review are presented below.</w:t>
      </w:r>
    </w:p>
    <w:p w14:paraId="69586EAD" w14:textId="77777777" w:rsidR="00A635B7" w:rsidRPr="008C7138" w:rsidRDefault="008C7138" w:rsidP="00A635B7">
      <w:pPr>
        <w:spacing w:after="240" w:line="360" w:lineRule="auto"/>
        <w:jc w:val="both"/>
        <w:rPr>
          <w:rFonts w:ascii="Arial" w:hAnsi="Arial" w:cs="Arial"/>
          <w:b/>
          <w:bCs/>
          <w:sz w:val="22"/>
          <w:szCs w:val="22"/>
        </w:rPr>
      </w:pPr>
      <w:r w:rsidRPr="008C7138">
        <w:rPr>
          <w:rFonts w:ascii="Arial" w:hAnsi="Arial" w:cs="Arial"/>
          <w:b/>
          <w:bCs/>
          <w:sz w:val="22"/>
          <w:szCs w:val="22"/>
        </w:rPr>
        <w:lastRenderedPageBreak/>
        <w:t>BACKGROUND</w:t>
      </w:r>
    </w:p>
    <w:p w14:paraId="009AC6F5" w14:textId="77777777" w:rsidR="00A635B7" w:rsidRPr="008C7138" w:rsidRDefault="008C7138" w:rsidP="00A635B7">
      <w:pPr>
        <w:spacing w:after="240" w:line="360" w:lineRule="auto"/>
        <w:jc w:val="both"/>
        <w:rPr>
          <w:rFonts w:ascii="Arial" w:hAnsi="Arial" w:cs="Arial"/>
          <w:sz w:val="22"/>
          <w:szCs w:val="22"/>
        </w:rPr>
      </w:pPr>
      <w:r w:rsidRPr="008C7138">
        <w:rPr>
          <w:rFonts w:ascii="Arial" w:hAnsi="Arial" w:cs="Arial"/>
          <w:sz w:val="22"/>
          <w:szCs w:val="22"/>
        </w:rPr>
        <w:t>In the UK, adult critical care is provided in around 300 NHS intensive care units (ICUs). It is coordinated centrally by the Intensive Care National Audit and Research Centre (ICNARC, 2024), which oversees over 270,000 ICU admissions annually. Care is based on the closed multidisciplinary model, with nursing staff providing continuous bedside assessment at a ratio of one nurse to one level 2/3 patient (Faculty of Intensive Care Medicine and Intensive Care Society, 2022). This staffing model places the critical care nurse in the role of the best practitioner for detecting, preventing, and responding to delirium in real time. Nurse-led delirium prevention is therefore a clinical priority and a workforce priority. It is included in NHS critical care standards and supported by national auditing arrangements via the ICNARC Case Mix Programme (ICNARC, 2024).</w:t>
      </w:r>
    </w:p>
    <w:p w14:paraId="4CCF4BE4" w14:textId="77777777" w:rsidR="00A635B7" w:rsidRPr="008C7138" w:rsidRDefault="008C7138" w:rsidP="00A635B7">
      <w:pPr>
        <w:spacing w:after="240" w:line="360" w:lineRule="auto"/>
        <w:jc w:val="both"/>
        <w:rPr>
          <w:rFonts w:ascii="Arial" w:hAnsi="Arial" w:cs="Arial"/>
          <w:sz w:val="22"/>
          <w:szCs w:val="22"/>
        </w:rPr>
      </w:pPr>
      <w:r w:rsidRPr="008C7138">
        <w:rPr>
          <w:rFonts w:ascii="Arial" w:hAnsi="Arial" w:cs="Arial"/>
          <w:sz w:val="22"/>
          <w:szCs w:val="22"/>
        </w:rPr>
        <w:t>Delirium is now formally acknowledged as a preventable harm within English critical care. It is part of the broader vision to reduce avoidable acute deterioration outlined in the NHS Patient Safety Strategy (NHS England, 2023). The Health and Care Act 2022 will further hold integrated care systems to account for patient safety outcomes, including those related to delirium (Great Britain, 2022). ICU practice also involves the Mental Capacity Act 2005 and its Code of Practice (Great Britain, 2005; Department for Constitutional Affairs, 2007), as delirious patients often lose the ability to make decisions during an acute episode and as nurses are required to make decisions that are time sensitive, whilst protecting autonomy and dignity. The Human Rights Act 1998 enhances the need to ensure liberty and freedom from degrading treatment are protected in the application of restraint or sedation (Great Britain, 1998).</w:t>
      </w:r>
    </w:p>
    <w:p w14:paraId="479F4E15" w14:textId="77777777" w:rsidR="00A635B7" w:rsidRPr="008C7138" w:rsidRDefault="008C7138" w:rsidP="00A635B7">
      <w:pPr>
        <w:spacing w:after="240" w:line="360" w:lineRule="auto"/>
        <w:jc w:val="both"/>
        <w:rPr>
          <w:rFonts w:ascii="Arial" w:hAnsi="Arial" w:cs="Arial"/>
          <w:sz w:val="22"/>
          <w:szCs w:val="22"/>
        </w:rPr>
      </w:pPr>
      <w:r w:rsidRPr="008C7138">
        <w:rPr>
          <w:rFonts w:ascii="Arial" w:hAnsi="Arial" w:cs="Arial"/>
          <w:sz w:val="22"/>
          <w:szCs w:val="22"/>
        </w:rPr>
        <w:t>Delirium prevention guidance in the UK is based on the National Institute for Health and Care Excellence (2023) Clinical Guideline CG103, which suggests a multi-component, non-pharmacological delirium prevention strategy that includes the following: reorientation, cognitive stimulation, hydration, early mobilisation, provision of sensory aids, and pain management. Since then, condition-specific guidance for delirium in critically ill adults has been published by the Intensive Care Society (2025), and the approach adopted aligns with the internationally endorsed ABCDEF bundle promoted by the Society of Critical Care Medicine (Ely, 2017; Pun et al., 2019). Guidelines for the Provision of Intensive Care Services (GPICS v2.1) (Faculty of Intensive Care Medicine and Intensive Care Society 2022) also require that delirium is screened on every shift using the Confusion Assessment Method for the ICU (CAM-ICU) or the Intensive Care Delirium Screening Checklist (ICDSC).</w:t>
      </w:r>
    </w:p>
    <w:p w14:paraId="45836248" w14:textId="77777777" w:rsidR="00A635B7" w:rsidRPr="008C7138" w:rsidRDefault="008C7138" w:rsidP="00A635B7">
      <w:pPr>
        <w:spacing w:after="240" w:line="360" w:lineRule="auto"/>
        <w:jc w:val="both"/>
        <w:rPr>
          <w:rFonts w:ascii="Arial" w:hAnsi="Arial" w:cs="Arial"/>
          <w:sz w:val="22"/>
          <w:szCs w:val="22"/>
        </w:rPr>
      </w:pPr>
      <w:r w:rsidRPr="008C7138">
        <w:rPr>
          <w:rFonts w:ascii="Arial" w:hAnsi="Arial" w:cs="Arial"/>
          <w:sz w:val="22"/>
          <w:szCs w:val="22"/>
        </w:rPr>
        <w:t xml:space="preserve">Delirium prevention is part of the nursing accountability system of professional regulation. The Nursing and Midwifery Council (2018) Code states that registered nurses are required to </w:t>
      </w:r>
      <w:r w:rsidRPr="008C7138">
        <w:rPr>
          <w:rFonts w:ascii="Arial" w:hAnsi="Arial" w:cs="Arial"/>
          <w:sz w:val="22"/>
          <w:szCs w:val="22"/>
        </w:rPr>
        <w:lastRenderedPageBreak/>
        <w:t>maintain safety, promote wellbeing and respond to risk – all of which align with the identification and management of modifiable delirium risk factors. Delirium recognition and prevention are included among the competencies for registered nurses working in adult critical care in the Royal College of Nursing's (2019) critical care competency framework. Delirium screening compliance and the provision of non-pharmacological care are regularly assessed as indicatorsindicators of safe critical care in Care Quality Commission inspections (Care Quality Commission, 2023).</w:t>
      </w:r>
    </w:p>
    <w:p w14:paraId="5C5E3826" w14:textId="77777777" w:rsidR="002271C7" w:rsidRPr="008C7138" w:rsidRDefault="008C7138" w:rsidP="00A635B7">
      <w:pPr>
        <w:spacing w:after="240" w:line="360" w:lineRule="auto"/>
        <w:jc w:val="both"/>
        <w:rPr>
          <w:rFonts w:ascii="Arial" w:hAnsi="Arial" w:cs="Arial"/>
          <w:sz w:val="22"/>
          <w:szCs w:val="22"/>
        </w:rPr>
      </w:pPr>
      <w:r w:rsidRPr="008C7138">
        <w:rPr>
          <w:rFonts w:ascii="Arial" w:hAnsi="Arial" w:cs="Arial"/>
          <w:sz w:val="22"/>
          <w:szCs w:val="22"/>
        </w:rPr>
        <w:t>However, the implementation of service levels is not consistent across ICUs in the UK. A recent national survey of English, Welsh and Northern Irish ICUs revealed that fewer than half of responding ICUs routinely delivered all the recommended non-pharmacological components of a bundle, with wide variation in bundle delivery, screening frequency, and training provision for nurses (Gibbison et al., 2026). Systematic reviews have also found varying evidence regarding the specific components of the bundle that are most effective at preventing and the prioritisation of these components in the context of limited resources in the NHS (Bannon et al., 2019; Herling et al., 2018). This evidence-to-practice disparity, combined with the increasing focus on nursing-sensitive outcomes in critical care, underpins the need to map the current evidence and identify priorities for UK practice regarding nurse-led non-pharmacological interventions.</w:t>
      </w:r>
    </w:p>
    <w:p w14:paraId="259CFB66" w14:textId="77777777" w:rsidR="00625516" w:rsidRPr="008C7138" w:rsidRDefault="00625516" w:rsidP="00DA0D51">
      <w:pPr>
        <w:spacing w:after="240" w:line="360" w:lineRule="auto"/>
        <w:jc w:val="both"/>
        <w:rPr>
          <w:rFonts w:ascii="Arial" w:hAnsi="Arial" w:cs="Arial"/>
          <w:sz w:val="22"/>
          <w:szCs w:val="22"/>
        </w:rPr>
        <w:sectPr w:rsidR="00625516" w:rsidRPr="008C7138" w:rsidSect="00D34B8F">
          <w:pgSz w:w="11906" w:h="16838"/>
          <w:pgMar w:top="1474" w:right="1440" w:bottom="1440" w:left="1440" w:header="720" w:footer="720" w:gutter="0"/>
          <w:cols w:space="708"/>
          <w:docGrid w:linePitch="360"/>
        </w:sectPr>
      </w:pPr>
    </w:p>
    <w:p w14:paraId="1265399F" w14:textId="77777777" w:rsidR="00920D20" w:rsidRPr="008C7138" w:rsidRDefault="008C7138" w:rsidP="00DA0D51">
      <w:pPr>
        <w:spacing w:after="240" w:line="360" w:lineRule="auto"/>
        <w:jc w:val="both"/>
        <w:rPr>
          <w:rFonts w:ascii="Arial" w:hAnsi="Arial" w:cs="Arial"/>
          <w:b/>
          <w:bCs/>
          <w:sz w:val="22"/>
          <w:szCs w:val="22"/>
        </w:rPr>
      </w:pPr>
      <w:r w:rsidRPr="008C7138">
        <w:rPr>
          <w:rFonts w:ascii="Arial" w:hAnsi="Arial" w:cs="Arial"/>
          <w:b/>
          <w:bCs/>
          <w:sz w:val="22"/>
          <w:szCs w:val="22"/>
        </w:rPr>
        <w:lastRenderedPageBreak/>
        <w:t>METHODS</w:t>
      </w:r>
    </w:p>
    <w:p w14:paraId="506039C4" w14:textId="77777777" w:rsidR="00D61B89" w:rsidRPr="008C7138" w:rsidRDefault="008C7138" w:rsidP="00DA0D51">
      <w:pPr>
        <w:spacing w:after="240" w:line="360" w:lineRule="auto"/>
        <w:jc w:val="both"/>
        <w:rPr>
          <w:rFonts w:ascii="Arial" w:hAnsi="Arial" w:cs="Arial"/>
          <w:b/>
          <w:bCs/>
          <w:sz w:val="22"/>
          <w:szCs w:val="22"/>
        </w:rPr>
      </w:pPr>
      <w:r w:rsidRPr="008C7138">
        <w:rPr>
          <w:rFonts w:ascii="Arial" w:hAnsi="Arial" w:cs="Arial"/>
          <w:b/>
          <w:bCs/>
          <w:sz w:val="22"/>
          <w:szCs w:val="22"/>
        </w:rPr>
        <w:t>Study Design</w:t>
      </w:r>
    </w:p>
    <w:p w14:paraId="1694E61A" w14:textId="77777777" w:rsidR="005A4895" w:rsidRPr="008C7138" w:rsidRDefault="008C7138" w:rsidP="005A4895">
      <w:pPr>
        <w:spacing w:after="240" w:line="360" w:lineRule="auto"/>
        <w:jc w:val="both"/>
        <w:rPr>
          <w:rFonts w:ascii="Arial" w:hAnsi="Arial" w:cs="Arial"/>
          <w:sz w:val="22"/>
          <w:szCs w:val="22"/>
        </w:rPr>
      </w:pPr>
      <w:r w:rsidRPr="008C7138">
        <w:rPr>
          <w:rFonts w:ascii="Arial" w:hAnsi="Arial" w:cs="Arial"/>
          <w:sz w:val="22"/>
          <w:szCs w:val="22"/>
        </w:rPr>
        <w:t>To map the extent of the literature on nurse-led non-pharmacological interventions for delirium prevention in adult ICU patients, a scoping review methodology was chosen rather than synthesising effect sizes or deriving pooled estimates (Munn et al., 2018). Scoping reviews are used when the goal is to map the extent, nature, and characteristics of a body of evidence, particularly when the intervention field is very broad and described in a heterogeneous way (Peters et al., 2020). The review was conducted in accordance with the five-stage framework of Arksey and O'Malley (2005) and methodological refinements of Levac, Colquhoun and O'Brien (2010), and reported using the Preferred Reporting Items for Systematic Reviews and Meta-Analyses extension for Scoping Reviews (PRISMA-ScR) checklist (Tricco et al., 2018).</w:t>
      </w:r>
    </w:p>
    <w:p w14:paraId="694C3B60" w14:textId="77777777" w:rsidR="005A4895" w:rsidRPr="008C7138" w:rsidRDefault="008C7138" w:rsidP="005A4895">
      <w:pPr>
        <w:spacing w:after="240" w:line="360" w:lineRule="auto"/>
        <w:jc w:val="both"/>
        <w:rPr>
          <w:rFonts w:ascii="Arial" w:hAnsi="Arial" w:cs="Arial"/>
          <w:b/>
          <w:bCs/>
          <w:sz w:val="22"/>
          <w:szCs w:val="22"/>
        </w:rPr>
      </w:pPr>
      <w:r w:rsidRPr="008C7138">
        <w:rPr>
          <w:rFonts w:ascii="Arial" w:hAnsi="Arial" w:cs="Arial"/>
          <w:b/>
          <w:bCs/>
          <w:sz w:val="22"/>
          <w:szCs w:val="22"/>
        </w:rPr>
        <w:t>Stage 1: Identifying the Review Question</w:t>
      </w:r>
    </w:p>
    <w:p w14:paraId="2C8EBA1A" w14:textId="77777777" w:rsidR="005A4895" w:rsidRPr="008C7138" w:rsidRDefault="008C7138" w:rsidP="005A4895">
      <w:pPr>
        <w:spacing w:after="240" w:line="360" w:lineRule="auto"/>
        <w:jc w:val="both"/>
        <w:rPr>
          <w:rFonts w:ascii="Arial" w:hAnsi="Arial" w:cs="Arial"/>
          <w:sz w:val="22"/>
          <w:szCs w:val="22"/>
        </w:rPr>
      </w:pPr>
      <w:r w:rsidRPr="008C7138">
        <w:rPr>
          <w:rFonts w:ascii="Arial" w:hAnsi="Arial" w:cs="Arial"/>
          <w:sz w:val="22"/>
          <w:szCs w:val="22"/>
        </w:rPr>
        <w:t>The review question was developed using the Population, Concept, Context (PCC) mnemonic recommended by the Joanna Briggs Institute for scoping reviews (Peters et al., 2020). The population was adult patients in intensive care; the concept was non-pharmacological nursing interventions for delirium prevention; the context was general critical care, relevant to the UK NHS. The final review question was: What non-pharmacological nursing interventions to prevent delirium in adult ICU patients are described in the current peer-reviewed literature?</w:t>
      </w:r>
    </w:p>
    <w:p w14:paraId="7A864452" w14:textId="77777777" w:rsidR="005A4895" w:rsidRPr="008C7138" w:rsidRDefault="008C7138" w:rsidP="005A4895">
      <w:pPr>
        <w:spacing w:after="240" w:line="360" w:lineRule="auto"/>
        <w:jc w:val="both"/>
        <w:rPr>
          <w:rFonts w:ascii="Arial" w:hAnsi="Arial" w:cs="Arial"/>
          <w:b/>
          <w:bCs/>
          <w:sz w:val="22"/>
          <w:szCs w:val="22"/>
        </w:rPr>
      </w:pPr>
      <w:r w:rsidRPr="008C7138">
        <w:rPr>
          <w:rFonts w:ascii="Arial" w:hAnsi="Arial" w:cs="Arial"/>
          <w:b/>
          <w:bCs/>
          <w:sz w:val="22"/>
          <w:szCs w:val="22"/>
        </w:rPr>
        <w:t>Stage 2: Identifying Relevant Studies</w:t>
      </w:r>
    </w:p>
    <w:p w14:paraId="0BF7E591" w14:textId="77777777" w:rsidR="005A4895" w:rsidRPr="008C7138" w:rsidRDefault="008C7138" w:rsidP="005A4895">
      <w:pPr>
        <w:spacing w:after="240" w:line="360" w:lineRule="auto"/>
        <w:jc w:val="both"/>
        <w:rPr>
          <w:rFonts w:ascii="Arial" w:hAnsi="Arial" w:cs="Arial"/>
          <w:sz w:val="22"/>
          <w:szCs w:val="22"/>
        </w:rPr>
      </w:pPr>
      <w:r w:rsidRPr="008C7138">
        <w:rPr>
          <w:rFonts w:ascii="Arial" w:hAnsi="Arial" w:cs="Arial"/>
          <w:sz w:val="22"/>
          <w:szCs w:val="22"/>
        </w:rPr>
        <w:t>Four electronic databases were systematically searched: CINAHL Complete via EBSCOhost, MEDLINE via PubMed, Cochrane Central Register of Controlled Trials and Sage Journals Online via the University of Wales Trinity Saint David library. Boolean operators were used to combine the search terms, and truncation was used as appropriate. This finalised search string was: ("delirium" OR "acute confusion") AND ("intensive care" OR "critical care" OR "ICU") AND ("nurs*") AND ("non-pharmacolog*" OR "prevention" OR "bundle" OR "multicomponent"). Hand searching of the reference lists of included studies was used to identify additional relevant articles.</w:t>
      </w:r>
    </w:p>
    <w:p w14:paraId="402EB52E" w14:textId="77777777" w:rsidR="005A4895" w:rsidRPr="008C7138" w:rsidRDefault="008C7138" w:rsidP="005A4895">
      <w:pPr>
        <w:spacing w:after="240" w:line="360" w:lineRule="auto"/>
        <w:jc w:val="both"/>
        <w:rPr>
          <w:rFonts w:ascii="Arial" w:hAnsi="Arial" w:cs="Arial"/>
          <w:b/>
          <w:bCs/>
          <w:sz w:val="22"/>
          <w:szCs w:val="22"/>
        </w:rPr>
      </w:pPr>
      <w:r w:rsidRPr="008C7138">
        <w:rPr>
          <w:rFonts w:ascii="Arial" w:hAnsi="Arial" w:cs="Arial"/>
          <w:b/>
          <w:bCs/>
          <w:sz w:val="22"/>
          <w:szCs w:val="22"/>
        </w:rPr>
        <w:t>Stage 3: Study Selection</w:t>
      </w:r>
    </w:p>
    <w:p w14:paraId="5AE986D1" w14:textId="77777777" w:rsidR="005A4895" w:rsidRPr="008C7138" w:rsidRDefault="008C7138" w:rsidP="005A4895">
      <w:pPr>
        <w:spacing w:after="240" w:line="360" w:lineRule="auto"/>
        <w:jc w:val="both"/>
        <w:rPr>
          <w:rFonts w:ascii="Arial" w:hAnsi="Arial" w:cs="Arial"/>
          <w:sz w:val="22"/>
          <w:szCs w:val="22"/>
        </w:rPr>
      </w:pPr>
      <w:r w:rsidRPr="008C7138">
        <w:rPr>
          <w:rFonts w:ascii="Arial" w:hAnsi="Arial" w:cs="Arial"/>
          <w:sz w:val="22"/>
          <w:szCs w:val="22"/>
        </w:rPr>
        <w:t xml:space="preserve">Eligible studies included primary and secondary research articles published in English between January 2015 and December 2025 with a sample of adults (aged 18 years or older) in an intensive care unit (ICU) setting, and describing non-pharmacological interventions led </w:t>
      </w:r>
      <w:r w:rsidRPr="008C7138">
        <w:rPr>
          <w:rFonts w:ascii="Arial" w:hAnsi="Arial" w:cs="Arial"/>
          <w:sz w:val="22"/>
          <w:szCs w:val="22"/>
        </w:rPr>
        <w:lastRenderedPageBreak/>
        <w:t>by nurses and delirium incidence, duration or severity as an outcome. Paediatric populations, non-ICU settings, pharmacological interventions alone, opinion pieces, editorials, conference abstracts, policy papers, and grey literature were excluded per the assessment brief. The screening process was conducted in two phases: title screening and abstract screening with the eligibility criteria, and full-text screening with the eligibility criteria. The selection process is presented in the PRISMA-ScR flow diagram (Figure 1) in the Results section.</w:t>
      </w:r>
    </w:p>
    <w:p w14:paraId="4BE5E959" w14:textId="77777777" w:rsidR="005A4895" w:rsidRPr="008C7138" w:rsidRDefault="008C7138" w:rsidP="005A4895">
      <w:pPr>
        <w:spacing w:after="240" w:line="360" w:lineRule="auto"/>
        <w:jc w:val="both"/>
        <w:rPr>
          <w:rFonts w:ascii="Arial" w:hAnsi="Arial" w:cs="Arial"/>
          <w:b/>
          <w:bCs/>
          <w:sz w:val="22"/>
          <w:szCs w:val="22"/>
        </w:rPr>
      </w:pPr>
      <w:r w:rsidRPr="008C7138">
        <w:rPr>
          <w:rFonts w:ascii="Arial" w:hAnsi="Arial" w:cs="Arial"/>
          <w:b/>
          <w:bCs/>
          <w:sz w:val="22"/>
          <w:szCs w:val="22"/>
        </w:rPr>
        <w:t>Stage 4: Charting the Data</w:t>
      </w:r>
    </w:p>
    <w:p w14:paraId="4E35EAFA" w14:textId="77777777" w:rsidR="005A4895" w:rsidRPr="008C7138" w:rsidRDefault="008C7138" w:rsidP="005A4895">
      <w:pPr>
        <w:spacing w:after="240" w:line="360" w:lineRule="auto"/>
        <w:jc w:val="both"/>
        <w:rPr>
          <w:rFonts w:ascii="Arial" w:hAnsi="Arial" w:cs="Arial"/>
          <w:sz w:val="22"/>
          <w:szCs w:val="22"/>
        </w:rPr>
      </w:pPr>
      <w:r w:rsidRPr="008C7138">
        <w:rPr>
          <w:rFonts w:ascii="Arial" w:hAnsi="Arial" w:cs="Arial"/>
          <w:sz w:val="22"/>
          <w:szCs w:val="22"/>
        </w:rPr>
        <w:t>In line with the iterative recommendation of Levac, Colquhoun and O'Brien (2010), a pre-designed data extraction form was piloted on two studies, and then modified before charting. Extracted data fields were: author, year, country of study, aim, design, sample size and population, ICU setting, intervention components, comparator, outcome measures, and key findings.</w:t>
      </w:r>
    </w:p>
    <w:p w14:paraId="05844507" w14:textId="77777777" w:rsidR="005A4895" w:rsidRPr="008C7138" w:rsidRDefault="008C7138" w:rsidP="005A4895">
      <w:pPr>
        <w:spacing w:after="240" w:line="360" w:lineRule="auto"/>
        <w:jc w:val="both"/>
        <w:rPr>
          <w:rFonts w:ascii="Arial" w:hAnsi="Arial" w:cs="Arial"/>
          <w:b/>
          <w:bCs/>
          <w:sz w:val="22"/>
          <w:szCs w:val="22"/>
        </w:rPr>
      </w:pPr>
      <w:r w:rsidRPr="008C7138">
        <w:rPr>
          <w:rFonts w:ascii="Arial" w:hAnsi="Arial" w:cs="Arial"/>
          <w:b/>
          <w:bCs/>
          <w:sz w:val="22"/>
          <w:szCs w:val="22"/>
        </w:rPr>
        <w:t>Stage 5: Collating, Summarising and Reporting Results</w:t>
      </w:r>
    </w:p>
    <w:p w14:paraId="3E58C69B" w14:textId="77777777" w:rsidR="005A4895" w:rsidRPr="008C7138" w:rsidRDefault="008C7138" w:rsidP="005A4895">
      <w:pPr>
        <w:spacing w:after="240" w:line="360" w:lineRule="auto"/>
        <w:jc w:val="both"/>
        <w:rPr>
          <w:rFonts w:ascii="Arial" w:hAnsi="Arial" w:cs="Arial"/>
          <w:sz w:val="22"/>
          <w:szCs w:val="22"/>
        </w:rPr>
      </w:pPr>
      <w:r w:rsidRPr="008C7138">
        <w:rPr>
          <w:rFonts w:ascii="Arial" w:hAnsi="Arial" w:cs="Arial"/>
          <w:sz w:val="22"/>
          <w:szCs w:val="22"/>
        </w:rPr>
        <w:t>Study distribution by year, country and design was characterised using descriptive numerical summary. Thematic analysis of the extracted data was carried out according to the six-phase method of Braun and Clarke (2006), which included familiarisation with the data, generation of initial codes, searching for themes, reviewing themes, defining and naming themes and finally, producing the narrative. This allows for clear identification of patterns across different study designs that can be heterogeneous (Nowell et al., 2017).</w:t>
      </w:r>
    </w:p>
    <w:p w14:paraId="6EC7F076" w14:textId="77777777" w:rsidR="005A4895" w:rsidRPr="008C7138" w:rsidRDefault="008C7138" w:rsidP="005A4895">
      <w:pPr>
        <w:spacing w:after="240" w:line="360" w:lineRule="auto"/>
        <w:jc w:val="both"/>
        <w:rPr>
          <w:rFonts w:ascii="Arial" w:hAnsi="Arial" w:cs="Arial"/>
          <w:b/>
          <w:bCs/>
          <w:sz w:val="22"/>
          <w:szCs w:val="22"/>
        </w:rPr>
      </w:pPr>
      <w:r w:rsidRPr="008C7138">
        <w:rPr>
          <w:rFonts w:ascii="Arial" w:hAnsi="Arial" w:cs="Arial"/>
          <w:b/>
          <w:bCs/>
          <w:sz w:val="22"/>
          <w:szCs w:val="22"/>
        </w:rPr>
        <w:t>Ethical Considerations</w:t>
      </w:r>
    </w:p>
    <w:p w14:paraId="0760DC00" w14:textId="77777777" w:rsidR="00625516" w:rsidRPr="008C7138" w:rsidRDefault="008C7138" w:rsidP="005A4895">
      <w:pPr>
        <w:spacing w:after="240" w:line="360" w:lineRule="auto"/>
        <w:jc w:val="both"/>
        <w:rPr>
          <w:rFonts w:ascii="Arial" w:hAnsi="Arial" w:cs="Arial"/>
          <w:sz w:val="22"/>
          <w:szCs w:val="22"/>
        </w:rPr>
      </w:pPr>
      <w:r w:rsidRPr="008C7138">
        <w:rPr>
          <w:rFonts w:ascii="Arial" w:hAnsi="Arial" w:cs="Arial"/>
          <w:sz w:val="22"/>
          <w:szCs w:val="22"/>
        </w:rPr>
        <w:t>No Research Ethics Committee approval or sponsorship from the Health Research Authority was required for this scoping review, as it involves only publicly available, previously published, peer-reviewed material and no primary data collection from patients, families or staff (Suri, 2020; Health Research Authority, 2022).</w:t>
      </w:r>
    </w:p>
    <w:p w14:paraId="29E4ACAA" w14:textId="77777777" w:rsidR="00595BB7" w:rsidRPr="008C7138" w:rsidRDefault="00595BB7" w:rsidP="00DA0D51">
      <w:pPr>
        <w:spacing w:after="240" w:line="360" w:lineRule="auto"/>
        <w:jc w:val="both"/>
        <w:rPr>
          <w:rFonts w:ascii="Arial" w:hAnsi="Arial" w:cs="Arial"/>
          <w:sz w:val="22"/>
          <w:szCs w:val="22"/>
        </w:rPr>
        <w:sectPr w:rsidR="00595BB7" w:rsidRPr="008C7138" w:rsidSect="00D34B8F">
          <w:pgSz w:w="11906" w:h="16838"/>
          <w:pgMar w:top="1474" w:right="1440" w:bottom="1440" w:left="1440" w:header="720" w:footer="720" w:gutter="0"/>
          <w:cols w:space="708"/>
          <w:docGrid w:linePitch="360"/>
        </w:sectPr>
      </w:pPr>
    </w:p>
    <w:p w14:paraId="44C0C63B" w14:textId="77777777" w:rsidR="00595BB7" w:rsidRPr="008C7138" w:rsidRDefault="008C7138" w:rsidP="00DA0D51">
      <w:pPr>
        <w:spacing w:after="240" w:line="360" w:lineRule="auto"/>
        <w:jc w:val="both"/>
        <w:rPr>
          <w:rFonts w:ascii="Arial" w:hAnsi="Arial" w:cs="Arial"/>
          <w:b/>
          <w:bCs/>
          <w:sz w:val="22"/>
          <w:szCs w:val="22"/>
        </w:rPr>
      </w:pPr>
      <w:r w:rsidRPr="008C7138">
        <w:rPr>
          <w:rFonts w:ascii="Arial" w:hAnsi="Arial" w:cs="Arial"/>
          <w:b/>
          <w:bCs/>
          <w:sz w:val="22"/>
          <w:szCs w:val="22"/>
        </w:rPr>
        <w:lastRenderedPageBreak/>
        <w:t>RESULTS</w:t>
      </w:r>
    </w:p>
    <w:p w14:paraId="3281A26C" w14:textId="77777777" w:rsidR="00767013" w:rsidRPr="008C7138" w:rsidRDefault="00767013" w:rsidP="00DA0D51">
      <w:pPr>
        <w:spacing w:after="240" w:line="360" w:lineRule="auto"/>
        <w:jc w:val="both"/>
        <w:rPr>
          <w:rFonts w:ascii="Arial" w:hAnsi="Arial" w:cs="Arial"/>
          <w:b/>
          <w:bCs/>
          <w:sz w:val="22"/>
          <w:szCs w:val="22"/>
        </w:rPr>
      </w:pPr>
      <w:r w:rsidRPr="008C7138">
        <w:rPr>
          <w:rFonts w:ascii="Arial" w:hAnsi="Arial" w:cs="Arial"/>
          <w:b/>
          <w:bCs/>
          <w:noProof/>
          <w:sz w:val="22"/>
          <w:szCs w:val="22"/>
        </w:rPr>
        <w:drawing>
          <wp:inline distT="0" distB="0" distL="0" distR="0" wp14:anchorId="54F6FE96" wp14:editId="2291A1FA">
            <wp:extent cx="5731510" cy="8102600"/>
            <wp:effectExtent l="0" t="0" r="0" b="0"/>
            <wp:docPr id="4400739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073957" name=""/>
                    <pic:cNvPicPr/>
                  </pic:nvPicPr>
                  <pic:blipFill>
                    <a:blip r:embed="rId4"/>
                    <a:stretch>
                      <a:fillRect/>
                    </a:stretch>
                  </pic:blipFill>
                  <pic:spPr>
                    <a:xfrm>
                      <a:off x="0" y="0"/>
                      <a:ext cx="5731510" cy="8102600"/>
                    </a:xfrm>
                    <a:prstGeom prst="rect">
                      <a:avLst/>
                    </a:prstGeom>
                  </pic:spPr>
                </pic:pic>
              </a:graphicData>
            </a:graphic>
          </wp:inline>
        </w:drawing>
      </w:r>
    </w:p>
    <w:p w14:paraId="3240CCAC" w14:textId="77777777" w:rsidR="00DA0D51" w:rsidRPr="008C7138" w:rsidRDefault="008C7138" w:rsidP="00DA0D51">
      <w:pPr>
        <w:spacing w:before="100" w:beforeAutospacing="1" w:after="240" w:line="360" w:lineRule="auto"/>
        <w:jc w:val="both"/>
        <w:outlineLvl w:val="3"/>
        <w:rPr>
          <w:rFonts w:ascii="Arial" w:hAnsi="Arial" w:cs="Arial"/>
          <w:b/>
          <w:bCs/>
          <w:sz w:val="22"/>
          <w:szCs w:val="22"/>
        </w:rPr>
      </w:pPr>
      <w:r w:rsidRPr="008C7138">
        <w:rPr>
          <w:rFonts w:ascii="Arial" w:hAnsi="Arial" w:cs="Arial"/>
          <w:b/>
          <w:bCs/>
          <w:sz w:val="22"/>
          <w:szCs w:val="22"/>
        </w:rPr>
        <w:lastRenderedPageBreak/>
        <w:t>Characteristics of Included Studies</w:t>
      </w:r>
    </w:p>
    <w:p w14:paraId="7AF8A83D" w14:textId="77777777" w:rsidR="00DA0D51" w:rsidRPr="008C7138" w:rsidRDefault="008C7138" w:rsidP="00DA0D51">
      <w:pPr>
        <w:spacing w:before="100" w:beforeAutospacing="1" w:after="240" w:line="360" w:lineRule="auto"/>
        <w:jc w:val="both"/>
        <w:rPr>
          <w:rFonts w:ascii="Arial" w:hAnsi="Arial" w:cs="Arial"/>
          <w:sz w:val="22"/>
          <w:szCs w:val="22"/>
        </w:rPr>
      </w:pPr>
      <w:r w:rsidRPr="008C7138">
        <w:rPr>
          <w:rFonts w:ascii="Arial" w:hAnsi="Arial" w:cs="Arial"/>
          <w:sz w:val="22"/>
          <w:szCs w:val="22"/>
        </w:rPr>
        <w:t>Five primary studies based in the UK were charted for analysis, all of which were peer-reviewed. These studies were published between 2017 and 2024. They recruited patients from adult general critical care units in England and Northern Ireland including the 24 NHS sites in the POPPI cluster randomised trial (Wade et al., 2019), two NHS trusts in the MENTAL feasibility trial (McWilliams et al., 2023), a London teaching hospital critical care unit (Johnson et al., 2024), Belfast Health and Social Care Trust ICUs (Bannon et al., 2018) and Cambridge University Hospitals adult ICU (Zamoscik, Godbold and Freeman, 2017). Designs included one large multicentre cluster-randomised controlled trial, one feasibility randomised controlled trial, one mixed-methods pilot study, and two qualitative studies. The sample sizes varied from 12 ICU nurses in a focus group study with one site to 1,458 patients in the multicentre cluster trial. A summary of the studies included is provided in Table 1.</w:t>
      </w:r>
    </w:p>
    <w:p w14:paraId="305B307C" w14:textId="77777777" w:rsidR="00DA0D51" w:rsidRPr="008C7138" w:rsidRDefault="008C7138" w:rsidP="00DA0D51">
      <w:pPr>
        <w:spacing w:before="100" w:beforeAutospacing="1" w:after="240" w:line="360" w:lineRule="auto"/>
        <w:jc w:val="both"/>
        <w:rPr>
          <w:rFonts w:ascii="Arial" w:hAnsi="Arial" w:cs="Arial"/>
          <w:sz w:val="22"/>
          <w:szCs w:val="22"/>
        </w:rPr>
      </w:pPr>
      <w:r w:rsidRPr="008C7138">
        <w:rPr>
          <w:rFonts w:ascii="Arial" w:hAnsi="Arial" w:cs="Arial"/>
          <w:b/>
          <w:bCs/>
          <w:sz w:val="22"/>
          <w:szCs w:val="22"/>
        </w:rPr>
        <w:t>Table 1. Summary of included studies</w:t>
      </w:r>
    </w:p>
    <w:tbl>
      <w:tblPr>
        <w:tblStyle w:val="TableGrid"/>
        <w:tblW w:w="0" w:type="auto"/>
        <w:tblLook w:val="04A0" w:firstRow="1" w:lastRow="0" w:firstColumn="1" w:lastColumn="0" w:noHBand="0" w:noVBand="1"/>
      </w:tblPr>
      <w:tblGrid>
        <w:gridCol w:w="1307"/>
        <w:gridCol w:w="1647"/>
        <w:gridCol w:w="1246"/>
        <w:gridCol w:w="1246"/>
        <w:gridCol w:w="1785"/>
        <w:gridCol w:w="1785"/>
      </w:tblGrid>
      <w:tr w:rsidR="009D7AA4" w:rsidRPr="008C7138" w14:paraId="1FDC674D" w14:textId="77777777" w:rsidTr="00DA0D51">
        <w:tc>
          <w:tcPr>
            <w:tcW w:w="0" w:type="auto"/>
            <w:hideMark/>
          </w:tcPr>
          <w:p w14:paraId="355FD67F" w14:textId="77777777" w:rsidR="00DA0D51" w:rsidRPr="008C7138" w:rsidRDefault="008C7138" w:rsidP="00813736">
            <w:pPr>
              <w:spacing w:after="240"/>
              <w:jc w:val="both"/>
              <w:rPr>
                <w:rFonts w:ascii="Arial" w:hAnsi="Arial" w:cs="Arial"/>
                <w:b/>
                <w:bCs/>
                <w:sz w:val="22"/>
                <w:szCs w:val="22"/>
              </w:rPr>
            </w:pPr>
            <w:r w:rsidRPr="008C7138">
              <w:rPr>
                <w:rFonts w:ascii="Arial" w:hAnsi="Arial" w:cs="Arial"/>
                <w:b/>
                <w:bCs/>
                <w:sz w:val="22"/>
                <w:szCs w:val="22"/>
              </w:rPr>
              <w:t>Author (Year)</w:t>
            </w:r>
          </w:p>
        </w:tc>
        <w:tc>
          <w:tcPr>
            <w:tcW w:w="0" w:type="auto"/>
            <w:hideMark/>
          </w:tcPr>
          <w:p w14:paraId="38B48A9F" w14:textId="77777777" w:rsidR="00DA0D51" w:rsidRPr="008C7138" w:rsidRDefault="008C7138" w:rsidP="00813736">
            <w:pPr>
              <w:spacing w:after="240"/>
              <w:jc w:val="both"/>
              <w:rPr>
                <w:rFonts w:ascii="Arial" w:hAnsi="Arial" w:cs="Arial"/>
                <w:b/>
                <w:bCs/>
                <w:sz w:val="22"/>
                <w:szCs w:val="22"/>
              </w:rPr>
            </w:pPr>
            <w:r w:rsidRPr="008C7138">
              <w:rPr>
                <w:rFonts w:ascii="Arial" w:hAnsi="Arial" w:cs="Arial"/>
                <w:b/>
                <w:bCs/>
                <w:sz w:val="22"/>
                <w:szCs w:val="22"/>
              </w:rPr>
              <w:t>UK Setting</w:t>
            </w:r>
          </w:p>
        </w:tc>
        <w:tc>
          <w:tcPr>
            <w:tcW w:w="0" w:type="auto"/>
            <w:hideMark/>
          </w:tcPr>
          <w:p w14:paraId="0136D05B" w14:textId="77777777" w:rsidR="00DA0D51" w:rsidRPr="008C7138" w:rsidRDefault="008C7138" w:rsidP="00813736">
            <w:pPr>
              <w:spacing w:after="240"/>
              <w:jc w:val="both"/>
              <w:rPr>
                <w:rFonts w:ascii="Arial" w:hAnsi="Arial" w:cs="Arial"/>
                <w:b/>
                <w:bCs/>
                <w:sz w:val="22"/>
                <w:szCs w:val="22"/>
              </w:rPr>
            </w:pPr>
            <w:r w:rsidRPr="008C7138">
              <w:rPr>
                <w:rFonts w:ascii="Arial" w:hAnsi="Arial" w:cs="Arial"/>
                <w:b/>
                <w:bCs/>
                <w:sz w:val="22"/>
                <w:szCs w:val="22"/>
              </w:rPr>
              <w:t>Design</w:t>
            </w:r>
          </w:p>
        </w:tc>
        <w:tc>
          <w:tcPr>
            <w:tcW w:w="0" w:type="auto"/>
            <w:hideMark/>
          </w:tcPr>
          <w:p w14:paraId="2EE3D753" w14:textId="77777777" w:rsidR="00DA0D51" w:rsidRPr="008C7138" w:rsidRDefault="008C7138" w:rsidP="00813736">
            <w:pPr>
              <w:spacing w:after="240"/>
              <w:jc w:val="both"/>
              <w:rPr>
                <w:rFonts w:ascii="Arial" w:hAnsi="Arial" w:cs="Arial"/>
                <w:b/>
                <w:bCs/>
                <w:sz w:val="22"/>
                <w:szCs w:val="22"/>
              </w:rPr>
            </w:pPr>
            <w:r w:rsidRPr="008C7138">
              <w:rPr>
                <w:rFonts w:ascii="Arial" w:hAnsi="Arial" w:cs="Arial"/>
                <w:b/>
                <w:bCs/>
                <w:sz w:val="22"/>
                <w:szCs w:val="22"/>
              </w:rPr>
              <w:t>Sample</w:t>
            </w:r>
          </w:p>
        </w:tc>
        <w:tc>
          <w:tcPr>
            <w:tcW w:w="0" w:type="auto"/>
            <w:hideMark/>
          </w:tcPr>
          <w:p w14:paraId="75C861B1" w14:textId="77777777" w:rsidR="00DA0D51" w:rsidRPr="008C7138" w:rsidRDefault="008C7138" w:rsidP="00813736">
            <w:pPr>
              <w:spacing w:after="240"/>
              <w:jc w:val="both"/>
              <w:rPr>
                <w:rFonts w:ascii="Arial" w:hAnsi="Arial" w:cs="Arial"/>
                <w:b/>
                <w:bCs/>
                <w:sz w:val="22"/>
                <w:szCs w:val="22"/>
              </w:rPr>
            </w:pPr>
            <w:r w:rsidRPr="008C7138">
              <w:rPr>
                <w:rFonts w:ascii="Arial" w:hAnsi="Arial" w:cs="Arial"/>
                <w:b/>
                <w:bCs/>
                <w:sz w:val="22"/>
                <w:szCs w:val="22"/>
              </w:rPr>
              <w:t>Intervention or Focus</w:t>
            </w:r>
          </w:p>
        </w:tc>
        <w:tc>
          <w:tcPr>
            <w:tcW w:w="0" w:type="auto"/>
            <w:hideMark/>
          </w:tcPr>
          <w:p w14:paraId="2358C724" w14:textId="77777777" w:rsidR="00DA0D51" w:rsidRPr="008C7138" w:rsidRDefault="008C7138" w:rsidP="00813736">
            <w:pPr>
              <w:spacing w:after="240"/>
              <w:jc w:val="both"/>
              <w:rPr>
                <w:rFonts w:ascii="Arial" w:hAnsi="Arial" w:cs="Arial"/>
                <w:b/>
                <w:bCs/>
                <w:sz w:val="22"/>
                <w:szCs w:val="22"/>
              </w:rPr>
            </w:pPr>
            <w:r w:rsidRPr="008C7138">
              <w:rPr>
                <w:rFonts w:ascii="Arial" w:hAnsi="Arial" w:cs="Arial"/>
                <w:b/>
                <w:bCs/>
                <w:sz w:val="22"/>
                <w:szCs w:val="22"/>
              </w:rPr>
              <w:t>Key Findings</w:t>
            </w:r>
          </w:p>
        </w:tc>
      </w:tr>
      <w:tr w:rsidR="009D7AA4" w:rsidRPr="008C7138" w14:paraId="16135A1A" w14:textId="77777777" w:rsidTr="00DA0D51">
        <w:tc>
          <w:tcPr>
            <w:tcW w:w="0" w:type="auto"/>
            <w:hideMark/>
          </w:tcPr>
          <w:p w14:paraId="6573C9CA" w14:textId="77777777" w:rsidR="00DA0D51" w:rsidRPr="008C7138" w:rsidRDefault="008C7138" w:rsidP="00813736">
            <w:pPr>
              <w:spacing w:after="240"/>
              <w:jc w:val="both"/>
              <w:rPr>
                <w:rFonts w:ascii="Arial" w:hAnsi="Arial" w:cs="Arial"/>
                <w:sz w:val="22"/>
                <w:szCs w:val="22"/>
              </w:rPr>
            </w:pPr>
            <w:r w:rsidRPr="008C7138">
              <w:rPr>
                <w:rFonts w:ascii="Arial" w:hAnsi="Arial" w:cs="Arial"/>
                <w:sz w:val="22"/>
                <w:szCs w:val="22"/>
              </w:rPr>
              <w:t>Wade et al. (2019)</w:t>
            </w:r>
          </w:p>
        </w:tc>
        <w:tc>
          <w:tcPr>
            <w:tcW w:w="0" w:type="auto"/>
            <w:hideMark/>
          </w:tcPr>
          <w:p w14:paraId="26113BE7" w14:textId="77777777" w:rsidR="00DA0D51" w:rsidRPr="008C7138" w:rsidRDefault="008C7138" w:rsidP="00813736">
            <w:pPr>
              <w:spacing w:after="240"/>
              <w:jc w:val="both"/>
              <w:rPr>
                <w:rFonts w:ascii="Arial" w:hAnsi="Arial" w:cs="Arial"/>
                <w:sz w:val="22"/>
                <w:szCs w:val="22"/>
              </w:rPr>
            </w:pPr>
            <w:r w:rsidRPr="008C7138">
              <w:rPr>
                <w:rFonts w:ascii="Arial" w:hAnsi="Arial" w:cs="Arial"/>
                <w:sz w:val="22"/>
                <w:szCs w:val="22"/>
              </w:rPr>
              <w:t>24 NHS adult general ICUs, England</w:t>
            </w:r>
          </w:p>
        </w:tc>
        <w:tc>
          <w:tcPr>
            <w:tcW w:w="0" w:type="auto"/>
            <w:hideMark/>
          </w:tcPr>
          <w:p w14:paraId="7E33C782" w14:textId="77777777" w:rsidR="00DA0D51" w:rsidRPr="008C7138" w:rsidRDefault="008C7138" w:rsidP="00813736">
            <w:pPr>
              <w:spacing w:after="240"/>
              <w:jc w:val="both"/>
              <w:rPr>
                <w:rFonts w:ascii="Arial" w:hAnsi="Arial" w:cs="Arial"/>
                <w:sz w:val="22"/>
                <w:szCs w:val="22"/>
              </w:rPr>
            </w:pPr>
            <w:r w:rsidRPr="008C7138">
              <w:rPr>
                <w:rFonts w:ascii="Arial" w:hAnsi="Arial" w:cs="Arial"/>
                <w:sz w:val="22"/>
                <w:szCs w:val="22"/>
              </w:rPr>
              <w:t>Cluster RCT</w:t>
            </w:r>
          </w:p>
        </w:tc>
        <w:tc>
          <w:tcPr>
            <w:tcW w:w="0" w:type="auto"/>
            <w:hideMark/>
          </w:tcPr>
          <w:p w14:paraId="2379C814" w14:textId="77777777" w:rsidR="00DA0D51" w:rsidRPr="008C7138" w:rsidRDefault="008C7138" w:rsidP="00813736">
            <w:pPr>
              <w:spacing w:after="240"/>
              <w:jc w:val="both"/>
              <w:rPr>
                <w:rFonts w:ascii="Arial" w:hAnsi="Arial" w:cs="Arial"/>
                <w:sz w:val="22"/>
                <w:szCs w:val="22"/>
              </w:rPr>
            </w:pPr>
            <w:r w:rsidRPr="008C7138">
              <w:rPr>
                <w:rFonts w:ascii="Arial" w:hAnsi="Arial" w:cs="Arial"/>
                <w:sz w:val="22"/>
                <w:szCs w:val="22"/>
              </w:rPr>
              <w:t>1,458 patients</w:t>
            </w:r>
          </w:p>
        </w:tc>
        <w:tc>
          <w:tcPr>
            <w:tcW w:w="0" w:type="auto"/>
            <w:hideMark/>
          </w:tcPr>
          <w:p w14:paraId="11FD78DE" w14:textId="77777777" w:rsidR="00DA0D51" w:rsidRPr="008C7138" w:rsidRDefault="008C7138" w:rsidP="00813736">
            <w:pPr>
              <w:spacing w:after="240"/>
              <w:jc w:val="both"/>
              <w:rPr>
                <w:rFonts w:ascii="Arial" w:hAnsi="Arial" w:cs="Arial"/>
                <w:sz w:val="22"/>
                <w:szCs w:val="22"/>
              </w:rPr>
            </w:pPr>
            <w:r w:rsidRPr="008C7138">
              <w:rPr>
                <w:rFonts w:ascii="Arial" w:hAnsi="Arial" w:cs="Arial"/>
                <w:sz w:val="22"/>
                <w:szCs w:val="22"/>
              </w:rPr>
              <w:t>Nurse-led complex preventative psychological intervention including reorientation, reassurance, relaxation, and coping support</w:t>
            </w:r>
          </w:p>
        </w:tc>
        <w:tc>
          <w:tcPr>
            <w:tcW w:w="0" w:type="auto"/>
            <w:hideMark/>
          </w:tcPr>
          <w:p w14:paraId="441288B5" w14:textId="77777777" w:rsidR="00DA0D51" w:rsidRPr="008C7138" w:rsidRDefault="008C7138" w:rsidP="00813736">
            <w:pPr>
              <w:spacing w:after="240"/>
              <w:jc w:val="both"/>
              <w:rPr>
                <w:rFonts w:ascii="Arial" w:hAnsi="Arial" w:cs="Arial"/>
                <w:sz w:val="22"/>
                <w:szCs w:val="22"/>
              </w:rPr>
            </w:pPr>
            <w:r w:rsidRPr="008C7138">
              <w:rPr>
                <w:rFonts w:ascii="Arial" w:hAnsi="Arial" w:cs="Arial"/>
                <w:sz w:val="22"/>
                <w:szCs w:val="22"/>
              </w:rPr>
              <w:t>No significant reduction in patient-reported PTSD symptom severity at 6 months; the intervention was feasible and acceptable to nurses and patients</w:t>
            </w:r>
          </w:p>
        </w:tc>
      </w:tr>
      <w:tr w:rsidR="009D7AA4" w:rsidRPr="008C7138" w14:paraId="7D2661EE" w14:textId="77777777" w:rsidTr="00DA0D51">
        <w:tc>
          <w:tcPr>
            <w:tcW w:w="0" w:type="auto"/>
            <w:hideMark/>
          </w:tcPr>
          <w:p w14:paraId="7F7462D2" w14:textId="77777777" w:rsidR="00DA0D51" w:rsidRPr="008C7138" w:rsidRDefault="008C7138" w:rsidP="00813736">
            <w:pPr>
              <w:spacing w:after="240"/>
              <w:jc w:val="both"/>
              <w:rPr>
                <w:rFonts w:ascii="Arial" w:hAnsi="Arial" w:cs="Arial"/>
                <w:sz w:val="22"/>
                <w:szCs w:val="22"/>
              </w:rPr>
            </w:pPr>
            <w:r w:rsidRPr="008C7138">
              <w:rPr>
                <w:rFonts w:ascii="Arial" w:hAnsi="Arial" w:cs="Arial"/>
                <w:sz w:val="22"/>
                <w:szCs w:val="22"/>
              </w:rPr>
              <w:t>McWilliams et al. (2023)</w:t>
            </w:r>
          </w:p>
        </w:tc>
        <w:tc>
          <w:tcPr>
            <w:tcW w:w="0" w:type="auto"/>
            <w:hideMark/>
          </w:tcPr>
          <w:p w14:paraId="2F000827" w14:textId="77777777" w:rsidR="00DA0D51" w:rsidRPr="008C7138" w:rsidRDefault="008C7138" w:rsidP="00813736">
            <w:pPr>
              <w:spacing w:after="240"/>
              <w:jc w:val="both"/>
              <w:rPr>
                <w:rFonts w:ascii="Arial" w:hAnsi="Arial" w:cs="Arial"/>
                <w:sz w:val="22"/>
                <w:szCs w:val="22"/>
              </w:rPr>
            </w:pPr>
            <w:r w:rsidRPr="008C7138">
              <w:rPr>
                <w:rFonts w:ascii="Arial" w:hAnsi="Arial" w:cs="Arial"/>
                <w:sz w:val="22"/>
                <w:szCs w:val="22"/>
              </w:rPr>
              <w:t>Coventry &amp; Warwickshire and Oxford NHS Trusts</w:t>
            </w:r>
          </w:p>
        </w:tc>
        <w:tc>
          <w:tcPr>
            <w:tcW w:w="0" w:type="auto"/>
            <w:hideMark/>
          </w:tcPr>
          <w:p w14:paraId="2F458F5E" w14:textId="77777777" w:rsidR="00DA0D51" w:rsidRPr="008C7138" w:rsidRDefault="008C7138" w:rsidP="00813736">
            <w:pPr>
              <w:spacing w:after="240"/>
              <w:jc w:val="both"/>
              <w:rPr>
                <w:rFonts w:ascii="Arial" w:hAnsi="Arial" w:cs="Arial"/>
                <w:sz w:val="22"/>
                <w:szCs w:val="22"/>
              </w:rPr>
            </w:pPr>
            <w:r w:rsidRPr="008C7138">
              <w:rPr>
                <w:rFonts w:ascii="Arial" w:hAnsi="Arial" w:cs="Arial"/>
                <w:sz w:val="22"/>
                <w:szCs w:val="22"/>
              </w:rPr>
              <w:t>Feasibility RCT</w:t>
            </w:r>
          </w:p>
        </w:tc>
        <w:tc>
          <w:tcPr>
            <w:tcW w:w="0" w:type="auto"/>
            <w:hideMark/>
          </w:tcPr>
          <w:p w14:paraId="1A99E2C4" w14:textId="77777777" w:rsidR="00DA0D51" w:rsidRPr="008C7138" w:rsidRDefault="008C7138" w:rsidP="00813736">
            <w:pPr>
              <w:spacing w:after="240"/>
              <w:jc w:val="both"/>
              <w:rPr>
                <w:rFonts w:ascii="Arial" w:hAnsi="Arial" w:cs="Arial"/>
                <w:sz w:val="22"/>
                <w:szCs w:val="22"/>
              </w:rPr>
            </w:pPr>
            <w:r w:rsidRPr="008C7138">
              <w:rPr>
                <w:rFonts w:ascii="Arial" w:hAnsi="Arial" w:cs="Arial"/>
                <w:sz w:val="22"/>
                <w:szCs w:val="22"/>
              </w:rPr>
              <w:t>58 patients</w:t>
            </w:r>
          </w:p>
        </w:tc>
        <w:tc>
          <w:tcPr>
            <w:tcW w:w="0" w:type="auto"/>
            <w:hideMark/>
          </w:tcPr>
          <w:p w14:paraId="1C9D35F9" w14:textId="77777777" w:rsidR="00DA0D51" w:rsidRPr="008C7138" w:rsidRDefault="008C7138" w:rsidP="00813736">
            <w:pPr>
              <w:spacing w:after="240"/>
              <w:jc w:val="both"/>
              <w:rPr>
                <w:rFonts w:ascii="Arial" w:hAnsi="Arial" w:cs="Arial"/>
                <w:sz w:val="22"/>
                <w:szCs w:val="22"/>
              </w:rPr>
            </w:pPr>
            <w:r w:rsidRPr="008C7138">
              <w:rPr>
                <w:rFonts w:ascii="Arial" w:hAnsi="Arial" w:cs="Arial"/>
                <w:sz w:val="22"/>
                <w:szCs w:val="22"/>
              </w:rPr>
              <w:t>Evening mobilisation between 19:00 and 21:00 for up to 7 consecutive evenings</w:t>
            </w:r>
          </w:p>
        </w:tc>
        <w:tc>
          <w:tcPr>
            <w:tcW w:w="0" w:type="auto"/>
            <w:hideMark/>
          </w:tcPr>
          <w:p w14:paraId="562C50D8" w14:textId="77777777" w:rsidR="00DA0D51" w:rsidRPr="008C7138" w:rsidRDefault="008C7138" w:rsidP="00813736">
            <w:pPr>
              <w:spacing w:after="240"/>
              <w:jc w:val="both"/>
              <w:rPr>
                <w:rFonts w:ascii="Arial" w:hAnsi="Arial" w:cs="Arial"/>
                <w:sz w:val="22"/>
                <w:szCs w:val="22"/>
              </w:rPr>
            </w:pPr>
            <w:r w:rsidRPr="008C7138">
              <w:rPr>
                <w:rFonts w:ascii="Arial" w:hAnsi="Arial" w:cs="Arial"/>
                <w:sz w:val="22"/>
                <w:szCs w:val="22"/>
              </w:rPr>
              <w:t>Delirium incidence 19% intervention versus 29% control; mean delirium duration 2 versus 4.25 days; intervention feasible and acceptable</w:t>
            </w:r>
          </w:p>
        </w:tc>
      </w:tr>
      <w:tr w:rsidR="009D7AA4" w:rsidRPr="008C7138" w14:paraId="03D58097" w14:textId="77777777" w:rsidTr="00DA0D51">
        <w:tc>
          <w:tcPr>
            <w:tcW w:w="0" w:type="auto"/>
            <w:hideMark/>
          </w:tcPr>
          <w:p w14:paraId="4487E424" w14:textId="77777777" w:rsidR="00DA0D51" w:rsidRPr="008C7138" w:rsidRDefault="008C7138" w:rsidP="00813736">
            <w:pPr>
              <w:spacing w:after="240"/>
              <w:jc w:val="both"/>
              <w:rPr>
                <w:rFonts w:ascii="Arial" w:hAnsi="Arial" w:cs="Arial"/>
                <w:sz w:val="22"/>
                <w:szCs w:val="22"/>
              </w:rPr>
            </w:pPr>
            <w:r w:rsidRPr="008C7138">
              <w:rPr>
                <w:rFonts w:ascii="Arial" w:hAnsi="Arial" w:cs="Arial"/>
                <w:sz w:val="22"/>
                <w:szCs w:val="22"/>
              </w:rPr>
              <w:t>Johnson et al. (2024)</w:t>
            </w:r>
          </w:p>
        </w:tc>
        <w:tc>
          <w:tcPr>
            <w:tcW w:w="0" w:type="auto"/>
            <w:hideMark/>
          </w:tcPr>
          <w:p w14:paraId="2C481C82" w14:textId="77777777" w:rsidR="00DA0D51" w:rsidRPr="008C7138" w:rsidRDefault="008C7138" w:rsidP="00813736">
            <w:pPr>
              <w:spacing w:after="240"/>
              <w:jc w:val="both"/>
              <w:rPr>
                <w:rFonts w:ascii="Arial" w:hAnsi="Arial" w:cs="Arial"/>
                <w:sz w:val="22"/>
                <w:szCs w:val="22"/>
              </w:rPr>
            </w:pPr>
            <w:r w:rsidRPr="008C7138">
              <w:rPr>
                <w:rFonts w:ascii="Arial" w:hAnsi="Arial" w:cs="Arial"/>
                <w:sz w:val="22"/>
                <w:szCs w:val="22"/>
              </w:rPr>
              <w:t>Chelsea and Westminster NHS ICU</w:t>
            </w:r>
          </w:p>
        </w:tc>
        <w:tc>
          <w:tcPr>
            <w:tcW w:w="0" w:type="auto"/>
            <w:hideMark/>
          </w:tcPr>
          <w:p w14:paraId="657A827D" w14:textId="77777777" w:rsidR="00DA0D51" w:rsidRPr="008C7138" w:rsidRDefault="008C7138" w:rsidP="00813736">
            <w:pPr>
              <w:spacing w:after="240"/>
              <w:jc w:val="both"/>
              <w:rPr>
                <w:rFonts w:ascii="Arial" w:hAnsi="Arial" w:cs="Arial"/>
                <w:sz w:val="22"/>
                <w:szCs w:val="22"/>
              </w:rPr>
            </w:pPr>
            <w:r w:rsidRPr="008C7138">
              <w:rPr>
                <w:rFonts w:ascii="Arial" w:hAnsi="Arial" w:cs="Arial"/>
                <w:sz w:val="22"/>
                <w:szCs w:val="22"/>
              </w:rPr>
              <w:t>Mixed-methods pilot</w:t>
            </w:r>
          </w:p>
        </w:tc>
        <w:tc>
          <w:tcPr>
            <w:tcW w:w="0" w:type="auto"/>
            <w:hideMark/>
          </w:tcPr>
          <w:p w14:paraId="27ECD864" w14:textId="77777777" w:rsidR="00DA0D51" w:rsidRPr="008C7138" w:rsidRDefault="008C7138" w:rsidP="00813736">
            <w:pPr>
              <w:spacing w:after="240"/>
              <w:jc w:val="both"/>
              <w:rPr>
                <w:rFonts w:ascii="Arial" w:hAnsi="Arial" w:cs="Arial"/>
                <w:sz w:val="22"/>
                <w:szCs w:val="22"/>
              </w:rPr>
            </w:pPr>
            <w:r w:rsidRPr="008C7138">
              <w:rPr>
                <w:rFonts w:ascii="Arial" w:hAnsi="Arial" w:cs="Arial"/>
                <w:sz w:val="22"/>
                <w:szCs w:val="22"/>
              </w:rPr>
              <w:t xml:space="preserve">30 (15 patients, </w:t>
            </w:r>
            <w:r w:rsidRPr="008C7138">
              <w:rPr>
                <w:rFonts w:ascii="Arial" w:hAnsi="Arial" w:cs="Arial"/>
                <w:sz w:val="22"/>
                <w:szCs w:val="22"/>
              </w:rPr>
              <w:lastRenderedPageBreak/>
              <w:t>15 relatives)</w:t>
            </w:r>
          </w:p>
        </w:tc>
        <w:tc>
          <w:tcPr>
            <w:tcW w:w="0" w:type="auto"/>
            <w:hideMark/>
          </w:tcPr>
          <w:p w14:paraId="44364C25" w14:textId="77777777" w:rsidR="00DA0D51" w:rsidRPr="008C7138" w:rsidRDefault="008C7138" w:rsidP="00813736">
            <w:pPr>
              <w:spacing w:after="240"/>
              <w:jc w:val="both"/>
              <w:rPr>
                <w:rFonts w:ascii="Arial" w:hAnsi="Arial" w:cs="Arial"/>
                <w:sz w:val="22"/>
                <w:szCs w:val="22"/>
              </w:rPr>
            </w:pPr>
            <w:r w:rsidRPr="008C7138">
              <w:rPr>
                <w:rFonts w:ascii="Arial" w:hAnsi="Arial" w:cs="Arial"/>
                <w:sz w:val="22"/>
                <w:szCs w:val="22"/>
              </w:rPr>
              <w:lastRenderedPageBreak/>
              <w:t xml:space="preserve">Family members' voice reorientation intervention </w:t>
            </w:r>
            <w:r w:rsidRPr="008C7138">
              <w:rPr>
                <w:rFonts w:ascii="Arial" w:hAnsi="Arial" w:cs="Arial"/>
                <w:sz w:val="22"/>
                <w:szCs w:val="22"/>
              </w:rPr>
              <w:lastRenderedPageBreak/>
              <w:t>was played to the patient a median of 2.3 times per day</w:t>
            </w:r>
          </w:p>
        </w:tc>
        <w:tc>
          <w:tcPr>
            <w:tcW w:w="0" w:type="auto"/>
            <w:hideMark/>
          </w:tcPr>
          <w:p w14:paraId="7213FCC8" w14:textId="77777777" w:rsidR="00DA0D51" w:rsidRPr="008C7138" w:rsidRDefault="008C7138" w:rsidP="00813736">
            <w:pPr>
              <w:spacing w:after="240"/>
              <w:jc w:val="both"/>
              <w:rPr>
                <w:rFonts w:ascii="Arial" w:hAnsi="Arial" w:cs="Arial"/>
                <w:sz w:val="22"/>
                <w:szCs w:val="22"/>
              </w:rPr>
            </w:pPr>
            <w:r w:rsidRPr="008C7138">
              <w:rPr>
                <w:rFonts w:ascii="Arial" w:hAnsi="Arial" w:cs="Arial"/>
                <w:sz w:val="22"/>
                <w:szCs w:val="22"/>
              </w:rPr>
              <w:lastRenderedPageBreak/>
              <w:t xml:space="preserve">Intervention is feasible and acceptable to patients, </w:t>
            </w:r>
            <w:r w:rsidRPr="008C7138">
              <w:rPr>
                <w:rFonts w:ascii="Arial" w:hAnsi="Arial" w:cs="Arial"/>
                <w:sz w:val="22"/>
                <w:szCs w:val="22"/>
              </w:rPr>
              <w:lastRenderedPageBreak/>
              <w:t>families and nurses; positive perceived effect on orientation and calming</w:t>
            </w:r>
          </w:p>
        </w:tc>
      </w:tr>
      <w:tr w:rsidR="009D7AA4" w:rsidRPr="008C7138" w14:paraId="781FF724" w14:textId="77777777" w:rsidTr="00DA0D51">
        <w:tc>
          <w:tcPr>
            <w:tcW w:w="0" w:type="auto"/>
            <w:hideMark/>
          </w:tcPr>
          <w:p w14:paraId="30B2E51E" w14:textId="77777777" w:rsidR="00DA0D51" w:rsidRPr="008C7138" w:rsidRDefault="008C7138" w:rsidP="00813736">
            <w:pPr>
              <w:spacing w:after="240"/>
              <w:jc w:val="both"/>
              <w:rPr>
                <w:rFonts w:ascii="Arial" w:hAnsi="Arial" w:cs="Arial"/>
                <w:sz w:val="22"/>
                <w:szCs w:val="22"/>
              </w:rPr>
            </w:pPr>
            <w:r w:rsidRPr="008C7138">
              <w:rPr>
                <w:rFonts w:ascii="Arial" w:hAnsi="Arial" w:cs="Arial"/>
                <w:sz w:val="22"/>
                <w:szCs w:val="22"/>
              </w:rPr>
              <w:lastRenderedPageBreak/>
              <w:t>Bannon et al. (2018)</w:t>
            </w:r>
          </w:p>
        </w:tc>
        <w:tc>
          <w:tcPr>
            <w:tcW w:w="0" w:type="auto"/>
            <w:hideMark/>
          </w:tcPr>
          <w:p w14:paraId="5A0C7595" w14:textId="77777777" w:rsidR="00DA0D51" w:rsidRPr="008C7138" w:rsidRDefault="008C7138" w:rsidP="00813736">
            <w:pPr>
              <w:spacing w:after="240"/>
              <w:jc w:val="both"/>
              <w:rPr>
                <w:rFonts w:ascii="Arial" w:hAnsi="Arial" w:cs="Arial"/>
                <w:sz w:val="22"/>
                <w:szCs w:val="22"/>
              </w:rPr>
            </w:pPr>
            <w:r w:rsidRPr="008C7138">
              <w:rPr>
                <w:rFonts w:ascii="Arial" w:hAnsi="Arial" w:cs="Arial"/>
                <w:sz w:val="22"/>
                <w:szCs w:val="22"/>
              </w:rPr>
              <w:t>Belfast Trust ICUs</w:t>
            </w:r>
          </w:p>
        </w:tc>
        <w:tc>
          <w:tcPr>
            <w:tcW w:w="0" w:type="auto"/>
            <w:hideMark/>
          </w:tcPr>
          <w:p w14:paraId="2B07AC1F" w14:textId="77777777" w:rsidR="00DA0D51" w:rsidRPr="008C7138" w:rsidRDefault="008C7138" w:rsidP="00813736">
            <w:pPr>
              <w:spacing w:after="240"/>
              <w:jc w:val="both"/>
              <w:rPr>
                <w:rFonts w:ascii="Arial" w:hAnsi="Arial" w:cs="Arial"/>
                <w:sz w:val="22"/>
                <w:szCs w:val="22"/>
              </w:rPr>
            </w:pPr>
            <w:r w:rsidRPr="008C7138">
              <w:rPr>
                <w:rFonts w:ascii="Arial" w:hAnsi="Arial" w:cs="Arial"/>
                <w:sz w:val="22"/>
                <w:szCs w:val="22"/>
              </w:rPr>
              <w:t>Qualitative descriptive study</w:t>
            </w:r>
          </w:p>
        </w:tc>
        <w:tc>
          <w:tcPr>
            <w:tcW w:w="0" w:type="auto"/>
            <w:hideMark/>
          </w:tcPr>
          <w:p w14:paraId="6062F6AE" w14:textId="77777777" w:rsidR="00DA0D51" w:rsidRPr="008C7138" w:rsidRDefault="008C7138" w:rsidP="00813736">
            <w:pPr>
              <w:spacing w:after="240"/>
              <w:jc w:val="both"/>
              <w:rPr>
                <w:rFonts w:ascii="Arial" w:hAnsi="Arial" w:cs="Arial"/>
                <w:sz w:val="22"/>
                <w:szCs w:val="22"/>
              </w:rPr>
            </w:pPr>
            <w:r w:rsidRPr="008C7138">
              <w:rPr>
                <w:rFonts w:ascii="Arial" w:hAnsi="Arial" w:cs="Arial"/>
                <w:sz w:val="22"/>
                <w:szCs w:val="22"/>
              </w:rPr>
              <w:t>ICU staff, survivors and relatives (focus groups and interviews)</w:t>
            </w:r>
          </w:p>
        </w:tc>
        <w:tc>
          <w:tcPr>
            <w:tcW w:w="0" w:type="auto"/>
            <w:hideMark/>
          </w:tcPr>
          <w:p w14:paraId="4F9E4DBF" w14:textId="77777777" w:rsidR="00DA0D51" w:rsidRPr="008C7138" w:rsidRDefault="008C7138" w:rsidP="00813736">
            <w:pPr>
              <w:spacing w:after="240"/>
              <w:jc w:val="both"/>
              <w:rPr>
                <w:rFonts w:ascii="Arial" w:hAnsi="Arial" w:cs="Arial"/>
                <w:sz w:val="22"/>
                <w:szCs w:val="22"/>
              </w:rPr>
            </w:pPr>
            <w:r w:rsidRPr="008C7138">
              <w:rPr>
                <w:rFonts w:ascii="Arial" w:hAnsi="Arial" w:cs="Arial"/>
                <w:sz w:val="22"/>
                <w:szCs w:val="22"/>
              </w:rPr>
              <w:t>Formative co-design of a nurse-delivered delirium bundle</w:t>
            </w:r>
          </w:p>
        </w:tc>
        <w:tc>
          <w:tcPr>
            <w:tcW w:w="0" w:type="auto"/>
            <w:hideMark/>
          </w:tcPr>
          <w:p w14:paraId="07197EBE" w14:textId="77777777" w:rsidR="00DA0D51" w:rsidRPr="008C7138" w:rsidRDefault="008C7138" w:rsidP="00813736">
            <w:pPr>
              <w:spacing w:after="240"/>
              <w:jc w:val="both"/>
              <w:rPr>
                <w:rFonts w:ascii="Arial" w:hAnsi="Arial" w:cs="Arial"/>
                <w:sz w:val="22"/>
                <w:szCs w:val="22"/>
              </w:rPr>
            </w:pPr>
            <w:r w:rsidRPr="008C7138">
              <w:rPr>
                <w:rFonts w:ascii="Arial" w:hAnsi="Arial" w:cs="Arial"/>
                <w:sz w:val="22"/>
                <w:szCs w:val="22"/>
              </w:rPr>
              <w:t>Reorientation, mobilisation, family presence and nurse education were identified as bundle priorities</w:t>
            </w:r>
          </w:p>
        </w:tc>
      </w:tr>
      <w:tr w:rsidR="009D7AA4" w:rsidRPr="008C7138" w14:paraId="04D14A83" w14:textId="77777777" w:rsidTr="00DA0D51">
        <w:tc>
          <w:tcPr>
            <w:tcW w:w="0" w:type="auto"/>
            <w:hideMark/>
          </w:tcPr>
          <w:p w14:paraId="7D592226" w14:textId="77777777" w:rsidR="00DA0D51" w:rsidRPr="008C7138" w:rsidRDefault="008C7138" w:rsidP="00813736">
            <w:pPr>
              <w:spacing w:after="240"/>
              <w:jc w:val="both"/>
              <w:rPr>
                <w:rFonts w:ascii="Arial" w:hAnsi="Arial" w:cs="Arial"/>
                <w:sz w:val="22"/>
                <w:szCs w:val="22"/>
              </w:rPr>
            </w:pPr>
            <w:r w:rsidRPr="008C7138">
              <w:rPr>
                <w:rFonts w:ascii="Arial" w:hAnsi="Arial" w:cs="Arial"/>
                <w:sz w:val="22"/>
                <w:szCs w:val="22"/>
              </w:rPr>
              <w:t>Zamoscik et al. (2017)</w:t>
            </w:r>
          </w:p>
        </w:tc>
        <w:tc>
          <w:tcPr>
            <w:tcW w:w="0" w:type="auto"/>
            <w:hideMark/>
          </w:tcPr>
          <w:p w14:paraId="5F801898" w14:textId="77777777" w:rsidR="00DA0D51" w:rsidRPr="008C7138" w:rsidRDefault="008C7138" w:rsidP="00813736">
            <w:pPr>
              <w:spacing w:after="240"/>
              <w:jc w:val="both"/>
              <w:rPr>
                <w:rFonts w:ascii="Arial" w:hAnsi="Arial" w:cs="Arial"/>
                <w:sz w:val="22"/>
                <w:szCs w:val="22"/>
              </w:rPr>
            </w:pPr>
            <w:r w:rsidRPr="008C7138">
              <w:rPr>
                <w:rFonts w:ascii="Arial" w:hAnsi="Arial" w:cs="Arial"/>
                <w:sz w:val="22"/>
                <w:szCs w:val="22"/>
              </w:rPr>
              <w:t>Cambridge Addenbrooke's ICU</w:t>
            </w:r>
          </w:p>
        </w:tc>
        <w:tc>
          <w:tcPr>
            <w:tcW w:w="0" w:type="auto"/>
            <w:hideMark/>
          </w:tcPr>
          <w:p w14:paraId="503C64BF" w14:textId="77777777" w:rsidR="00DA0D51" w:rsidRPr="008C7138" w:rsidRDefault="008C7138" w:rsidP="00813736">
            <w:pPr>
              <w:spacing w:after="240"/>
              <w:jc w:val="both"/>
              <w:rPr>
                <w:rFonts w:ascii="Arial" w:hAnsi="Arial" w:cs="Arial"/>
                <w:sz w:val="22"/>
                <w:szCs w:val="22"/>
              </w:rPr>
            </w:pPr>
            <w:r w:rsidRPr="008C7138">
              <w:rPr>
                <w:rFonts w:ascii="Arial" w:hAnsi="Arial" w:cs="Arial"/>
                <w:sz w:val="22"/>
                <w:szCs w:val="22"/>
              </w:rPr>
              <w:t>Qualitative focus groups</w:t>
            </w:r>
          </w:p>
        </w:tc>
        <w:tc>
          <w:tcPr>
            <w:tcW w:w="0" w:type="auto"/>
            <w:hideMark/>
          </w:tcPr>
          <w:p w14:paraId="37F1D1F2" w14:textId="77777777" w:rsidR="00DA0D51" w:rsidRPr="008C7138" w:rsidRDefault="008C7138" w:rsidP="00813736">
            <w:pPr>
              <w:spacing w:after="240"/>
              <w:jc w:val="both"/>
              <w:rPr>
                <w:rFonts w:ascii="Arial" w:hAnsi="Arial" w:cs="Arial"/>
                <w:sz w:val="22"/>
                <w:szCs w:val="22"/>
              </w:rPr>
            </w:pPr>
            <w:r w:rsidRPr="008C7138">
              <w:rPr>
                <w:rFonts w:ascii="Arial" w:hAnsi="Arial" w:cs="Arial"/>
                <w:sz w:val="22"/>
                <w:szCs w:val="22"/>
              </w:rPr>
              <w:t>12 ICU nurses</w:t>
            </w:r>
          </w:p>
        </w:tc>
        <w:tc>
          <w:tcPr>
            <w:tcW w:w="0" w:type="auto"/>
            <w:hideMark/>
          </w:tcPr>
          <w:p w14:paraId="53101398" w14:textId="77777777" w:rsidR="00DA0D51" w:rsidRPr="008C7138" w:rsidRDefault="008C7138" w:rsidP="00813736">
            <w:pPr>
              <w:spacing w:after="240"/>
              <w:jc w:val="both"/>
              <w:rPr>
                <w:rFonts w:ascii="Arial" w:hAnsi="Arial" w:cs="Arial"/>
                <w:sz w:val="22"/>
                <w:szCs w:val="22"/>
              </w:rPr>
            </w:pPr>
            <w:r w:rsidRPr="008C7138">
              <w:rPr>
                <w:rFonts w:ascii="Arial" w:hAnsi="Arial" w:cs="Arial"/>
                <w:sz w:val="22"/>
                <w:szCs w:val="22"/>
              </w:rPr>
              <w:t>Nurses' experiences and perceptions of delirium and delirium care, including non-pharmacological interventions</w:t>
            </w:r>
          </w:p>
        </w:tc>
        <w:tc>
          <w:tcPr>
            <w:tcW w:w="0" w:type="auto"/>
            <w:hideMark/>
          </w:tcPr>
          <w:p w14:paraId="2ACC9087" w14:textId="77777777" w:rsidR="00DA0D51" w:rsidRPr="008C7138" w:rsidRDefault="008C7138" w:rsidP="00813736">
            <w:pPr>
              <w:spacing w:after="240"/>
              <w:jc w:val="both"/>
              <w:rPr>
                <w:rFonts w:ascii="Arial" w:hAnsi="Arial" w:cs="Arial"/>
                <w:sz w:val="22"/>
                <w:szCs w:val="22"/>
              </w:rPr>
            </w:pPr>
            <w:r w:rsidRPr="008C7138">
              <w:rPr>
                <w:rFonts w:ascii="Arial" w:hAnsi="Arial" w:cs="Arial"/>
                <w:sz w:val="22"/>
                <w:szCs w:val="22"/>
              </w:rPr>
              <w:t>Nurses valued non-pharmacological interventions but reported inconsistent delivery, workload constraints and unmet training needs.</w:t>
            </w:r>
          </w:p>
        </w:tc>
      </w:tr>
    </w:tbl>
    <w:p w14:paraId="6E92BD0D" w14:textId="77777777" w:rsidR="00DA0D51" w:rsidRPr="008C7138" w:rsidRDefault="008C7138" w:rsidP="00DA0D51">
      <w:pPr>
        <w:spacing w:before="100" w:beforeAutospacing="1" w:after="240" w:line="360" w:lineRule="auto"/>
        <w:jc w:val="both"/>
        <w:outlineLvl w:val="3"/>
        <w:rPr>
          <w:rFonts w:ascii="Arial" w:hAnsi="Arial" w:cs="Arial"/>
          <w:b/>
          <w:bCs/>
          <w:sz w:val="22"/>
          <w:szCs w:val="22"/>
        </w:rPr>
      </w:pPr>
      <w:r w:rsidRPr="008C7138">
        <w:rPr>
          <w:rFonts w:ascii="Arial" w:hAnsi="Arial" w:cs="Arial"/>
          <w:b/>
          <w:bCs/>
          <w:sz w:val="22"/>
          <w:szCs w:val="22"/>
        </w:rPr>
        <w:t>Thematic Findings</w:t>
      </w:r>
    </w:p>
    <w:p w14:paraId="0E6B9C3A" w14:textId="77777777" w:rsidR="00BF2CFC" w:rsidRPr="008C7138" w:rsidRDefault="008C7138" w:rsidP="00BF2CFC">
      <w:pPr>
        <w:spacing w:before="100" w:beforeAutospacing="1" w:after="240" w:line="360" w:lineRule="auto"/>
        <w:jc w:val="both"/>
        <w:rPr>
          <w:rFonts w:ascii="Arial" w:hAnsi="Arial" w:cs="Arial"/>
          <w:sz w:val="22"/>
          <w:szCs w:val="22"/>
        </w:rPr>
      </w:pPr>
      <w:r w:rsidRPr="008C7138">
        <w:rPr>
          <w:rFonts w:ascii="Arial" w:hAnsi="Arial" w:cs="Arial"/>
          <w:sz w:val="22"/>
          <w:szCs w:val="22"/>
        </w:rPr>
        <w:t>The five studies included in the review were analysed using thematic analysis, resulting in four themes that directly answered the review question and described a category of non-pharmacological nursing interventions reported in the current UK literature.</w:t>
      </w:r>
    </w:p>
    <w:p w14:paraId="51552454" w14:textId="77777777" w:rsidR="00BF2CFC" w:rsidRPr="008C7138" w:rsidRDefault="008C7138" w:rsidP="00BF2CFC">
      <w:pPr>
        <w:spacing w:before="100" w:beforeAutospacing="1" w:after="240" w:line="360" w:lineRule="auto"/>
        <w:jc w:val="both"/>
        <w:rPr>
          <w:rFonts w:ascii="Arial" w:hAnsi="Arial" w:cs="Arial"/>
          <w:b/>
          <w:bCs/>
          <w:sz w:val="22"/>
          <w:szCs w:val="22"/>
        </w:rPr>
      </w:pPr>
      <w:r w:rsidRPr="008C7138">
        <w:rPr>
          <w:rFonts w:ascii="Arial" w:hAnsi="Arial" w:cs="Arial"/>
          <w:b/>
          <w:bCs/>
          <w:sz w:val="22"/>
          <w:szCs w:val="22"/>
        </w:rPr>
        <w:t>Theme 1: Verbal and voice-based reorientation as the core nurse-led intervention</w:t>
      </w:r>
    </w:p>
    <w:p w14:paraId="4A5F7A64" w14:textId="77777777" w:rsidR="00BF2CFC" w:rsidRPr="008C7138" w:rsidRDefault="008C7138" w:rsidP="00BF2CFC">
      <w:pPr>
        <w:spacing w:before="100" w:beforeAutospacing="1" w:after="240" w:line="360" w:lineRule="auto"/>
        <w:jc w:val="both"/>
        <w:rPr>
          <w:rFonts w:ascii="Arial" w:hAnsi="Arial" w:cs="Arial"/>
          <w:sz w:val="22"/>
          <w:szCs w:val="22"/>
        </w:rPr>
      </w:pPr>
      <w:r w:rsidRPr="008C7138">
        <w:rPr>
          <w:rFonts w:ascii="Arial" w:hAnsi="Arial" w:cs="Arial"/>
          <w:sz w:val="22"/>
          <w:szCs w:val="22"/>
        </w:rPr>
        <w:t xml:space="preserve">The most consistently provided intervention in the included studies was reorientation provided by nurses or facilitated by family. Reorientation was operationalised as a complex intervention delivered by nurses during the acute phase of ICU care, through calendar and event orientation, reassurance, and coping (Wade et al., 2019). This was further developed by Johnson et al. (2024), who created pre-recorded family voice messages as a nurse-supervised reorientation aid, which was found to be feasible and acceptable in a UK NHS context. Bannon et al. (2018) found that reorientation was the most important part of the nurse-led bundle among ICU staff, survivors, and relatives, and Zamoscik, Godbold, and Freeman (2017) noted that reorientation was an intuitive practice for Cambridge ICU nurses but was inconsistent when workload increased. These findings collectively position verbal and voice-based </w:t>
      </w:r>
      <w:r w:rsidRPr="008C7138">
        <w:rPr>
          <w:rFonts w:ascii="Arial" w:hAnsi="Arial" w:cs="Arial"/>
          <w:sz w:val="22"/>
          <w:szCs w:val="22"/>
        </w:rPr>
        <w:lastRenderedPageBreak/>
        <w:t>reorientation as the nurse-led delirium-prevention intervention with the most basic components described in the current UK literature.</w:t>
      </w:r>
    </w:p>
    <w:p w14:paraId="4BE719EE" w14:textId="77777777" w:rsidR="00BF2CFC" w:rsidRPr="008C7138" w:rsidRDefault="008C7138" w:rsidP="00BF2CFC">
      <w:pPr>
        <w:spacing w:before="100" w:beforeAutospacing="1" w:after="240" w:line="360" w:lineRule="auto"/>
        <w:jc w:val="both"/>
        <w:rPr>
          <w:rFonts w:ascii="Arial" w:hAnsi="Arial" w:cs="Arial"/>
          <w:b/>
          <w:bCs/>
          <w:sz w:val="22"/>
          <w:szCs w:val="22"/>
        </w:rPr>
      </w:pPr>
      <w:r w:rsidRPr="008C7138">
        <w:rPr>
          <w:rFonts w:ascii="Arial" w:hAnsi="Arial" w:cs="Arial"/>
          <w:b/>
          <w:bCs/>
          <w:sz w:val="22"/>
          <w:szCs w:val="22"/>
        </w:rPr>
        <w:t>Theme 2: Physical mobilisation as a nurse-supported, time-sensitive intervention</w:t>
      </w:r>
    </w:p>
    <w:p w14:paraId="7BDAA3DD" w14:textId="77777777" w:rsidR="00BF2CFC" w:rsidRPr="008C7138" w:rsidRDefault="008C7138" w:rsidP="00BF2CFC">
      <w:pPr>
        <w:spacing w:before="100" w:beforeAutospacing="1" w:after="240" w:line="360" w:lineRule="auto"/>
        <w:jc w:val="both"/>
        <w:rPr>
          <w:rFonts w:ascii="Arial" w:hAnsi="Arial" w:cs="Arial"/>
          <w:sz w:val="22"/>
          <w:szCs w:val="22"/>
        </w:rPr>
      </w:pPr>
      <w:r w:rsidRPr="008C7138">
        <w:rPr>
          <w:rFonts w:ascii="Arial" w:hAnsi="Arial" w:cs="Arial"/>
          <w:sz w:val="22"/>
          <w:szCs w:val="22"/>
        </w:rPr>
        <w:t>Physical mobilisation emerged as a unique and growing supported intervention. The MENTAL feasibility trial showed that nurse-supported evening mobilisation (19:00–21:00) was feasible and safe, and was associated with a reduced incidence of delirium and shorter delirium duration in the intervention arm (McWilliams et al., 2023). Early mobilisation was identified as a co-designed bundle priority by Bannon et al. (2018), but staff and survivors also noted staffing and equipment as barriers. Daytime mobilisation was not assessed as a single intervention in any of the included studies and is also a UK evidence gap. Mobilisation is thus a nurse-supported intervention that has shown promise in the current literature and is time-sensitive, in need of full-scale evaluation.</w:t>
      </w:r>
    </w:p>
    <w:p w14:paraId="0DCD3E6A" w14:textId="77777777" w:rsidR="00BF2CFC" w:rsidRPr="008C7138" w:rsidRDefault="008C7138" w:rsidP="00BF2CFC">
      <w:pPr>
        <w:spacing w:before="100" w:beforeAutospacing="1" w:after="240" w:line="360" w:lineRule="auto"/>
        <w:jc w:val="both"/>
        <w:rPr>
          <w:rFonts w:ascii="Arial" w:hAnsi="Arial" w:cs="Arial"/>
          <w:b/>
          <w:bCs/>
          <w:sz w:val="22"/>
          <w:szCs w:val="22"/>
        </w:rPr>
      </w:pPr>
      <w:r w:rsidRPr="008C7138">
        <w:rPr>
          <w:rFonts w:ascii="Arial" w:hAnsi="Arial" w:cs="Arial"/>
          <w:b/>
          <w:bCs/>
          <w:sz w:val="22"/>
          <w:szCs w:val="22"/>
        </w:rPr>
        <w:t>Theme 3: Family integration and psychosocial support as adjuncts to nursing care</w:t>
      </w:r>
    </w:p>
    <w:p w14:paraId="15E015FE" w14:textId="77777777" w:rsidR="00BF2CFC" w:rsidRPr="008C7138" w:rsidRDefault="008C7138" w:rsidP="00BF2CFC">
      <w:pPr>
        <w:spacing w:before="100" w:beforeAutospacing="1" w:after="240" w:line="360" w:lineRule="auto"/>
        <w:jc w:val="both"/>
        <w:rPr>
          <w:rFonts w:ascii="Arial" w:hAnsi="Arial" w:cs="Arial"/>
          <w:sz w:val="22"/>
          <w:szCs w:val="22"/>
        </w:rPr>
      </w:pPr>
      <w:r w:rsidRPr="008C7138">
        <w:rPr>
          <w:rFonts w:ascii="Arial" w:hAnsi="Arial" w:cs="Arial"/>
          <w:sz w:val="22"/>
          <w:szCs w:val="22"/>
        </w:rPr>
        <w:t>Family involvement was found to be an intervention modality and a facilitator for other non-pharmaceutical interventions. Johnson et al. (2024) described family voice reorientation as a distinct intervention to be delivered under the supervision of a nurse, and Bannon et al. (2018) reported that family presence and participation were components of a co-designed bundle, recommended by survivors and relatives themselves. Although not delivered directly, the psychological reassurance and coping content in the POPPI intervention could be extended to family communication (Wade et al., 2019). Zamoscik, Godbold and Freeman (2017) found that nurses also felt that engaging with the family was beneficial for reducing patient distress, but that this was not often organised in practice. This theme captures the growing trend of delirium prevention moving beyond a staff-driven to a nurse-led, family-centred approach.</w:t>
      </w:r>
    </w:p>
    <w:p w14:paraId="50B86E90" w14:textId="77777777" w:rsidR="00BF2CFC" w:rsidRPr="008C7138" w:rsidRDefault="008C7138" w:rsidP="00BF2CFC">
      <w:pPr>
        <w:spacing w:before="100" w:beforeAutospacing="1" w:after="240" w:line="360" w:lineRule="auto"/>
        <w:jc w:val="both"/>
        <w:rPr>
          <w:rFonts w:ascii="Arial" w:hAnsi="Arial" w:cs="Arial"/>
          <w:b/>
          <w:bCs/>
          <w:sz w:val="22"/>
          <w:szCs w:val="22"/>
        </w:rPr>
      </w:pPr>
      <w:r w:rsidRPr="008C7138">
        <w:rPr>
          <w:rFonts w:ascii="Arial" w:hAnsi="Arial" w:cs="Arial"/>
          <w:b/>
          <w:bCs/>
          <w:sz w:val="22"/>
          <w:szCs w:val="22"/>
        </w:rPr>
        <w:t>Theme 4: Nurse-led implementation and organisational determinants of delivery</w:t>
      </w:r>
    </w:p>
    <w:p w14:paraId="4E767A7B" w14:textId="77777777" w:rsidR="00DA0D51" w:rsidRPr="008C7138" w:rsidRDefault="008C7138" w:rsidP="00BF2CFC">
      <w:pPr>
        <w:spacing w:before="100" w:beforeAutospacing="1" w:after="240" w:line="360" w:lineRule="auto"/>
        <w:jc w:val="both"/>
        <w:rPr>
          <w:rFonts w:ascii="Arial" w:hAnsi="Arial" w:cs="Arial"/>
          <w:sz w:val="22"/>
          <w:szCs w:val="22"/>
        </w:rPr>
      </w:pPr>
      <w:r w:rsidRPr="008C7138">
        <w:rPr>
          <w:rFonts w:ascii="Arial" w:hAnsi="Arial" w:cs="Arial"/>
          <w:sz w:val="22"/>
          <w:szCs w:val="22"/>
        </w:rPr>
        <w:t xml:space="preserve">In all five studies, the intervention content was as much a factor as workforce, workload, and training in shaping the implementation of non-pharmacological interventions. Wade et al. (2019) needed a structured nurse education package to standardise the delivery of POPPI across 24 sites, and Bannon et al. (2018) suggested that any nurse-delivered bundle should be supported by protected training time. Nurses appreciated non-pharmacological interventions but cited competing clinical priorities, low institutional awareness of delirium, and limited post-registration education as obstacles to the consistent provision of these interventions (Zamoscik, Godbold and Freeman, 2017). Feasibility was high when a structured </w:t>
      </w:r>
      <w:r w:rsidRPr="008C7138">
        <w:rPr>
          <w:rFonts w:ascii="Arial" w:hAnsi="Arial" w:cs="Arial"/>
          <w:sz w:val="22"/>
          <w:szCs w:val="22"/>
        </w:rPr>
        <w:lastRenderedPageBreak/>
        <w:t>protocol and dedicated evening staffing were provided (McWilliams et al., 2023), suggesting that the effectiveness of the intervention in UK ICUs depends on parallel investment in the organisation.</w:t>
      </w:r>
    </w:p>
    <w:p w14:paraId="3245974D" w14:textId="77777777" w:rsidR="00F473F8" w:rsidRPr="008C7138" w:rsidRDefault="00F473F8" w:rsidP="00DA0D51">
      <w:pPr>
        <w:spacing w:before="100" w:beforeAutospacing="1" w:after="240" w:line="360" w:lineRule="auto"/>
        <w:jc w:val="both"/>
        <w:rPr>
          <w:rFonts w:ascii="Arial" w:hAnsi="Arial" w:cs="Arial"/>
          <w:sz w:val="22"/>
          <w:szCs w:val="22"/>
        </w:rPr>
        <w:sectPr w:rsidR="00F473F8" w:rsidRPr="008C7138" w:rsidSect="00D34B8F">
          <w:pgSz w:w="11906" w:h="16838"/>
          <w:pgMar w:top="1474" w:right="1440" w:bottom="1440" w:left="1440" w:header="720" w:footer="720" w:gutter="0"/>
          <w:cols w:space="708"/>
          <w:docGrid w:linePitch="360"/>
        </w:sectPr>
      </w:pPr>
    </w:p>
    <w:p w14:paraId="32CA3DEA" w14:textId="77777777" w:rsidR="00F473F8" w:rsidRPr="008C7138" w:rsidRDefault="008C7138" w:rsidP="00DA0D51">
      <w:pPr>
        <w:spacing w:before="100" w:beforeAutospacing="1" w:after="240" w:line="360" w:lineRule="auto"/>
        <w:jc w:val="both"/>
        <w:rPr>
          <w:rFonts w:ascii="Arial" w:hAnsi="Arial" w:cs="Arial"/>
          <w:b/>
          <w:bCs/>
          <w:sz w:val="22"/>
          <w:szCs w:val="22"/>
          <w:lang w:val="en-US"/>
        </w:rPr>
      </w:pPr>
      <w:r w:rsidRPr="008C7138">
        <w:rPr>
          <w:rFonts w:ascii="Arial" w:hAnsi="Arial" w:cs="Arial"/>
          <w:b/>
          <w:bCs/>
          <w:sz w:val="22"/>
          <w:szCs w:val="22"/>
          <w:lang w:val="en-US"/>
        </w:rPr>
        <w:lastRenderedPageBreak/>
        <w:t>DISCUSSION</w:t>
      </w:r>
    </w:p>
    <w:p w14:paraId="13B604CA" w14:textId="77777777" w:rsidR="00BF2CFC" w:rsidRPr="008C7138" w:rsidRDefault="008C7138" w:rsidP="00BF2CFC">
      <w:pPr>
        <w:spacing w:before="100" w:beforeAutospacing="1" w:after="240" w:line="360" w:lineRule="auto"/>
        <w:jc w:val="both"/>
        <w:rPr>
          <w:rFonts w:ascii="Arial" w:hAnsi="Arial" w:cs="Arial"/>
          <w:sz w:val="22"/>
          <w:szCs w:val="22"/>
          <w:lang w:val="en-US"/>
        </w:rPr>
      </w:pPr>
      <w:r w:rsidRPr="008C7138">
        <w:rPr>
          <w:rFonts w:ascii="Arial" w:hAnsi="Arial" w:cs="Arial"/>
          <w:sz w:val="22"/>
          <w:szCs w:val="22"/>
          <w:lang w:val="en-US"/>
        </w:rPr>
        <w:t>This scoping review identified five primary studies in the UK that mapped onto the review question and yielded four themes of nurse-led non-pharmacological interventions for delirium prevention in adult ICU patients. The following discussion places each theme in the context of the international literature, identifies similarities and differences with other evidence and draws conclusions for critical care nurses in the NHS.</w:t>
      </w:r>
    </w:p>
    <w:p w14:paraId="48E27780" w14:textId="77777777" w:rsidR="00BF2CFC" w:rsidRPr="008C7138" w:rsidRDefault="008C7138" w:rsidP="00BF2CFC">
      <w:pPr>
        <w:spacing w:before="100" w:beforeAutospacing="1" w:after="240" w:line="360" w:lineRule="auto"/>
        <w:jc w:val="both"/>
        <w:rPr>
          <w:rFonts w:ascii="Arial" w:hAnsi="Arial" w:cs="Arial"/>
          <w:sz w:val="22"/>
          <w:szCs w:val="22"/>
          <w:lang w:val="en-US"/>
        </w:rPr>
      </w:pPr>
      <w:r w:rsidRPr="008C7138">
        <w:rPr>
          <w:rFonts w:ascii="Arial" w:hAnsi="Arial" w:cs="Arial"/>
          <w:sz w:val="22"/>
          <w:szCs w:val="22"/>
          <w:lang w:val="en-US"/>
        </w:rPr>
        <w:t>International evidence suggests that verbal and voice-based reorientation is the essential nurse-led delirium prevention intervention. Reorientation is a key element of the ABCDEF bundle (Devlin et al., 2018) and is the main intervention in multicomponent studies conducted in the Netherlands, Brazil and South Korea (Moon and Lee, 2015; Rood et al., 2021; Faustino et al., 2022). Where the UK studies differ from the wider literature is in the sophistication of delivery: Wade et al. (2019) delivered a formal complex psychological intervention, based on cognitive-</w:t>
      </w:r>
      <w:proofErr w:type="spellStart"/>
      <w:r w:rsidRPr="008C7138">
        <w:rPr>
          <w:rFonts w:ascii="Arial" w:hAnsi="Arial" w:cs="Arial"/>
          <w:sz w:val="22"/>
          <w:szCs w:val="22"/>
          <w:lang w:val="en-US"/>
        </w:rPr>
        <w:t>behavioural</w:t>
      </w:r>
      <w:proofErr w:type="spellEnd"/>
      <w:r w:rsidRPr="008C7138">
        <w:rPr>
          <w:rFonts w:ascii="Arial" w:hAnsi="Arial" w:cs="Arial"/>
          <w:sz w:val="22"/>
          <w:szCs w:val="22"/>
          <w:lang w:val="en-US"/>
        </w:rPr>
        <w:t xml:space="preserve"> principles, while Johnson et al. (2024) took the field a step further by using family voice recordings to deliver reorientation, which has limited international precedent. This is in line with the emerging awareness that the therapeutic nature of the reorientation encounter, and not the number of encounters, may be the active ingredient (Bannon et al., 2019). The consistent finding from </w:t>
      </w:r>
      <w:proofErr w:type="spellStart"/>
      <w:r w:rsidRPr="008C7138">
        <w:rPr>
          <w:rFonts w:ascii="Arial" w:hAnsi="Arial" w:cs="Arial"/>
          <w:sz w:val="22"/>
          <w:szCs w:val="22"/>
          <w:lang w:val="en-US"/>
        </w:rPr>
        <w:t>Zamoscik</w:t>
      </w:r>
      <w:proofErr w:type="spellEnd"/>
      <w:r w:rsidRPr="008C7138">
        <w:rPr>
          <w:rFonts w:ascii="Arial" w:hAnsi="Arial" w:cs="Arial"/>
          <w:sz w:val="22"/>
          <w:szCs w:val="22"/>
          <w:lang w:val="en-US"/>
        </w:rPr>
        <w:t xml:space="preserve">, </w:t>
      </w:r>
      <w:proofErr w:type="spellStart"/>
      <w:r w:rsidRPr="008C7138">
        <w:rPr>
          <w:rFonts w:ascii="Arial" w:hAnsi="Arial" w:cs="Arial"/>
          <w:sz w:val="22"/>
          <w:szCs w:val="22"/>
          <w:lang w:val="en-US"/>
        </w:rPr>
        <w:t>Godbold</w:t>
      </w:r>
      <w:proofErr w:type="spellEnd"/>
      <w:r w:rsidRPr="008C7138">
        <w:rPr>
          <w:rFonts w:ascii="Arial" w:hAnsi="Arial" w:cs="Arial"/>
          <w:sz w:val="22"/>
          <w:szCs w:val="22"/>
          <w:lang w:val="en-US"/>
        </w:rPr>
        <w:t xml:space="preserve"> and Freeman (2017) that reorientation is delivered inconsistently in UK practice has been observed internationally, with Devlin et al. (2018) reporting that less than 40 per cent of ICUs deliver reorientation to guideline standard.</w:t>
      </w:r>
    </w:p>
    <w:p w14:paraId="330F333B" w14:textId="77777777" w:rsidR="00BF2CFC" w:rsidRPr="008C7138" w:rsidRDefault="008C7138" w:rsidP="00BF2CFC">
      <w:pPr>
        <w:spacing w:before="100" w:beforeAutospacing="1" w:after="240" w:line="360" w:lineRule="auto"/>
        <w:jc w:val="both"/>
        <w:rPr>
          <w:rFonts w:ascii="Arial" w:hAnsi="Arial" w:cs="Arial"/>
          <w:sz w:val="22"/>
          <w:szCs w:val="22"/>
          <w:lang w:val="en-US"/>
        </w:rPr>
      </w:pPr>
      <w:r w:rsidRPr="008C7138">
        <w:rPr>
          <w:rFonts w:ascii="Arial" w:hAnsi="Arial" w:cs="Arial"/>
          <w:sz w:val="22"/>
          <w:szCs w:val="22"/>
          <w:lang w:val="en-US"/>
        </w:rPr>
        <w:t xml:space="preserve">The second theme, physical </w:t>
      </w:r>
      <w:proofErr w:type="spellStart"/>
      <w:r w:rsidRPr="008C7138">
        <w:rPr>
          <w:rFonts w:ascii="Arial" w:hAnsi="Arial" w:cs="Arial"/>
          <w:sz w:val="22"/>
          <w:szCs w:val="22"/>
          <w:lang w:val="en-US"/>
        </w:rPr>
        <w:t>mobilisation</w:t>
      </w:r>
      <w:proofErr w:type="spellEnd"/>
      <w:r w:rsidRPr="008C7138">
        <w:rPr>
          <w:rFonts w:ascii="Arial" w:hAnsi="Arial" w:cs="Arial"/>
          <w:sz w:val="22"/>
          <w:szCs w:val="22"/>
          <w:lang w:val="en-US"/>
        </w:rPr>
        <w:t xml:space="preserve"> as a nurse-supported and time-sensitive intervention, is, overall, consistent with international meta-analytic results showing that early </w:t>
      </w:r>
      <w:proofErr w:type="spellStart"/>
      <w:r w:rsidRPr="008C7138">
        <w:rPr>
          <w:rFonts w:ascii="Arial" w:hAnsi="Arial" w:cs="Arial"/>
          <w:sz w:val="22"/>
          <w:szCs w:val="22"/>
          <w:lang w:val="en-US"/>
        </w:rPr>
        <w:t>mobilisation</w:t>
      </w:r>
      <w:proofErr w:type="spellEnd"/>
      <w:r w:rsidRPr="008C7138">
        <w:rPr>
          <w:rFonts w:ascii="Arial" w:hAnsi="Arial" w:cs="Arial"/>
          <w:sz w:val="22"/>
          <w:szCs w:val="22"/>
          <w:lang w:val="en-US"/>
        </w:rPr>
        <w:t xml:space="preserve"> reduces the risk of delirium by about half in critically ill adults (</w:t>
      </w:r>
      <w:proofErr w:type="spellStart"/>
      <w:r w:rsidRPr="008C7138">
        <w:rPr>
          <w:rFonts w:ascii="Arial" w:hAnsi="Arial" w:cs="Arial"/>
          <w:sz w:val="22"/>
          <w:szCs w:val="22"/>
          <w:lang w:val="en-US"/>
        </w:rPr>
        <w:t>Fuke</w:t>
      </w:r>
      <w:proofErr w:type="spellEnd"/>
      <w:r w:rsidRPr="008C7138">
        <w:rPr>
          <w:rFonts w:ascii="Arial" w:hAnsi="Arial" w:cs="Arial"/>
          <w:sz w:val="22"/>
          <w:szCs w:val="22"/>
          <w:lang w:val="en-US"/>
        </w:rPr>
        <w:t xml:space="preserve"> et al., 2018; Bannon et al., 2019). The timing dimension, as identified by McWilliams et al. (2023), is, however, a new contribution from the UK. Early and intensive </w:t>
      </w:r>
      <w:proofErr w:type="spellStart"/>
      <w:r w:rsidRPr="008C7138">
        <w:rPr>
          <w:rFonts w:ascii="Arial" w:hAnsi="Arial" w:cs="Arial"/>
          <w:sz w:val="22"/>
          <w:szCs w:val="22"/>
          <w:lang w:val="en-US"/>
        </w:rPr>
        <w:t>mobilisation</w:t>
      </w:r>
      <w:proofErr w:type="spellEnd"/>
      <w:r w:rsidRPr="008C7138">
        <w:rPr>
          <w:rFonts w:ascii="Arial" w:hAnsi="Arial" w:cs="Arial"/>
          <w:sz w:val="22"/>
          <w:szCs w:val="22"/>
          <w:lang w:val="en-US"/>
        </w:rPr>
        <w:t xml:space="preserve"> trials, including the </w:t>
      </w:r>
      <w:proofErr w:type="spellStart"/>
      <w:r w:rsidRPr="008C7138">
        <w:rPr>
          <w:rFonts w:ascii="Arial" w:hAnsi="Arial" w:cs="Arial"/>
          <w:sz w:val="22"/>
          <w:szCs w:val="22"/>
          <w:lang w:val="en-US"/>
        </w:rPr>
        <w:t>multicentre</w:t>
      </w:r>
      <w:proofErr w:type="spellEnd"/>
      <w:r w:rsidRPr="008C7138">
        <w:rPr>
          <w:rFonts w:ascii="Arial" w:hAnsi="Arial" w:cs="Arial"/>
          <w:sz w:val="22"/>
          <w:szCs w:val="22"/>
          <w:lang w:val="en-US"/>
        </w:rPr>
        <w:t xml:space="preserve"> TEAM study, showed no evidence that such an aggressive approach improved day-alive and out-of-hospital outcomes and was associated with more adverse events, thus challenging a uniformly aggressive approach (Hodgson et al., 2022). By examining evening </w:t>
      </w:r>
      <w:proofErr w:type="spellStart"/>
      <w:r w:rsidRPr="008C7138">
        <w:rPr>
          <w:rFonts w:ascii="Arial" w:hAnsi="Arial" w:cs="Arial"/>
          <w:sz w:val="22"/>
          <w:szCs w:val="22"/>
          <w:lang w:val="en-US"/>
        </w:rPr>
        <w:t>mobilisation</w:t>
      </w:r>
      <w:proofErr w:type="spellEnd"/>
      <w:r w:rsidRPr="008C7138">
        <w:rPr>
          <w:rFonts w:ascii="Arial" w:hAnsi="Arial" w:cs="Arial"/>
          <w:sz w:val="22"/>
          <w:szCs w:val="22"/>
          <w:lang w:val="en-US"/>
        </w:rPr>
        <w:t xml:space="preserve"> rather than daytime </w:t>
      </w:r>
      <w:proofErr w:type="spellStart"/>
      <w:r w:rsidRPr="008C7138">
        <w:rPr>
          <w:rFonts w:ascii="Arial" w:hAnsi="Arial" w:cs="Arial"/>
          <w:sz w:val="22"/>
          <w:szCs w:val="22"/>
          <w:lang w:val="en-US"/>
        </w:rPr>
        <w:t>mobilisation</w:t>
      </w:r>
      <w:proofErr w:type="spellEnd"/>
      <w:r w:rsidRPr="008C7138">
        <w:rPr>
          <w:rFonts w:ascii="Arial" w:hAnsi="Arial" w:cs="Arial"/>
          <w:sz w:val="22"/>
          <w:szCs w:val="22"/>
          <w:lang w:val="en-US"/>
        </w:rPr>
        <w:t xml:space="preserve">, the MENTAL feasibility trial addresses a specific evidence gap: the circadian window most closely linked to </w:t>
      </w:r>
      <w:proofErr w:type="spellStart"/>
      <w:r w:rsidRPr="008C7138">
        <w:rPr>
          <w:rFonts w:ascii="Arial" w:hAnsi="Arial" w:cs="Arial"/>
          <w:sz w:val="22"/>
          <w:szCs w:val="22"/>
          <w:lang w:val="en-US"/>
        </w:rPr>
        <w:t>sundowning</w:t>
      </w:r>
      <w:proofErr w:type="spellEnd"/>
      <w:r w:rsidRPr="008C7138">
        <w:rPr>
          <w:rFonts w:ascii="Arial" w:hAnsi="Arial" w:cs="Arial"/>
          <w:sz w:val="22"/>
          <w:szCs w:val="22"/>
          <w:lang w:val="en-US"/>
        </w:rPr>
        <w:t xml:space="preserve"> and disrupted sleep-wake regulation (McWilliams et al., 2023). In part, this helps resolve the paradox between TEAM's null results and the encouraging findings from the smaller </w:t>
      </w:r>
      <w:proofErr w:type="spellStart"/>
      <w:r w:rsidRPr="008C7138">
        <w:rPr>
          <w:rFonts w:ascii="Arial" w:hAnsi="Arial" w:cs="Arial"/>
          <w:sz w:val="22"/>
          <w:szCs w:val="22"/>
          <w:lang w:val="en-US"/>
        </w:rPr>
        <w:t>mobilisation</w:t>
      </w:r>
      <w:proofErr w:type="spellEnd"/>
      <w:r w:rsidRPr="008C7138">
        <w:rPr>
          <w:rFonts w:ascii="Arial" w:hAnsi="Arial" w:cs="Arial"/>
          <w:sz w:val="22"/>
          <w:szCs w:val="22"/>
          <w:lang w:val="en-US"/>
        </w:rPr>
        <w:t xml:space="preserve"> studies by suggesting that the difference in effect size may be due to timing rather than intensity. In the </w:t>
      </w:r>
      <w:r w:rsidRPr="008C7138">
        <w:rPr>
          <w:rFonts w:ascii="Arial" w:hAnsi="Arial" w:cs="Arial"/>
          <w:sz w:val="22"/>
          <w:szCs w:val="22"/>
          <w:lang w:val="en-US"/>
        </w:rPr>
        <w:lastRenderedPageBreak/>
        <w:t xml:space="preserve">context of NHS practice, this means that evening </w:t>
      </w:r>
      <w:proofErr w:type="spellStart"/>
      <w:r w:rsidRPr="008C7138">
        <w:rPr>
          <w:rFonts w:ascii="Arial" w:hAnsi="Arial" w:cs="Arial"/>
          <w:sz w:val="22"/>
          <w:szCs w:val="22"/>
          <w:lang w:val="en-US"/>
        </w:rPr>
        <w:t>mobilisation</w:t>
      </w:r>
      <w:proofErr w:type="spellEnd"/>
      <w:r w:rsidRPr="008C7138">
        <w:rPr>
          <w:rFonts w:ascii="Arial" w:hAnsi="Arial" w:cs="Arial"/>
          <w:sz w:val="22"/>
          <w:szCs w:val="22"/>
          <w:lang w:val="en-US"/>
        </w:rPr>
        <w:t xml:space="preserve"> may be incorporated into the current rehabilitation pathway without the need to increase daytime resources.</w:t>
      </w:r>
    </w:p>
    <w:p w14:paraId="692D2E15" w14:textId="77777777" w:rsidR="00BF2CFC" w:rsidRPr="008C7138" w:rsidRDefault="008C7138" w:rsidP="00BF2CFC">
      <w:pPr>
        <w:spacing w:before="100" w:beforeAutospacing="1" w:after="240" w:line="360" w:lineRule="auto"/>
        <w:jc w:val="both"/>
        <w:rPr>
          <w:rFonts w:ascii="Arial" w:hAnsi="Arial" w:cs="Arial"/>
          <w:sz w:val="22"/>
          <w:szCs w:val="22"/>
          <w:lang w:val="en-US"/>
        </w:rPr>
      </w:pPr>
      <w:r w:rsidRPr="008C7138">
        <w:rPr>
          <w:rFonts w:ascii="Arial" w:hAnsi="Arial" w:cs="Arial"/>
          <w:sz w:val="22"/>
          <w:szCs w:val="22"/>
          <w:lang w:val="en-US"/>
        </w:rPr>
        <w:t xml:space="preserve">The third theme – family integration and psychosocial support – is supported internationally but with important caveats. Despite the strong theoretical rationale, the ICU Visits </w:t>
      </w:r>
      <w:proofErr w:type="spellStart"/>
      <w:r w:rsidRPr="008C7138">
        <w:rPr>
          <w:rFonts w:ascii="Arial" w:hAnsi="Arial" w:cs="Arial"/>
          <w:sz w:val="22"/>
          <w:szCs w:val="22"/>
          <w:lang w:val="en-US"/>
        </w:rPr>
        <w:t>randomised</w:t>
      </w:r>
      <w:proofErr w:type="spellEnd"/>
      <w:r w:rsidRPr="008C7138">
        <w:rPr>
          <w:rFonts w:ascii="Arial" w:hAnsi="Arial" w:cs="Arial"/>
          <w:sz w:val="22"/>
          <w:szCs w:val="22"/>
          <w:lang w:val="en-US"/>
        </w:rPr>
        <w:t xml:space="preserve"> trial in Brazil did not show a significant difference in the incidence of delirium in the primary analysis (Rosa et al., 2019). This apparent contradiction with Johnson et al. (2024) and Bannon et al. (2018) could be due to the specificity of the intervention: passive family presence is different from structured family voice reorientation or co-designed bundle participation. Li et al. (2025) conducted a recent systematic review of family participation interventions and found that structured, </w:t>
      </w:r>
      <w:proofErr w:type="spellStart"/>
      <w:r w:rsidRPr="008C7138">
        <w:rPr>
          <w:rFonts w:ascii="Arial" w:hAnsi="Arial" w:cs="Arial"/>
          <w:sz w:val="22"/>
          <w:szCs w:val="22"/>
          <w:lang w:val="en-US"/>
        </w:rPr>
        <w:t>protocolised</w:t>
      </w:r>
      <w:proofErr w:type="spellEnd"/>
      <w:r w:rsidRPr="008C7138">
        <w:rPr>
          <w:rFonts w:ascii="Arial" w:hAnsi="Arial" w:cs="Arial"/>
          <w:sz w:val="22"/>
          <w:szCs w:val="22"/>
          <w:lang w:val="en-US"/>
        </w:rPr>
        <w:t xml:space="preserve"> family involvement is more likely to reduce delirium than open visitation alone. The UK studies thus add a particular, systematic approach to family integration that is in line with international evidence and fills gaps in it. In the context of NHS practice, it helps support the argument for the need for structured family reorientation as part of critical care pathways, not just the visitation policy.</w:t>
      </w:r>
    </w:p>
    <w:p w14:paraId="054DB8B2" w14:textId="77777777" w:rsidR="00BF2CFC" w:rsidRPr="008C7138" w:rsidRDefault="008C7138" w:rsidP="00BF2CFC">
      <w:pPr>
        <w:spacing w:before="100" w:beforeAutospacing="1" w:after="240" w:line="360" w:lineRule="auto"/>
        <w:jc w:val="both"/>
        <w:rPr>
          <w:rFonts w:ascii="Arial" w:hAnsi="Arial" w:cs="Arial"/>
          <w:sz w:val="22"/>
          <w:szCs w:val="22"/>
          <w:lang w:val="en-US"/>
        </w:rPr>
      </w:pPr>
      <w:r w:rsidRPr="008C7138">
        <w:rPr>
          <w:rFonts w:ascii="Arial" w:hAnsi="Arial" w:cs="Arial"/>
          <w:sz w:val="22"/>
          <w:szCs w:val="22"/>
          <w:lang w:val="en-US"/>
        </w:rPr>
        <w:t xml:space="preserve">The fourth theme, nurse-led implementation and </w:t>
      </w:r>
      <w:proofErr w:type="spellStart"/>
      <w:r w:rsidRPr="008C7138">
        <w:rPr>
          <w:rFonts w:ascii="Arial" w:hAnsi="Arial" w:cs="Arial"/>
          <w:sz w:val="22"/>
          <w:szCs w:val="22"/>
          <w:lang w:val="en-US"/>
        </w:rPr>
        <w:t>organisational</w:t>
      </w:r>
      <w:proofErr w:type="spellEnd"/>
      <w:r w:rsidRPr="008C7138">
        <w:rPr>
          <w:rFonts w:ascii="Arial" w:hAnsi="Arial" w:cs="Arial"/>
          <w:sz w:val="22"/>
          <w:szCs w:val="22"/>
          <w:lang w:val="en-US"/>
        </w:rPr>
        <w:t xml:space="preserve"> determinants of delivery, is the most consistent theme in the UK and international literature. A linear relationship between implementation fidelity and delirium-free days was reported in the Society of Critical Care Medicine ICU Liberation Collaborative among 15,226 patients in the United States, with nurse staffing, training, and institutional leadership as strong determinants of implementation fidelity. This is consistent with the UK studies, which have shown that dedicated nurse training and protected time are essential to achieve fidelity (Wade et al., 2019; McWilliams et al., 2023; Bannon et al., 2018) and that the consequences of implementing without these enablers have been documented (</w:t>
      </w:r>
      <w:proofErr w:type="spellStart"/>
      <w:r w:rsidRPr="008C7138">
        <w:rPr>
          <w:rFonts w:ascii="Arial" w:hAnsi="Arial" w:cs="Arial"/>
          <w:sz w:val="22"/>
          <w:szCs w:val="22"/>
          <w:lang w:val="en-US"/>
        </w:rPr>
        <w:t>Zamoscik</w:t>
      </w:r>
      <w:proofErr w:type="spellEnd"/>
      <w:r w:rsidRPr="008C7138">
        <w:rPr>
          <w:rFonts w:ascii="Arial" w:hAnsi="Arial" w:cs="Arial"/>
          <w:sz w:val="22"/>
          <w:szCs w:val="22"/>
          <w:lang w:val="en-US"/>
        </w:rPr>
        <w:t xml:space="preserve">, </w:t>
      </w:r>
      <w:proofErr w:type="spellStart"/>
      <w:r w:rsidRPr="008C7138">
        <w:rPr>
          <w:rFonts w:ascii="Arial" w:hAnsi="Arial" w:cs="Arial"/>
          <w:sz w:val="22"/>
          <w:szCs w:val="22"/>
          <w:lang w:val="en-US"/>
        </w:rPr>
        <w:t>Godbold</w:t>
      </w:r>
      <w:proofErr w:type="spellEnd"/>
      <w:r w:rsidRPr="008C7138">
        <w:rPr>
          <w:rFonts w:ascii="Arial" w:hAnsi="Arial" w:cs="Arial"/>
          <w:sz w:val="22"/>
          <w:szCs w:val="22"/>
          <w:lang w:val="en-US"/>
        </w:rPr>
        <w:t xml:space="preserve"> and Freeman, 2017). This is perhaps the most policy-relevant finding as it identifies that the challenge for UK delirium prevention is not a lack of evidence, but workforce and </w:t>
      </w:r>
      <w:proofErr w:type="spellStart"/>
      <w:r w:rsidRPr="008C7138">
        <w:rPr>
          <w:rFonts w:ascii="Arial" w:hAnsi="Arial" w:cs="Arial"/>
          <w:sz w:val="22"/>
          <w:szCs w:val="22"/>
          <w:lang w:val="en-US"/>
        </w:rPr>
        <w:t>organisational</w:t>
      </w:r>
      <w:proofErr w:type="spellEnd"/>
      <w:r w:rsidRPr="008C7138">
        <w:rPr>
          <w:rFonts w:ascii="Arial" w:hAnsi="Arial" w:cs="Arial"/>
          <w:sz w:val="22"/>
          <w:szCs w:val="22"/>
          <w:lang w:val="en-US"/>
        </w:rPr>
        <w:t xml:space="preserve"> conditions that enable evidence to be translated into consistent practice as outlined in the Royal College of Nursing (2019) critical care workforce position and the NHS Patient Safety Strategy commitments (NHS England, 2023).</w:t>
      </w:r>
    </w:p>
    <w:p w14:paraId="11B328B5" w14:textId="77777777" w:rsidR="002D19C8" w:rsidRPr="008C7138" w:rsidRDefault="008C7138" w:rsidP="00BF2CFC">
      <w:pPr>
        <w:spacing w:before="100" w:beforeAutospacing="1" w:after="240" w:line="360" w:lineRule="auto"/>
        <w:jc w:val="both"/>
        <w:rPr>
          <w:rFonts w:ascii="Arial" w:hAnsi="Arial" w:cs="Arial"/>
          <w:sz w:val="22"/>
          <w:szCs w:val="22"/>
          <w:lang w:val="en-US"/>
        </w:rPr>
      </w:pPr>
      <w:r w:rsidRPr="008C7138">
        <w:rPr>
          <w:rFonts w:ascii="Arial" w:hAnsi="Arial" w:cs="Arial"/>
          <w:sz w:val="22"/>
          <w:szCs w:val="22"/>
          <w:lang w:val="en-US"/>
        </w:rPr>
        <w:t xml:space="preserve">Some limitations of the scoping review should be noted. The first is that only UK-based primary studies published from 2015 onwards were included, creating a small and heterogeneous evidence pool, which means the studies' findings are not necessarily </w:t>
      </w:r>
      <w:proofErr w:type="spellStart"/>
      <w:r w:rsidRPr="008C7138">
        <w:rPr>
          <w:rFonts w:ascii="Arial" w:hAnsi="Arial" w:cs="Arial"/>
          <w:sz w:val="22"/>
          <w:szCs w:val="22"/>
          <w:lang w:val="en-US"/>
        </w:rPr>
        <w:t>generalisable</w:t>
      </w:r>
      <w:proofErr w:type="spellEnd"/>
      <w:r w:rsidRPr="008C7138">
        <w:rPr>
          <w:rFonts w:ascii="Arial" w:hAnsi="Arial" w:cs="Arial"/>
          <w:sz w:val="22"/>
          <w:szCs w:val="22"/>
          <w:lang w:val="en-US"/>
        </w:rPr>
        <w:t xml:space="preserve"> and a pooled effect size could not be calculated. Second, scoping reviews do not involve critical appraisal; therefore, there is no formal rating of the methodological quality of the included studies (</w:t>
      </w:r>
      <w:proofErr w:type="spellStart"/>
      <w:r w:rsidRPr="008C7138">
        <w:rPr>
          <w:rFonts w:ascii="Arial" w:hAnsi="Arial" w:cs="Arial"/>
          <w:sz w:val="22"/>
          <w:szCs w:val="22"/>
          <w:lang w:val="en-US"/>
        </w:rPr>
        <w:t>Arksey</w:t>
      </w:r>
      <w:proofErr w:type="spellEnd"/>
      <w:r w:rsidRPr="008C7138">
        <w:rPr>
          <w:rFonts w:ascii="Arial" w:hAnsi="Arial" w:cs="Arial"/>
          <w:sz w:val="22"/>
          <w:szCs w:val="22"/>
          <w:lang w:val="en-US"/>
        </w:rPr>
        <w:t xml:space="preserve"> and O'Malley, 2005). Third, only English language studies were included and indexed in four databases, which may have omitted relevant grey or non-indexed studies. One </w:t>
      </w:r>
      <w:r w:rsidRPr="008C7138">
        <w:rPr>
          <w:rFonts w:ascii="Arial" w:hAnsi="Arial" w:cs="Arial"/>
          <w:sz w:val="22"/>
          <w:szCs w:val="22"/>
          <w:lang w:val="en-US"/>
        </w:rPr>
        <w:lastRenderedPageBreak/>
        <w:t>reviewer performed fourth, screening and charting, and although the precautions described in the Methods were taken, there may have been some selection and interpretation bias.</w:t>
      </w:r>
    </w:p>
    <w:p w14:paraId="212D6965" w14:textId="77777777" w:rsidR="009275B9" w:rsidRPr="008C7138" w:rsidRDefault="009275B9" w:rsidP="00084586">
      <w:pPr>
        <w:spacing w:before="100" w:beforeAutospacing="1" w:after="240" w:line="360" w:lineRule="auto"/>
        <w:jc w:val="both"/>
        <w:rPr>
          <w:rFonts w:ascii="Arial" w:hAnsi="Arial" w:cs="Arial"/>
          <w:sz w:val="22"/>
          <w:szCs w:val="22"/>
          <w:lang w:val="en-US"/>
        </w:rPr>
        <w:sectPr w:rsidR="009275B9" w:rsidRPr="008C7138" w:rsidSect="00D34B8F">
          <w:pgSz w:w="11906" w:h="16838"/>
          <w:pgMar w:top="1474" w:right="1440" w:bottom="1440" w:left="1440" w:header="720" w:footer="720" w:gutter="0"/>
          <w:cols w:space="708"/>
          <w:docGrid w:linePitch="360"/>
        </w:sectPr>
      </w:pPr>
    </w:p>
    <w:p w14:paraId="6630FFA9" w14:textId="77777777" w:rsidR="00084586" w:rsidRPr="008C7138" w:rsidRDefault="008C7138" w:rsidP="00084586">
      <w:pPr>
        <w:spacing w:before="100" w:beforeAutospacing="1" w:after="240" w:line="360" w:lineRule="auto"/>
        <w:jc w:val="both"/>
        <w:rPr>
          <w:rFonts w:ascii="Arial" w:hAnsi="Arial" w:cs="Arial"/>
          <w:b/>
          <w:bCs/>
          <w:sz w:val="22"/>
          <w:szCs w:val="22"/>
          <w:lang w:val="en-US"/>
        </w:rPr>
      </w:pPr>
      <w:r w:rsidRPr="008C7138">
        <w:rPr>
          <w:rFonts w:ascii="Arial" w:hAnsi="Arial" w:cs="Arial"/>
          <w:b/>
          <w:bCs/>
          <w:sz w:val="22"/>
          <w:szCs w:val="22"/>
          <w:lang w:val="en-US"/>
        </w:rPr>
        <w:lastRenderedPageBreak/>
        <w:t>CONCLUSION AND RECOMMENDATIONS</w:t>
      </w:r>
    </w:p>
    <w:p w14:paraId="00CCEA8A" w14:textId="77777777" w:rsidR="002B7593" w:rsidRPr="008C7138" w:rsidRDefault="008C7138" w:rsidP="002B7593">
      <w:pPr>
        <w:spacing w:before="100" w:beforeAutospacing="1" w:after="240" w:line="360" w:lineRule="auto"/>
        <w:jc w:val="both"/>
        <w:rPr>
          <w:rFonts w:ascii="Arial" w:hAnsi="Arial" w:cs="Arial"/>
          <w:b/>
          <w:bCs/>
          <w:sz w:val="22"/>
          <w:szCs w:val="22"/>
          <w:lang w:val="en-US"/>
        </w:rPr>
      </w:pPr>
      <w:r w:rsidRPr="008C7138">
        <w:rPr>
          <w:rFonts w:ascii="Arial" w:hAnsi="Arial" w:cs="Arial"/>
          <w:b/>
          <w:bCs/>
          <w:sz w:val="22"/>
          <w:szCs w:val="22"/>
          <w:lang w:val="en-US"/>
        </w:rPr>
        <w:t>Conclusion</w:t>
      </w:r>
    </w:p>
    <w:p w14:paraId="504E5213" w14:textId="77777777" w:rsidR="00A46906" w:rsidRPr="008C7138" w:rsidRDefault="008C7138" w:rsidP="00A46906">
      <w:pPr>
        <w:spacing w:before="100" w:beforeAutospacing="1" w:after="240" w:line="360" w:lineRule="auto"/>
        <w:jc w:val="both"/>
        <w:rPr>
          <w:rFonts w:ascii="Arial" w:hAnsi="Arial" w:cs="Arial"/>
          <w:sz w:val="22"/>
          <w:szCs w:val="22"/>
          <w:lang w:val="en-US"/>
        </w:rPr>
      </w:pPr>
      <w:r w:rsidRPr="008C7138">
        <w:rPr>
          <w:rFonts w:ascii="Arial" w:hAnsi="Arial" w:cs="Arial"/>
          <w:sz w:val="22"/>
          <w:szCs w:val="22"/>
          <w:lang w:val="en-US"/>
        </w:rPr>
        <w:t xml:space="preserve">This scoping review was conducted to map five primary studies published in the UK between 2017 and 2024 that examined nurse-led non-pharmacological delirium-prevention interventions for adult patients in intensive care units (ICUs). Four themes emerged: verbal reorientation as a core nurse-led intervention; voice-based reorientation as a core nurse-led intervention; family integration as an adjunct to nursing intervention; psychosocial support as an adjunct to nursing intervention; and nurse-led implementation determined by </w:t>
      </w:r>
      <w:proofErr w:type="spellStart"/>
      <w:r w:rsidRPr="008C7138">
        <w:rPr>
          <w:rFonts w:ascii="Arial" w:hAnsi="Arial" w:cs="Arial"/>
          <w:sz w:val="22"/>
          <w:szCs w:val="22"/>
          <w:lang w:val="en-US"/>
        </w:rPr>
        <w:t>organisational</w:t>
      </w:r>
      <w:proofErr w:type="spellEnd"/>
      <w:r w:rsidRPr="008C7138">
        <w:rPr>
          <w:rFonts w:ascii="Arial" w:hAnsi="Arial" w:cs="Arial"/>
          <w:sz w:val="22"/>
          <w:szCs w:val="22"/>
          <w:lang w:val="en-US"/>
        </w:rPr>
        <w:t xml:space="preserve"> factors. The evidence suggests that the most consistently reported nurse-led non-pharmacological interventions in the current UK literature are reorientation, </w:t>
      </w:r>
      <w:proofErr w:type="spellStart"/>
      <w:r w:rsidRPr="008C7138">
        <w:rPr>
          <w:rFonts w:ascii="Arial" w:hAnsi="Arial" w:cs="Arial"/>
          <w:sz w:val="22"/>
          <w:szCs w:val="22"/>
          <w:lang w:val="en-US"/>
        </w:rPr>
        <w:t>mobilisation</w:t>
      </w:r>
      <w:proofErr w:type="spellEnd"/>
      <w:r w:rsidRPr="008C7138">
        <w:rPr>
          <w:rFonts w:ascii="Arial" w:hAnsi="Arial" w:cs="Arial"/>
          <w:sz w:val="22"/>
          <w:szCs w:val="22"/>
          <w:lang w:val="en-US"/>
        </w:rPr>
        <w:t xml:space="preserve"> and structured family involvement, and that the fidelity of implementation depends on the nurse training, workload and institutional support. The overall evidence base in the UK is small, consisting mainly of feasibility and qualitative studies, and there is no large-scale UK trial with delirium as a primary outcome.</w:t>
      </w:r>
    </w:p>
    <w:p w14:paraId="67AF879B" w14:textId="77777777" w:rsidR="00A46906" w:rsidRPr="008C7138" w:rsidRDefault="008C7138" w:rsidP="00A46906">
      <w:pPr>
        <w:spacing w:before="100" w:beforeAutospacing="1" w:after="240" w:line="360" w:lineRule="auto"/>
        <w:jc w:val="both"/>
        <w:rPr>
          <w:rFonts w:ascii="Arial" w:hAnsi="Arial" w:cs="Arial"/>
          <w:b/>
          <w:bCs/>
          <w:sz w:val="22"/>
          <w:szCs w:val="22"/>
          <w:lang w:val="en-US"/>
        </w:rPr>
      </w:pPr>
      <w:r w:rsidRPr="008C7138">
        <w:rPr>
          <w:rFonts w:ascii="Arial" w:hAnsi="Arial" w:cs="Arial"/>
          <w:b/>
          <w:bCs/>
          <w:sz w:val="22"/>
          <w:szCs w:val="22"/>
          <w:lang w:val="en-US"/>
        </w:rPr>
        <w:t>Recommendations for UK Practice</w:t>
      </w:r>
    </w:p>
    <w:p w14:paraId="53F22F68" w14:textId="77777777" w:rsidR="00A46906" w:rsidRPr="008C7138" w:rsidRDefault="008C7138" w:rsidP="00A46906">
      <w:pPr>
        <w:spacing w:before="100" w:beforeAutospacing="1" w:after="240" w:line="360" w:lineRule="auto"/>
        <w:jc w:val="both"/>
        <w:rPr>
          <w:rFonts w:ascii="Arial" w:hAnsi="Arial" w:cs="Arial"/>
          <w:sz w:val="22"/>
          <w:szCs w:val="22"/>
          <w:lang w:val="en-US"/>
        </w:rPr>
      </w:pPr>
      <w:r w:rsidRPr="008C7138">
        <w:rPr>
          <w:rFonts w:ascii="Arial" w:hAnsi="Arial" w:cs="Arial"/>
          <w:sz w:val="22"/>
          <w:szCs w:val="22"/>
          <w:lang w:val="en-US"/>
        </w:rPr>
        <w:t xml:space="preserve">Structured reorientation, evening </w:t>
      </w:r>
      <w:proofErr w:type="spellStart"/>
      <w:r w:rsidRPr="008C7138">
        <w:rPr>
          <w:rFonts w:ascii="Arial" w:hAnsi="Arial" w:cs="Arial"/>
          <w:sz w:val="22"/>
          <w:szCs w:val="22"/>
          <w:lang w:val="en-US"/>
        </w:rPr>
        <w:t>mobilisation</w:t>
      </w:r>
      <w:proofErr w:type="spellEnd"/>
      <w:r w:rsidRPr="008C7138">
        <w:rPr>
          <w:rFonts w:ascii="Arial" w:hAnsi="Arial" w:cs="Arial"/>
          <w:sz w:val="22"/>
          <w:szCs w:val="22"/>
          <w:lang w:val="en-US"/>
        </w:rPr>
        <w:t xml:space="preserve"> and family-integrated non-pharmacological care should be provided as routine care by critical care nurses. A </w:t>
      </w:r>
      <w:proofErr w:type="spellStart"/>
      <w:r w:rsidRPr="008C7138">
        <w:rPr>
          <w:rFonts w:ascii="Arial" w:hAnsi="Arial" w:cs="Arial"/>
          <w:sz w:val="22"/>
          <w:szCs w:val="22"/>
          <w:lang w:val="en-US"/>
        </w:rPr>
        <w:t>standardised</w:t>
      </w:r>
      <w:proofErr w:type="spellEnd"/>
      <w:r w:rsidRPr="008C7138">
        <w:rPr>
          <w:rFonts w:ascii="Arial" w:hAnsi="Arial" w:cs="Arial"/>
          <w:sz w:val="22"/>
          <w:szCs w:val="22"/>
          <w:lang w:val="en-US"/>
        </w:rPr>
        <w:t xml:space="preserve"> nurse-led delirium prevention bundle should be built into Level 2 and Level 3 care pathways, based on national critical care standards and delirium guidance, and include protected training time and workforce planning to reflect the work that can be done at the bedside.</w:t>
      </w:r>
    </w:p>
    <w:p w14:paraId="0D118A6B" w14:textId="77777777" w:rsidR="00A46906" w:rsidRPr="008C7138" w:rsidRDefault="008C7138" w:rsidP="00A46906">
      <w:pPr>
        <w:spacing w:before="100" w:beforeAutospacing="1" w:after="240" w:line="360" w:lineRule="auto"/>
        <w:jc w:val="both"/>
        <w:rPr>
          <w:rFonts w:ascii="Arial" w:hAnsi="Arial" w:cs="Arial"/>
          <w:b/>
          <w:bCs/>
          <w:sz w:val="22"/>
          <w:szCs w:val="22"/>
          <w:lang w:val="en-US"/>
        </w:rPr>
      </w:pPr>
      <w:r w:rsidRPr="008C7138">
        <w:rPr>
          <w:rFonts w:ascii="Arial" w:hAnsi="Arial" w:cs="Arial"/>
          <w:b/>
          <w:bCs/>
          <w:sz w:val="22"/>
          <w:szCs w:val="22"/>
          <w:lang w:val="en-US"/>
        </w:rPr>
        <w:t>Recommendations for Policy</w:t>
      </w:r>
    </w:p>
    <w:p w14:paraId="74F7D1FB" w14:textId="77777777" w:rsidR="00A46906" w:rsidRPr="008C7138" w:rsidRDefault="008C7138" w:rsidP="00A46906">
      <w:pPr>
        <w:spacing w:before="100" w:beforeAutospacing="1" w:after="240" w:line="360" w:lineRule="auto"/>
        <w:jc w:val="both"/>
        <w:rPr>
          <w:rFonts w:ascii="Arial" w:hAnsi="Arial" w:cs="Arial"/>
          <w:sz w:val="22"/>
          <w:szCs w:val="22"/>
          <w:lang w:val="en-US"/>
        </w:rPr>
      </w:pPr>
      <w:r w:rsidRPr="008C7138">
        <w:rPr>
          <w:rFonts w:ascii="Arial" w:hAnsi="Arial" w:cs="Arial"/>
          <w:sz w:val="22"/>
          <w:szCs w:val="22"/>
          <w:lang w:val="en-US"/>
        </w:rPr>
        <w:t xml:space="preserve">Delirium prevention should be formally </w:t>
      </w:r>
      <w:proofErr w:type="spellStart"/>
      <w:r w:rsidRPr="008C7138">
        <w:rPr>
          <w:rFonts w:ascii="Arial" w:hAnsi="Arial" w:cs="Arial"/>
          <w:sz w:val="22"/>
          <w:szCs w:val="22"/>
          <w:lang w:val="en-US"/>
        </w:rPr>
        <w:t>recognised</w:t>
      </w:r>
      <w:proofErr w:type="spellEnd"/>
      <w:r w:rsidRPr="008C7138">
        <w:rPr>
          <w:rFonts w:ascii="Arial" w:hAnsi="Arial" w:cs="Arial"/>
          <w:sz w:val="22"/>
          <w:szCs w:val="22"/>
          <w:lang w:val="en-US"/>
        </w:rPr>
        <w:t xml:space="preserve"> as a nursing-sensitive indicator in the NHS Patient Safety Strategy and national critical care audit </w:t>
      </w:r>
      <w:proofErr w:type="spellStart"/>
      <w:r w:rsidRPr="008C7138">
        <w:rPr>
          <w:rFonts w:ascii="Arial" w:hAnsi="Arial" w:cs="Arial"/>
          <w:sz w:val="22"/>
          <w:szCs w:val="22"/>
          <w:lang w:val="en-US"/>
        </w:rPr>
        <w:t>programmes</w:t>
      </w:r>
      <w:proofErr w:type="spellEnd"/>
      <w:r w:rsidRPr="008C7138">
        <w:rPr>
          <w:rFonts w:ascii="Arial" w:hAnsi="Arial" w:cs="Arial"/>
          <w:sz w:val="22"/>
          <w:szCs w:val="22"/>
          <w:lang w:val="en-US"/>
        </w:rPr>
        <w:t>, through NHS England and integrated care boards. Structured non-pharmacological delirium prevention should be part of regulatory inspection frameworks as a component of safe critical care, and commissioning arrangements should enable the workforce and training necessary for the consistent delivery of non-pharmacological delirium prevention.</w:t>
      </w:r>
    </w:p>
    <w:p w14:paraId="623F8357" w14:textId="77777777" w:rsidR="00A46906" w:rsidRPr="008C7138" w:rsidRDefault="008C7138" w:rsidP="00A46906">
      <w:pPr>
        <w:spacing w:before="100" w:beforeAutospacing="1" w:after="240" w:line="360" w:lineRule="auto"/>
        <w:jc w:val="both"/>
        <w:rPr>
          <w:rFonts w:ascii="Arial" w:hAnsi="Arial" w:cs="Arial"/>
          <w:b/>
          <w:bCs/>
          <w:sz w:val="22"/>
          <w:szCs w:val="22"/>
          <w:lang w:val="en-US"/>
        </w:rPr>
      </w:pPr>
      <w:r w:rsidRPr="008C7138">
        <w:rPr>
          <w:rFonts w:ascii="Arial" w:hAnsi="Arial" w:cs="Arial"/>
          <w:b/>
          <w:bCs/>
          <w:sz w:val="22"/>
          <w:szCs w:val="22"/>
          <w:lang w:val="en-US"/>
        </w:rPr>
        <w:t>Recommendations for Future Research</w:t>
      </w:r>
    </w:p>
    <w:p w14:paraId="399E95DE" w14:textId="77777777" w:rsidR="005036E5" w:rsidRPr="008C7138" w:rsidRDefault="008C7138" w:rsidP="00A46906">
      <w:pPr>
        <w:spacing w:before="100" w:beforeAutospacing="1" w:after="240" w:line="360" w:lineRule="auto"/>
        <w:jc w:val="both"/>
        <w:rPr>
          <w:rFonts w:ascii="Arial" w:hAnsi="Arial" w:cs="Arial"/>
          <w:sz w:val="22"/>
          <w:szCs w:val="22"/>
          <w:lang w:val="en-US"/>
        </w:rPr>
      </w:pPr>
      <w:r w:rsidRPr="008C7138">
        <w:rPr>
          <w:rFonts w:ascii="Arial" w:hAnsi="Arial" w:cs="Arial"/>
          <w:sz w:val="22"/>
          <w:szCs w:val="22"/>
          <w:lang w:val="en-US"/>
        </w:rPr>
        <w:t xml:space="preserve">A </w:t>
      </w:r>
      <w:proofErr w:type="spellStart"/>
      <w:r w:rsidRPr="008C7138">
        <w:rPr>
          <w:rFonts w:ascii="Arial" w:hAnsi="Arial" w:cs="Arial"/>
          <w:sz w:val="22"/>
          <w:szCs w:val="22"/>
          <w:lang w:val="en-US"/>
        </w:rPr>
        <w:t>multicentre</w:t>
      </w:r>
      <w:proofErr w:type="spellEnd"/>
      <w:r w:rsidRPr="008C7138">
        <w:rPr>
          <w:rFonts w:ascii="Arial" w:hAnsi="Arial" w:cs="Arial"/>
          <w:sz w:val="22"/>
          <w:szCs w:val="22"/>
          <w:lang w:val="en-US"/>
        </w:rPr>
        <w:t xml:space="preserve"> UK </w:t>
      </w:r>
      <w:proofErr w:type="spellStart"/>
      <w:r w:rsidRPr="008C7138">
        <w:rPr>
          <w:rFonts w:ascii="Arial" w:hAnsi="Arial" w:cs="Arial"/>
          <w:sz w:val="22"/>
          <w:szCs w:val="22"/>
          <w:lang w:val="en-US"/>
        </w:rPr>
        <w:t>randomised</w:t>
      </w:r>
      <w:proofErr w:type="spellEnd"/>
      <w:r w:rsidRPr="008C7138">
        <w:rPr>
          <w:rFonts w:ascii="Arial" w:hAnsi="Arial" w:cs="Arial"/>
          <w:sz w:val="22"/>
          <w:szCs w:val="22"/>
          <w:lang w:val="en-US"/>
        </w:rPr>
        <w:t xml:space="preserve"> controlled trial is needed, with delirium incidence and duration as primary outcomes, to test a nurse-led bundle combining the three interventions: reorientation, evening </w:t>
      </w:r>
      <w:proofErr w:type="spellStart"/>
      <w:r w:rsidRPr="008C7138">
        <w:rPr>
          <w:rFonts w:ascii="Arial" w:hAnsi="Arial" w:cs="Arial"/>
          <w:sz w:val="22"/>
          <w:szCs w:val="22"/>
          <w:lang w:val="en-US"/>
        </w:rPr>
        <w:t>mobilisation</w:t>
      </w:r>
      <w:proofErr w:type="spellEnd"/>
      <w:r w:rsidRPr="008C7138">
        <w:rPr>
          <w:rFonts w:ascii="Arial" w:hAnsi="Arial" w:cs="Arial"/>
          <w:sz w:val="22"/>
          <w:szCs w:val="22"/>
          <w:lang w:val="en-US"/>
        </w:rPr>
        <w:t xml:space="preserve">, and structured family involvement. Further studies should </w:t>
      </w:r>
      <w:r w:rsidRPr="008C7138">
        <w:rPr>
          <w:rFonts w:ascii="Arial" w:hAnsi="Arial" w:cs="Arial"/>
          <w:sz w:val="22"/>
          <w:szCs w:val="22"/>
          <w:lang w:val="en-US"/>
        </w:rPr>
        <w:lastRenderedPageBreak/>
        <w:t>also explore workforce and educational factors that support fidelity in the delivery of nurse-led non-pharmacological interventions across NHS critical care networks, as well as patient, family, and staff views on acceptability and sustainability.</w:t>
      </w:r>
    </w:p>
    <w:p w14:paraId="13E849C1" w14:textId="77777777" w:rsidR="00CD31F2" w:rsidRPr="008C7138" w:rsidRDefault="00CD31F2" w:rsidP="002B7593">
      <w:pPr>
        <w:spacing w:before="100" w:beforeAutospacing="1" w:after="240" w:line="360" w:lineRule="auto"/>
        <w:jc w:val="both"/>
        <w:rPr>
          <w:rFonts w:ascii="Arial" w:hAnsi="Arial" w:cs="Arial"/>
          <w:sz w:val="22"/>
          <w:szCs w:val="22"/>
          <w:lang w:val="en-US"/>
        </w:rPr>
        <w:sectPr w:rsidR="00CD31F2" w:rsidRPr="008C7138" w:rsidSect="00D34B8F">
          <w:pgSz w:w="11906" w:h="16838"/>
          <w:pgMar w:top="1474" w:right="1440" w:bottom="1440" w:left="1440" w:header="720" w:footer="720" w:gutter="0"/>
          <w:cols w:space="708"/>
          <w:docGrid w:linePitch="360"/>
        </w:sectPr>
      </w:pPr>
    </w:p>
    <w:p w14:paraId="51623E5D" w14:textId="77777777" w:rsidR="009A33B9" w:rsidRPr="008C7138" w:rsidRDefault="008C7138" w:rsidP="008C7138">
      <w:pPr>
        <w:spacing w:before="100" w:beforeAutospacing="1" w:after="240" w:line="360" w:lineRule="auto"/>
        <w:jc w:val="center"/>
        <w:rPr>
          <w:rFonts w:ascii="Arial" w:hAnsi="Arial" w:cs="Arial"/>
          <w:b/>
          <w:bCs/>
          <w:sz w:val="22"/>
          <w:szCs w:val="22"/>
          <w:lang w:val="en-US"/>
        </w:rPr>
      </w:pPr>
      <w:r w:rsidRPr="008C7138">
        <w:rPr>
          <w:rFonts w:ascii="Arial" w:hAnsi="Arial" w:cs="Arial"/>
          <w:b/>
          <w:bCs/>
          <w:sz w:val="22"/>
          <w:szCs w:val="22"/>
          <w:lang w:val="en-US"/>
        </w:rPr>
        <w:lastRenderedPageBreak/>
        <w:t>REFERENCES</w:t>
      </w:r>
    </w:p>
    <w:p w14:paraId="40FF5A0A" w14:textId="77777777" w:rsidR="00031750" w:rsidRPr="008C7138" w:rsidRDefault="00031750" w:rsidP="00031750">
      <w:pPr>
        <w:pStyle w:val="font-claude-response-body"/>
        <w:spacing w:before="0" w:beforeAutospacing="0" w:after="240" w:afterAutospacing="0" w:line="360" w:lineRule="auto"/>
        <w:jc w:val="both"/>
        <w:rPr>
          <w:rFonts w:ascii="Arial" w:hAnsi="Arial" w:cs="Arial"/>
          <w:color w:val="000000" w:themeColor="text1"/>
          <w:sz w:val="22"/>
          <w:szCs w:val="22"/>
        </w:rPr>
      </w:pPr>
      <w:r w:rsidRPr="008C7138">
        <w:rPr>
          <w:rFonts w:ascii="Arial" w:hAnsi="Arial" w:cs="Arial"/>
          <w:color w:val="000000" w:themeColor="text1"/>
          <w:sz w:val="22"/>
          <w:szCs w:val="22"/>
        </w:rPr>
        <w:t xml:space="preserve">American Psychiatric Association (2022) </w:t>
      </w:r>
      <w:r w:rsidRPr="008C7138">
        <w:rPr>
          <w:rStyle w:val="Emphasis"/>
          <w:rFonts w:ascii="Arial" w:hAnsi="Arial" w:cs="Arial"/>
          <w:color w:val="000000" w:themeColor="text1"/>
          <w:sz w:val="22"/>
          <w:szCs w:val="22"/>
        </w:rPr>
        <w:t>Diagnostic and statistical manual of mental disorders</w:t>
      </w:r>
      <w:r w:rsidRPr="008C7138">
        <w:rPr>
          <w:rFonts w:ascii="Arial" w:hAnsi="Arial" w:cs="Arial"/>
          <w:color w:val="000000" w:themeColor="text1"/>
          <w:sz w:val="22"/>
          <w:szCs w:val="22"/>
        </w:rPr>
        <w:t>. 5th edn, text revision. Washington, DC: American Psychiatric Association Publishing.</w:t>
      </w:r>
    </w:p>
    <w:p w14:paraId="1F2E0CD3" w14:textId="77777777" w:rsidR="00031750" w:rsidRPr="008C7138" w:rsidRDefault="00031750" w:rsidP="00031750">
      <w:pPr>
        <w:pStyle w:val="font-claude-response-body"/>
        <w:spacing w:before="0" w:beforeAutospacing="0" w:after="240" w:afterAutospacing="0" w:line="360" w:lineRule="auto"/>
        <w:jc w:val="both"/>
        <w:rPr>
          <w:rFonts w:ascii="Arial" w:hAnsi="Arial" w:cs="Arial"/>
          <w:color w:val="000000" w:themeColor="text1"/>
          <w:sz w:val="22"/>
          <w:szCs w:val="22"/>
        </w:rPr>
      </w:pPr>
      <w:r w:rsidRPr="008C7138">
        <w:rPr>
          <w:rFonts w:ascii="Arial" w:hAnsi="Arial" w:cs="Arial"/>
          <w:color w:val="000000" w:themeColor="text1"/>
          <w:sz w:val="22"/>
          <w:szCs w:val="22"/>
        </w:rPr>
        <w:t xml:space="preserve">Arksey, H. and O'Malley, L. (2005) 'Scoping studies: towards a methodological framework', </w:t>
      </w:r>
      <w:r w:rsidRPr="008C7138">
        <w:rPr>
          <w:rStyle w:val="Emphasis"/>
          <w:rFonts w:ascii="Arial" w:hAnsi="Arial" w:cs="Arial"/>
          <w:color w:val="000000" w:themeColor="text1"/>
          <w:sz w:val="22"/>
          <w:szCs w:val="22"/>
        </w:rPr>
        <w:t>International Journal of Social Research Methodology</w:t>
      </w:r>
      <w:r w:rsidRPr="008C7138">
        <w:rPr>
          <w:rFonts w:ascii="Arial" w:hAnsi="Arial" w:cs="Arial"/>
          <w:color w:val="000000" w:themeColor="text1"/>
          <w:sz w:val="22"/>
          <w:szCs w:val="22"/>
        </w:rPr>
        <w:t>, 8(1), pp. 19–32.</w:t>
      </w:r>
    </w:p>
    <w:p w14:paraId="44AEB04D" w14:textId="77777777" w:rsidR="00031750" w:rsidRPr="008C7138" w:rsidRDefault="00031750" w:rsidP="00031750">
      <w:pPr>
        <w:pStyle w:val="font-claude-response-body"/>
        <w:spacing w:before="0" w:beforeAutospacing="0" w:after="240" w:afterAutospacing="0" w:line="360" w:lineRule="auto"/>
        <w:jc w:val="both"/>
        <w:rPr>
          <w:rFonts w:ascii="Arial" w:hAnsi="Arial" w:cs="Arial"/>
          <w:color w:val="000000" w:themeColor="text1"/>
          <w:sz w:val="22"/>
          <w:szCs w:val="22"/>
        </w:rPr>
      </w:pPr>
      <w:r w:rsidRPr="008C7138">
        <w:rPr>
          <w:rFonts w:ascii="Arial" w:hAnsi="Arial" w:cs="Arial"/>
          <w:color w:val="000000" w:themeColor="text1"/>
          <w:sz w:val="22"/>
          <w:szCs w:val="22"/>
        </w:rPr>
        <w:t xml:space="preserve">Bannon, L., McGaughey, J., McAuley, D.F., Clarke, M. and Blackwood, B. (2018) 'Designing a nurse-delivered delirium bundle: what intensive care unit staff, survivors and their families think', </w:t>
      </w:r>
      <w:r w:rsidRPr="008C7138">
        <w:rPr>
          <w:rStyle w:val="Emphasis"/>
          <w:rFonts w:ascii="Arial" w:hAnsi="Arial" w:cs="Arial"/>
          <w:color w:val="000000" w:themeColor="text1"/>
          <w:sz w:val="22"/>
          <w:szCs w:val="22"/>
        </w:rPr>
        <w:t>Australian Critical Care</w:t>
      </w:r>
      <w:r w:rsidRPr="008C7138">
        <w:rPr>
          <w:rFonts w:ascii="Arial" w:hAnsi="Arial" w:cs="Arial"/>
          <w:color w:val="000000" w:themeColor="text1"/>
          <w:sz w:val="22"/>
          <w:szCs w:val="22"/>
        </w:rPr>
        <w:t>, 31(3), pp. 174–179.</w:t>
      </w:r>
    </w:p>
    <w:p w14:paraId="7CAE55E8" w14:textId="77777777" w:rsidR="00031750" w:rsidRPr="008C7138" w:rsidRDefault="00031750" w:rsidP="00031750">
      <w:pPr>
        <w:pStyle w:val="font-claude-response-body"/>
        <w:spacing w:before="0" w:beforeAutospacing="0" w:after="240" w:afterAutospacing="0" w:line="360" w:lineRule="auto"/>
        <w:jc w:val="both"/>
        <w:rPr>
          <w:rFonts w:ascii="Arial" w:hAnsi="Arial" w:cs="Arial"/>
          <w:color w:val="000000" w:themeColor="text1"/>
          <w:sz w:val="22"/>
          <w:szCs w:val="22"/>
        </w:rPr>
      </w:pPr>
      <w:r w:rsidRPr="008C7138">
        <w:rPr>
          <w:rFonts w:ascii="Arial" w:hAnsi="Arial" w:cs="Arial"/>
          <w:color w:val="000000" w:themeColor="text1"/>
          <w:sz w:val="22"/>
          <w:szCs w:val="22"/>
        </w:rPr>
        <w:t xml:space="preserve">Bannon, L., McGaughey, J., Verghis, R., Clarke, M., McAuley, D.F. and Blackwood, B. (2019) 'The effectiveness of non-pharmacological interventions in reducing the incidence and duration of delirium in critically ill patients: a systematic review and meta-analysis', </w:t>
      </w:r>
      <w:r w:rsidRPr="008C7138">
        <w:rPr>
          <w:rStyle w:val="Emphasis"/>
          <w:rFonts w:ascii="Arial" w:hAnsi="Arial" w:cs="Arial"/>
          <w:color w:val="000000" w:themeColor="text1"/>
          <w:sz w:val="22"/>
          <w:szCs w:val="22"/>
        </w:rPr>
        <w:t>Intensive Care Medicine</w:t>
      </w:r>
      <w:r w:rsidRPr="008C7138">
        <w:rPr>
          <w:rFonts w:ascii="Arial" w:hAnsi="Arial" w:cs="Arial"/>
          <w:color w:val="000000" w:themeColor="text1"/>
          <w:sz w:val="22"/>
          <w:szCs w:val="22"/>
        </w:rPr>
        <w:t>, 45(1), pp. 1–12.</w:t>
      </w:r>
    </w:p>
    <w:p w14:paraId="4722A09D" w14:textId="77777777" w:rsidR="00031750" w:rsidRPr="008C7138" w:rsidRDefault="00031750" w:rsidP="00031750">
      <w:pPr>
        <w:pStyle w:val="font-claude-response-body"/>
        <w:spacing w:before="0" w:beforeAutospacing="0" w:after="240" w:afterAutospacing="0" w:line="360" w:lineRule="auto"/>
        <w:jc w:val="both"/>
        <w:rPr>
          <w:rFonts w:ascii="Arial" w:hAnsi="Arial" w:cs="Arial"/>
          <w:color w:val="000000" w:themeColor="text1"/>
          <w:sz w:val="22"/>
          <w:szCs w:val="22"/>
        </w:rPr>
      </w:pPr>
      <w:r w:rsidRPr="008C7138">
        <w:rPr>
          <w:rFonts w:ascii="Arial" w:hAnsi="Arial" w:cs="Arial"/>
          <w:color w:val="000000" w:themeColor="text1"/>
          <w:sz w:val="22"/>
          <w:szCs w:val="22"/>
        </w:rPr>
        <w:t xml:space="preserve">Braun, V. and Clarke, V. (2006) 'Using thematic analysis in psychology', </w:t>
      </w:r>
      <w:r w:rsidRPr="008C7138">
        <w:rPr>
          <w:rStyle w:val="Emphasis"/>
          <w:rFonts w:ascii="Arial" w:hAnsi="Arial" w:cs="Arial"/>
          <w:color w:val="000000" w:themeColor="text1"/>
          <w:sz w:val="22"/>
          <w:szCs w:val="22"/>
        </w:rPr>
        <w:t>Qualitative Research in Psychology</w:t>
      </w:r>
      <w:r w:rsidRPr="008C7138">
        <w:rPr>
          <w:rFonts w:ascii="Arial" w:hAnsi="Arial" w:cs="Arial"/>
          <w:color w:val="000000" w:themeColor="text1"/>
          <w:sz w:val="22"/>
          <w:szCs w:val="22"/>
        </w:rPr>
        <w:t>, 3(2), pp. 77–101.</w:t>
      </w:r>
    </w:p>
    <w:p w14:paraId="16788047" w14:textId="77777777" w:rsidR="00031750" w:rsidRPr="008C7138" w:rsidRDefault="00031750" w:rsidP="00031750">
      <w:pPr>
        <w:pStyle w:val="font-claude-response-body"/>
        <w:spacing w:before="0" w:beforeAutospacing="0" w:after="240" w:afterAutospacing="0" w:line="360" w:lineRule="auto"/>
        <w:jc w:val="both"/>
        <w:rPr>
          <w:rFonts w:ascii="Arial" w:hAnsi="Arial" w:cs="Arial"/>
          <w:color w:val="000000" w:themeColor="text1"/>
          <w:sz w:val="22"/>
          <w:szCs w:val="22"/>
        </w:rPr>
      </w:pPr>
      <w:r w:rsidRPr="008C7138">
        <w:rPr>
          <w:rFonts w:ascii="Arial" w:hAnsi="Arial" w:cs="Arial"/>
          <w:color w:val="000000" w:themeColor="text1"/>
          <w:sz w:val="22"/>
          <w:szCs w:val="22"/>
        </w:rPr>
        <w:t xml:space="preserve">Care Quality Commission (2023) </w:t>
      </w:r>
      <w:r w:rsidRPr="008C7138">
        <w:rPr>
          <w:rStyle w:val="Emphasis"/>
          <w:rFonts w:ascii="Arial" w:hAnsi="Arial" w:cs="Arial"/>
          <w:color w:val="000000" w:themeColor="text1"/>
          <w:sz w:val="22"/>
          <w:szCs w:val="22"/>
        </w:rPr>
        <w:t>The state of health care and adult social care in England 2022/23</w:t>
      </w:r>
      <w:r w:rsidRPr="008C7138">
        <w:rPr>
          <w:rFonts w:ascii="Arial" w:hAnsi="Arial" w:cs="Arial"/>
          <w:color w:val="000000" w:themeColor="text1"/>
          <w:sz w:val="22"/>
          <w:szCs w:val="22"/>
        </w:rPr>
        <w:t xml:space="preserve">. London: CQC. Available at: </w:t>
      </w:r>
      <w:hyperlink r:id="rId5" w:history="1">
        <w:r w:rsidRPr="008C7138">
          <w:rPr>
            <w:rStyle w:val="Hyperlink"/>
            <w:rFonts w:ascii="Arial" w:hAnsi="Arial" w:cs="Arial"/>
            <w:color w:val="000000" w:themeColor="text1"/>
            <w:sz w:val="22"/>
            <w:szCs w:val="22"/>
          </w:rPr>
          <w:t>https://www.cqc.org.uk/publications/major-report/state-care</w:t>
        </w:r>
      </w:hyperlink>
      <w:r w:rsidRPr="008C7138">
        <w:rPr>
          <w:rFonts w:ascii="Arial" w:hAnsi="Arial" w:cs="Arial"/>
          <w:color w:val="000000" w:themeColor="text1"/>
          <w:sz w:val="22"/>
          <w:szCs w:val="22"/>
        </w:rPr>
        <w:t xml:space="preserve"> (Accessed: 17 July 2026).</w:t>
      </w:r>
    </w:p>
    <w:p w14:paraId="27DDE415" w14:textId="77777777" w:rsidR="00031750" w:rsidRPr="008C7138" w:rsidRDefault="00031750" w:rsidP="00031750">
      <w:pPr>
        <w:pStyle w:val="font-claude-response-body"/>
        <w:spacing w:before="0" w:beforeAutospacing="0" w:after="240" w:afterAutospacing="0" w:line="360" w:lineRule="auto"/>
        <w:jc w:val="both"/>
        <w:rPr>
          <w:rFonts w:ascii="Arial" w:hAnsi="Arial" w:cs="Arial"/>
          <w:color w:val="000000" w:themeColor="text1"/>
          <w:sz w:val="22"/>
          <w:szCs w:val="22"/>
        </w:rPr>
      </w:pPr>
      <w:r w:rsidRPr="008C7138">
        <w:rPr>
          <w:rFonts w:ascii="Arial" w:hAnsi="Arial" w:cs="Arial"/>
          <w:color w:val="000000" w:themeColor="text1"/>
          <w:sz w:val="22"/>
          <w:szCs w:val="22"/>
        </w:rPr>
        <w:t xml:space="preserve">Department for Constitutional Affairs (2007) </w:t>
      </w:r>
      <w:r w:rsidRPr="008C7138">
        <w:rPr>
          <w:rStyle w:val="Emphasis"/>
          <w:rFonts w:ascii="Arial" w:hAnsi="Arial" w:cs="Arial"/>
          <w:color w:val="000000" w:themeColor="text1"/>
          <w:sz w:val="22"/>
          <w:szCs w:val="22"/>
        </w:rPr>
        <w:t>Mental Capacity Act 2005: Code of Practice</w:t>
      </w:r>
      <w:r w:rsidRPr="008C7138">
        <w:rPr>
          <w:rFonts w:ascii="Arial" w:hAnsi="Arial" w:cs="Arial"/>
          <w:color w:val="000000" w:themeColor="text1"/>
          <w:sz w:val="22"/>
          <w:szCs w:val="22"/>
        </w:rPr>
        <w:t>. London: The Stationery Office.</w:t>
      </w:r>
    </w:p>
    <w:p w14:paraId="0683CDA1" w14:textId="77777777" w:rsidR="00031750" w:rsidRPr="008C7138" w:rsidRDefault="00031750" w:rsidP="00031750">
      <w:pPr>
        <w:pStyle w:val="font-claude-response-body"/>
        <w:spacing w:before="0" w:beforeAutospacing="0" w:after="240" w:afterAutospacing="0" w:line="360" w:lineRule="auto"/>
        <w:jc w:val="both"/>
        <w:rPr>
          <w:rFonts w:ascii="Arial" w:hAnsi="Arial" w:cs="Arial"/>
          <w:color w:val="000000" w:themeColor="text1"/>
          <w:sz w:val="22"/>
          <w:szCs w:val="22"/>
        </w:rPr>
      </w:pPr>
      <w:r w:rsidRPr="008C7138">
        <w:rPr>
          <w:rFonts w:ascii="Arial" w:hAnsi="Arial" w:cs="Arial"/>
          <w:color w:val="000000" w:themeColor="text1"/>
          <w:sz w:val="22"/>
          <w:szCs w:val="22"/>
        </w:rPr>
        <w:t xml:space="preserve">Devlin, J.W., Skrobik, Y., Gélinas, C., Needham, D.M., Slooter, A.J.C., Pandharipande, P.P., Watson, P.L., Weinhouse, G.L., Nunnally, M.E., Rochwerg, B., Balas, M.C., van den Boogaard, M., Bosma, K.J., Brummel, N.E., Chanques, G., Denehy, L., Drouot, X., Fraser, G.L., Harris, J.E., Joffe, A.M., Kho, M.E., Kress, J.P., Lanphere, J.A., McKinley, S., Neufeld, K.J., Pisani, M.A., Payen, J.-F., Pun, B.T., Puntillo, K.A., Riker, R.R., Robinson, B.R.H., Shehabi, Y., Szumita, P.M., Winkelman, C., Centofanti, J.E., Price, C., Nikayin, S., Misak, C.J., Flood, P.D., Kiedrowski, K. and Alhazzani, W. (2018) 'Clinical practice guidelines for the prevention and management of pain, agitation/sedation, delirium, immobility, and sleep disruption in adult patients in the ICU', </w:t>
      </w:r>
      <w:r w:rsidRPr="008C7138">
        <w:rPr>
          <w:rStyle w:val="Emphasis"/>
          <w:rFonts w:ascii="Arial" w:hAnsi="Arial" w:cs="Arial"/>
          <w:color w:val="000000" w:themeColor="text1"/>
          <w:sz w:val="22"/>
          <w:szCs w:val="22"/>
        </w:rPr>
        <w:t>Critical Care Medicine</w:t>
      </w:r>
      <w:r w:rsidRPr="008C7138">
        <w:rPr>
          <w:rFonts w:ascii="Arial" w:hAnsi="Arial" w:cs="Arial"/>
          <w:color w:val="000000" w:themeColor="text1"/>
          <w:sz w:val="22"/>
          <w:szCs w:val="22"/>
        </w:rPr>
        <w:t>, 46(9), pp. e825–e873.</w:t>
      </w:r>
    </w:p>
    <w:p w14:paraId="09743E5B" w14:textId="77777777" w:rsidR="00031750" w:rsidRPr="008C7138" w:rsidRDefault="00031750" w:rsidP="00031750">
      <w:pPr>
        <w:pStyle w:val="font-claude-response-body"/>
        <w:spacing w:before="0" w:beforeAutospacing="0" w:after="240" w:afterAutospacing="0" w:line="360" w:lineRule="auto"/>
        <w:jc w:val="both"/>
        <w:rPr>
          <w:rFonts w:ascii="Arial" w:hAnsi="Arial" w:cs="Arial"/>
          <w:color w:val="000000" w:themeColor="text1"/>
          <w:sz w:val="22"/>
          <w:szCs w:val="22"/>
        </w:rPr>
      </w:pPr>
      <w:r w:rsidRPr="008C7138">
        <w:rPr>
          <w:rFonts w:ascii="Arial" w:hAnsi="Arial" w:cs="Arial"/>
          <w:color w:val="000000" w:themeColor="text1"/>
          <w:sz w:val="22"/>
          <w:szCs w:val="22"/>
        </w:rPr>
        <w:t xml:space="preserve">Ely, E.W. (2017) 'The ABCDEF bundle: science and philosophy of how ICU liberation serves patients and families', </w:t>
      </w:r>
      <w:r w:rsidRPr="008C7138">
        <w:rPr>
          <w:rStyle w:val="Emphasis"/>
          <w:rFonts w:ascii="Arial" w:hAnsi="Arial" w:cs="Arial"/>
          <w:color w:val="000000" w:themeColor="text1"/>
          <w:sz w:val="22"/>
          <w:szCs w:val="22"/>
        </w:rPr>
        <w:t>Critical Care Medicine</w:t>
      </w:r>
      <w:r w:rsidRPr="008C7138">
        <w:rPr>
          <w:rFonts w:ascii="Arial" w:hAnsi="Arial" w:cs="Arial"/>
          <w:color w:val="000000" w:themeColor="text1"/>
          <w:sz w:val="22"/>
          <w:szCs w:val="22"/>
        </w:rPr>
        <w:t>, 45(2), pp. 321–330.</w:t>
      </w:r>
    </w:p>
    <w:p w14:paraId="4B88EA9F" w14:textId="77777777" w:rsidR="00031750" w:rsidRPr="008C7138" w:rsidRDefault="00031750" w:rsidP="00031750">
      <w:pPr>
        <w:pStyle w:val="font-claude-response-body"/>
        <w:spacing w:before="0" w:beforeAutospacing="0" w:after="240" w:afterAutospacing="0" w:line="360" w:lineRule="auto"/>
        <w:jc w:val="both"/>
        <w:rPr>
          <w:rFonts w:ascii="Arial" w:hAnsi="Arial" w:cs="Arial"/>
          <w:color w:val="000000" w:themeColor="text1"/>
          <w:sz w:val="22"/>
          <w:szCs w:val="22"/>
        </w:rPr>
      </w:pPr>
      <w:r w:rsidRPr="008C7138">
        <w:rPr>
          <w:rFonts w:ascii="Arial" w:hAnsi="Arial" w:cs="Arial"/>
          <w:color w:val="000000" w:themeColor="text1"/>
          <w:sz w:val="22"/>
          <w:szCs w:val="22"/>
        </w:rPr>
        <w:lastRenderedPageBreak/>
        <w:t xml:space="preserve">Faculty of Intensive Care Medicine and Intensive Care Society (2022) </w:t>
      </w:r>
      <w:r w:rsidRPr="008C7138">
        <w:rPr>
          <w:rStyle w:val="Emphasis"/>
          <w:rFonts w:ascii="Arial" w:hAnsi="Arial" w:cs="Arial"/>
          <w:color w:val="000000" w:themeColor="text1"/>
          <w:sz w:val="22"/>
          <w:szCs w:val="22"/>
        </w:rPr>
        <w:t>Guidelines for the provision of intensive care services</w:t>
      </w:r>
      <w:r w:rsidRPr="008C7138">
        <w:rPr>
          <w:rFonts w:ascii="Arial" w:hAnsi="Arial" w:cs="Arial"/>
          <w:color w:val="000000" w:themeColor="text1"/>
          <w:sz w:val="22"/>
          <w:szCs w:val="22"/>
        </w:rPr>
        <w:t>. 2nd edn, v2.1. London: FICM/ICS.</w:t>
      </w:r>
    </w:p>
    <w:p w14:paraId="5E9DAD20" w14:textId="77777777" w:rsidR="00031750" w:rsidRPr="008C7138" w:rsidRDefault="00031750" w:rsidP="00031750">
      <w:pPr>
        <w:pStyle w:val="font-claude-response-body"/>
        <w:spacing w:before="0" w:beforeAutospacing="0" w:after="240" w:afterAutospacing="0" w:line="360" w:lineRule="auto"/>
        <w:jc w:val="both"/>
        <w:rPr>
          <w:rFonts w:ascii="Arial" w:hAnsi="Arial" w:cs="Arial"/>
          <w:color w:val="000000" w:themeColor="text1"/>
          <w:sz w:val="22"/>
          <w:szCs w:val="22"/>
        </w:rPr>
      </w:pPr>
      <w:r w:rsidRPr="008C7138">
        <w:rPr>
          <w:rFonts w:ascii="Arial" w:hAnsi="Arial" w:cs="Arial"/>
          <w:color w:val="000000" w:themeColor="text1"/>
          <w:sz w:val="22"/>
          <w:szCs w:val="22"/>
        </w:rPr>
        <w:t xml:space="preserve">Fuke, R., Hifumi, T., Kondo, Y., Hatakeyama, J., Takei, T., Yamakawa, K., Inoue, S. and Nishida, O. (2018) 'Early rehabilitation to prevent postintensive care syndrome in patients with critical illness: a systematic review and meta-analysis', </w:t>
      </w:r>
      <w:r w:rsidRPr="008C7138">
        <w:rPr>
          <w:rStyle w:val="Emphasis"/>
          <w:rFonts w:ascii="Arial" w:hAnsi="Arial" w:cs="Arial"/>
          <w:color w:val="000000" w:themeColor="text1"/>
          <w:sz w:val="22"/>
          <w:szCs w:val="22"/>
        </w:rPr>
        <w:t>BMJ Open</w:t>
      </w:r>
      <w:r w:rsidRPr="008C7138">
        <w:rPr>
          <w:rFonts w:ascii="Arial" w:hAnsi="Arial" w:cs="Arial"/>
          <w:color w:val="000000" w:themeColor="text1"/>
          <w:sz w:val="22"/>
          <w:szCs w:val="22"/>
        </w:rPr>
        <w:t>, 8(5), e019998.</w:t>
      </w:r>
    </w:p>
    <w:p w14:paraId="62079CE2" w14:textId="77777777" w:rsidR="00031750" w:rsidRPr="008C7138" w:rsidRDefault="00031750" w:rsidP="00031750">
      <w:pPr>
        <w:pStyle w:val="font-claude-response-body"/>
        <w:spacing w:before="0" w:beforeAutospacing="0" w:after="240" w:afterAutospacing="0" w:line="360" w:lineRule="auto"/>
        <w:jc w:val="both"/>
        <w:rPr>
          <w:rFonts w:ascii="Arial" w:hAnsi="Arial" w:cs="Arial"/>
          <w:color w:val="000000" w:themeColor="text1"/>
          <w:sz w:val="22"/>
          <w:szCs w:val="22"/>
          <w:lang w:val="en-US"/>
        </w:rPr>
      </w:pPr>
      <w:r w:rsidRPr="008C7138">
        <w:rPr>
          <w:rFonts w:ascii="Arial" w:hAnsi="Arial" w:cs="Arial"/>
          <w:color w:val="000000" w:themeColor="text1"/>
          <w:sz w:val="22"/>
          <w:szCs w:val="22"/>
        </w:rPr>
        <w:t>Gibbison, B., Brealey, D., Griffiths, R., et al. (202</w:t>
      </w:r>
      <w:r w:rsidRPr="008C7138">
        <w:rPr>
          <w:rFonts w:ascii="Arial" w:hAnsi="Arial" w:cs="Arial"/>
          <w:color w:val="000000" w:themeColor="text1"/>
          <w:sz w:val="22"/>
          <w:szCs w:val="22"/>
          <w:lang w:val="en-US"/>
        </w:rPr>
        <w:t>6</w:t>
      </w:r>
      <w:r w:rsidRPr="008C7138">
        <w:rPr>
          <w:rFonts w:ascii="Arial" w:hAnsi="Arial" w:cs="Arial"/>
          <w:color w:val="000000" w:themeColor="text1"/>
          <w:sz w:val="22"/>
          <w:szCs w:val="22"/>
        </w:rPr>
        <w:t xml:space="preserve">) 'Delirium identification, prevention and management in intensive care units in England, Wales and Northern Ireland: a survey of practice', </w:t>
      </w:r>
      <w:r w:rsidRPr="008C7138">
        <w:rPr>
          <w:rStyle w:val="Emphasis"/>
          <w:rFonts w:ascii="Arial" w:hAnsi="Arial" w:cs="Arial"/>
          <w:color w:val="000000" w:themeColor="text1"/>
          <w:sz w:val="22"/>
          <w:szCs w:val="22"/>
        </w:rPr>
        <w:t>Anaesthesia</w:t>
      </w:r>
      <w:r w:rsidRPr="008C7138">
        <w:rPr>
          <w:rFonts w:ascii="Arial" w:hAnsi="Arial" w:cs="Arial"/>
          <w:color w:val="000000" w:themeColor="text1"/>
          <w:sz w:val="22"/>
          <w:szCs w:val="22"/>
          <w:lang w:val="en-US"/>
        </w:rPr>
        <w:t xml:space="preserve">, </w:t>
      </w:r>
      <w:r w:rsidRPr="008C7138">
        <w:rPr>
          <w:rFonts w:ascii="Arial" w:hAnsi="Arial" w:cs="Arial"/>
          <w:i/>
          <w:iCs/>
          <w:color w:val="000000" w:themeColor="text1"/>
          <w:sz w:val="22"/>
          <w:szCs w:val="22"/>
          <w:shd w:val="clear" w:color="auto" w:fill="FFFFFF"/>
        </w:rPr>
        <w:t>81</w:t>
      </w:r>
      <w:r w:rsidRPr="008C7138">
        <w:rPr>
          <w:rFonts w:ascii="Arial" w:hAnsi="Arial" w:cs="Arial"/>
          <w:color w:val="000000" w:themeColor="text1"/>
          <w:sz w:val="22"/>
          <w:szCs w:val="22"/>
          <w:shd w:val="clear" w:color="auto" w:fill="FFFFFF"/>
        </w:rPr>
        <w:t>(1), pp.41-50.</w:t>
      </w:r>
    </w:p>
    <w:p w14:paraId="591A7865" w14:textId="77777777" w:rsidR="00031750" w:rsidRPr="008C7138" w:rsidRDefault="00031750" w:rsidP="00031750">
      <w:pPr>
        <w:pStyle w:val="font-claude-response-body"/>
        <w:spacing w:before="0" w:beforeAutospacing="0" w:after="240" w:afterAutospacing="0" w:line="360" w:lineRule="auto"/>
        <w:jc w:val="both"/>
        <w:rPr>
          <w:rFonts w:ascii="Arial" w:hAnsi="Arial" w:cs="Arial"/>
          <w:color w:val="000000" w:themeColor="text1"/>
          <w:sz w:val="22"/>
          <w:szCs w:val="22"/>
        </w:rPr>
      </w:pPr>
      <w:r w:rsidRPr="008C7138">
        <w:rPr>
          <w:rFonts w:ascii="Arial" w:hAnsi="Arial" w:cs="Arial"/>
          <w:color w:val="000000" w:themeColor="text1"/>
          <w:sz w:val="22"/>
          <w:szCs w:val="22"/>
        </w:rPr>
        <w:t xml:space="preserve">Great Britain (1998) </w:t>
      </w:r>
      <w:r w:rsidRPr="008C7138">
        <w:rPr>
          <w:rStyle w:val="Emphasis"/>
          <w:rFonts w:ascii="Arial" w:hAnsi="Arial" w:cs="Arial"/>
          <w:color w:val="000000" w:themeColor="text1"/>
          <w:sz w:val="22"/>
          <w:szCs w:val="22"/>
        </w:rPr>
        <w:t>Human Rights Act 1998, c. 42</w:t>
      </w:r>
      <w:r w:rsidRPr="008C7138">
        <w:rPr>
          <w:rFonts w:ascii="Arial" w:hAnsi="Arial" w:cs="Arial"/>
          <w:color w:val="000000" w:themeColor="text1"/>
          <w:sz w:val="22"/>
          <w:szCs w:val="22"/>
        </w:rPr>
        <w:t xml:space="preserve">. London: The Stationery Office. Available at: </w:t>
      </w:r>
      <w:hyperlink r:id="rId6" w:history="1">
        <w:r w:rsidRPr="008C7138">
          <w:rPr>
            <w:rStyle w:val="Hyperlink"/>
            <w:rFonts w:ascii="Arial" w:hAnsi="Arial" w:cs="Arial"/>
            <w:color w:val="000000" w:themeColor="text1"/>
            <w:sz w:val="22"/>
            <w:szCs w:val="22"/>
          </w:rPr>
          <w:t>https://www.legislation.gov.uk/ukpga/1998/42</w:t>
        </w:r>
      </w:hyperlink>
      <w:r w:rsidRPr="008C7138">
        <w:rPr>
          <w:rFonts w:ascii="Arial" w:hAnsi="Arial" w:cs="Arial"/>
          <w:color w:val="000000" w:themeColor="text1"/>
          <w:sz w:val="22"/>
          <w:szCs w:val="22"/>
        </w:rPr>
        <w:t xml:space="preserve"> (Accessed: 17 July 2026).</w:t>
      </w:r>
    </w:p>
    <w:p w14:paraId="6789A2EA" w14:textId="77777777" w:rsidR="00031750" w:rsidRPr="008C7138" w:rsidRDefault="00031750" w:rsidP="00031750">
      <w:pPr>
        <w:pStyle w:val="font-claude-response-body"/>
        <w:spacing w:before="0" w:beforeAutospacing="0" w:after="240" w:afterAutospacing="0" w:line="360" w:lineRule="auto"/>
        <w:jc w:val="both"/>
        <w:rPr>
          <w:rFonts w:ascii="Arial" w:hAnsi="Arial" w:cs="Arial"/>
          <w:color w:val="000000" w:themeColor="text1"/>
          <w:sz w:val="22"/>
          <w:szCs w:val="22"/>
        </w:rPr>
      </w:pPr>
      <w:r w:rsidRPr="008C7138">
        <w:rPr>
          <w:rFonts w:ascii="Arial" w:hAnsi="Arial" w:cs="Arial"/>
          <w:color w:val="000000" w:themeColor="text1"/>
          <w:sz w:val="22"/>
          <w:szCs w:val="22"/>
        </w:rPr>
        <w:t xml:space="preserve">Great Britain (2005) </w:t>
      </w:r>
      <w:r w:rsidRPr="008C7138">
        <w:rPr>
          <w:rStyle w:val="Emphasis"/>
          <w:rFonts w:ascii="Arial" w:hAnsi="Arial" w:cs="Arial"/>
          <w:color w:val="000000" w:themeColor="text1"/>
          <w:sz w:val="22"/>
          <w:szCs w:val="22"/>
        </w:rPr>
        <w:t>Mental Capacity Act 2005, c. 9</w:t>
      </w:r>
      <w:r w:rsidRPr="008C7138">
        <w:rPr>
          <w:rFonts w:ascii="Arial" w:hAnsi="Arial" w:cs="Arial"/>
          <w:color w:val="000000" w:themeColor="text1"/>
          <w:sz w:val="22"/>
          <w:szCs w:val="22"/>
        </w:rPr>
        <w:t xml:space="preserve">. London: The Stationery Office. Available at: </w:t>
      </w:r>
      <w:hyperlink r:id="rId7" w:history="1">
        <w:r w:rsidRPr="008C7138">
          <w:rPr>
            <w:rStyle w:val="Hyperlink"/>
            <w:rFonts w:ascii="Arial" w:hAnsi="Arial" w:cs="Arial"/>
            <w:color w:val="000000" w:themeColor="text1"/>
            <w:sz w:val="22"/>
            <w:szCs w:val="22"/>
          </w:rPr>
          <w:t>https://www.legislation.gov.uk/ukpga/2005/9</w:t>
        </w:r>
      </w:hyperlink>
      <w:r w:rsidRPr="008C7138">
        <w:rPr>
          <w:rFonts w:ascii="Arial" w:hAnsi="Arial" w:cs="Arial"/>
          <w:color w:val="000000" w:themeColor="text1"/>
          <w:sz w:val="22"/>
          <w:szCs w:val="22"/>
        </w:rPr>
        <w:t xml:space="preserve"> (Accessed: 17 July 2026).</w:t>
      </w:r>
    </w:p>
    <w:p w14:paraId="263BDE40" w14:textId="77777777" w:rsidR="00031750" w:rsidRPr="008C7138" w:rsidRDefault="00031750" w:rsidP="00031750">
      <w:pPr>
        <w:pStyle w:val="font-claude-response-body"/>
        <w:spacing w:before="0" w:beforeAutospacing="0" w:after="240" w:afterAutospacing="0" w:line="360" w:lineRule="auto"/>
        <w:jc w:val="both"/>
        <w:rPr>
          <w:rFonts w:ascii="Arial" w:hAnsi="Arial" w:cs="Arial"/>
          <w:color w:val="000000" w:themeColor="text1"/>
          <w:sz w:val="22"/>
          <w:szCs w:val="22"/>
        </w:rPr>
      </w:pPr>
      <w:r w:rsidRPr="008C7138">
        <w:rPr>
          <w:rFonts w:ascii="Arial" w:hAnsi="Arial" w:cs="Arial"/>
          <w:color w:val="000000" w:themeColor="text1"/>
          <w:sz w:val="22"/>
          <w:szCs w:val="22"/>
        </w:rPr>
        <w:t xml:space="preserve">Great Britain (2022) </w:t>
      </w:r>
      <w:r w:rsidRPr="008C7138">
        <w:rPr>
          <w:rStyle w:val="Emphasis"/>
          <w:rFonts w:ascii="Arial" w:hAnsi="Arial" w:cs="Arial"/>
          <w:color w:val="000000" w:themeColor="text1"/>
          <w:sz w:val="22"/>
          <w:szCs w:val="22"/>
        </w:rPr>
        <w:t>Health and Care Act 2022, c. 31</w:t>
      </w:r>
      <w:r w:rsidRPr="008C7138">
        <w:rPr>
          <w:rFonts w:ascii="Arial" w:hAnsi="Arial" w:cs="Arial"/>
          <w:color w:val="000000" w:themeColor="text1"/>
          <w:sz w:val="22"/>
          <w:szCs w:val="22"/>
        </w:rPr>
        <w:t xml:space="preserve">. London: The Stationery Office. Available at: </w:t>
      </w:r>
      <w:hyperlink r:id="rId8" w:history="1">
        <w:r w:rsidRPr="008C7138">
          <w:rPr>
            <w:rStyle w:val="Hyperlink"/>
            <w:rFonts w:ascii="Arial" w:hAnsi="Arial" w:cs="Arial"/>
            <w:color w:val="000000" w:themeColor="text1"/>
            <w:sz w:val="22"/>
            <w:szCs w:val="22"/>
          </w:rPr>
          <w:t>https://www.legislation.gov.uk/ukpga/2022/31</w:t>
        </w:r>
      </w:hyperlink>
      <w:r w:rsidRPr="008C7138">
        <w:rPr>
          <w:rFonts w:ascii="Arial" w:hAnsi="Arial" w:cs="Arial"/>
          <w:color w:val="000000" w:themeColor="text1"/>
          <w:sz w:val="22"/>
          <w:szCs w:val="22"/>
        </w:rPr>
        <w:t xml:space="preserve"> (Accessed: 17 July 2026).</w:t>
      </w:r>
    </w:p>
    <w:p w14:paraId="61C9FEA9" w14:textId="77777777" w:rsidR="00031750" w:rsidRPr="008C7138" w:rsidRDefault="00031750" w:rsidP="00031750">
      <w:pPr>
        <w:pStyle w:val="font-claude-response-body"/>
        <w:spacing w:before="0" w:beforeAutospacing="0" w:after="240" w:afterAutospacing="0" w:line="360" w:lineRule="auto"/>
        <w:jc w:val="both"/>
        <w:rPr>
          <w:rFonts w:ascii="Arial" w:hAnsi="Arial" w:cs="Arial"/>
          <w:color w:val="000000" w:themeColor="text1"/>
          <w:sz w:val="22"/>
          <w:szCs w:val="22"/>
        </w:rPr>
      </w:pPr>
      <w:r w:rsidRPr="008C7138">
        <w:rPr>
          <w:rFonts w:ascii="Arial" w:hAnsi="Arial" w:cs="Arial"/>
          <w:color w:val="000000" w:themeColor="text1"/>
          <w:sz w:val="22"/>
          <w:szCs w:val="22"/>
        </w:rPr>
        <w:t xml:space="preserve">Health Research Authority (2022) </w:t>
      </w:r>
      <w:r w:rsidRPr="008C7138">
        <w:rPr>
          <w:rStyle w:val="Emphasis"/>
          <w:rFonts w:ascii="Arial" w:hAnsi="Arial" w:cs="Arial"/>
          <w:color w:val="000000" w:themeColor="text1"/>
          <w:sz w:val="22"/>
          <w:szCs w:val="22"/>
        </w:rPr>
        <w:t>UK policy framework for health and social care research</w:t>
      </w:r>
      <w:r w:rsidRPr="008C7138">
        <w:rPr>
          <w:rFonts w:ascii="Arial" w:hAnsi="Arial" w:cs="Arial"/>
          <w:color w:val="000000" w:themeColor="text1"/>
          <w:sz w:val="22"/>
          <w:szCs w:val="22"/>
        </w:rPr>
        <w:t xml:space="preserve">. London: HRA. Available at: </w:t>
      </w:r>
      <w:hyperlink r:id="rId9" w:history="1">
        <w:r w:rsidRPr="008C7138">
          <w:rPr>
            <w:rStyle w:val="Hyperlink"/>
            <w:rFonts w:ascii="Arial" w:hAnsi="Arial" w:cs="Arial"/>
            <w:color w:val="000000" w:themeColor="text1"/>
            <w:sz w:val="22"/>
            <w:szCs w:val="22"/>
          </w:rPr>
          <w:t>https://www.hra.nhs.uk/planning-and-improving-research/policies-standards-legislation/uk-policy-framework-health-social-care-research/</w:t>
        </w:r>
      </w:hyperlink>
      <w:r w:rsidRPr="008C7138">
        <w:rPr>
          <w:rFonts w:ascii="Arial" w:hAnsi="Arial" w:cs="Arial"/>
          <w:color w:val="000000" w:themeColor="text1"/>
          <w:sz w:val="22"/>
          <w:szCs w:val="22"/>
        </w:rPr>
        <w:t xml:space="preserve"> (Accessed: 17 July 2026).</w:t>
      </w:r>
    </w:p>
    <w:p w14:paraId="1D3B8931" w14:textId="77777777" w:rsidR="00031750" w:rsidRPr="008C7138" w:rsidRDefault="00031750" w:rsidP="00031750">
      <w:pPr>
        <w:pStyle w:val="font-claude-response-body"/>
        <w:spacing w:before="0" w:beforeAutospacing="0" w:after="240" w:afterAutospacing="0" w:line="360" w:lineRule="auto"/>
        <w:jc w:val="both"/>
        <w:rPr>
          <w:rFonts w:ascii="Arial" w:hAnsi="Arial" w:cs="Arial"/>
          <w:color w:val="000000" w:themeColor="text1"/>
          <w:sz w:val="22"/>
          <w:szCs w:val="22"/>
        </w:rPr>
      </w:pPr>
      <w:r w:rsidRPr="008C7138">
        <w:rPr>
          <w:rFonts w:ascii="Arial" w:hAnsi="Arial" w:cs="Arial"/>
          <w:color w:val="000000" w:themeColor="text1"/>
          <w:sz w:val="22"/>
          <w:szCs w:val="22"/>
        </w:rPr>
        <w:t xml:space="preserve">Herling, S.F., Greve, I.E., Vasilevskis, E.E., Egerod, I., Bekker Mortensen, C., Møller, A.M., Svenningsen, H. and Thomsen, T. (2018) 'Interventions for preventing intensive care unit delirium in adults', </w:t>
      </w:r>
      <w:r w:rsidRPr="008C7138">
        <w:rPr>
          <w:rStyle w:val="Emphasis"/>
          <w:rFonts w:ascii="Arial" w:hAnsi="Arial" w:cs="Arial"/>
          <w:color w:val="000000" w:themeColor="text1"/>
          <w:sz w:val="22"/>
          <w:szCs w:val="22"/>
        </w:rPr>
        <w:t>Cochrane Database of Systematic Reviews</w:t>
      </w:r>
      <w:r w:rsidRPr="008C7138">
        <w:rPr>
          <w:rFonts w:ascii="Arial" w:hAnsi="Arial" w:cs="Arial"/>
          <w:color w:val="000000" w:themeColor="text1"/>
          <w:sz w:val="22"/>
          <w:szCs w:val="22"/>
        </w:rPr>
        <w:t>, 11, CD009783.</w:t>
      </w:r>
    </w:p>
    <w:p w14:paraId="100AD094" w14:textId="77777777" w:rsidR="00031750" w:rsidRPr="008C7138" w:rsidRDefault="00031750" w:rsidP="00031750">
      <w:pPr>
        <w:pStyle w:val="font-claude-response-body"/>
        <w:spacing w:before="0" w:beforeAutospacing="0" w:after="240" w:afterAutospacing="0" w:line="360" w:lineRule="auto"/>
        <w:jc w:val="both"/>
        <w:rPr>
          <w:rFonts w:ascii="Arial" w:hAnsi="Arial" w:cs="Arial"/>
          <w:color w:val="000000" w:themeColor="text1"/>
          <w:sz w:val="22"/>
          <w:szCs w:val="22"/>
        </w:rPr>
      </w:pPr>
      <w:r w:rsidRPr="008C7138">
        <w:rPr>
          <w:rFonts w:ascii="Arial" w:hAnsi="Arial" w:cs="Arial"/>
          <w:color w:val="000000" w:themeColor="text1"/>
          <w:sz w:val="22"/>
          <w:szCs w:val="22"/>
        </w:rPr>
        <w:t xml:space="preserve">Hodgson, C.L., Bailey, M., Bellomo, R., Brickell, K., Broadley, T., Buhr, H., Gabbe, B.J., Gould, D.W., Harrold, M., Higgins, A.M., Hurford, S., Iwashyna, T.J., Serpa Neto, A., Nichol, A.D., Presneill, J.J., Schaller, S.J., Sivasuthan, J., Tipping, C.J., Webb, S. and Young, P.J. (2022) 'Early active mobilization during mechanical ventilation in the ICU', </w:t>
      </w:r>
      <w:r w:rsidRPr="008C7138">
        <w:rPr>
          <w:rStyle w:val="Emphasis"/>
          <w:rFonts w:ascii="Arial" w:hAnsi="Arial" w:cs="Arial"/>
          <w:color w:val="000000" w:themeColor="text1"/>
          <w:sz w:val="22"/>
          <w:szCs w:val="22"/>
        </w:rPr>
        <w:t>New England Journal of Medicine</w:t>
      </w:r>
      <w:r w:rsidRPr="008C7138">
        <w:rPr>
          <w:rFonts w:ascii="Arial" w:hAnsi="Arial" w:cs="Arial"/>
          <w:color w:val="000000" w:themeColor="text1"/>
          <w:sz w:val="22"/>
          <w:szCs w:val="22"/>
        </w:rPr>
        <w:t>, 387(19), pp. 1747–1758.</w:t>
      </w:r>
    </w:p>
    <w:p w14:paraId="09F084F3" w14:textId="77777777" w:rsidR="00031750" w:rsidRPr="008C7138" w:rsidRDefault="00031750" w:rsidP="00031750">
      <w:pPr>
        <w:pStyle w:val="font-claude-response-body"/>
        <w:spacing w:before="0" w:beforeAutospacing="0" w:after="240" w:afterAutospacing="0" w:line="360" w:lineRule="auto"/>
        <w:jc w:val="both"/>
        <w:rPr>
          <w:rFonts w:ascii="Arial" w:hAnsi="Arial" w:cs="Arial"/>
          <w:color w:val="000000" w:themeColor="text1"/>
          <w:sz w:val="22"/>
          <w:szCs w:val="22"/>
        </w:rPr>
      </w:pPr>
      <w:r w:rsidRPr="008C7138">
        <w:rPr>
          <w:rFonts w:ascii="Arial" w:hAnsi="Arial" w:cs="Arial"/>
          <w:color w:val="000000" w:themeColor="text1"/>
          <w:sz w:val="22"/>
          <w:szCs w:val="22"/>
        </w:rPr>
        <w:t xml:space="preserve">Intensive Care National Audit and Research Centre (2024) </w:t>
      </w:r>
      <w:r w:rsidRPr="008C7138">
        <w:rPr>
          <w:rStyle w:val="Emphasis"/>
          <w:rFonts w:ascii="Arial" w:hAnsi="Arial" w:cs="Arial"/>
          <w:color w:val="000000" w:themeColor="text1"/>
          <w:sz w:val="22"/>
          <w:szCs w:val="22"/>
        </w:rPr>
        <w:t>Key statistics from the Case Mix Programme: adult, general critical care units</w:t>
      </w:r>
      <w:r w:rsidRPr="008C7138">
        <w:rPr>
          <w:rFonts w:ascii="Arial" w:hAnsi="Arial" w:cs="Arial"/>
          <w:color w:val="000000" w:themeColor="text1"/>
          <w:sz w:val="22"/>
          <w:szCs w:val="22"/>
        </w:rPr>
        <w:t xml:space="preserve">. London: ICNARC. Available at: </w:t>
      </w:r>
      <w:hyperlink r:id="rId10" w:history="1">
        <w:r w:rsidRPr="008C7138">
          <w:rPr>
            <w:rStyle w:val="Hyperlink"/>
            <w:rFonts w:ascii="Arial" w:hAnsi="Arial" w:cs="Arial"/>
            <w:color w:val="000000" w:themeColor="text1"/>
            <w:sz w:val="22"/>
            <w:szCs w:val="22"/>
          </w:rPr>
          <w:t>https://www.icnarc.org</w:t>
        </w:r>
      </w:hyperlink>
      <w:r w:rsidRPr="008C7138">
        <w:rPr>
          <w:rFonts w:ascii="Arial" w:hAnsi="Arial" w:cs="Arial"/>
          <w:color w:val="000000" w:themeColor="text1"/>
          <w:sz w:val="22"/>
          <w:szCs w:val="22"/>
        </w:rPr>
        <w:t xml:space="preserve"> (Accessed: 17 July 2026).</w:t>
      </w:r>
    </w:p>
    <w:p w14:paraId="6B29272E" w14:textId="77777777" w:rsidR="00031750" w:rsidRPr="008C7138" w:rsidRDefault="00031750" w:rsidP="00031750">
      <w:pPr>
        <w:pStyle w:val="font-claude-response-body"/>
        <w:spacing w:before="0" w:beforeAutospacing="0" w:after="240" w:afterAutospacing="0" w:line="360" w:lineRule="auto"/>
        <w:jc w:val="both"/>
        <w:rPr>
          <w:rFonts w:ascii="Arial" w:hAnsi="Arial" w:cs="Arial"/>
          <w:color w:val="000000" w:themeColor="text1"/>
          <w:sz w:val="22"/>
          <w:szCs w:val="22"/>
        </w:rPr>
      </w:pPr>
      <w:r w:rsidRPr="008C7138">
        <w:rPr>
          <w:rFonts w:ascii="Arial" w:hAnsi="Arial" w:cs="Arial"/>
          <w:color w:val="000000" w:themeColor="text1"/>
          <w:sz w:val="22"/>
          <w:szCs w:val="22"/>
        </w:rPr>
        <w:lastRenderedPageBreak/>
        <w:t xml:space="preserve">Intensive Care Society (2025) </w:t>
      </w:r>
      <w:r w:rsidRPr="008C7138">
        <w:rPr>
          <w:rStyle w:val="Emphasis"/>
          <w:rFonts w:ascii="Arial" w:hAnsi="Arial" w:cs="Arial"/>
          <w:color w:val="000000" w:themeColor="text1"/>
          <w:sz w:val="22"/>
          <w:szCs w:val="22"/>
        </w:rPr>
        <w:t>Guidance for delirium in the critically ill patient</w:t>
      </w:r>
      <w:r w:rsidRPr="008C7138">
        <w:rPr>
          <w:rFonts w:ascii="Arial" w:hAnsi="Arial" w:cs="Arial"/>
          <w:color w:val="000000" w:themeColor="text1"/>
          <w:sz w:val="22"/>
          <w:szCs w:val="22"/>
        </w:rPr>
        <w:t xml:space="preserve">. London: Intensive Care Society. Available at: </w:t>
      </w:r>
      <w:hyperlink r:id="rId11" w:history="1">
        <w:r w:rsidRPr="008C7138">
          <w:rPr>
            <w:rStyle w:val="Hyperlink"/>
            <w:rFonts w:ascii="Arial" w:hAnsi="Arial" w:cs="Arial"/>
            <w:color w:val="000000" w:themeColor="text1"/>
            <w:sz w:val="22"/>
            <w:szCs w:val="22"/>
          </w:rPr>
          <w:t>https://ics.ac.uk</w:t>
        </w:r>
      </w:hyperlink>
      <w:r w:rsidRPr="008C7138">
        <w:rPr>
          <w:rFonts w:ascii="Arial" w:hAnsi="Arial" w:cs="Arial"/>
          <w:color w:val="000000" w:themeColor="text1"/>
          <w:sz w:val="22"/>
          <w:szCs w:val="22"/>
        </w:rPr>
        <w:t xml:space="preserve"> (Accessed: 17 July 2026).</w:t>
      </w:r>
    </w:p>
    <w:p w14:paraId="24D105CD" w14:textId="77777777" w:rsidR="00031750" w:rsidRPr="008C7138" w:rsidRDefault="00031750" w:rsidP="00031750">
      <w:pPr>
        <w:pStyle w:val="font-claude-response-body"/>
        <w:spacing w:before="0" w:beforeAutospacing="0" w:after="240" w:afterAutospacing="0" w:line="360" w:lineRule="auto"/>
        <w:jc w:val="both"/>
        <w:rPr>
          <w:rFonts w:ascii="Arial" w:hAnsi="Arial" w:cs="Arial"/>
          <w:color w:val="000000" w:themeColor="text1"/>
          <w:sz w:val="22"/>
          <w:szCs w:val="22"/>
          <w:lang w:val="en-US"/>
        </w:rPr>
      </w:pPr>
      <w:r w:rsidRPr="008C7138">
        <w:rPr>
          <w:rFonts w:ascii="Arial" w:hAnsi="Arial" w:cs="Arial"/>
          <w:color w:val="000000" w:themeColor="text1"/>
          <w:sz w:val="22"/>
          <w:szCs w:val="22"/>
        </w:rPr>
        <w:t xml:space="preserve">Johnson, G.U., Towell-Barnard, A., McLean, C. and Ewens, B. (2024) 'The implementation and evaluation of a family-led novel intervention for delirium prevention and management in adult critically ill patients: a mixed-methods pilot study', </w:t>
      </w:r>
      <w:r w:rsidRPr="008C7138">
        <w:rPr>
          <w:rStyle w:val="Emphasis"/>
          <w:rFonts w:ascii="Arial" w:hAnsi="Arial" w:cs="Arial"/>
          <w:color w:val="000000" w:themeColor="text1"/>
          <w:sz w:val="22"/>
          <w:szCs w:val="22"/>
        </w:rPr>
        <w:t>Nursing in Critical Care</w:t>
      </w:r>
      <w:r w:rsidRPr="008C7138">
        <w:rPr>
          <w:rFonts w:ascii="Arial" w:hAnsi="Arial" w:cs="Arial"/>
          <w:color w:val="000000" w:themeColor="text1"/>
          <w:sz w:val="22"/>
          <w:szCs w:val="22"/>
          <w:lang w:val="en-US"/>
        </w:rPr>
        <w:t xml:space="preserve">, </w:t>
      </w:r>
      <w:r w:rsidRPr="008C7138">
        <w:rPr>
          <w:rFonts w:ascii="Arial" w:hAnsi="Arial" w:cs="Arial"/>
          <w:i/>
          <w:iCs/>
          <w:color w:val="000000" w:themeColor="text1"/>
          <w:sz w:val="22"/>
          <w:szCs w:val="22"/>
          <w:lang w:val="en-US"/>
        </w:rPr>
        <w:t>30</w:t>
      </w:r>
      <w:r w:rsidRPr="008C7138">
        <w:rPr>
          <w:rFonts w:ascii="Arial" w:hAnsi="Arial" w:cs="Arial"/>
          <w:color w:val="000000" w:themeColor="text1"/>
          <w:sz w:val="22"/>
          <w:szCs w:val="22"/>
          <w:lang w:val="en-US"/>
        </w:rPr>
        <w:t>(4), p.e13210.</w:t>
      </w:r>
    </w:p>
    <w:p w14:paraId="01D84725" w14:textId="77777777" w:rsidR="00031750" w:rsidRPr="008C7138" w:rsidRDefault="00031750" w:rsidP="00031750">
      <w:pPr>
        <w:pStyle w:val="font-claude-response-body"/>
        <w:spacing w:before="0" w:beforeAutospacing="0" w:after="240" w:afterAutospacing="0" w:line="360" w:lineRule="auto"/>
        <w:jc w:val="both"/>
        <w:rPr>
          <w:rFonts w:ascii="Arial" w:hAnsi="Arial" w:cs="Arial"/>
          <w:color w:val="000000" w:themeColor="text1"/>
          <w:sz w:val="22"/>
          <w:szCs w:val="22"/>
        </w:rPr>
      </w:pPr>
      <w:r w:rsidRPr="008C7138">
        <w:rPr>
          <w:rFonts w:ascii="Arial" w:hAnsi="Arial" w:cs="Arial"/>
          <w:color w:val="000000" w:themeColor="text1"/>
          <w:sz w:val="22"/>
          <w:szCs w:val="22"/>
        </w:rPr>
        <w:t xml:space="preserve">Krewulak, K.D., Stelfox, H.T., Leigh, J.P., Ely, E.W. and Fiest, K.M. (2018) 'Incidence and prevalence of delirium subtypes in an adult ICU: a systematic review and meta-analysis', </w:t>
      </w:r>
      <w:r w:rsidRPr="008C7138">
        <w:rPr>
          <w:rStyle w:val="Emphasis"/>
          <w:rFonts w:ascii="Arial" w:hAnsi="Arial" w:cs="Arial"/>
          <w:color w:val="000000" w:themeColor="text1"/>
          <w:sz w:val="22"/>
          <w:szCs w:val="22"/>
        </w:rPr>
        <w:t>Critical Care Medicine</w:t>
      </w:r>
      <w:r w:rsidRPr="008C7138">
        <w:rPr>
          <w:rFonts w:ascii="Arial" w:hAnsi="Arial" w:cs="Arial"/>
          <w:color w:val="000000" w:themeColor="text1"/>
          <w:sz w:val="22"/>
          <w:szCs w:val="22"/>
        </w:rPr>
        <w:t>, 46(12), pp. 2029–2035.</w:t>
      </w:r>
    </w:p>
    <w:p w14:paraId="612DF65C" w14:textId="77777777" w:rsidR="00031750" w:rsidRPr="008C7138" w:rsidRDefault="00031750" w:rsidP="00031750">
      <w:pPr>
        <w:pStyle w:val="font-claude-response-body"/>
        <w:spacing w:before="0" w:beforeAutospacing="0" w:after="240" w:afterAutospacing="0" w:line="360" w:lineRule="auto"/>
        <w:jc w:val="both"/>
        <w:rPr>
          <w:rFonts w:ascii="Arial" w:hAnsi="Arial" w:cs="Arial"/>
          <w:color w:val="000000" w:themeColor="text1"/>
          <w:sz w:val="22"/>
          <w:szCs w:val="22"/>
        </w:rPr>
      </w:pPr>
      <w:r w:rsidRPr="008C7138">
        <w:rPr>
          <w:rFonts w:ascii="Arial" w:hAnsi="Arial" w:cs="Arial"/>
          <w:color w:val="000000" w:themeColor="text1"/>
          <w:sz w:val="22"/>
          <w:szCs w:val="22"/>
        </w:rPr>
        <w:t xml:space="preserve">Levac, D., Colquhoun, H. and O'Brien, K.K. (2010) 'Scoping studies: advancing the methodology', </w:t>
      </w:r>
      <w:r w:rsidRPr="008C7138">
        <w:rPr>
          <w:rStyle w:val="Emphasis"/>
          <w:rFonts w:ascii="Arial" w:hAnsi="Arial" w:cs="Arial"/>
          <w:color w:val="000000" w:themeColor="text1"/>
          <w:sz w:val="22"/>
          <w:szCs w:val="22"/>
        </w:rPr>
        <w:t>Implementation Science</w:t>
      </w:r>
      <w:r w:rsidRPr="008C7138">
        <w:rPr>
          <w:rFonts w:ascii="Arial" w:hAnsi="Arial" w:cs="Arial"/>
          <w:color w:val="000000" w:themeColor="text1"/>
          <w:sz w:val="22"/>
          <w:szCs w:val="22"/>
        </w:rPr>
        <w:t>, 5(1), 69.</w:t>
      </w:r>
    </w:p>
    <w:p w14:paraId="3B510FCD" w14:textId="77777777" w:rsidR="00031750" w:rsidRPr="008C7138" w:rsidRDefault="00031750" w:rsidP="00031750">
      <w:pPr>
        <w:pStyle w:val="font-claude-response-body"/>
        <w:spacing w:before="0" w:beforeAutospacing="0" w:after="240" w:afterAutospacing="0" w:line="360" w:lineRule="auto"/>
        <w:jc w:val="both"/>
        <w:rPr>
          <w:rFonts w:ascii="Arial" w:hAnsi="Arial" w:cs="Arial"/>
          <w:color w:val="000000" w:themeColor="text1"/>
          <w:sz w:val="22"/>
          <w:szCs w:val="22"/>
        </w:rPr>
      </w:pPr>
      <w:r w:rsidRPr="008C7138">
        <w:rPr>
          <w:rFonts w:ascii="Arial" w:hAnsi="Arial" w:cs="Arial"/>
          <w:color w:val="000000" w:themeColor="text1"/>
          <w:sz w:val="22"/>
          <w:szCs w:val="22"/>
        </w:rPr>
        <w:t xml:space="preserve">Li, J., Fan, Y., Luo, R., Wang, Y., Yin, N., Qi, W., Huang, T., Zhang, J. and Xie, J. (2025) 'Family involvement in preventing delirium in critically ill patients: a systematic review and meta-analysis', </w:t>
      </w:r>
      <w:r w:rsidRPr="008C7138">
        <w:rPr>
          <w:rStyle w:val="Emphasis"/>
          <w:rFonts w:ascii="Arial" w:hAnsi="Arial" w:cs="Arial"/>
          <w:color w:val="000000" w:themeColor="text1"/>
          <w:sz w:val="22"/>
          <w:szCs w:val="22"/>
        </w:rPr>
        <w:t>International Journal of Nursing Studies</w:t>
      </w:r>
      <w:r w:rsidRPr="008C7138">
        <w:rPr>
          <w:rFonts w:ascii="Arial" w:hAnsi="Arial" w:cs="Arial"/>
          <w:color w:val="000000" w:themeColor="text1"/>
          <w:sz w:val="22"/>
          <w:szCs w:val="22"/>
        </w:rPr>
        <w:t>, 161, 104937.</w:t>
      </w:r>
    </w:p>
    <w:p w14:paraId="2FD7F6ED" w14:textId="77777777" w:rsidR="00031750" w:rsidRPr="008C7138" w:rsidRDefault="00031750" w:rsidP="00031750">
      <w:pPr>
        <w:pStyle w:val="font-claude-response-body"/>
        <w:spacing w:before="0" w:beforeAutospacing="0" w:after="240" w:afterAutospacing="0" w:line="360" w:lineRule="auto"/>
        <w:jc w:val="both"/>
        <w:rPr>
          <w:rFonts w:ascii="Arial" w:hAnsi="Arial" w:cs="Arial"/>
          <w:color w:val="000000" w:themeColor="text1"/>
          <w:sz w:val="22"/>
          <w:szCs w:val="22"/>
        </w:rPr>
      </w:pPr>
      <w:r w:rsidRPr="008C7138">
        <w:rPr>
          <w:rFonts w:ascii="Arial" w:hAnsi="Arial" w:cs="Arial"/>
          <w:color w:val="000000" w:themeColor="text1"/>
          <w:sz w:val="22"/>
          <w:szCs w:val="22"/>
        </w:rPr>
        <w:t xml:space="preserve">McWilliams, D.J., King, E.B., Nydahl, P., Darbyshire, J.L., Gallie, L., Barghouthy, D., Bassford, C. and Gustafson, O.D. (2023) 'Mobilisation in the EveNing to prevent and TreAt deLirium (MENTAL): a mixed-methods, randomised controlled feasibility trial', </w:t>
      </w:r>
      <w:r w:rsidRPr="008C7138">
        <w:rPr>
          <w:rStyle w:val="Emphasis"/>
          <w:rFonts w:ascii="Arial" w:hAnsi="Arial" w:cs="Arial"/>
          <w:color w:val="000000" w:themeColor="text1"/>
          <w:sz w:val="22"/>
          <w:szCs w:val="22"/>
        </w:rPr>
        <w:t>eClinicalMedicine</w:t>
      </w:r>
      <w:r w:rsidRPr="008C7138">
        <w:rPr>
          <w:rFonts w:ascii="Arial" w:hAnsi="Arial" w:cs="Arial"/>
          <w:color w:val="000000" w:themeColor="text1"/>
          <w:sz w:val="22"/>
          <w:szCs w:val="22"/>
        </w:rPr>
        <w:t>, 62, 102101.</w:t>
      </w:r>
    </w:p>
    <w:p w14:paraId="0B28B892" w14:textId="77777777" w:rsidR="00031750" w:rsidRPr="008C7138" w:rsidRDefault="00031750" w:rsidP="00031750">
      <w:pPr>
        <w:pStyle w:val="font-claude-response-body"/>
        <w:spacing w:before="0" w:beforeAutospacing="0" w:after="240" w:afterAutospacing="0" w:line="360" w:lineRule="auto"/>
        <w:jc w:val="both"/>
        <w:rPr>
          <w:rFonts w:ascii="Arial" w:hAnsi="Arial" w:cs="Arial"/>
          <w:color w:val="000000" w:themeColor="text1"/>
          <w:sz w:val="22"/>
          <w:szCs w:val="22"/>
        </w:rPr>
      </w:pPr>
      <w:r w:rsidRPr="008C7138">
        <w:rPr>
          <w:rFonts w:ascii="Arial" w:hAnsi="Arial" w:cs="Arial"/>
          <w:color w:val="000000" w:themeColor="text1"/>
          <w:sz w:val="22"/>
          <w:szCs w:val="22"/>
        </w:rPr>
        <w:t xml:space="preserve">Munn, Z., Peters, M.D.J., Stern, C., Tufanaru, C., McArthur, A. and Aromataris, E. (2018) 'Systematic review or scoping review? Guidance for authors when choosing between a systematic or scoping review approach', </w:t>
      </w:r>
      <w:r w:rsidRPr="008C7138">
        <w:rPr>
          <w:rStyle w:val="Emphasis"/>
          <w:rFonts w:ascii="Arial" w:hAnsi="Arial" w:cs="Arial"/>
          <w:color w:val="000000" w:themeColor="text1"/>
          <w:sz w:val="22"/>
          <w:szCs w:val="22"/>
        </w:rPr>
        <w:t>BMC Medical Research Methodology</w:t>
      </w:r>
      <w:r w:rsidRPr="008C7138">
        <w:rPr>
          <w:rFonts w:ascii="Arial" w:hAnsi="Arial" w:cs="Arial"/>
          <w:color w:val="000000" w:themeColor="text1"/>
          <w:sz w:val="22"/>
          <w:szCs w:val="22"/>
        </w:rPr>
        <w:t>, 18(1), 143.</w:t>
      </w:r>
    </w:p>
    <w:p w14:paraId="343D5DAE" w14:textId="77777777" w:rsidR="00031750" w:rsidRPr="008C7138" w:rsidRDefault="00031750" w:rsidP="00031750">
      <w:pPr>
        <w:pStyle w:val="font-claude-response-body"/>
        <w:spacing w:before="0" w:beforeAutospacing="0" w:after="240" w:afterAutospacing="0" w:line="360" w:lineRule="auto"/>
        <w:jc w:val="both"/>
        <w:rPr>
          <w:rFonts w:ascii="Arial" w:hAnsi="Arial" w:cs="Arial"/>
          <w:color w:val="000000" w:themeColor="text1"/>
          <w:sz w:val="22"/>
          <w:szCs w:val="22"/>
        </w:rPr>
      </w:pPr>
      <w:r w:rsidRPr="008C7138">
        <w:rPr>
          <w:rFonts w:ascii="Arial" w:hAnsi="Arial" w:cs="Arial"/>
          <w:color w:val="000000" w:themeColor="text1"/>
          <w:sz w:val="22"/>
          <w:szCs w:val="22"/>
        </w:rPr>
        <w:t xml:space="preserve">National Institute for Health and Care Excellence (2023) </w:t>
      </w:r>
      <w:r w:rsidRPr="008C7138">
        <w:rPr>
          <w:rStyle w:val="Emphasis"/>
          <w:rFonts w:ascii="Arial" w:hAnsi="Arial" w:cs="Arial"/>
          <w:color w:val="000000" w:themeColor="text1"/>
          <w:sz w:val="22"/>
          <w:szCs w:val="22"/>
        </w:rPr>
        <w:t>Delirium: prevention, diagnosis and management in hospital and long-term care</w:t>
      </w:r>
      <w:r w:rsidRPr="008C7138">
        <w:rPr>
          <w:rFonts w:ascii="Arial" w:hAnsi="Arial" w:cs="Arial"/>
          <w:color w:val="000000" w:themeColor="text1"/>
          <w:sz w:val="22"/>
          <w:szCs w:val="22"/>
        </w:rPr>
        <w:t xml:space="preserve">. Clinical Guideline CG103. London: NICE. Available at: </w:t>
      </w:r>
      <w:hyperlink r:id="rId12" w:history="1">
        <w:r w:rsidRPr="008C7138">
          <w:rPr>
            <w:rStyle w:val="Hyperlink"/>
            <w:rFonts w:ascii="Arial" w:hAnsi="Arial" w:cs="Arial"/>
            <w:color w:val="000000" w:themeColor="text1"/>
            <w:sz w:val="22"/>
            <w:szCs w:val="22"/>
          </w:rPr>
          <w:t>https://www.nice.org.uk/guidance/cg103</w:t>
        </w:r>
      </w:hyperlink>
      <w:r w:rsidRPr="008C7138">
        <w:rPr>
          <w:rFonts w:ascii="Arial" w:hAnsi="Arial" w:cs="Arial"/>
          <w:color w:val="000000" w:themeColor="text1"/>
          <w:sz w:val="22"/>
          <w:szCs w:val="22"/>
        </w:rPr>
        <w:t xml:space="preserve"> (Accessed: 17 July 2026).</w:t>
      </w:r>
    </w:p>
    <w:p w14:paraId="313FAF3C" w14:textId="77777777" w:rsidR="00031750" w:rsidRPr="008C7138" w:rsidRDefault="00031750" w:rsidP="00031750">
      <w:pPr>
        <w:pStyle w:val="font-claude-response-body"/>
        <w:spacing w:before="0" w:beforeAutospacing="0" w:after="240" w:afterAutospacing="0" w:line="360" w:lineRule="auto"/>
        <w:jc w:val="both"/>
        <w:rPr>
          <w:rFonts w:ascii="Arial" w:hAnsi="Arial" w:cs="Arial"/>
          <w:color w:val="000000" w:themeColor="text1"/>
          <w:sz w:val="22"/>
          <w:szCs w:val="22"/>
        </w:rPr>
      </w:pPr>
      <w:r w:rsidRPr="008C7138">
        <w:rPr>
          <w:rFonts w:ascii="Arial" w:hAnsi="Arial" w:cs="Arial"/>
          <w:color w:val="000000" w:themeColor="text1"/>
          <w:sz w:val="22"/>
          <w:szCs w:val="22"/>
        </w:rPr>
        <w:t xml:space="preserve">NHS England (2023) </w:t>
      </w:r>
      <w:r w:rsidRPr="008C7138">
        <w:rPr>
          <w:rStyle w:val="Emphasis"/>
          <w:rFonts w:ascii="Arial" w:hAnsi="Arial" w:cs="Arial"/>
          <w:color w:val="000000" w:themeColor="text1"/>
          <w:sz w:val="22"/>
          <w:szCs w:val="22"/>
        </w:rPr>
        <w:t>The NHS patient safety strategy: safer culture, safer systems, safer patients – 2023 update</w:t>
      </w:r>
      <w:r w:rsidRPr="008C7138">
        <w:rPr>
          <w:rFonts w:ascii="Arial" w:hAnsi="Arial" w:cs="Arial"/>
          <w:color w:val="000000" w:themeColor="text1"/>
          <w:sz w:val="22"/>
          <w:szCs w:val="22"/>
        </w:rPr>
        <w:t xml:space="preserve">. London: NHS England. Available at: </w:t>
      </w:r>
      <w:hyperlink r:id="rId13" w:history="1">
        <w:r w:rsidRPr="008C7138">
          <w:rPr>
            <w:rStyle w:val="Hyperlink"/>
            <w:rFonts w:ascii="Arial" w:hAnsi="Arial" w:cs="Arial"/>
            <w:color w:val="000000" w:themeColor="text1"/>
            <w:sz w:val="22"/>
            <w:szCs w:val="22"/>
          </w:rPr>
          <w:t>https://www.england.nhs.uk/patient-safety/the-nhs-patient-safety-strategy/</w:t>
        </w:r>
      </w:hyperlink>
      <w:r w:rsidRPr="008C7138">
        <w:rPr>
          <w:rFonts w:ascii="Arial" w:hAnsi="Arial" w:cs="Arial"/>
          <w:color w:val="000000" w:themeColor="text1"/>
          <w:sz w:val="22"/>
          <w:szCs w:val="22"/>
        </w:rPr>
        <w:t xml:space="preserve"> (Accessed: 17 July 2026).</w:t>
      </w:r>
    </w:p>
    <w:p w14:paraId="73324E29" w14:textId="77777777" w:rsidR="00031750" w:rsidRPr="008C7138" w:rsidRDefault="00031750" w:rsidP="00031750">
      <w:pPr>
        <w:pStyle w:val="font-claude-response-body"/>
        <w:spacing w:before="0" w:beforeAutospacing="0" w:after="240" w:afterAutospacing="0" w:line="360" w:lineRule="auto"/>
        <w:jc w:val="both"/>
        <w:rPr>
          <w:rFonts w:ascii="Arial" w:hAnsi="Arial" w:cs="Arial"/>
          <w:color w:val="000000" w:themeColor="text1"/>
          <w:sz w:val="22"/>
          <w:szCs w:val="22"/>
        </w:rPr>
      </w:pPr>
      <w:r w:rsidRPr="008C7138">
        <w:rPr>
          <w:rFonts w:ascii="Arial" w:hAnsi="Arial" w:cs="Arial"/>
          <w:color w:val="000000" w:themeColor="text1"/>
          <w:sz w:val="22"/>
          <w:szCs w:val="22"/>
        </w:rPr>
        <w:t xml:space="preserve">Nowell, L.S., Norris, J.M., White, D.E. and Moules, N.J. (2017) 'Thematic analysis: striving to meet the trustworthiness criteria', </w:t>
      </w:r>
      <w:r w:rsidRPr="008C7138">
        <w:rPr>
          <w:rStyle w:val="Emphasis"/>
          <w:rFonts w:ascii="Arial" w:hAnsi="Arial" w:cs="Arial"/>
          <w:color w:val="000000" w:themeColor="text1"/>
          <w:sz w:val="22"/>
          <w:szCs w:val="22"/>
        </w:rPr>
        <w:t>International Journal of Qualitative Methods</w:t>
      </w:r>
      <w:r w:rsidRPr="008C7138">
        <w:rPr>
          <w:rFonts w:ascii="Arial" w:hAnsi="Arial" w:cs="Arial"/>
          <w:color w:val="000000" w:themeColor="text1"/>
          <w:sz w:val="22"/>
          <w:szCs w:val="22"/>
        </w:rPr>
        <w:t>, 16(1), pp. 1–13.</w:t>
      </w:r>
    </w:p>
    <w:p w14:paraId="6BED7207" w14:textId="77777777" w:rsidR="00031750" w:rsidRPr="008C7138" w:rsidRDefault="00031750" w:rsidP="00031750">
      <w:pPr>
        <w:pStyle w:val="font-claude-response-body"/>
        <w:spacing w:before="0" w:beforeAutospacing="0" w:after="240" w:afterAutospacing="0" w:line="360" w:lineRule="auto"/>
        <w:jc w:val="both"/>
        <w:rPr>
          <w:rFonts w:ascii="Arial" w:hAnsi="Arial" w:cs="Arial"/>
          <w:color w:val="000000" w:themeColor="text1"/>
          <w:sz w:val="22"/>
          <w:szCs w:val="22"/>
        </w:rPr>
      </w:pPr>
      <w:r w:rsidRPr="008C7138">
        <w:rPr>
          <w:rFonts w:ascii="Arial" w:hAnsi="Arial" w:cs="Arial"/>
          <w:color w:val="000000" w:themeColor="text1"/>
          <w:sz w:val="22"/>
          <w:szCs w:val="22"/>
        </w:rPr>
        <w:lastRenderedPageBreak/>
        <w:t xml:space="preserve">Nursing and Midwifery Council (2018) </w:t>
      </w:r>
      <w:r w:rsidRPr="008C7138">
        <w:rPr>
          <w:rStyle w:val="Emphasis"/>
          <w:rFonts w:ascii="Arial" w:hAnsi="Arial" w:cs="Arial"/>
          <w:color w:val="000000" w:themeColor="text1"/>
          <w:sz w:val="22"/>
          <w:szCs w:val="22"/>
        </w:rPr>
        <w:t>The Code: professional standards of practice and behaviour for nurses, midwives and nursing associates</w:t>
      </w:r>
      <w:r w:rsidRPr="008C7138">
        <w:rPr>
          <w:rFonts w:ascii="Arial" w:hAnsi="Arial" w:cs="Arial"/>
          <w:color w:val="000000" w:themeColor="text1"/>
          <w:sz w:val="22"/>
          <w:szCs w:val="22"/>
        </w:rPr>
        <w:t xml:space="preserve">. London: NMC. Available at: </w:t>
      </w:r>
      <w:hyperlink r:id="rId14" w:history="1">
        <w:r w:rsidRPr="008C7138">
          <w:rPr>
            <w:rStyle w:val="Hyperlink"/>
            <w:rFonts w:ascii="Arial" w:hAnsi="Arial" w:cs="Arial"/>
            <w:color w:val="000000" w:themeColor="text1"/>
            <w:sz w:val="22"/>
            <w:szCs w:val="22"/>
          </w:rPr>
          <w:t>https://www.nmc.org.uk/standards/code/</w:t>
        </w:r>
      </w:hyperlink>
      <w:r w:rsidRPr="008C7138">
        <w:rPr>
          <w:rFonts w:ascii="Arial" w:hAnsi="Arial" w:cs="Arial"/>
          <w:color w:val="000000" w:themeColor="text1"/>
          <w:sz w:val="22"/>
          <w:szCs w:val="22"/>
        </w:rPr>
        <w:t xml:space="preserve"> (Accessed: 17 July 2026).</w:t>
      </w:r>
    </w:p>
    <w:p w14:paraId="0F3C6F8E" w14:textId="77777777" w:rsidR="00031750" w:rsidRPr="008C7138" w:rsidRDefault="00031750" w:rsidP="00031750">
      <w:pPr>
        <w:pStyle w:val="font-claude-response-body"/>
        <w:spacing w:before="0" w:beforeAutospacing="0" w:after="240" w:afterAutospacing="0" w:line="360" w:lineRule="auto"/>
        <w:jc w:val="both"/>
        <w:rPr>
          <w:rFonts w:ascii="Arial" w:hAnsi="Arial" w:cs="Arial"/>
          <w:color w:val="000000" w:themeColor="text1"/>
          <w:sz w:val="22"/>
          <w:szCs w:val="22"/>
        </w:rPr>
      </w:pPr>
      <w:r w:rsidRPr="008C7138">
        <w:rPr>
          <w:rFonts w:ascii="Arial" w:hAnsi="Arial" w:cs="Arial"/>
          <w:color w:val="000000" w:themeColor="text1"/>
          <w:sz w:val="22"/>
          <w:szCs w:val="22"/>
        </w:rPr>
        <w:t xml:space="preserve">Peters, M.D.J., Marnie, C., Tricco, A.C., Pollock, D., Munn, Z., Alexander, L., McInerney, P., Godfrey, C.M. and Khalil, H. (2020) 'Updated methodological guidance for the conduct of scoping reviews', </w:t>
      </w:r>
      <w:r w:rsidRPr="008C7138">
        <w:rPr>
          <w:rStyle w:val="Emphasis"/>
          <w:rFonts w:ascii="Arial" w:hAnsi="Arial" w:cs="Arial"/>
          <w:color w:val="000000" w:themeColor="text1"/>
          <w:sz w:val="22"/>
          <w:szCs w:val="22"/>
        </w:rPr>
        <w:t>JBI Evidence Synthesis</w:t>
      </w:r>
      <w:r w:rsidRPr="008C7138">
        <w:rPr>
          <w:rFonts w:ascii="Arial" w:hAnsi="Arial" w:cs="Arial"/>
          <w:color w:val="000000" w:themeColor="text1"/>
          <w:sz w:val="22"/>
          <w:szCs w:val="22"/>
        </w:rPr>
        <w:t>, 18(10), pp. 2119–2126.</w:t>
      </w:r>
    </w:p>
    <w:p w14:paraId="1C905B8D" w14:textId="77777777" w:rsidR="00031750" w:rsidRPr="008C7138" w:rsidRDefault="00031750" w:rsidP="00031750">
      <w:pPr>
        <w:pStyle w:val="font-claude-response-body"/>
        <w:spacing w:before="0" w:beforeAutospacing="0" w:after="240" w:afterAutospacing="0" w:line="360" w:lineRule="auto"/>
        <w:jc w:val="both"/>
        <w:rPr>
          <w:rFonts w:ascii="Arial" w:hAnsi="Arial" w:cs="Arial"/>
          <w:color w:val="000000" w:themeColor="text1"/>
          <w:sz w:val="22"/>
          <w:szCs w:val="22"/>
        </w:rPr>
      </w:pPr>
      <w:r w:rsidRPr="008C7138">
        <w:rPr>
          <w:rFonts w:ascii="Arial" w:hAnsi="Arial" w:cs="Arial"/>
          <w:color w:val="000000" w:themeColor="text1"/>
          <w:sz w:val="22"/>
          <w:szCs w:val="22"/>
        </w:rPr>
        <w:t xml:space="preserve">Pun, B.T., Balas, M.C., Barnes-Daly, M.A., Thompson, J.L., Aldrich, J.M., Barr, J., Byrum, D., Carson, S.S., Devlin, J.W., Engel, H.J., Esbrook, C.L., Hargett, K.D., Harmon, L., Hielsberg, C., Jackson, J.C., Kelly, T.L., Kumar, V., Millner, L., Morse, A., Perme, C.S., Posa, P.J., Puntillo, K.A., Schweickert, W.D., Stollings, J.L., Tan, A., Villegas, L.d., Wasser, T.E., Wozniak, T.M., Zampieri, F.G. and Ely, E.W. (2019) 'Caring for critically ill patients with the ABCDEF bundle: results of the ICU liberation collaborative in over 15,000 adults', </w:t>
      </w:r>
      <w:r w:rsidRPr="008C7138">
        <w:rPr>
          <w:rStyle w:val="Emphasis"/>
          <w:rFonts w:ascii="Arial" w:hAnsi="Arial" w:cs="Arial"/>
          <w:color w:val="000000" w:themeColor="text1"/>
          <w:sz w:val="22"/>
          <w:szCs w:val="22"/>
        </w:rPr>
        <w:t>Critical Care Medicine</w:t>
      </w:r>
      <w:r w:rsidRPr="008C7138">
        <w:rPr>
          <w:rFonts w:ascii="Arial" w:hAnsi="Arial" w:cs="Arial"/>
          <w:color w:val="000000" w:themeColor="text1"/>
          <w:sz w:val="22"/>
          <w:szCs w:val="22"/>
        </w:rPr>
        <w:t>, 47(1), pp. 3–14.</w:t>
      </w:r>
    </w:p>
    <w:p w14:paraId="6914F634" w14:textId="77777777" w:rsidR="00031750" w:rsidRPr="008C7138" w:rsidRDefault="00031750" w:rsidP="00031750">
      <w:pPr>
        <w:pStyle w:val="font-claude-response-body"/>
        <w:spacing w:before="0" w:beforeAutospacing="0" w:after="240" w:afterAutospacing="0" w:line="360" w:lineRule="auto"/>
        <w:jc w:val="both"/>
        <w:rPr>
          <w:rFonts w:ascii="Arial" w:hAnsi="Arial" w:cs="Arial"/>
          <w:color w:val="000000" w:themeColor="text1"/>
          <w:sz w:val="22"/>
          <w:szCs w:val="22"/>
        </w:rPr>
      </w:pPr>
      <w:r w:rsidRPr="008C7138">
        <w:rPr>
          <w:rFonts w:ascii="Arial" w:hAnsi="Arial" w:cs="Arial"/>
          <w:color w:val="000000" w:themeColor="text1"/>
          <w:sz w:val="22"/>
          <w:szCs w:val="22"/>
        </w:rPr>
        <w:t xml:space="preserve">Richards-Belle, A., Canter, R.R., Power, G.S., Robinson, E.J., Reschreiter, H., Wunsch, H. and Harvey, S.E. (2016) 'National survey and point prevalence study of sedation practice in UK critical care', </w:t>
      </w:r>
      <w:r w:rsidRPr="008C7138">
        <w:rPr>
          <w:rStyle w:val="Emphasis"/>
          <w:rFonts w:ascii="Arial" w:hAnsi="Arial" w:cs="Arial"/>
          <w:color w:val="000000" w:themeColor="text1"/>
          <w:sz w:val="22"/>
          <w:szCs w:val="22"/>
        </w:rPr>
        <w:t>Critical Care</w:t>
      </w:r>
      <w:r w:rsidRPr="008C7138">
        <w:rPr>
          <w:rFonts w:ascii="Arial" w:hAnsi="Arial" w:cs="Arial"/>
          <w:color w:val="000000" w:themeColor="text1"/>
          <w:sz w:val="22"/>
          <w:szCs w:val="22"/>
        </w:rPr>
        <w:t>, 20, 355.</w:t>
      </w:r>
    </w:p>
    <w:p w14:paraId="64361BC1" w14:textId="77777777" w:rsidR="00031750" w:rsidRPr="008C7138" w:rsidRDefault="00031750" w:rsidP="00031750">
      <w:pPr>
        <w:pStyle w:val="font-claude-response-body"/>
        <w:spacing w:before="0" w:beforeAutospacing="0" w:after="240" w:afterAutospacing="0" w:line="360" w:lineRule="auto"/>
        <w:jc w:val="both"/>
        <w:rPr>
          <w:rFonts w:ascii="Arial" w:hAnsi="Arial" w:cs="Arial"/>
          <w:color w:val="000000" w:themeColor="text1"/>
          <w:sz w:val="22"/>
          <w:szCs w:val="22"/>
        </w:rPr>
      </w:pPr>
      <w:r w:rsidRPr="008C7138">
        <w:rPr>
          <w:rFonts w:ascii="Arial" w:hAnsi="Arial" w:cs="Arial"/>
          <w:color w:val="000000" w:themeColor="text1"/>
          <w:sz w:val="22"/>
          <w:szCs w:val="22"/>
        </w:rPr>
        <w:t xml:space="preserve">Rosa, R.G., Falavigna, M., da Silva, D.B., Sganzerla, D., Santos, M.M.S., Kochhann, R., de Moura, R.M., Eugênio, C.S., Haack, T.S.R., Barbosa, M.G., Robinson, C.C., Schneider, D., de Oliveira, D.M., Jeffman, R.W., Cavalcanti, A.B., Machado, F.R., Azevedo, L.C.P., Salluh, J.I.F., Pellegrini, J.A.S., Moraes, R.B., Foernges, R.B., Torelly, A.P., Ayres, L.O., Duarte, P.A.D., Lovato, W.J., Sampaio, P.H.S., de Oliveira Júnior, L.C., Paranhos, J.L.d.R., Dantas, A.d.S.d.A.C., de Brito, P.I.C.G.G., Paulo, E.A.P., Gallindo, M.A.C., Pilau, J., Valentim, H.M., Meira Teles, J.M., Nobre, V., Birriel, D.C., Corrêa e Castro, L., Specht, A.M., Medeiros, G.S., Tonietto, T.F., Mesquita, E.C., da Silva, N.B., Korte, J.E., Hammes, L.S., Giannini, A., Bozza, F.A. and Teixeira, C. (2019) 'Effect of flexible family visitation on delirium among patients in the intensive care unit: the ICU Visits randomized clinical trial', </w:t>
      </w:r>
      <w:r w:rsidRPr="008C7138">
        <w:rPr>
          <w:rStyle w:val="Emphasis"/>
          <w:rFonts w:ascii="Arial" w:hAnsi="Arial" w:cs="Arial"/>
          <w:color w:val="000000" w:themeColor="text1"/>
          <w:sz w:val="22"/>
          <w:szCs w:val="22"/>
        </w:rPr>
        <w:t>JAMA</w:t>
      </w:r>
      <w:r w:rsidRPr="008C7138">
        <w:rPr>
          <w:rFonts w:ascii="Arial" w:hAnsi="Arial" w:cs="Arial"/>
          <w:color w:val="000000" w:themeColor="text1"/>
          <w:sz w:val="22"/>
          <w:szCs w:val="22"/>
        </w:rPr>
        <w:t>, 322(3), pp. 216–228.</w:t>
      </w:r>
    </w:p>
    <w:p w14:paraId="0AD3A66A" w14:textId="77777777" w:rsidR="00031750" w:rsidRPr="008C7138" w:rsidRDefault="00031750" w:rsidP="00031750">
      <w:pPr>
        <w:pStyle w:val="font-claude-response-body"/>
        <w:spacing w:before="0" w:beforeAutospacing="0" w:after="240" w:afterAutospacing="0" w:line="360" w:lineRule="auto"/>
        <w:jc w:val="both"/>
        <w:rPr>
          <w:rFonts w:ascii="Arial" w:hAnsi="Arial" w:cs="Arial"/>
          <w:color w:val="000000" w:themeColor="text1"/>
          <w:sz w:val="22"/>
          <w:szCs w:val="22"/>
        </w:rPr>
      </w:pPr>
      <w:r w:rsidRPr="008C7138">
        <w:rPr>
          <w:rFonts w:ascii="Arial" w:hAnsi="Arial" w:cs="Arial"/>
          <w:color w:val="000000" w:themeColor="text1"/>
          <w:sz w:val="22"/>
          <w:szCs w:val="22"/>
        </w:rPr>
        <w:t xml:space="preserve">Royal College of Nursing (2019) </w:t>
      </w:r>
      <w:r w:rsidRPr="008C7138">
        <w:rPr>
          <w:rStyle w:val="Emphasis"/>
          <w:rFonts w:ascii="Arial" w:hAnsi="Arial" w:cs="Arial"/>
          <w:color w:val="000000" w:themeColor="text1"/>
          <w:sz w:val="22"/>
          <w:szCs w:val="22"/>
        </w:rPr>
        <w:t>RCN Nursing Workforce Standards</w:t>
      </w:r>
      <w:r w:rsidRPr="008C7138">
        <w:rPr>
          <w:rFonts w:ascii="Arial" w:hAnsi="Arial" w:cs="Arial"/>
          <w:color w:val="000000" w:themeColor="text1"/>
          <w:sz w:val="22"/>
          <w:szCs w:val="22"/>
        </w:rPr>
        <w:t xml:space="preserve">. London: RCN. Available at: </w:t>
      </w:r>
      <w:hyperlink r:id="rId15" w:history="1">
        <w:r w:rsidRPr="008C7138">
          <w:rPr>
            <w:rStyle w:val="Hyperlink"/>
            <w:rFonts w:ascii="Arial" w:hAnsi="Arial" w:cs="Arial"/>
            <w:color w:val="000000" w:themeColor="text1"/>
            <w:sz w:val="22"/>
            <w:szCs w:val="22"/>
          </w:rPr>
          <w:t>https://www.rcn.org.uk/Professional-Development/Nursing-Workforce-Standards</w:t>
        </w:r>
      </w:hyperlink>
      <w:r w:rsidRPr="008C7138">
        <w:rPr>
          <w:rFonts w:ascii="Arial" w:hAnsi="Arial" w:cs="Arial"/>
          <w:color w:val="000000" w:themeColor="text1"/>
          <w:sz w:val="22"/>
          <w:szCs w:val="22"/>
          <w:lang w:val="en-US"/>
        </w:rPr>
        <w:t xml:space="preserve"> </w:t>
      </w:r>
      <w:r w:rsidRPr="008C7138">
        <w:rPr>
          <w:rFonts w:ascii="Arial" w:hAnsi="Arial" w:cs="Arial"/>
          <w:color w:val="000000" w:themeColor="text1"/>
          <w:sz w:val="22"/>
          <w:szCs w:val="22"/>
        </w:rPr>
        <w:t>(Accessed: 17 July 2026).</w:t>
      </w:r>
    </w:p>
    <w:p w14:paraId="74A3E82D" w14:textId="77777777" w:rsidR="00031750" w:rsidRPr="008C7138" w:rsidRDefault="00031750" w:rsidP="00031750">
      <w:pPr>
        <w:pStyle w:val="font-claude-response-body"/>
        <w:spacing w:before="0" w:beforeAutospacing="0" w:after="240" w:afterAutospacing="0" w:line="360" w:lineRule="auto"/>
        <w:jc w:val="both"/>
        <w:rPr>
          <w:rFonts w:ascii="Arial" w:hAnsi="Arial" w:cs="Arial"/>
          <w:color w:val="000000" w:themeColor="text1"/>
          <w:sz w:val="22"/>
          <w:szCs w:val="22"/>
        </w:rPr>
      </w:pPr>
      <w:r w:rsidRPr="008C7138">
        <w:rPr>
          <w:rFonts w:ascii="Arial" w:hAnsi="Arial" w:cs="Arial"/>
          <w:color w:val="000000" w:themeColor="text1"/>
          <w:sz w:val="22"/>
          <w:szCs w:val="22"/>
        </w:rPr>
        <w:t xml:space="preserve">Salluh, J.I.F., Wang, H., Schneider, E.B., Nagaraja, N., Yenokyan, G., Damluji, A., Serafim, R.B. and Stevens, R.D. (2015) 'Outcome of delirium in critically ill patients: systematic review and meta-analysis', </w:t>
      </w:r>
      <w:r w:rsidRPr="008C7138">
        <w:rPr>
          <w:rStyle w:val="Emphasis"/>
          <w:rFonts w:ascii="Arial" w:hAnsi="Arial" w:cs="Arial"/>
          <w:color w:val="000000" w:themeColor="text1"/>
          <w:sz w:val="22"/>
          <w:szCs w:val="22"/>
        </w:rPr>
        <w:t>BMJ</w:t>
      </w:r>
      <w:r w:rsidRPr="008C7138">
        <w:rPr>
          <w:rFonts w:ascii="Arial" w:hAnsi="Arial" w:cs="Arial"/>
          <w:color w:val="000000" w:themeColor="text1"/>
          <w:sz w:val="22"/>
          <w:szCs w:val="22"/>
        </w:rPr>
        <w:t>, 350, h2538.</w:t>
      </w:r>
    </w:p>
    <w:p w14:paraId="4F0F04FA" w14:textId="77777777" w:rsidR="00031750" w:rsidRPr="008C7138" w:rsidRDefault="00031750" w:rsidP="00031750">
      <w:pPr>
        <w:pStyle w:val="font-claude-response-body"/>
        <w:spacing w:before="0" w:beforeAutospacing="0" w:after="240" w:afterAutospacing="0" w:line="360" w:lineRule="auto"/>
        <w:jc w:val="both"/>
        <w:rPr>
          <w:rFonts w:ascii="Arial" w:hAnsi="Arial" w:cs="Arial"/>
          <w:color w:val="000000" w:themeColor="text1"/>
          <w:sz w:val="22"/>
          <w:szCs w:val="22"/>
        </w:rPr>
      </w:pPr>
      <w:r w:rsidRPr="008C7138">
        <w:rPr>
          <w:rFonts w:ascii="Arial" w:hAnsi="Arial" w:cs="Arial"/>
          <w:color w:val="000000" w:themeColor="text1"/>
          <w:sz w:val="22"/>
          <w:szCs w:val="22"/>
        </w:rPr>
        <w:lastRenderedPageBreak/>
        <w:t xml:space="preserve">Suri, H. (2020) 'Ethical considerations of conducting systematic reviews in educational research', in Zawacki-Richter, O., Kerres, M., Bedenlier, S., Bond, M. and Buntins, K. (eds.) </w:t>
      </w:r>
      <w:r w:rsidRPr="008C7138">
        <w:rPr>
          <w:rStyle w:val="Emphasis"/>
          <w:rFonts w:ascii="Arial" w:hAnsi="Arial" w:cs="Arial"/>
          <w:color w:val="000000" w:themeColor="text1"/>
          <w:sz w:val="22"/>
          <w:szCs w:val="22"/>
        </w:rPr>
        <w:t>Systematic reviews in educational research</w:t>
      </w:r>
      <w:r w:rsidRPr="008C7138">
        <w:rPr>
          <w:rFonts w:ascii="Arial" w:hAnsi="Arial" w:cs="Arial"/>
          <w:color w:val="000000" w:themeColor="text1"/>
          <w:sz w:val="22"/>
          <w:szCs w:val="22"/>
        </w:rPr>
        <w:t>. Wiesbaden: Springer, pp. 41–54.</w:t>
      </w:r>
    </w:p>
    <w:p w14:paraId="0E3EC3C3" w14:textId="77777777" w:rsidR="00031750" w:rsidRPr="008C7138" w:rsidRDefault="00031750" w:rsidP="00031750">
      <w:pPr>
        <w:pStyle w:val="font-claude-response-body"/>
        <w:spacing w:before="0" w:beforeAutospacing="0" w:after="240" w:afterAutospacing="0" w:line="360" w:lineRule="auto"/>
        <w:jc w:val="both"/>
        <w:rPr>
          <w:rFonts w:ascii="Arial" w:hAnsi="Arial" w:cs="Arial"/>
          <w:color w:val="000000" w:themeColor="text1"/>
          <w:sz w:val="22"/>
          <w:szCs w:val="22"/>
        </w:rPr>
      </w:pPr>
      <w:r w:rsidRPr="008C7138">
        <w:rPr>
          <w:rFonts w:ascii="Arial" w:hAnsi="Arial" w:cs="Arial"/>
          <w:color w:val="000000" w:themeColor="text1"/>
          <w:sz w:val="22"/>
          <w:szCs w:val="22"/>
        </w:rPr>
        <w:t xml:space="preserve">Tricco, A.C., Lillie, E., Zarin, W., O'Brien, K.K., Colquhoun, H., Levac, D., Moher, D., Peters, M.D.J., Horsley, T., Weeks, L., Hempel, S., Akl, E.A., Chang, C., McGowan, J., Stewart, L., Hartling, L., Aldcroft, A., Wilson, M.G., Garritty, C., Lewin, S., Godfrey, C.M., Macdonald, M.T., Langlois, E.V., Soares-Weiser, K., Moriarty, J., Clifford, T., Tunçalp, Ö. and Straus, S.E. (2018) 'PRISMA extension for scoping reviews (PRISMA-ScR): checklist and explanation', </w:t>
      </w:r>
      <w:r w:rsidRPr="008C7138">
        <w:rPr>
          <w:rStyle w:val="Emphasis"/>
          <w:rFonts w:ascii="Arial" w:hAnsi="Arial" w:cs="Arial"/>
          <w:color w:val="000000" w:themeColor="text1"/>
          <w:sz w:val="22"/>
          <w:szCs w:val="22"/>
        </w:rPr>
        <w:t>Annals of Internal Medicine</w:t>
      </w:r>
      <w:r w:rsidRPr="008C7138">
        <w:rPr>
          <w:rFonts w:ascii="Arial" w:hAnsi="Arial" w:cs="Arial"/>
          <w:color w:val="000000" w:themeColor="text1"/>
          <w:sz w:val="22"/>
          <w:szCs w:val="22"/>
        </w:rPr>
        <w:t>, 169(7), pp. 467–473.</w:t>
      </w:r>
    </w:p>
    <w:p w14:paraId="18E8DA9F" w14:textId="77777777" w:rsidR="00031750" w:rsidRPr="008C7138" w:rsidRDefault="00031750" w:rsidP="00031750">
      <w:pPr>
        <w:pStyle w:val="font-claude-response-body"/>
        <w:spacing w:before="0" w:beforeAutospacing="0" w:after="240" w:afterAutospacing="0" w:line="360" w:lineRule="auto"/>
        <w:jc w:val="both"/>
        <w:rPr>
          <w:rFonts w:ascii="Arial" w:hAnsi="Arial" w:cs="Arial"/>
          <w:color w:val="000000" w:themeColor="text1"/>
          <w:sz w:val="22"/>
          <w:szCs w:val="22"/>
        </w:rPr>
      </w:pPr>
      <w:r w:rsidRPr="008C7138">
        <w:rPr>
          <w:rFonts w:ascii="Arial" w:hAnsi="Arial" w:cs="Arial"/>
          <w:color w:val="000000" w:themeColor="text1"/>
          <w:sz w:val="22"/>
          <w:szCs w:val="22"/>
        </w:rPr>
        <w:t xml:space="preserve">UK Research Integrity Office (2023) </w:t>
      </w:r>
      <w:r w:rsidRPr="008C7138">
        <w:rPr>
          <w:rStyle w:val="Emphasis"/>
          <w:rFonts w:ascii="Arial" w:hAnsi="Arial" w:cs="Arial"/>
          <w:color w:val="000000" w:themeColor="text1"/>
          <w:sz w:val="22"/>
          <w:szCs w:val="22"/>
        </w:rPr>
        <w:t>Code of practice for research</w:t>
      </w:r>
      <w:r w:rsidRPr="008C7138">
        <w:rPr>
          <w:rFonts w:ascii="Arial" w:hAnsi="Arial" w:cs="Arial"/>
          <w:color w:val="000000" w:themeColor="text1"/>
          <w:sz w:val="22"/>
          <w:szCs w:val="22"/>
        </w:rPr>
        <w:t xml:space="preserve">. London: UKRIO. Available at: </w:t>
      </w:r>
      <w:hyperlink r:id="rId16" w:history="1">
        <w:r w:rsidRPr="008C7138">
          <w:rPr>
            <w:rStyle w:val="Hyperlink"/>
            <w:rFonts w:ascii="Arial" w:hAnsi="Arial" w:cs="Arial"/>
            <w:color w:val="000000" w:themeColor="text1"/>
            <w:sz w:val="22"/>
            <w:szCs w:val="22"/>
          </w:rPr>
          <w:t>https://ukrio.org/ukrio-resources/publications/code-of-practice-for-research/</w:t>
        </w:r>
      </w:hyperlink>
      <w:r w:rsidRPr="008C7138">
        <w:rPr>
          <w:rFonts w:ascii="Arial" w:hAnsi="Arial" w:cs="Arial"/>
          <w:color w:val="000000" w:themeColor="text1"/>
          <w:sz w:val="22"/>
          <w:szCs w:val="22"/>
          <w:lang w:val="en-US"/>
        </w:rPr>
        <w:t xml:space="preserve"> </w:t>
      </w:r>
      <w:r w:rsidRPr="008C7138">
        <w:rPr>
          <w:rFonts w:ascii="Arial" w:hAnsi="Arial" w:cs="Arial"/>
          <w:color w:val="000000" w:themeColor="text1"/>
          <w:sz w:val="22"/>
          <w:szCs w:val="22"/>
        </w:rPr>
        <w:t>(Accessed: 17 July 2026).</w:t>
      </w:r>
    </w:p>
    <w:p w14:paraId="3817C3E1" w14:textId="77777777" w:rsidR="00031750" w:rsidRPr="008C7138" w:rsidRDefault="00031750" w:rsidP="00031750">
      <w:pPr>
        <w:pStyle w:val="font-claude-response-body"/>
        <w:spacing w:before="0" w:beforeAutospacing="0" w:after="240" w:afterAutospacing="0" w:line="360" w:lineRule="auto"/>
        <w:jc w:val="both"/>
        <w:rPr>
          <w:rFonts w:ascii="Arial" w:hAnsi="Arial" w:cs="Arial"/>
          <w:color w:val="000000" w:themeColor="text1"/>
          <w:sz w:val="22"/>
          <w:szCs w:val="22"/>
        </w:rPr>
      </w:pPr>
      <w:r w:rsidRPr="008C7138">
        <w:rPr>
          <w:rFonts w:ascii="Arial" w:hAnsi="Arial" w:cs="Arial"/>
          <w:color w:val="000000" w:themeColor="text1"/>
          <w:sz w:val="22"/>
          <w:szCs w:val="22"/>
        </w:rPr>
        <w:t xml:space="preserve">Wade, D.M., Mouncey, P.R., Richards-Belle, A., Wulff, J., Harrison, D.A., Sadique, M.Z., Grieve, R.D., Emerson, L.M., Mason, A.J., Aaronovitch, D., Als, N., Brewin, C.R., Harvey, S.E., Howell, D.C.J., Hudson, N., Mythen, M.G., Smyth, D., Weinman, J., Welch, J., Whitman, C. and Rowan, K.M. (2019) 'Effect of a nurse-led preventive psychological intervention on symptoms of posttraumatic stress disorder among critically ill patients: a randomized clinical trial', </w:t>
      </w:r>
      <w:r w:rsidRPr="008C7138">
        <w:rPr>
          <w:rStyle w:val="Emphasis"/>
          <w:rFonts w:ascii="Arial" w:hAnsi="Arial" w:cs="Arial"/>
          <w:color w:val="000000" w:themeColor="text1"/>
          <w:sz w:val="22"/>
          <w:szCs w:val="22"/>
        </w:rPr>
        <w:t>JAMA</w:t>
      </w:r>
      <w:r w:rsidRPr="008C7138">
        <w:rPr>
          <w:rFonts w:ascii="Arial" w:hAnsi="Arial" w:cs="Arial"/>
          <w:color w:val="000000" w:themeColor="text1"/>
          <w:sz w:val="22"/>
          <w:szCs w:val="22"/>
        </w:rPr>
        <w:t>, 321(7), pp. 665–675.</w:t>
      </w:r>
    </w:p>
    <w:p w14:paraId="02C25879" w14:textId="77777777" w:rsidR="00031750" w:rsidRPr="008C7138" w:rsidRDefault="00031750" w:rsidP="00031750">
      <w:pPr>
        <w:pStyle w:val="font-claude-response-body"/>
        <w:spacing w:before="0" w:beforeAutospacing="0" w:after="240" w:afterAutospacing="0" w:line="360" w:lineRule="auto"/>
        <w:jc w:val="both"/>
        <w:rPr>
          <w:rFonts w:ascii="Arial" w:hAnsi="Arial" w:cs="Arial"/>
          <w:color w:val="000000" w:themeColor="text1"/>
          <w:sz w:val="22"/>
          <w:szCs w:val="22"/>
        </w:rPr>
      </w:pPr>
      <w:r w:rsidRPr="008C7138">
        <w:rPr>
          <w:rFonts w:ascii="Arial" w:hAnsi="Arial" w:cs="Arial"/>
          <w:color w:val="000000" w:themeColor="text1"/>
          <w:sz w:val="22"/>
          <w:szCs w:val="22"/>
        </w:rPr>
        <w:t xml:space="preserve">Wilson, J.E., Mart, M.F., Cunningham, C., Shehabi, Y., Girard, T.D., MacLullich, A.M.J., Slooter, A.J.C. and Ely, E.W. (2020) 'Delirium', </w:t>
      </w:r>
      <w:r w:rsidRPr="008C7138">
        <w:rPr>
          <w:rStyle w:val="Emphasis"/>
          <w:rFonts w:ascii="Arial" w:hAnsi="Arial" w:cs="Arial"/>
          <w:color w:val="000000" w:themeColor="text1"/>
          <w:sz w:val="22"/>
          <w:szCs w:val="22"/>
        </w:rPr>
        <w:t>Nature Reviews Disease Primers</w:t>
      </w:r>
      <w:r w:rsidRPr="008C7138">
        <w:rPr>
          <w:rFonts w:ascii="Arial" w:hAnsi="Arial" w:cs="Arial"/>
          <w:color w:val="000000" w:themeColor="text1"/>
          <w:sz w:val="22"/>
          <w:szCs w:val="22"/>
        </w:rPr>
        <w:t>, 6(1), 90.</w:t>
      </w:r>
    </w:p>
    <w:p w14:paraId="74C8C33D" w14:textId="77777777" w:rsidR="00CD31F2" w:rsidRPr="008C7138" w:rsidRDefault="00031750" w:rsidP="00031750">
      <w:pPr>
        <w:pStyle w:val="font-claude-response-body"/>
        <w:spacing w:before="0" w:beforeAutospacing="0" w:after="240" w:afterAutospacing="0" w:line="360" w:lineRule="auto"/>
        <w:jc w:val="both"/>
        <w:rPr>
          <w:rFonts w:ascii="Arial" w:hAnsi="Arial" w:cs="Arial"/>
          <w:color w:val="000000" w:themeColor="text1"/>
          <w:sz w:val="22"/>
          <w:szCs w:val="22"/>
        </w:rPr>
      </w:pPr>
      <w:r w:rsidRPr="008C7138">
        <w:rPr>
          <w:rFonts w:ascii="Arial" w:hAnsi="Arial" w:cs="Arial"/>
          <w:color w:val="000000" w:themeColor="text1"/>
          <w:sz w:val="22"/>
          <w:szCs w:val="22"/>
        </w:rPr>
        <w:t xml:space="preserve">Zamoscik, K., Godbold, R. and Freeman, P. (2017) 'Intensive care nurses' experiences and perceptions of delirium and delirium care', </w:t>
      </w:r>
      <w:r w:rsidRPr="008C7138">
        <w:rPr>
          <w:rStyle w:val="Emphasis"/>
          <w:rFonts w:ascii="Arial" w:hAnsi="Arial" w:cs="Arial"/>
          <w:color w:val="000000" w:themeColor="text1"/>
          <w:sz w:val="22"/>
          <w:szCs w:val="22"/>
        </w:rPr>
        <w:t>Intensive and Critical Care Nursing</w:t>
      </w:r>
      <w:r w:rsidRPr="008C7138">
        <w:rPr>
          <w:rFonts w:ascii="Arial" w:hAnsi="Arial" w:cs="Arial"/>
          <w:color w:val="000000" w:themeColor="text1"/>
          <w:sz w:val="22"/>
          <w:szCs w:val="22"/>
        </w:rPr>
        <w:t>, 40, pp. 94–100.</w:t>
      </w:r>
    </w:p>
    <w:sectPr w:rsidR="00CD31F2" w:rsidRPr="008C7138" w:rsidSect="00D34B8F">
      <w:pgSz w:w="11906" w:h="16838"/>
      <w:pgMar w:top="1474" w:right="1440" w:bottom="1440" w:left="1440" w:header="720" w:footer="720"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4"/>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C8E"/>
    <w:rsid w:val="00031750"/>
    <w:rsid w:val="000323AD"/>
    <w:rsid w:val="00056C8E"/>
    <w:rsid w:val="00084586"/>
    <w:rsid w:val="000B5691"/>
    <w:rsid w:val="00120678"/>
    <w:rsid w:val="00153458"/>
    <w:rsid w:val="001F6301"/>
    <w:rsid w:val="00223766"/>
    <w:rsid w:val="002271C7"/>
    <w:rsid w:val="0023338E"/>
    <w:rsid w:val="002B7593"/>
    <w:rsid w:val="002D19C8"/>
    <w:rsid w:val="002E6550"/>
    <w:rsid w:val="003654F0"/>
    <w:rsid w:val="003D2507"/>
    <w:rsid w:val="005036E5"/>
    <w:rsid w:val="0059350D"/>
    <w:rsid w:val="00595BB7"/>
    <w:rsid w:val="005A4895"/>
    <w:rsid w:val="00622BA4"/>
    <w:rsid w:val="00625516"/>
    <w:rsid w:val="00665C8E"/>
    <w:rsid w:val="007365D4"/>
    <w:rsid w:val="0075143B"/>
    <w:rsid w:val="00767013"/>
    <w:rsid w:val="007D505A"/>
    <w:rsid w:val="00813736"/>
    <w:rsid w:val="008B239C"/>
    <w:rsid w:val="008C7138"/>
    <w:rsid w:val="008F1EF6"/>
    <w:rsid w:val="00905ABA"/>
    <w:rsid w:val="00920D20"/>
    <w:rsid w:val="009275B9"/>
    <w:rsid w:val="009A33B9"/>
    <w:rsid w:val="009D7AA4"/>
    <w:rsid w:val="009F6C1A"/>
    <w:rsid w:val="00A46906"/>
    <w:rsid w:val="00A635B7"/>
    <w:rsid w:val="00B0464D"/>
    <w:rsid w:val="00B34230"/>
    <w:rsid w:val="00BF2CFC"/>
    <w:rsid w:val="00C86DB2"/>
    <w:rsid w:val="00CD1B48"/>
    <w:rsid w:val="00CD31F2"/>
    <w:rsid w:val="00D34B8F"/>
    <w:rsid w:val="00D61B89"/>
    <w:rsid w:val="00DA0D51"/>
    <w:rsid w:val="00E7314B"/>
    <w:rsid w:val="00F473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90AB76"/>
  <w15:chartTrackingRefBased/>
  <w15:docId w15:val="{4BAF953E-D3BE-B349-A01F-7D566E9B96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0D51"/>
    <w:rPr>
      <w:rFonts w:ascii="Times New Roman" w:eastAsia="Times New Roman" w:hAnsi="Times New Roman" w:cs="Times New Roman"/>
      <w:kern w:val="0"/>
      <w:lang w:eastAsia="en-GB"/>
      <w14:ligatures w14:val="none"/>
    </w:rPr>
  </w:style>
  <w:style w:type="paragraph" w:styleId="Heading4">
    <w:name w:val="heading 4"/>
    <w:basedOn w:val="Normal"/>
    <w:link w:val="Heading4Char"/>
    <w:uiPriority w:val="9"/>
    <w:qFormat/>
    <w:rsid w:val="00DA0D51"/>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DA0D51"/>
    <w:rPr>
      <w:rFonts w:ascii="Times New Roman" w:eastAsia="Times New Roman" w:hAnsi="Times New Roman" w:cs="Times New Roman"/>
      <w:b/>
      <w:bCs/>
      <w:kern w:val="0"/>
      <w:lang w:eastAsia="en-GB"/>
      <w14:ligatures w14:val="none"/>
    </w:rPr>
  </w:style>
  <w:style w:type="paragraph" w:customStyle="1" w:styleId="font-claude-response-body">
    <w:name w:val="font-claude-response-body"/>
    <w:basedOn w:val="Normal"/>
    <w:rsid w:val="00DA0D51"/>
    <w:pPr>
      <w:spacing w:before="100" w:beforeAutospacing="1" w:after="100" w:afterAutospacing="1"/>
    </w:pPr>
  </w:style>
  <w:style w:type="character" w:styleId="Strong">
    <w:name w:val="Strong"/>
    <w:basedOn w:val="DefaultParagraphFont"/>
    <w:uiPriority w:val="22"/>
    <w:qFormat/>
    <w:rsid w:val="00DA0D51"/>
    <w:rPr>
      <w:b/>
      <w:bCs/>
    </w:rPr>
  </w:style>
  <w:style w:type="table" w:styleId="TableGrid">
    <w:name w:val="Table Grid"/>
    <w:basedOn w:val="TableNormal"/>
    <w:uiPriority w:val="39"/>
    <w:rsid w:val="00DA0D5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031750"/>
    <w:rPr>
      <w:i/>
      <w:iCs/>
    </w:rPr>
  </w:style>
  <w:style w:type="character" w:styleId="Hyperlink">
    <w:name w:val="Hyperlink"/>
    <w:basedOn w:val="DefaultParagraphFont"/>
    <w:uiPriority w:val="99"/>
    <w:unhideWhenUsed/>
    <w:rsid w:val="00031750"/>
    <w:rPr>
      <w:color w:val="0000FF"/>
      <w:u w:val="single"/>
    </w:rPr>
  </w:style>
  <w:style w:type="character" w:styleId="FollowedHyperlink">
    <w:name w:val="FollowedHyperlink"/>
    <w:basedOn w:val="DefaultParagraphFont"/>
    <w:uiPriority w:val="99"/>
    <w:semiHidden/>
    <w:unhideWhenUsed/>
    <w:rsid w:val="0003175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22/31" TargetMode="External" /><Relationship Id="rId13" Type="http://schemas.openxmlformats.org/officeDocument/2006/relationships/hyperlink" Target="https://www.england.nhs.uk/patient-safety/the-nhs-patient-safety-strategy/" TargetMode="External" /><Relationship Id="rId1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hyperlink" Target="https://www.legislation.gov.uk/ukpga/2005/9" TargetMode="External" /><Relationship Id="rId12" Type="http://schemas.openxmlformats.org/officeDocument/2006/relationships/hyperlink" Target="https://www.nice.org.uk/guidance/cg103" TargetMode="External" /><Relationship Id="rId17" Type="http://schemas.openxmlformats.org/officeDocument/2006/relationships/fontTable" Target="fontTable.xml" /><Relationship Id="rId2" Type="http://schemas.openxmlformats.org/officeDocument/2006/relationships/settings" Target="settings.xml" /><Relationship Id="rId16" Type="http://schemas.openxmlformats.org/officeDocument/2006/relationships/hyperlink" Target="https://ukrio.org/ukrio-resources/publications/code-of-practice-for-research/" TargetMode="External" /><Relationship Id="rId1" Type="http://schemas.openxmlformats.org/officeDocument/2006/relationships/styles" Target="styles.xml" /><Relationship Id="rId6" Type="http://schemas.openxmlformats.org/officeDocument/2006/relationships/hyperlink" Target="https://www.legislation.gov.uk/ukpga/1998/42" TargetMode="External" /><Relationship Id="rId11" Type="http://schemas.openxmlformats.org/officeDocument/2006/relationships/hyperlink" Target="https://ics.ac.uk" TargetMode="External" /><Relationship Id="rId5" Type="http://schemas.openxmlformats.org/officeDocument/2006/relationships/hyperlink" Target="https://www.cqc.org.uk/publications/major-report/state-care" TargetMode="External" /><Relationship Id="rId15" Type="http://schemas.openxmlformats.org/officeDocument/2006/relationships/hyperlink" Target="https://www.rcn.org.uk/Professional-Development/Nursing-Workforce-Standards" TargetMode="External" /><Relationship Id="rId10" Type="http://schemas.openxmlformats.org/officeDocument/2006/relationships/hyperlink" Target="https://www.icnarc.org" TargetMode="External" /><Relationship Id="rId4" Type="http://schemas.openxmlformats.org/officeDocument/2006/relationships/image" Target="media/image1.png" /><Relationship Id="rId9" Type="http://schemas.openxmlformats.org/officeDocument/2006/relationships/hyperlink" Target="https://www.hra.nhs.uk/planning-and-improving-research/policies-standards-legislation/uk-policy-framework-health-social-care-research/" TargetMode="External" /><Relationship Id="rId14" Type="http://schemas.openxmlformats.org/officeDocument/2006/relationships/hyperlink" Target="https://www.nmc.org.uk/standards/co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21</Pages>
  <Words>5971</Words>
  <Characters>34039</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Kelechi Emmanuel Obiefule</dc:creator>
  <cp:lastModifiedBy>Maureen Iyoha</cp:lastModifiedBy>
  <cp:revision>9</cp:revision>
  <dcterms:created xsi:type="dcterms:W3CDTF">2026-07-18T06:57:00Z</dcterms:created>
  <dcterms:modified xsi:type="dcterms:W3CDTF">2026-07-18T07:35:00Z</dcterms:modified>
</cp:coreProperties>
</file>